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7.wmf" ContentType="image/x-wmf"/>
  <Override PartName="/word/media/image256.wmf" ContentType="image/x-wmf"/>
  <Override PartName="/word/media/image255.wmf" ContentType="image/x-wmf"/>
  <Override PartName="/word/media/image254.wmf" ContentType="image/x-wmf"/>
  <Override PartName="/word/media/image253.wmf" ContentType="image/x-wmf"/>
  <Override PartName="/word/media/image252.wmf" ContentType="image/x-wmf"/>
  <Override PartName="/word/media/image251.wmf" ContentType="image/x-wmf"/>
  <Override PartName="/word/media/image250.wmf" ContentType="image/x-wmf"/>
  <Override PartName="/word/media/image249.wmf" ContentType="image/x-wmf"/>
  <Override PartName="/word/media/image121.wmf" ContentType="image/x-wmf"/>
  <Override PartName="/word/media/image248.wmf" ContentType="image/x-wmf"/>
  <Override PartName="/word/media/image120.wmf" ContentType="image/x-wmf"/>
  <Override PartName="/word/media/image247.wmf" ContentType="image/x-wmf"/>
  <Override PartName="/word/media/image246.wmf" ContentType="image/x-wmf"/>
  <Override PartName="/word/media/image245.wmf" ContentType="image/x-wmf"/>
  <Override PartName="/word/media/image244.wmf" ContentType="image/x-wmf"/>
  <Override PartName="/word/media/image243.wmf" ContentType="image/x-wmf"/>
  <Override PartName="/word/media/image237.png" ContentType="image/png"/>
  <Override PartName="/word/media/image242.wmf" ContentType="image/x-wmf"/>
  <Override PartName="/word/media/image236.png" ContentType="image/png"/>
  <Override PartName="/word/media/image241.wmf" ContentType="image/x-wmf"/>
  <Override PartName="/word/media/image240.wmf" ContentType="image/x-wmf"/>
  <Override PartName="/word/media/image239.wmf" ContentType="image/x-wmf"/>
  <Override PartName="/word/media/image111.wmf" ContentType="image/x-wmf"/>
  <Override PartName="/word/media/image238.wmf" ContentType="image/x-wmf"/>
  <Override PartName="/word/media/image110.wmf" ContentType="image/x-wmf"/>
  <Override PartName="/word/media/image235.wmf" ContentType="image/x-wmf"/>
  <Override PartName="/word/media/image234.wmf" ContentType="image/x-wmf"/>
  <Override PartName="/word/media/image233.wmf" ContentType="image/x-wmf"/>
  <Override PartName="/word/media/image232.wmf" ContentType="image/x-wmf"/>
  <Override PartName="/word/media/image231.wmf" ContentType="image/x-wmf"/>
  <Override PartName="/word/media/image230.wmf" ContentType="image/x-wmf"/>
  <Override PartName="/word/media/image229.wmf" ContentType="image/x-wmf"/>
  <Override PartName="/word/media/image101.wmf" ContentType="image/x-wmf"/>
  <Override PartName="/word/media/image228.wmf" ContentType="image/x-wmf"/>
  <Override PartName="/word/media/image100.wmf" ContentType="image/x-wmf"/>
  <Override PartName="/word/media/image227.wmf" ContentType="image/x-wmf"/>
  <Override PartName="/word/media/image226.wmf" ContentType="image/x-wmf"/>
  <Override PartName="/word/media/image225.wmf" ContentType="image/x-wmf"/>
  <Override PartName="/word/media/image224.wmf" ContentType="image/x-wmf"/>
  <Override PartName="/word/media/image223.wmf" ContentType="image/x-wmf"/>
  <Override PartName="/word/media/image222.wmf" ContentType="image/x-wmf"/>
  <Override PartName="/word/media/image221.wmf" ContentType="image/x-wmf"/>
  <Override PartName="/word/media/image220.wmf" ContentType="image/x-wmf"/>
  <Override PartName="/word/media/image214.wmf" ContentType="image/x-wmf"/>
  <Override PartName="/word/media/image213.wmf" ContentType="image/x-wmf"/>
  <Override PartName="/word/media/image212.wmf" ContentType="image/x-wmf"/>
  <Override PartName="/word/media/image211.wmf" ContentType="image/x-wmf"/>
  <Override PartName="/word/media/image210.wmf" ContentType="image/x-wmf"/>
  <Override PartName="/word/media/image209.wmf" ContentType="image/x-wmf"/>
  <Override PartName="/word/media/image208.wmf" ContentType="image/x-wmf"/>
  <Override PartName="/word/media/image207.wmf" ContentType="image/x-wmf"/>
  <Override PartName="/word/media/image206.wmf" ContentType="image/x-wmf"/>
  <Override PartName="/word/media/image205.wmf" ContentType="image/x-wmf"/>
  <Override PartName="/word/media/image204.wmf" ContentType="image/x-wmf"/>
  <Override PartName="/word/media/image203.wmf" ContentType="image/x-wmf"/>
  <Override PartName="/word/media/image202.wmf" ContentType="image/x-wmf"/>
  <Override PartName="/word/media/image201.wmf" ContentType="image/x-wmf"/>
  <Override PartName="/word/media/image200.wmf" ContentType="image/x-wmf"/>
  <Override PartName="/word/media/image199.wmf" ContentType="image/x-wmf"/>
  <Override PartName="/word/media/image198.wmf" ContentType="image/x-wmf"/>
  <Override PartName="/word/media/image188.jpeg" ContentType="image/jpeg"/>
  <Override PartName="/word/media/image179.wmf" ContentType="image/x-wmf"/>
  <Override PartName="/word/media/image178.wmf" ContentType="image/x-wmf"/>
  <Override PartName="/word/media/image67.wmf" ContentType="image/x-wmf"/>
  <Override PartName="/word/media/image288.png" ContentType="image/png"/>
  <Override PartName="/word/media/image70.wmf" ContentType="image/x-wmf"/>
  <Override PartName="/word/media/image291.png" ContentType="image/png"/>
  <Override PartName="/word/media/image71.wmf" ContentType="image/x-wmf"/>
  <Override PartName="/word/media/image292.png" ContentType="image/png"/>
  <Override PartName="/word/media/image184.jpeg" ContentType="image/jpeg"/>
  <Override PartName="/word/media/image87.wmf" ContentType="image/x-wmf"/>
  <Override PartName="/word/media/image182.wmf" ContentType="image/x-wmf"/>
  <Override PartName="/word/media/image187.wmf" ContentType="image/x-wmf"/>
  <Override PartName="/word/media/image170.wmf" ContentType="image/x-wmf"/>
  <Override PartName="/word/media/image102.wmf" ContentType="image/x-wmf"/>
  <Override PartName="/word/media/image174.wmf" ContentType="image/x-wmf"/>
  <Override PartName="/word/media/image171.wmf" ContentType="image/x-wmf"/>
  <Override PartName="/word/media/image103.wmf" ContentType="image/x-wmf"/>
  <Override PartName="/word/media/image175.wmf" ContentType="image/x-wmf"/>
  <Override PartName="/word/media/image172.wmf" ContentType="image/x-wmf"/>
  <Override PartName="/word/media/image176.wmf" ContentType="image/x-wmf"/>
  <Override PartName="/word/media/image173.wmf" ContentType="image/x-wmf"/>
  <Override PartName="/word/media/image177.wmf" ContentType="image/x-wmf"/>
  <Override PartName="/word/media/image180.wmf" ContentType="image/x-wmf"/>
  <Override PartName="/word/media/image112.wmf" ContentType="image/x-wmf"/>
  <Override PartName="/word/media/image181.wmf" ContentType="image/x-wmf"/>
  <Override PartName="/word/media/image113.wmf" ContentType="image/x-wmf"/>
  <Override PartName="/word/media/image114.wmf" ContentType="image/x-wmf"/>
  <Override PartName="/word/media/image90.wmf" ContentType="image/x-wmf"/>
  <Override PartName="/word/media/image122.wmf" ContentType="image/x-wmf"/>
  <Override PartName="/word/media/image190.wmf" ContentType="image/x-wmf"/>
  <Override PartName="/word/media/image123.wmf" ContentType="image/x-wmf"/>
  <Override PartName="/word/media/image191.wmf" ContentType="image/x-wmf"/>
  <Override PartName="/word/media/image124.wmf" ContentType="image/x-wmf"/>
  <Override PartName="/word/media/image192.wmf" ContentType="image/x-wmf"/>
  <Override PartName="/word/media/image193.wmf" ContentType="image/x-wmf"/>
  <Override PartName="/word/media/image125.wmf" ContentType="image/x-wmf"/>
  <Override PartName="/word/media/image194.wmf" ContentType="image/x-wmf"/>
  <Override PartName="/word/media/image126.wmf" ContentType="image/x-wmf"/>
  <Override PartName="/word/media/image195.wmf" ContentType="image/x-wmf"/>
  <Override PartName="/word/media/image127.wmf" ContentType="image/x-wmf"/>
  <Override PartName="/word/media/image260.wmf" ContentType="image/x-wmf"/>
  <Override PartName="/word/media/image183.jpeg" ContentType="image/jpeg"/>
  <Override PartName="/word/media/image298.png" ContentType="image/png"/>
  <Override PartName="/word/media/image77.wmf" ContentType="image/x-wmf"/>
  <Override PartName="/word/media/image300.png" ContentType="image/png"/>
  <Override PartName="/word/media/image261.wmf" ContentType="image/x-wmf"/>
  <Override PartName="/word/media/image262.wmf" ContentType="image/x-wmf"/>
  <Override PartName="/word/media/image115.wmf" ContentType="image/x-wmf"/>
  <Override PartName="/word/media/image91.wmf" ContentType="image/x-wmf"/>
  <Override PartName="/word/media/image290.png" ContentType="image/png"/>
  <Override PartName="/word/media/image118.wmf" ContentType="image/x-wmf"/>
  <Override PartName="/word/media/image94.wmf" ContentType="image/x-wmf"/>
  <Override PartName="/word/media/image293.png" ContentType="image/png"/>
  <Override PartName="/word/media/image72.wmf" ContentType="image/x-wmf"/>
  <Override PartName="/word/media/image119.wmf" ContentType="image/x-wmf"/>
  <Override PartName="/word/media/image95.wmf" ContentType="image/x-wmf"/>
  <Override PartName="/word/media/image294.png" ContentType="image/png"/>
  <Override PartName="/word/media/image73.wmf" ContentType="image/x-wmf"/>
  <Override PartName="/word/media/image309.png" ContentType="image/png"/>
  <Override PartName="/word/media/image280.png" ContentType="image/png"/>
  <Override PartName="/word/media/image297.png" ContentType="image/png"/>
  <Override PartName="/word/media/image76.wmf" ContentType="image/x-wmf"/>
  <Override PartName="/word/media/image96.wmf" ContentType="image/x-wmf"/>
  <Override PartName="/word/media/image295.png" ContentType="image/png"/>
  <Override PartName="/word/media/image74.wmf" ContentType="image/x-wmf"/>
  <Override PartName="/word/media/image189.jpeg" ContentType="image/jpeg"/>
  <Override PartName="/word/media/image69.wmf" ContentType="image/x-wmf"/>
  <Override PartName="/word/media/image299.png" ContentType="image/png"/>
  <Override PartName="/word/media/image301.png" ContentType="image/png"/>
  <Override PartName="/word/media/image78.wmf" ContentType="image/x-wmf"/>
  <Override PartName="/word/media/image117.wmf" ContentType="image/x-wmf"/>
  <Override PartName="/word/media/image93.wmf" ContentType="image/x-wmf"/>
  <Override PartName="/word/media/image98.wmf" ContentType="image/x-wmf"/>
  <Override PartName="/word/media/image319.png" ContentType="image/png"/>
  <Override PartName="/word/media/image55.wmf" ContentType="image/x-wmf"/>
  <Override PartName="/word/media/image97.wmf" ContentType="image/x-wmf"/>
  <Override PartName="/word/media/image185.jpeg" ContentType="image/jpeg"/>
  <Override PartName="/word/media/image296.png" ContentType="image/png"/>
  <Override PartName="/word/media/image75.wmf" ContentType="image/x-wmf"/>
  <Override PartName="/word/media/image289.png" ContentType="image/png"/>
  <Override PartName="/word/media/image68.wmf" ContentType="image/x-wmf"/>
  <Override PartName="/word/media/image318.png" ContentType="image/png"/>
  <Override PartName="/word/media/image304.png" ContentType="image/png"/>
  <Override PartName="/word/media/image54.wmf" ContentType="image/x-wmf"/>
  <Override PartName="/word/media/image303.png" ContentType="image/png"/>
  <Override PartName="/word/media/image53.wmf" ContentType="image/x-wmf"/>
  <Override PartName="/word/media/image308.png" ContentType="image/png"/>
  <Override PartName="/word/media/image317.png" ContentType="image/png"/>
  <Override PartName="/word/media/image279.png" ContentType="image/png"/>
  <Override PartName="/word/media/image287.png" ContentType="image/png"/>
  <Override PartName="/word/media/image66.wmf" ContentType="image/x-wmf"/>
  <Override PartName="/word/media/image79.wmf" ContentType="image/x-wmf"/>
  <Override PartName="/word/media/image52.wmf" ContentType="image/x-wmf"/>
  <Override PartName="/word/media/image286.png" ContentType="image/png"/>
  <Override PartName="/word/media/image59.png" ContentType="image/png"/>
  <Override PartName="/word/media/image65.wmf" ContentType="image/x-wmf"/>
  <Override PartName="/word/media/image310.png" ContentType="image/png"/>
  <Override PartName="/word/media/image272.png" ContentType="image/png"/>
  <Override PartName="/word/media/image51.wmf" ContentType="image/x-wmf"/>
  <Override PartName="/word/media/image86.wmf" ContentType="image/x-wmf"/>
  <Override PartName="/word/media/image285.png" ContentType="image/png"/>
  <Override PartName="/word/media/image58.png" ContentType="image/png"/>
  <Override PartName="/word/media/image64.wmf" ContentType="image/x-wmf"/>
  <Override PartName="/word/media/image276.png" ContentType="image/png"/>
  <Override PartName="/word/media/image314.png" ContentType="image/png"/>
  <Override PartName="/word/media/image271.png" ContentType="image/png"/>
  <Override PartName="/word/media/image50.wmf" ContentType="image/x-wmf"/>
  <Override PartName="/word/media/image109.wmf" ContentType="image/x-wmf"/>
  <Override PartName="/word/media/image85.wmf" ContentType="image/x-wmf"/>
  <Override PartName="/word/media/image284.png" ContentType="image/png"/>
  <Override PartName="/word/media/image63.wmf" ContentType="image/x-wmf"/>
  <Override PartName="/word/media/image275.png" ContentType="image/png"/>
  <Override PartName="/word/media/image281.wmf" ContentType="image/x-wmf"/>
  <Override PartName="/word/media/image313.png" ContentType="image/png"/>
  <Override PartName="/word/media/image108.wmf" ContentType="image/x-wmf"/>
  <Override PartName="/word/media/image84.wmf" ContentType="image/x-wmf"/>
  <Override PartName="/word/media/image321.png" ContentType="image/png"/>
  <Override PartName="/word/media/image283.png" ContentType="image/png"/>
  <Override PartName="/word/media/image62.wmf" ContentType="image/x-wmf"/>
  <Override PartName="/word/media/image274.png" ContentType="image/png"/>
  <Override PartName="/word/media/image312.png" ContentType="image/png"/>
  <Override PartName="/word/media/image89.wmf" ContentType="image/x-wmf"/>
  <Override PartName="/word/media/image107.wmf" ContentType="image/x-wmf"/>
  <Override PartName="/word/media/image83.wmf" ContentType="image/x-wmf"/>
  <Override PartName="/word/media/image320.png" ContentType="image/png"/>
  <Override PartName="/word/media/image282.png" ContentType="image/png"/>
  <Override PartName="/word/media/image61.wmf" ContentType="image/x-wmf"/>
  <Override PartName="/word/media/image273.png" ContentType="image/png"/>
  <Override PartName="/word/media/image311.png" ContentType="image/png"/>
  <Override PartName="/word/media/image88.wmf" ContentType="image/x-wmf"/>
  <Override PartName="/word/media/image266.wmf" ContentType="image/x-wmf"/>
  <Override PartName="/word/media/image106.wmf" ContentType="image/x-wmf"/>
  <Override PartName="/word/media/image82.wmf" ContentType="image/x-wmf"/>
  <Override PartName="/word/media/image265.wmf" ContentType="image/x-wmf"/>
  <Override PartName="/word/media/image302.png" ContentType="image/png"/>
  <Override PartName="/word/media/image270.wmf" ContentType="image/x-wmf"/>
  <Override PartName="/word/media/image305.png" ContentType="image/png"/>
  <Override PartName="/word/media/image267.png" ContentType="image/png"/>
  <Override PartName="/word/media/image316.png" ContentType="image/png"/>
  <Override PartName="/word/media/image278.png" ContentType="image/png"/>
  <Override PartName="/word/media/image57.wmf" ContentType="image/x-wmf"/>
  <Override PartName="/word/media/image307.png" ContentType="image/png"/>
  <Override PartName="/word/media/image269.png" ContentType="image/png"/>
  <Override PartName="/word/media/image48.wmf" ContentType="image/x-wmf"/>
  <Override PartName="/word/media/image315.png" ContentType="image/png"/>
  <Override PartName="/word/media/image277.png" ContentType="image/png"/>
  <Override PartName="/word/media/image56.wmf" ContentType="image/x-wmf"/>
  <Override PartName="/word/media/image306.png" ContentType="image/png"/>
  <Override PartName="/word/media/image268.png" ContentType="image/png"/>
  <Override PartName="/word/media/image47.wmf" ContentType="image/x-wmf"/>
  <Override PartName="/word/media/image264.wmf" ContentType="image/x-wmf"/>
  <Override PartName="/word/media/image263.wmf" ContentType="image/x-wmf"/>
  <Override PartName="/word/media/image60.wmf" ContentType="image/x-wmf"/>
  <Override PartName="/word/media/image25.png" ContentType="image/png"/>
  <Override PartName="/word/media/image160.wmf" ContentType="image/x-wmf"/>
  <Override PartName="/word/media/image24.png" ContentType="image/png"/>
  <Override PartName="/word/media/image23.png" ContentType="image/png"/>
  <Override PartName="/word/media/image22.png" ContentType="image/png"/>
  <Override PartName="/word/media/image105.wmf" ContentType="image/x-wmf"/>
  <Override PartName="/word/media/image81.wmf" ContentType="image/x-wmf"/>
  <Override PartName="/word/media/image21.png" ContentType="image/png"/>
  <Override PartName="/word/media/image104.wmf" ContentType="image/x-wmf"/>
  <Override PartName="/word/media/image80.wmf" ContentType="image/x-wmf"/>
  <Override PartName="/word/media/image20.png" ContentType="image/png"/>
  <Override PartName="/word/media/image14.png" ContentType="image/png"/>
  <Override PartName="/word/media/image1.wmf" ContentType="image/x-wmf"/>
  <Override PartName="/word/media/image18.png" ContentType="image/png"/>
  <Override PartName="/word/media/image153.wmf" ContentType="image/x-wmf"/>
  <Override PartName="/word/media/image161.wmf" ContentType="image/x-wmf"/>
  <Override PartName="/word/media/image15.png" ContentType="image/png"/>
  <Override PartName="/word/media/image150.wmf" ContentType="image/x-wmf"/>
  <Override PartName="/word/media/image3.png" ContentType="image/png"/>
  <Override PartName="/word/media/image215.wmf" ContentType="image/x-wmf"/>
  <Override PartName="/word/media/image162.wmf" ContentType="image/x-wmf"/>
  <Override PartName="/word/media/image16.png" ContentType="image/png"/>
  <Override PartName="/word/media/image151.wmf" ContentType="image/x-wmf"/>
  <Override PartName="/word/media/image4.png" ContentType="image/png"/>
  <Override PartName="/word/media/image216.wmf" ContentType="image/x-wmf"/>
  <Override PartName="/word/media/image17.png" ContentType="image/png"/>
  <Override PartName="/word/media/image152.wmf" ContentType="image/x-wmf"/>
  <Override PartName="/word/media/image5.png" ContentType="image/png"/>
  <Override PartName="/word/media/image217.wmf" ContentType="image/x-wmf"/>
  <Override PartName="/word/media/image10.png" ContentType="image/png"/>
  <Override PartName="/word/media/image163.wmf" ContentType="image/x-wmf"/>
  <Override PartName="/word/media/image26.png" ContentType="image/png"/>
  <Override PartName="/word/media/image32.wmf" ContentType="image/x-wmf"/>
  <Override PartName="/word/media/image11.png" ContentType="image/png"/>
  <Override PartName="/word/media/image164.wmf" ContentType="image/x-wmf"/>
  <Override PartName="/word/media/image6.png" ContentType="image/png"/>
  <Override PartName="/word/media/image218.wmf" ContentType="image/x-wmf"/>
  <Override PartName="/word/media/image40.wmf" ContentType="image/x-wmf"/>
  <Override PartName="/word/media/image12.png" ContentType="image/png"/>
  <Override PartName="/word/media/image19.png" ContentType="image/png"/>
  <Override PartName="/word/media/image154.wmf" ContentType="image/x-wmf"/>
  <Override PartName="/word/media/image7.png" ContentType="image/png"/>
  <Override PartName="/word/media/image219.wmf" ContentType="image/x-wmf"/>
  <Override PartName="/word/media/image41.wmf" ContentType="image/x-wmf"/>
  <Override PartName="/word/media/image13.png" ContentType="image/png"/>
  <Override PartName="/word/media/image8.png" ContentType="image/png"/>
  <Override PartName="/word/media/image30.png" ContentType="image/png"/>
  <Override PartName="/word/media/image42.wmf" ContentType="image/x-wmf"/>
  <Override PartName="/word/media/image99.wmf" ContentType="image/x-wmf"/>
  <Override PartName="/word/media/image31.png" ContentType="image/png"/>
  <Override PartName="/word/media/image9.png" ContentType="image/png"/>
  <Override PartName="/word/media/image27.png" ContentType="image/png"/>
  <Override PartName="/word/media/image33.wmf" ContentType="image/x-wmf"/>
  <Override PartName="/word/media/image28.png" ContentType="image/png"/>
  <Override PartName="/word/media/image34.wmf" ContentType="image/x-wmf"/>
  <Override PartName="/word/media/image29.png" ContentType="image/png"/>
  <Override PartName="/word/media/image35.wmf" ContentType="image/x-wmf"/>
  <Override PartName="/word/media/image36.wmf" ContentType="image/x-wmf"/>
  <Override PartName="/word/media/image37.wmf" ContentType="image/x-wmf"/>
  <Override PartName="/word/media/image38.wmf" ContentType="image/x-wmf"/>
  <Override PartName="/word/media/image39.wmf" ContentType="image/x-wmf"/>
  <Override PartName="/word/media/image186.jpeg" ContentType="image/jpeg"/>
  <Override PartName="/word/media/image43.wmf" ContentType="image/x-wmf"/>
  <Override PartName="/word/media/image44.wmf" ContentType="image/x-wmf"/>
  <Override PartName="/word/media/image45.wmf" ContentType="image/x-wmf"/>
  <Override PartName="/word/media/image92.wmf" ContentType="image/x-wmf"/>
  <Override PartName="/word/media/image116.wmf" ContentType="image/x-wmf"/>
  <Override PartName="/word/media/image49.wmf" ContentType="image/x-wmf"/>
  <Override PartName="/word/media/image128.wmf" ContentType="image/x-wmf"/>
  <Override PartName="/word/media/image196.wmf" ContentType="image/x-wmf"/>
  <Override PartName="/word/media/image129.wmf" ContentType="image/x-wmf"/>
  <Override PartName="/word/media/image197.wmf" ContentType="image/x-wmf"/>
  <Override PartName="/word/media/image258.wmf" ContentType="image/x-wmf"/>
  <Override PartName="/word/media/image130.wmf" ContentType="image/x-wmf"/>
  <Override PartName="/word/media/image259.wmf" ContentType="image/x-wmf"/>
  <Override PartName="/word/media/image131.wmf" ContentType="image/x-wmf"/>
  <Override PartName="/word/media/image132.wmf" ContentType="image/x-wmf"/>
  <Override PartName="/word/media/image133.wmf" ContentType="image/x-wmf"/>
  <Override PartName="/word/media/image134.wmf" ContentType="image/x-wmf"/>
  <Override PartName="/word/media/image135.wmf" ContentType="image/x-wmf"/>
  <Override PartName="/word/media/image136.wmf" ContentType="image/x-wmf"/>
  <Override PartName="/word/media/image137.wmf" ContentType="image/x-wmf"/>
  <Override PartName="/word/media/image138.wmf" ContentType="image/x-wmf"/>
  <Override PartName="/word/media/image139.wmf" ContentType="image/x-wmf"/>
  <Override PartName="/word/media/image140.wmf" ContentType="image/x-wmf"/>
  <Override PartName="/word/media/image141.wmf" ContentType="image/x-wmf"/>
  <Override PartName="/word/media/image142.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147.wmf" ContentType="image/x-wmf"/>
  <Override PartName="/word/media/image46.emf" ContentType="image/x-emf"/>
  <Override PartName="/word/media/image148.wmf" ContentType="image/x-wmf"/>
  <Override PartName="/word/media/image149.wmf" ContentType="image/x-wmf"/>
  <Override PartName="/word/media/image155.wmf" ContentType="image/x-wmf"/>
  <Override PartName="/word/media/image156.wmf" ContentType="image/x-wmf"/>
  <Override PartName="/word/media/image157.wmf" ContentType="image/x-wmf"/>
  <Override PartName="/word/media/image158.wmf" ContentType="image/x-wmf"/>
  <Override PartName="/word/media/image159.wmf" ContentType="image/x-wmf"/>
  <Override PartName="/word/media/image165.wmf" ContentType="image/x-wmf"/>
  <Override PartName="/word/media/image2.jpeg" ContentType="image/jpeg"/>
  <Override PartName="/word/media/image166.wmf" ContentType="image/x-wmf"/>
  <Override PartName="/word/media/image167.wmf" ContentType="image/x-wmf"/>
  <Override PartName="/word/media/image168.wmf" ContentType="image/x-wmf"/>
  <Override PartName="/word/media/image169.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45.050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45.050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tabs>
                                <w:tab w:val="clear" w:pos="284"/>
                                <w:tab w:val="left" w:pos="2694" w:leader="none"/>
                              </w:tabs>
                              <w:rPr>
                                <w:lang w:val="en-US"/>
                              </w:rPr>
                            </w:pPr>
                            <w:r>
                              <w:rPr/>
                              <w:t xml:space="preserve">Technical Specification Group </w:t>
                            </w:r>
                            <w:r>
                              <w:rPr>
                                <w:lang w:val="en-US"/>
                              </w:rPr>
                              <w:t>Radio Access Network</w:t>
                            </w:r>
                            <w:r>
                              <w:rPr/>
                              <w:t>;</w:t>
                            </w:r>
                          </w:p>
                          <w:p>
                            <w:pPr>
                              <w:pStyle w:val="ZT"/>
                              <w:tabs>
                                <w:tab w:val="clear" w:pos="284"/>
                                <w:tab w:val="left" w:pos="2694" w:leader="none"/>
                              </w:tabs>
                              <w:rPr/>
                            </w:pPr>
                            <w:r>
                              <w:rPr>
                                <w:lang w:val="en-US"/>
                              </w:rPr>
                              <w:t>GSM/EDGE</w:t>
                            </w:r>
                            <w:r>
                              <w:rPr/>
                              <w:t xml:space="preserve"> Background for Radio Frequency (RF) requirements</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tabs>
                          <w:tab w:val="clear" w:pos="284"/>
                          <w:tab w:val="left" w:pos="2694" w:leader="none"/>
                        </w:tabs>
                        <w:rPr>
                          <w:lang w:val="en-US"/>
                        </w:rPr>
                      </w:pPr>
                      <w:r>
                        <w:rPr/>
                        <w:t xml:space="preserve">Technical Specification Group </w:t>
                      </w:r>
                      <w:r>
                        <w:rPr>
                          <w:lang w:val="en-US"/>
                        </w:rPr>
                        <w:t>Radio Access Network</w:t>
                      </w:r>
                      <w:r>
                        <w:rPr/>
                        <w:t>;</w:t>
                      </w:r>
                    </w:p>
                    <w:p>
                      <w:pPr>
                        <w:pStyle w:val="ZT"/>
                        <w:tabs>
                          <w:tab w:val="clear" w:pos="284"/>
                          <w:tab w:val="left" w:pos="2694" w:leader="none"/>
                        </w:tabs>
                        <w:rPr/>
                      </w:pPr>
                      <w:r>
                        <w:rPr>
                          <w:lang w:val="en-US"/>
                        </w:rPr>
                        <w:t>GSM/EDGE</w:t>
                      </w:r>
                      <w:r>
                        <w:rPr/>
                        <w:t xml:space="preserve"> Background for Radio Frequency (RF) requirements</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jc w:val="left"/>
                              <w:rPr/>
                            </w:pPr>
                            <w:r>
                              <w:rPr/>
                              <w:drawing>
                                <wp:inline distT="0" distB="0" distL="0" distR="0">
                                  <wp:extent cx="1995170" cy="754380"/>
                                  <wp:effectExtent l="0" t="0" r="0" b="0"/>
                                  <wp:docPr id="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5" descr=""/>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6"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drawing>
                          <wp:inline distT="0" distB="0" distL="0" distR="0">
                            <wp:extent cx="1995170" cy="754380"/>
                            <wp:effectExtent l="0" t="0" r="0" b="0"/>
                            <wp:docPr id="7"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5" descr=""/>
                                    <pic:cNvPicPr>
                                      <a:picLocks noChangeAspect="1" noChangeArrowheads="1"/>
                                    </pic:cNvPicPr>
                                  </pic:nvPicPr>
                                  <pic:blipFill>
                                    <a:blip r:embed="rId4"/>
                                    <a:srcRect l="-8" t="-22" r="-8" b="-22"/>
                                    <a:stretch>
                                      <a:fillRect/>
                                    </a:stretch>
                                  </pic:blipFill>
                                  <pic:spPr bwMode="auto">
                                    <a:xfrm>
                                      <a:off x="0" y="0"/>
                                      <a:ext cx="1995170" cy="75438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6" descr=""/>
                                    <pic:cNvPicPr>
                                      <a:picLocks noChangeAspect="1" noChangeArrowheads="1"/>
                                    </pic:cNvPicPr>
                                  </pic:nvPicPr>
                                  <pic:blipFill>
                                    <a:blip r:embed="rId5"/>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lang w:val="en-US" w:eastAsia="en-US"/>
                              </w:rPr>
                              <w:t>GSM, radio</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lang w:val="en-US" w:eastAsia="en-US"/>
                        </w:rPr>
                        <w:t>GSM, radio</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hyperlink r:id="rId6">
                              <w:r>
                                <w:rPr>
                                  <w:rStyle w:val="InternetLink"/>
                                  <w:rFonts w:cs="Arial" w:ascii="Arial" w:hAnsi="Arial"/>
                                  <w:sz w:val="18"/>
                                  <w:lang w:val="en-US"/>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hyperlink r:id="rId7">
                        <w:r>
                          <w:rPr>
                            <w:rStyle w:val="InternetLink"/>
                            <w:rFonts w:cs="Arial" w:ascii="Arial" w:hAnsi="Arial"/>
                            <w:sz w:val="18"/>
                            <w:lang w:val="en-US"/>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8035448">
            <w:r>
              <w:rPr>
                <w:rStyle w:val="IndexLink"/>
                <w:rFonts w:eastAsia="Times New Roman" w:cs="Times New Roman"/>
                <w:color w:val="auto"/>
                <w:sz w:val="22"/>
                <w:szCs w:val="20"/>
                <w:lang w:val="en-GB" w:eastAsia="en-US" w:bidi="ar-SA"/>
              </w:rPr>
              <w:t>22</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8035449">
            <w:r>
              <w:rPr>
                <w:rStyle w:val="IndexLink"/>
              </w:rPr>
              <w:t>23</w:t>
            </w:r>
          </w:hyperlink>
        </w:p>
        <w:p>
          <w:pPr>
            <w:pStyle w:val="Contents2"/>
            <w:rPr>
              <w:rFonts w:ascii="Calibri" w:hAnsi="Calibri" w:cs="Calibri"/>
              <w:sz w:val="22"/>
              <w:szCs w:val="22"/>
              <w:lang w:val="en-US" w:eastAsia="en-US"/>
            </w:rPr>
          </w:pPr>
          <w:r>
            <w:rPr/>
            <w:t>1.1</w:t>
          </w:r>
          <w:r>
            <w:rPr>
              <w:rFonts w:cs="Calibri" w:ascii="Calibri" w:hAnsi="Calibri"/>
              <w:sz w:val="22"/>
              <w:szCs w:val="22"/>
              <w:lang w:val="en-US" w:eastAsia="en-US"/>
            </w:rPr>
            <w:tab/>
          </w:r>
          <w:r>
            <w:rPr/>
            <w:t>General</w:t>
            <w:tab/>
          </w:r>
          <w:hyperlink w:anchor="__RefHeading___Toc518035450">
            <w:r>
              <w:rPr>
                <w:rStyle w:val="IndexLink"/>
              </w:rPr>
              <w:t>23</w:t>
            </w:r>
          </w:hyperlink>
        </w:p>
        <w:p>
          <w:pPr>
            <w:pStyle w:val="Contents2"/>
            <w:rPr>
              <w:rFonts w:ascii="Calibri" w:hAnsi="Calibri" w:cs="Calibri"/>
              <w:sz w:val="22"/>
              <w:szCs w:val="22"/>
              <w:lang w:val="en-US" w:eastAsia="en-US"/>
            </w:rPr>
          </w:pPr>
          <w:r>
            <w:rPr/>
            <w:t>1.2</w:t>
          </w:r>
          <w:r>
            <w:rPr>
              <w:rFonts w:cs="Calibri" w:ascii="Calibri" w:hAnsi="Calibri"/>
              <w:sz w:val="22"/>
              <w:szCs w:val="22"/>
              <w:lang w:val="en-US" w:eastAsia="en-US"/>
            </w:rPr>
            <w:tab/>
          </w:r>
          <w:r>
            <w:rPr/>
            <w:t>References</w:t>
            <w:tab/>
          </w:r>
          <w:hyperlink w:anchor="__RefHeading___Toc518035451">
            <w:r>
              <w:rPr>
                <w:rStyle w:val="IndexLink"/>
              </w:rPr>
              <w:t>23</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Information available</w:t>
            <w:tab/>
          </w:r>
          <w:hyperlink w:anchor="__RefHeading___Toc518035452">
            <w:r>
              <w:rPr>
                <w:rStyle w:val="IndexLink"/>
              </w:rPr>
              <w:t>23</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DCS1800 system scenarios</w:t>
            <w:tab/>
          </w:r>
          <w:hyperlink w:anchor="__RefHeading___Toc518035453">
            <w:r>
              <w:rPr>
                <w:rStyle w:val="IndexLink"/>
              </w:rPr>
              <w:t>23</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GSM900 small cell system scenarios</w:t>
            <w:tab/>
          </w:r>
          <w:hyperlink w:anchor="__RefHeading___Toc518035454">
            <w:r>
              <w:rPr>
                <w:rStyle w:val="IndexLink"/>
              </w:rPr>
              <w:t>24</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GSM900 and DCS1800 microcell system scenarios</w:t>
            <w:tab/>
          </w:r>
          <w:hyperlink w:anchor="__RefHeading___Toc518035455">
            <w:r>
              <w:rPr>
                <w:rStyle w:val="IndexLink"/>
              </w:rPr>
              <w:t>24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Conversion factors</w:t>
            <w:tab/>
          </w:r>
          <w:hyperlink w:anchor="__RefHeading___Toc518035456">
            <w:r>
              <w:rPr>
                <w:rStyle w:val="IndexLink"/>
              </w:rPr>
              <w:t>25</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Repeaters</w:t>
            <w:tab/>
          </w:r>
          <w:hyperlink w:anchor="__RefHeading___Toc518035457">
            <w:r>
              <w:rPr>
                <w:rStyle w:val="IndexLink"/>
              </w:rPr>
              <w:t>26</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Error Patterns for Speech Coder Developments</w:t>
            <w:tab/>
          </w:r>
          <w:hyperlink w:anchor="__RefHeading___Toc518035458">
            <w:r>
              <w:rPr>
                <w:rStyle w:val="IndexLink"/>
              </w:rPr>
              <w:t>26</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Simulations of Performance</w:t>
            <w:tab/>
          </w:r>
          <w:hyperlink w:anchor="__RefHeading___Toc518035459">
            <w:r>
              <w:rPr>
                <w:rStyle w:val="IndexLink"/>
              </w:rPr>
              <w:t>26</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GSM900 railway system scenarios</w:t>
            <w:tab/>
          </w:r>
          <w:hyperlink w:anchor="__RefHeading___Toc518035460">
            <w:r>
              <w:rPr>
                <w:rStyle w:val="IndexLink"/>
              </w:rPr>
              <w:t>26</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Simulation results for GPRS receiver performance</w:t>
            <w:tab/>
          </w:r>
          <w:hyperlink w:anchor="__RefHeading___Toc518035461">
            <w:r>
              <w:rPr>
                <w:rStyle w:val="IndexLink"/>
              </w:rPr>
              <w:t>27</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Pico BTS RF scenarios</w:t>
            <w:tab/>
          </w:r>
          <w:hyperlink w:anchor="__RefHeading___Toc518035462">
            <w:r>
              <w:rPr>
                <w:rStyle w:val="IndexLink"/>
              </w:rPr>
              <w:t>27</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CTS system scenarios</w:t>
            <w:tab/>
          </w:r>
          <w:hyperlink w:anchor="__RefHeading___Toc518035463">
            <w:r>
              <w:rPr>
                <w:rStyle w:val="IndexLink"/>
              </w:rPr>
              <w:t>27</w:t>
            </w:r>
          </w:hyperlink>
        </w:p>
        <w:p>
          <w:pPr>
            <w:pStyle w:val="Contents1"/>
            <w:rPr>
              <w:rFonts w:ascii="Calibri" w:hAnsi="Calibri" w:cs="Calibri"/>
              <w:szCs w:val="22"/>
              <w:lang w:val="en-US" w:eastAsia="en-US"/>
            </w:rPr>
          </w:pPr>
          <w:r>
            <w:rPr/>
            <w:t>14</w:t>
          </w:r>
          <w:r>
            <w:rPr>
              <w:rFonts w:cs="Calibri" w:ascii="Calibri" w:hAnsi="Calibri"/>
              <w:szCs w:val="22"/>
              <w:lang w:val="en-US" w:eastAsia="en-US"/>
            </w:rPr>
            <w:tab/>
          </w:r>
          <w:r>
            <w:rPr/>
            <w:t>GSM400 system scenarios</w:t>
            <w:tab/>
          </w:r>
          <w:hyperlink w:anchor="__RefHeading___Toc518035464">
            <w:r>
              <w:rPr>
                <w:rStyle w:val="IndexLink"/>
              </w:rPr>
              <w:t>27</w:t>
            </w:r>
          </w:hyperlink>
        </w:p>
        <w:p>
          <w:pPr>
            <w:pStyle w:val="Contents1"/>
            <w:rPr>
              <w:rFonts w:ascii="Calibri" w:hAnsi="Calibri" w:cs="Calibri"/>
              <w:szCs w:val="22"/>
              <w:lang w:val="en-US" w:eastAsia="en-US"/>
            </w:rPr>
          </w:pPr>
          <w:r>
            <w:rPr/>
            <w:t>15</w:t>
          </w:r>
          <w:r>
            <w:rPr>
              <w:rFonts w:cs="Calibri" w:ascii="Calibri" w:hAnsi="Calibri"/>
              <w:szCs w:val="22"/>
              <w:lang w:val="en-US" w:eastAsia="en-US"/>
            </w:rPr>
            <w:tab/>
          </w:r>
          <w:r>
            <w:rPr/>
            <w:t>MXM system scenarios</w:t>
            <w:tab/>
          </w:r>
          <w:hyperlink w:anchor="__RefHeading___Toc518035465">
            <w:r>
              <w:rPr>
                <w:rStyle w:val="IndexLink"/>
              </w:rPr>
              <w:t>28</w:t>
            </w:r>
          </w:hyperlink>
        </w:p>
        <w:p>
          <w:pPr>
            <w:pStyle w:val="Contents1"/>
            <w:rPr>
              <w:rFonts w:ascii="Calibri" w:hAnsi="Calibri" w:cs="Calibri"/>
              <w:szCs w:val="22"/>
              <w:lang w:val="en-US" w:eastAsia="en-US"/>
            </w:rPr>
          </w:pPr>
          <w:r>
            <w:rPr/>
            <w:t>16</w:t>
          </w:r>
          <w:r>
            <w:rPr>
              <w:rFonts w:cs="Calibri" w:ascii="Calibri" w:hAnsi="Calibri"/>
              <w:szCs w:val="22"/>
              <w:lang w:val="en-US" w:eastAsia="en-US"/>
            </w:rPr>
            <w:tab/>
          </w:r>
          <w:r>
            <w:rPr/>
            <w:t>LCS scenarios</w:t>
            <w:tab/>
          </w:r>
          <w:hyperlink w:anchor="__RefHeading___Toc518035466">
            <w:r>
              <w:rPr>
                <w:rStyle w:val="IndexLink"/>
              </w:rPr>
              <w:t>28</w:t>
            </w:r>
          </w:hyperlink>
        </w:p>
        <w:p>
          <w:pPr>
            <w:pStyle w:val="Contents1"/>
            <w:rPr>
              <w:rFonts w:ascii="Calibri" w:hAnsi="Calibri" w:cs="Calibri"/>
              <w:szCs w:val="22"/>
              <w:lang w:val="en-US" w:eastAsia="en-US"/>
            </w:rPr>
          </w:pPr>
          <w:r>
            <w:rPr/>
            <w:t>17</w:t>
          </w:r>
          <w:r>
            <w:rPr>
              <w:rFonts w:cs="Calibri" w:ascii="Calibri" w:hAnsi="Calibri"/>
              <w:szCs w:val="22"/>
              <w:lang w:val="en-US" w:eastAsia="en-US"/>
            </w:rPr>
            <w:tab/>
          </w:r>
          <w:r>
            <w:rPr/>
            <w:t>8-PSK Scenarios</w:t>
            <w:tab/>
          </w:r>
          <w:hyperlink w:anchor="__RefHeading___Toc518035467">
            <w:r>
              <w:rPr>
                <w:rStyle w:val="IndexLink"/>
              </w:rPr>
              <w:t>28</w:t>
            </w:r>
          </w:hyperlink>
        </w:p>
        <w:p>
          <w:pPr>
            <w:pStyle w:val="Contents1"/>
            <w:rPr>
              <w:rFonts w:ascii="Calibri" w:hAnsi="Calibri" w:cs="Calibri"/>
              <w:szCs w:val="22"/>
              <w:lang w:val="en-US" w:eastAsia="en-US"/>
            </w:rPr>
          </w:pPr>
          <w:r>
            <w:rPr/>
            <w:t>18</w:t>
          </w:r>
          <w:r>
            <w:rPr>
              <w:rFonts w:cs="Calibri" w:ascii="Calibri" w:hAnsi="Calibri"/>
              <w:szCs w:val="22"/>
              <w:lang w:val="en-US" w:eastAsia="en-US"/>
            </w:rPr>
            <w:tab/>
          </w:r>
          <w:r>
            <w:rPr/>
            <w:t>T-GSM 900 System Scenarios</w:t>
            <w:tab/>
          </w:r>
          <w:hyperlink w:anchor="__RefHeading___Toc518035468">
            <w:r>
              <w:rPr>
                <w:rStyle w:val="IndexLink"/>
              </w:rPr>
              <w:t>28</w:t>
            </w:r>
          </w:hyperlink>
        </w:p>
        <w:p>
          <w:pPr>
            <w:pStyle w:val="Contents1"/>
            <w:rPr>
              <w:rFonts w:ascii="Calibri" w:hAnsi="Calibri" w:cs="Calibri"/>
              <w:szCs w:val="22"/>
              <w:lang w:val="en-US" w:eastAsia="en-US"/>
            </w:rPr>
          </w:pPr>
          <w:r>
            <w:rPr/>
            <w:t>19</w:t>
          </w:r>
          <w:r>
            <w:rPr>
              <w:rFonts w:cs="Calibri" w:ascii="Calibri" w:hAnsi="Calibri"/>
              <w:szCs w:val="22"/>
              <w:lang w:val="en-US" w:eastAsia="en-US"/>
            </w:rPr>
            <w:tab/>
          </w:r>
          <w:r>
            <w:rPr/>
            <w:t>MBMS System Scenarios</w:t>
            <w:tab/>
          </w:r>
          <w:hyperlink w:anchor="__RefHeading___Toc518035469">
            <w:r>
              <w:rPr>
                <w:rStyle w:val="IndexLink"/>
              </w:rPr>
              <w:t>28</w:t>
            </w:r>
          </w:hyperlink>
        </w:p>
        <w:p>
          <w:pPr>
            <w:pStyle w:val="Contents1"/>
            <w:rPr>
              <w:rFonts w:ascii="Calibri" w:hAnsi="Calibri" w:cs="Calibri"/>
              <w:szCs w:val="22"/>
              <w:lang w:val="en-US" w:eastAsia="en-US"/>
            </w:rPr>
          </w:pPr>
          <w:r>
            <w:rPr/>
            <w:t>20</w:t>
          </w:r>
          <w:r>
            <w:rPr>
              <w:rFonts w:cs="Calibri" w:ascii="Calibri" w:hAnsi="Calibri"/>
              <w:szCs w:val="22"/>
              <w:lang w:val="en-US" w:eastAsia="en-US"/>
            </w:rPr>
            <w:tab/>
          </w:r>
          <w:r>
            <w:rPr>
              <w:lang w:val="en-US" w:eastAsia="en-US"/>
            </w:rPr>
            <w:t>T-GSM 810</w:t>
          </w:r>
          <w:r>
            <w:rPr/>
            <w:t xml:space="preserve"> System Scenarios</w:t>
            <w:tab/>
          </w:r>
          <w:hyperlink w:anchor="__RefHeading___Toc518035470">
            <w:r>
              <w:rPr>
                <w:rStyle w:val="IndexLink"/>
              </w:rPr>
              <w:t>28</w:t>
            </w:r>
          </w:hyperlink>
        </w:p>
        <w:p>
          <w:pPr>
            <w:pStyle w:val="Contents1"/>
            <w:rPr>
              <w:rFonts w:ascii="Calibri" w:hAnsi="Calibri" w:cs="Calibri"/>
              <w:szCs w:val="22"/>
              <w:lang w:val="en-US" w:eastAsia="en-US"/>
            </w:rPr>
          </w:pPr>
          <w:r>
            <w:rPr/>
            <w:t>2</w:t>
          </w:r>
          <w:r>
            <w:rPr>
              <w:lang w:val="en-US" w:eastAsia="en-US"/>
            </w:rPr>
            <w:t>1</w:t>
          </w:r>
          <w:r>
            <w:rPr>
              <w:rFonts w:cs="Calibri" w:ascii="Calibri" w:hAnsi="Calibri"/>
              <w:szCs w:val="22"/>
              <w:lang w:val="en-US" w:eastAsia="en-US"/>
            </w:rPr>
            <w:tab/>
          </w:r>
          <w:r>
            <w:rPr>
              <w:lang w:val="en-US" w:eastAsia="en-US"/>
            </w:rPr>
            <w:t>Multicarrier BTS Class</w:t>
          </w:r>
          <w:r>
            <w:rPr/>
            <w:tab/>
          </w:r>
          <w:hyperlink w:anchor="__RefHeading___Toc518035471">
            <w:r>
              <w:rPr>
                <w:rStyle w:val="IndexLink"/>
              </w:rPr>
              <w:t>28</w:t>
            </w:r>
          </w:hyperlink>
        </w:p>
        <w:p>
          <w:pPr>
            <w:pStyle w:val="Contents1"/>
            <w:rPr>
              <w:rFonts w:ascii="Calibri" w:hAnsi="Calibri" w:cs="Calibri"/>
              <w:szCs w:val="22"/>
              <w:lang w:val="en-US" w:eastAsia="en-US"/>
            </w:rPr>
          </w:pPr>
          <w:r>
            <w:rPr/>
            <w:t>2</w:t>
          </w:r>
          <w:r>
            <w:rPr>
              <w:lang w:val="en-US" w:eastAsia="en-US"/>
            </w:rPr>
            <w:t>2</w:t>
          </w:r>
          <w:r>
            <w:rPr>
              <w:rFonts w:cs="Calibri" w:ascii="Calibri" w:hAnsi="Calibri"/>
              <w:szCs w:val="22"/>
              <w:lang w:val="en-US" w:eastAsia="en-US"/>
            </w:rPr>
            <w:tab/>
          </w:r>
          <w:r>
            <w:rPr>
              <w:lang w:val="en-US" w:eastAsia="en-US"/>
            </w:rPr>
            <w:t>ER-GSM band introduction</w:t>
          </w:r>
          <w:r>
            <w:rPr/>
            <w:tab/>
          </w:r>
          <w:hyperlink w:anchor="__RefHeading___Toc518035472">
            <w:r>
              <w:rPr>
                <w:rStyle w:val="IndexLink"/>
              </w:rPr>
              <w:t>28</w:t>
            </w:r>
          </w:hyperlink>
        </w:p>
        <w:p>
          <w:pPr>
            <w:pStyle w:val="Contents1"/>
            <w:rPr>
              <w:rFonts w:ascii="Calibri" w:hAnsi="Calibri" w:cs="Calibri"/>
              <w:szCs w:val="22"/>
              <w:lang w:val="en-US" w:eastAsia="en-US"/>
            </w:rPr>
          </w:pPr>
          <w:r>
            <w:rPr/>
            <w:t>2</w:t>
          </w:r>
          <w:r>
            <w:rPr>
              <w:lang w:val="en-US" w:eastAsia="en-US"/>
            </w:rPr>
            <w:t>3</w:t>
          </w:r>
          <w:r>
            <w:rPr>
              <w:rFonts w:cs="Calibri" w:ascii="Calibri" w:hAnsi="Calibri"/>
              <w:szCs w:val="22"/>
              <w:lang w:val="en-US" w:eastAsia="en-US"/>
            </w:rPr>
            <w:tab/>
          </w:r>
          <w:r>
            <w:rPr/>
            <w:t xml:space="preserve">Extended </w:t>
          </w:r>
          <w:r>
            <w:rPr>
              <w:lang w:val="en-US" w:eastAsia="en-US"/>
            </w:rPr>
            <w:t>Training Sequence Code Sets</w:t>
          </w:r>
          <w:r>
            <w:rPr/>
            <w:tab/>
          </w:r>
          <w:hyperlink w:anchor="__RefHeading___Toc518035473">
            <w:r>
              <w:rPr>
                <w:rStyle w:val="IndexLink"/>
              </w:rPr>
              <w:t>29</w:t>
            </w:r>
          </w:hyperlink>
        </w:p>
        <w:p>
          <w:pPr>
            <w:pStyle w:val="Contents2"/>
            <w:rPr>
              <w:rFonts w:ascii="Calibri" w:hAnsi="Calibri" w:cs="Calibri"/>
              <w:sz w:val="22"/>
              <w:szCs w:val="22"/>
              <w:lang w:val="en-US" w:eastAsia="en-US"/>
            </w:rPr>
          </w:pPr>
          <w:r>
            <w:rPr/>
            <w:t>23.1</w:t>
          </w:r>
          <w:r>
            <w:rPr>
              <w:rFonts w:cs="Calibri" w:ascii="Calibri" w:hAnsi="Calibri"/>
              <w:sz w:val="22"/>
              <w:szCs w:val="22"/>
              <w:lang w:val="en-US" w:eastAsia="en-US"/>
            </w:rPr>
            <w:tab/>
          </w:r>
          <w:r>
            <w:rPr/>
            <w:t>Background</w:t>
            <w:tab/>
          </w:r>
          <w:hyperlink w:anchor="__RefHeading___Toc518035474">
            <w:r>
              <w:rPr>
                <w:rStyle w:val="IndexLink"/>
              </w:rPr>
              <w:t>29</w:t>
            </w:r>
          </w:hyperlink>
        </w:p>
        <w:p>
          <w:pPr>
            <w:pStyle w:val="Contents2"/>
            <w:rPr>
              <w:rFonts w:ascii="Calibri" w:hAnsi="Calibri" w:cs="Calibri"/>
              <w:sz w:val="22"/>
              <w:szCs w:val="22"/>
              <w:lang w:val="en-US" w:eastAsia="en-US"/>
            </w:rPr>
          </w:pPr>
          <w:r>
            <w:rPr/>
            <w:t>23.2</w:t>
          </w:r>
          <w:r>
            <w:rPr>
              <w:rFonts w:cs="Calibri" w:ascii="Calibri" w:hAnsi="Calibri"/>
              <w:sz w:val="22"/>
              <w:szCs w:val="22"/>
              <w:lang w:val="en-US" w:eastAsia="en-US"/>
            </w:rPr>
            <w:tab/>
          </w:r>
          <w:r>
            <w:rPr/>
            <w:t>Extended TSC Sets</w:t>
            <w:tab/>
          </w:r>
          <w:hyperlink w:anchor="__RefHeading___Toc518035475">
            <w:r>
              <w:rPr>
                <w:rStyle w:val="IndexLink"/>
              </w:rPr>
              <w:t>29</w:t>
            </w:r>
          </w:hyperlink>
        </w:p>
        <w:p>
          <w:pPr>
            <w:pStyle w:val="Contents3"/>
            <w:rPr>
              <w:rFonts w:ascii="Calibri" w:hAnsi="Calibri" w:cs="Calibri"/>
              <w:sz w:val="22"/>
              <w:szCs w:val="22"/>
              <w:lang w:val="en-US" w:eastAsia="en-US"/>
            </w:rPr>
          </w:pPr>
          <w:r>
            <w:rPr/>
            <w:t>23.2.1</w:t>
          </w:r>
          <w:r>
            <w:rPr>
              <w:rFonts w:cs="Calibri" w:ascii="Calibri" w:hAnsi="Calibri"/>
              <w:sz w:val="22"/>
              <w:szCs w:val="22"/>
              <w:lang w:val="en-US" w:eastAsia="en-US"/>
            </w:rPr>
            <w:tab/>
          </w:r>
          <w:r>
            <w:rPr/>
            <w:t>Scope</w:t>
            <w:tab/>
          </w:r>
          <w:hyperlink w:anchor="__RefHeading___Toc518035476">
            <w:r>
              <w:rPr>
                <w:rStyle w:val="IndexLink"/>
              </w:rPr>
              <w:t>29</w:t>
            </w:r>
          </w:hyperlink>
        </w:p>
        <w:p>
          <w:pPr>
            <w:pStyle w:val="Contents3"/>
            <w:rPr>
              <w:rFonts w:ascii="Calibri" w:hAnsi="Calibri" w:cs="Calibri"/>
              <w:sz w:val="22"/>
              <w:szCs w:val="22"/>
              <w:lang w:val="en-US" w:eastAsia="en-US"/>
            </w:rPr>
          </w:pPr>
          <w:r>
            <w:rPr/>
            <w:t>23.2.2</w:t>
          </w:r>
          <w:r>
            <w:rPr>
              <w:rFonts w:cs="Calibri" w:ascii="Calibri" w:hAnsi="Calibri"/>
              <w:sz w:val="22"/>
              <w:szCs w:val="22"/>
              <w:lang w:val="en-US" w:eastAsia="en-US"/>
            </w:rPr>
            <w:tab/>
          </w:r>
          <w:r>
            <w:rPr/>
            <w:t>Design criteria</w:t>
            <w:tab/>
          </w:r>
          <w:hyperlink w:anchor="__RefHeading___Toc518035477">
            <w:r>
              <w:rPr>
                <w:rStyle w:val="IndexLink"/>
              </w:rPr>
              <w:t>29</w:t>
            </w:r>
          </w:hyperlink>
        </w:p>
        <w:p>
          <w:pPr>
            <w:pStyle w:val="Contents3"/>
            <w:rPr>
              <w:rFonts w:ascii="Calibri" w:hAnsi="Calibri" w:cs="Calibri"/>
              <w:sz w:val="22"/>
              <w:szCs w:val="22"/>
              <w:lang w:val="en-US" w:eastAsia="en-US"/>
            </w:rPr>
          </w:pPr>
          <w:r>
            <w:rPr/>
            <w:t>23.2.3</w:t>
          </w:r>
          <w:r>
            <w:rPr>
              <w:rFonts w:cs="Calibri" w:ascii="Calibri" w:hAnsi="Calibri"/>
              <w:sz w:val="22"/>
              <w:szCs w:val="22"/>
              <w:lang w:val="en-US" w:eastAsia="en-US"/>
            </w:rPr>
            <w:tab/>
          </w:r>
          <w:r>
            <w:rPr/>
            <w:t>Design methodology</w:t>
            <w:tab/>
          </w:r>
          <w:hyperlink w:anchor="__RefHeading___Toc518035478">
            <w:r>
              <w:rPr>
                <w:rStyle w:val="IndexLink"/>
              </w:rPr>
              <w:t>29</w:t>
            </w:r>
          </w:hyperlink>
        </w:p>
        <w:p>
          <w:pPr>
            <w:pStyle w:val="Contents3"/>
            <w:rPr>
              <w:rFonts w:ascii="Calibri" w:hAnsi="Calibri" w:cs="Calibri"/>
              <w:sz w:val="22"/>
              <w:szCs w:val="22"/>
              <w:lang w:val="en-US" w:eastAsia="en-US"/>
            </w:rPr>
          </w:pPr>
          <w:r>
            <w:rPr/>
            <w:t>23.2.4</w:t>
          </w:r>
          <w:r>
            <w:rPr>
              <w:rFonts w:cs="Calibri" w:ascii="Calibri" w:hAnsi="Calibri"/>
              <w:sz w:val="22"/>
              <w:szCs w:val="22"/>
              <w:lang w:val="en-US" w:eastAsia="en-US"/>
            </w:rPr>
            <w:tab/>
          </w:r>
          <w:r>
            <w:rPr/>
            <w:t>Evaluation methodology</w:t>
            <w:tab/>
          </w:r>
          <w:hyperlink w:anchor="__RefHeading___Toc518035479">
            <w:r>
              <w:rPr>
                <w:rStyle w:val="IndexLink"/>
              </w:rPr>
              <w:t>30</w:t>
            </w:r>
          </w:hyperlink>
        </w:p>
        <w:p>
          <w:pPr>
            <w:pStyle w:val="Contents3"/>
            <w:rPr>
              <w:rFonts w:ascii="Calibri" w:hAnsi="Calibri" w:cs="Calibri"/>
              <w:sz w:val="22"/>
              <w:szCs w:val="22"/>
              <w:lang w:val="en-US" w:eastAsia="en-US"/>
            </w:rPr>
          </w:pPr>
          <w:r>
            <w:rPr/>
            <w:t>23.2.5</w:t>
          </w:r>
          <w:r>
            <w:rPr>
              <w:rFonts w:cs="Calibri" w:ascii="Calibri" w:hAnsi="Calibri"/>
              <w:sz w:val="22"/>
              <w:szCs w:val="22"/>
              <w:lang w:val="en-US" w:eastAsia="en-US"/>
            </w:rPr>
            <w:tab/>
          </w:r>
          <w:r>
            <w:rPr/>
            <w:t>Performance evaluation</w:t>
            <w:tab/>
          </w:r>
          <w:hyperlink w:anchor="__RefHeading___Toc518035480">
            <w:r>
              <w:rPr>
                <w:rStyle w:val="IndexLink"/>
              </w:rPr>
              <w:t>30</w:t>
            </w:r>
          </w:hyperlink>
        </w:p>
        <w:p>
          <w:pPr>
            <w:pStyle w:val="Contents1"/>
            <w:rPr>
              <w:rFonts w:ascii="Calibri" w:hAnsi="Calibri" w:cs="Calibri"/>
              <w:szCs w:val="22"/>
              <w:lang w:val="en-US" w:eastAsia="en-US"/>
            </w:rPr>
          </w:pPr>
          <w:r>
            <w:rPr/>
            <w:t>24</w:t>
          </w:r>
          <w:r>
            <w:rPr>
              <w:rFonts w:cs="Calibri" w:ascii="Calibri" w:hAnsi="Calibri"/>
              <w:szCs w:val="22"/>
            </w:rPr>
            <w:tab/>
          </w:r>
          <w:r>
            <w:rPr>
              <w:lang w:val="en-US" w:eastAsia="en-US"/>
            </w:rPr>
            <w:t>Machine-type-communication (MTC) deployment, including EC-GSM-IoT, in a reduced BCCH spectrum allocation</w:t>
          </w:r>
          <w:r>
            <w:rPr/>
            <w:tab/>
          </w:r>
          <w:hyperlink w:anchor="__RefHeading___Toc518035481">
            <w:r>
              <w:rPr>
                <w:rStyle w:val="IndexLink"/>
              </w:rPr>
              <w:t>30</w:t>
            </w:r>
          </w:hyperlink>
        </w:p>
        <w:p>
          <w:pPr>
            <w:pStyle w:val="Contents2"/>
            <w:rPr>
              <w:rFonts w:ascii="Calibri" w:hAnsi="Calibri" w:cs="Calibri"/>
              <w:sz w:val="22"/>
              <w:szCs w:val="22"/>
              <w:lang w:val="en-US" w:eastAsia="en-US"/>
            </w:rPr>
          </w:pPr>
          <w:r>
            <w:rPr/>
            <w:t>24.1</w:t>
          </w:r>
          <w:r>
            <w:rPr>
              <w:rFonts w:cs="Calibri" w:ascii="Calibri" w:hAnsi="Calibri"/>
              <w:sz w:val="22"/>
              <w:szCs w:val="22"/>
            </w:rPr>
            <w:tab/>
          </w:r>
          <w:r>
            <w:rPr>
              <w:lang w:val="en-US" w:eastAsia="en-US"/>
            </w:rPr>
            <w:t>Introduction</w:t>
          </w:r>
          <w:r>
            <w:rPr/>
            <w:tab/>
          </w:r>
          <w:hyperlink w:anchor="__RefHeading___Toc518035482">
            <w:r>
              <w:rPr>
                <w:rStyle w:val="IndexLink"/>
              </w:rPr>
              <w:t>30</w:t>
            </w:r>
          </w:hyperlink>
        </w:p>
        <w:p>
          <w:pPr>
            <w:pStyle w:val="Contents2"/>
            <w:rPr>
              <w:rFonts w:ascii="Calibri" w:hAnsi="Calibri" w:cs="Calibri"/>
              <w:sz w:val="22"/>
              <w:szCs w:val="22"/>
              <w:lang w:val="en-US" w:eastAsia="en-US"/>
            </w:rPr>
          </w:pPr>
          <w:r>
            <w:rPr/>
            <w:t>24.2</w:t>
          </w:r>
          <w:r>
            <w:rPr>
              <w:rFonts w:cs="Calibri" w:ascii="Calibri" w:hAnsi="Calibri"/>
              <w:sz w:val="22"/>
              <w:szCs w:val="22"/>
            </w:rPr>
            <w:tab/>
          </w:r>
          <w:r>
            <w:rPr>
              <w:lang w:val="en-US" w:eastAsia="en-US"/>
            </w:rPr>
            <w:t>Simulation campaign</w:t>
          </w:r>
          <w:r>
            <w:rPr/>
            <w:tab/>
          </w:r>
          <w:hyperlink w:anchor="__RefHeading___Toc518035483">
            <w:r>
              <w:rPr>
                <w:rStyle w:val="IndexLink"/>
              </w:rPr>
              <w:t>31</w:t>
            </w:r>
          </w:hyperlink>
        </w:p>
        <w:p>
          <w:pPr>
            <w:pStyle w:val="Contents3"/>
            <w:rPr>
              <w:rFonts w:ascii="Calibri" w:hAnsi="Calibri" w:cs="Calibri"/>
              <w:sz w:val="22"/>
              <w:szCs w:val="22"/>
              <w:lang w:val="en-US" w:eastAsia="en-US"/>
            </w:rPr>
          </w:pPr>
          <w:r>
            <w:rPr/>
            <w:t>24.2.1</w:t>
          </w:r>
          <w:r>
            <w:rPr>
              <w:rFonts w:cs="Calibri" w:ascii="Calibri" w:hAnsi="Calibri"/>
              <w:sz w:val="22"/>
              <w:szCs w:val="22"/>
            </w:rPr>
            <w:tab/>
          </w:r>
          <w:r>
            <w:rPr>
              <w:lang w:val="en-US" w:eastAsia="en-US"/>
            </w:rPr>
            <w:t>Introduction</w:t>
          </w:r>
          <w:r>
            <w:rPr/>
            <w:tab/>
          </w:r>
          <w:hyperlink w:anchor="__RefHeading___Toc518035484">
            <w:r>
              <w:rPr>
                <w:rStyle w:val="IndexLink"/>
              </w:rPr>
              <w:t>31</w:t>
            </w:r>
          </w:hyperlink>
        </w:p>
        <w:p>
          <w:pPr>
            <w:pStyle w:val="Contents3"/>
            <w:rPr>
              <w:rFonts w:ascii="Calibri" w:hAnsi="Calibri" w:cs="Calibri"/>
              <w:sz w:val="22"/>
              <w:szCs w:val="22"/>
              <w:lang w:val="en-US" w:eastAsia="en-US"/>
            </w:rPr>
          </w:pPr>
          <w:r>
            <w:rPr/>
            <w:t>24.2.2</w:t>
          </w:r>
          <w:r>
            <w:rPr>
              <w:rFonts w:cs="Calibri" w:ascii="Calibri" w:hAnsi="Calibri"/>
              <w:sz w:val="22"/>
              <w:szCs w:val="22"/>
            </w:rPr>
            <w:tab/>
          </w:r>
          <w:r>
            <w:rPr>
              <w:lang w:val="en-US" w:eastAsia="en-US"/>
            </w:rPr>
            <w:t>Idle mode procedures</w:t>
          </w:r>
          <w:r>
            <w:rPr/>
            <w:tab/>
          </w:r>
          <w:hyperlink w:anchor="__RefHeading___Toc518035485">
            <w:r>
              <w:rPr>
                <w:rStyle w:val="IndexLink"/>
              </w:rPr>
              <w:t>32</w:t>
            </w:r>
          </w:hyperlink>
        </w:p>
        <w:p>
          <w:pPr>
            <w:pStyle w:val="Contents4"/>
            <w:rPr>
              <w:rFonts w:ascii="Calibri" w:hAnsi="Calibri" w:cs="Calibri"/>
              <w:sz w:val="22"/>
              <w:szCs w:val="22"/>
              <w:lang w:val="en-US" w:eastAsia="en-US"/>
            </w:rPr>
          </w:pPr>
          <w:r>
            <w:rPr/>
            <w:t>24.2.2.1</w:t>
          </w:r>
          <w:r>
            <w:rPr>
              <w:rFonts w:cs="Calibri" w:ascii="Calibri" w:hAnsi="Calibri"/>
              <w:sz w:val="22"/>
              <w:szCs w:val="22"/>
            </w:rPr>
            <w:tab/>
          </w:r>
          <w:r>
            <w:rPr>
              <w:lang w:val="en-US" w:eastAsia="en-US"/>
            </w:rPr>
            <w:t>General</w:t>
          </w:r>
          <w:r>
            <w:rPr/>
            <w:tab/>
          </w:r>
          <w:hyperlink w:anchor="__RefHeading___Toc518035486">
            <w:r>
              <w:rPr>
                <w:rStyle w:val="IndexLink"/>
              </w:rPr>
              <w:t>32</w:t>
            </w:r>
          </w:hyperlink>
        </w:p>
        <w:p>
          <w:pPr>
            <w:pStyle w:val="Contents5"/>
            <w:rPr>
              <w:rFonts w:ascii="Calibri" w:hAnsi="Calibri" w:cs="Calibri"/>
              <w:sz w:val="22"/>
              <w:szCs w:val="22"/>
              <w:lang w:val="en-US" w:eastAsia="en-US"/>
            </w:rPr>
          </w:pPr>
          <w:r>
            <w:rPr/>
            <w:t>24.2.2.1.1</w:t>
          </w:r>
          <w:r>
            <w:rPr>
              <w:rFonts w:cs="Calibri" w:ascii="Calibri" w:hAnsi="Calibri"/>
              <w:sz w:val="22"/>
              <w:szCs w:val="22"/>
            </w:rPr>
            <w:tab/>
          </w:r>
          <w:r>
            <w:rPr>
              <w:lang w:val="en-US" w:eastAsia="en-US"/>
            </w:rPr>
            <w:t>Simulator support</w:t>
          </w:r>
          <w:r>
            <w:rPr/>
            <w:tab/>
          </w:r>
          <w:hyperlink w:anchor="__RefHeading___Toc518035487">
            <w:r>
              <w:rPr>
                <w:rStyle w:val="IndexLink"/>
              </w:rPr>
              <w:t>32</w:t>
            </w:r>
          </w:hyperlink>
        </w:p>
        <w:p>
          <w:pPr>
            <w:pStyle w:val="Contents5"/>
            <w:rPr>
              <w:rFonts w:ascii="Calibri" w:hAnsi="Calibri" w:cs="Calibri"/>
              <w:sz w:val="22"/>
              <w:szCs w:val="22"/>
              <w:lang w:val="en-US" w:eastAsia="en-US"/>
            </w:rPr>
          </w:pPr>
          <w:r>
            <w:rPr/>
            <w:t>24.2.2.1.2</w:t>
          </w:r>
          <w:r>
            <w:rPr>
              <w:rFonts w:cs="Calibri" w:ascii="Calibri" w:hAnsi="Calibri"/>
              <w:sz w:val="22"/>
              <w:szCs w:val="22"/>
            </w:rPr>
            <w:tab/>
          </w:r>
          <w:r>
            <w:rPr>
              <w:lang w:val="en-US" w:eastAsia="en-US"/>
            </w:rPr>
            <w:t>Performance metrics</w:t>
          </w:r>
          <w:r>
            <w:rPr/>
            <w:tab/>
          </w:r>
          <w:hyperlink w:anchor="__RefHeading___Toc518035488">
            <w:r>
              <w:rPr>
                <w:rStyle w:val="IndexLink"/>
              </w:rPr>
              <w:t>32</w:t>
            </w:r>
          </w:hyperlink>
        </w:p>
        <w:p>
          <w:pPr>
            <w:pStyle w:val="Contents5"/>
            <w:rPr>
              <w:rFonts w:ascii="Calibri" w:hAnsi="Calibri" w:cs="Calibri"/>
              <w:sz w:val="22"/>
              <w:szCs w:val="22"/>
              <w:lang w:val="en-US" w:eastAsia="en-US"/>
            </w:rPr>
          </w:pPr>
          <w:r>
            <w:rPr/>
            <w:t>24.2.2.1.3</w:t>
          </w:r>
          <w:r>
            <w:rPr>
              <w:rFonts w:cs="Calibri" w:ascii="Calibri" w:hAnsi="Calibri"/>
              <w:sz w:val="22"/>
              <w:szCs w:val="22"/>
            </w:rPr>
            <w:tab/>
          </w:r>
          <w:r>
            <w:rPr>
              <w:lang w:val="en-US" w:eastAsia="en-US"/>
            </w:rPr>
            <w:t>Simulation assumptions</w:t>
          </w:r>
          <w:r>
            <w:rPr/>
            <w:tab/>
          </w:r>
          <w:hyperlink w:anchor="__RefHeading___Toc518035489">
            <w:r>
              <w:rPr>
                <w:rStyle w:val="IndexLink"/>
              </w:rPr>
              <w:t>33</w:t>
            </w:r>
          </w:hyperlink>
        </w:p>
        <w:p>
          <w:pPr>
            <w:pStyle w:val="Contents4"/>
            <w:rPr>
              <w:rFonts w:ascii="Calibri" w:hAnsi="Calibri" w:cs="Calibri"/>
              <w:sz w:val="22"/>
              <w:szCs w:val="22"/>
              <w:lang w:val="en-US" w:eastAsia="en-US"/>
            </w:rPr>
          </w:pPr>
          <w:r>
            <w:rPr/>
            <w:t>24.2.2.2</w:t>
          </w:r>
          <w:r>
            <w:rPr>
              <w:rFonts w:cs="Calibri" w:ascii="Calibri" w:hAnsi="Calibri"/>
              <w:sz w:val="22"/>
              <w:szCs w:val="22"/>
            </w:rPr>
            <w:tab/>
          </w:r>
          <w:r>
            <w:rPr>
              <w:lang w:val="en-US" w:eastAsia="en-US"/>
            </w:rPr>
            <w:t>PLMN selection</w:t>
          </w:r>
          <w:r>
            <w:rPr/>
            <w:tab/>
          </w:r>
          <w:hyperlink w:anchor="__RefHeading___Toc518035490">
            <w:r>
              <w:rPr>
                <w:rStyle w:val="IndexLink"/>
              </w:rPr>
              <w:t>33</w:t>
            </w:r>
          </w:hyperlink>
        </w:p>
        <w:p>
          <w:pPr>
            <w:pStyle w:val="Contents4"/>
            <w:rPr>
              <w:rFonts w:ascii="Calibri" w:hAnsi="Calibri" w:cs="Calibri"/>
              <w:sz w:val="22"/>
              <w:szCs w:val="22"/>
              <w:lang w:val="en-US" w:eastAsia="en-US"/>
            </w:rPr>
          </w:pPr>
          <w:r>
            <w:rPr/>
            <w:t>24.2.2.3</w:t>
          </w:r>
          <w:r>
            <w:rPr>
              <w:rFonts w:cs="Calibri" w:ascii="Calibri" w:hAnsi="Calibri"/>
              <w:sz w:val="22"/>
              <w:szCs w:val="22"/>
            </w:rPr>
            <w:tab/>
          </w:r>
          <w:r>
            <w:rPr>
              <w:lang w:val="en-US" w:eastAsia="en-US"/>
            </w:rPr>
            <w:t>Cell selection</w:t>
          </w:r>
          <w:r>
            <w:rPr/>
            <w:tab/>
          </w:r>
          <w:hyperlink w:anchor="__RefHeading___Toc518035491">
            <w:r>
              <w:rPr>
                <w:rStyle w:val="IndexLink"/>
              </w:rPr>
              <w:t>33</w:t>
            </w:r>
          </w:hyperlink>
        </w:p>
        <w:p>
          <w:pPr>
            <w:pStyle w:val="Contents5"/>
            <w:rPr>
              <w:rFonts w:ascii="Calibri" w:hAnsi="Calibri" w:cs="Calibri"/>
              <w:sz w:val="22"/>
              <w:szCs w:val="22"/>
              <w:lang w:val="en-US" w:eastAsia="en-US"/>
            </w:rPr>
          </w:pPr>
          <w:r>
            <w:rPr/>
            <w:t>24.2.2.3.1</w:t>
          </w:r>
          <w:r>
            <w:rPr>
              <w:rFonts w:cs="Calibri" w:ascii="Calibri" w:hAnsi="Calibri"/>
              <w:sz w:val="22"/>
              <w:szCs w:val="22"/>
            </w:rPr>
            <w:tab/>
          </w:r>
          <w:r>
            <w:rPr>
              <w:lang w:val="en-US" w:eastAsia="en-US"/>
            </w:rPr>
            <w:t>General</w:t>
          </w:r>
          <w:r>
            <w:rPr/>
            <w:tab/>
          </w:r>
          <w:hyperlink w:anchor="__RefHeading___Toc518035492">
            <w:r>
              <w:rPr>
                <w:rStyle w:val="IndexLink"/>
              </w:rPr>
              <w:t>33</w:t>
            </w:r>
          </w:hyperlink>
        </w:p>
        <w:p>
          <w:pPr>
            <w:pStyle w:val="Contents5"/>
            <w:rPr>
              <w:rFonts w:ascii="Calibri" w:hAnsi="Calibri" w:cs="Calibri"/>
              <w:sz w:val="22"/>
              <w:szCs w:val="22"/>
              <w:lang w:val="en-US" w:eastAsia="en-US"/>
            </w:rPr>
          </w:pPr>
          <w:r>
            <w:rPr/>
            <w:t>24.2.2.3.2</w:t>
          </w:r>
          <w:r>
            <w:rPr>
              <w:rFonts w:cs="Calibri" w:ascii="Calibri" w:hAnsi="Calibri"/>
              <w:sz w:val="22"/>
              <w:szCs w:val="22"/>
            </w:rPr>
            <w:tab/>
          </w:r>
          <w:r>
            <w:rPr>
              <w:lang w:val="en-US" w:eastAsia="en-US"/>
            </w:rPr>
            <w:t>GPRS/EGPRS</w:t>
          </w:r>
          <w:r>
            <w:rPr/>
            <w:tab/>
          </w:r>
          <w:hyperlink w:anchor="__RefHeading___Toc518035493">
            <w:r>
              <w:rPr>
                <w:rStyle w:val="IndexLink"/>
              </w:rPr>
              <w:t>34</w:t>
            </w:r>
          </w:hyperlink>
        </w:p>
        <w:p>
          <w:pPr>
            <w:pStyle w:val="Contents5"/>
            <w:rPr>
              <w:rFonts w:ascii="Calibri" w:hAnsi="Calibri" w:cs="Calibri"/>
              <w:sz w:val="22"/>
              <w:szCs w:val="22"/>
              <w:lang w:val="en-US" w:eastAsia="en-US"/>
            </w:rPr>
          </w:pPr>
          <w:r>
            <w:rPr/>
            <w:t>24.2.2.3.3</w:t>
          </w:r>
          <w:r>
            <w:rPr>
              <w:rFonts w:cs="Calibri" w:ascii="Calibri" w:hAnsi="Calibri"/>
              <w:sz w:val="22"/>
              <w:szCs w:val="22"/>
            </w:rPr>
            <w:tab/>
          </w:r>
          <w:r>
            <w:rPr>
              <w:lang w:val="en-US" w:eastAsia="en-US"/>
            </w:rPr>
            <w:t>EC-GSM-IoT</w:t>
          </w:r>
          <w:r>
            <w:rPr/>
            <w:tab/>
          </w:r>
          <w:hyperlink w:anchor="__RefHeading___Toc518035494">
            <w:r>
              <w:rPr>
                <w:rStyle w:val="IndexLink"/>
              </w:rPr>
              <w:t>35</w:t>
            </w:r>
          </w:hyperlink>
        </w:p>
        <w:p>
          <w:pPr>
            <w:pStyle w:val="Contents4"/>
            <w:rPr>
              <w:rFonts w:ascii="Calibri" w:hAnsi="Calibri" w:cs="Calibri"/>
              <w:sz w:val="22"/>
              <w:szCs w:val="22"/>
              <w:lang w:val="en-US" w:eastAsia="en-US"/>
            </w:rPr>
          </w:pPr>
          <w:r>
            <w:rPr/>
            <w:t>24.2.2.4</w:t>
          </w:r>
          <w:r>
            <w:rPr>
              <w:rFonts w:cs="Calibri" w:ascii="Calibri" w:hAnsi="Calibri"/>
              <w:sz w:val="22"/>
              <w:szCs w:val="22"/>
            </w:rPr>
            <w:tab/>
          </w:r>
          <w:r>
            <w:rPr>
              <w:lang w:val="en-US" w:eastAsia="en-US"/>
            </w:rPr>
            <w:t>Cell reconfirmation</w:t>
          </w:r>
          <w:r>
            <w:rPr/>
            <w:tab/>
          </w:r>
          <w:hyperlink w:anchor="__RefHeading___Toc518035495">
            <w:r>
              <w:rPr>
                <w:rStyle w:val="IndexLink"/>
              </w:rPr>
              <w:t>35</w:t>
            </w:r>
          </w:hyperlink>
        </w:p>
        <w:p>
          <w:pPr>
            <w:pStyle w:val="Contents5"/>
            <w:rPr>
              <w:rFonts w:ascii="Calibri" w:hAnsi="Calibri" w:cs="Calibri"/>
              <w:sz w:val="22"/>
              <w:szCs w:val="22"/>
              <w:lang w:val="en-US" w:eastAsia="en-US"/>
            </w:rPr>
          </w:pPr>
          <w:r>
            <w:rPr/>
            <w:t>24.2.2.4.1</w:t>
          </w:r>
          <w:r>
            <w:rPr>
              <w:rFonts w:cs="Calibri" w:ascii="Calibri" w:hAnsi="Calibri"/>
              <w:sz w:val="22"/>
              <w:szCs w:val="22"/>
            </w:rPr>
            <w:tab/>
          </w:r>
          <w:r>
            <w:rPr>
              <w:lang w:val="en-US" w:eastAsia="en-US"/>
            </w:rPr>
            <w:t>GPRS/EGPRS</w:t>
          </w:r>
          <w:r>
            <w:rPr/>
            <w:tab/>
          </w:r>
          <w:hyperlink w:anchor="__RefHeading___Toc518035496">
            <w:r>
              <w:rPr>
                <w:rStyle w:val="IndexLink"/>
              </w:rPr>
              <w:t>35</w:t>
            </w:r>
          </w:hyperlink>
        </w:p>
        <w:p>
          <w:pPr>
            <w:pStyle w:val="Contents4"/>
            <w:rPr>
              <w:rFonts w:ascii="Calibri" w:hAnsi="Calibri" w:cs="Calibri"/>
              <w:sz w:val="22"/>
              <w:szCs w:val="22"/>
              <w:lang w:val="en-US" w:eastAsia="en-US"/>
            </w:rPr>
          </w:pPr>
          <w:r>
            <w:rPr/>
            <w:t>24.2.2.4.2</w:t>
          </w:r>
          <w:r>
            <w:rPr>
              <w:rFonts w:cs="Calibri" w:ascii="Calibri" w:hAnsi="Calibri"/>
              <w:sz w:val="22"/>
              <w:szCs w:val="22"/>
            </w:rPr>
            <w:tab/>
          </w:r>
          <w:r>
            <w:rPr>
              <w:lang w:val="en-US" w:eastAsia="en-US"/>
            </w:rPr>
            <w:t>EC-GSM-IoT</w:t>
          </w:r>
          <w:r>
            <w:rPr/>
            <w:tab/>
          </w:r>
          <w:hyperlink w:anchor="__RefHeading___Toc518035497">
            <w:r>
              <w:rPr>
                <w:rStyle w:val="IndexLink"/>
              </w:rPr>
              <w:t>37</w:t>
            </w:r>
          </w:hyperlink>
        </w:p>
        <w:p>
          <w:pPr>
            <w:pStyle w:val="Contents3"/>
            <w:rPr>
              <w:rFonts w:ascii="Calibri" w:hAnsi="Calibri" w:cs="Calibri"/>
              <w:sz w:val="22"/>
              <w:szCs w:val="22"/>
              <w:lang w:val="en-US" w:eastAsia="en-US"/>
            </w:rPr>
          </w:pPr>
          <w:r>
            <w:rPr/>
            <w:t>24.2.3</w:t>
          </w:r>
          <w:r>
            <w:rPr>
              <w:rFonts w:cs="Calibri" w:ascii="Calibri" w:hAnsi="Calibri"/>
              <w:sz w:val="22"/>
              <w:szCs w:val="22"/>
            </w:rPr>
            <w:tab/>
          </w:r>
          <w:r>
            <w:rPr>
              <w:lang w:val="en-US" w:eastAsia="en-US"/>
            </w:rPr>
            <w:t>Common control channel performance</w:t>
          </w:r>
          <w:r>
            <w:rPr/>
            <w:tab/>
          </w:r>
          <w:hyperlink w:anchor="__RefHeading___Toc518035498">
            <w:r>
              <w:rPr>
                <w:rStyle w:val="IndexLink"/>
              </w:rPr>
              <w:t>39</w:t>
            </w:r>
          </w:hyperlink>
        </w:p>
        <w:p>
          <w:pPr>
            <w:pStyle w:val="Contents4"/>
            <w:rPr>
              <w:rFonts w:ascii="Calibri" w:hAnsi="Calibri" w:cs="Calibri"/>
              <w:sz w:val="22"/>
              <w:szCs w:val="22"/>
              <w:lang w:val="en-US" w:eastAsia="en-US"/>
            </w:rPr>
          </w:pPr>
          <w:r>
            <w:rPr/>
            <w:t>24.2.3.1</w:t>
          </w:r>
          <w:r>
            <w:rPr>
              <w:rFonts w:cs="Calibri" w:ascii="Calibri" w:hAnsi="Calibri"/>
              <w:sz w:val="22"/>
              <w:szCs w:val="22"/>
            </w:rPr>
            <w:tab/>
          </w:r>
          <w:r>
            <w:rPr>
              <w:lang w:val="en-US" w:eastAsia="en-US"/>
            </w:rPr>
            <w:t>General</w:t>
          </w:r>
          <w:r>
            <w:rPr/>
            <w:tab/>
          </w:r>
          <w:hyperlink w:anchor="__RefHeading___Toc518035499">
            <w:r>
              <w:rPr>
                <w:rStyle w:val="IndexLink"/>
              </w:rPr>
              <w:t>39</w:t>
            </w:r>
          </w:hyperlink>
        </w:p>
        <w:p>
          <w:pPr>
            <w:pStyle w:val="Contents4"/>
            <w:rPr>
              <w:rFonts w:ascii="Calibri" w:hAnsi="Calibri" w:cs="Calibri"/>
              <w:sz w:val="22"/>
              <w:szCs w:val="22"/>
              <w:lang w:val="en-US" w:eastAsia="en-US"/>
            </w:rPr>
          </w:pPr>
          <w:r>
            <w:rPr/>
            <w:t>24.2.3.2</w:t>
          </w:r>
          <w:r>
            <w:rPr>
              <w:rFonts w:cs="Calibri" w:ascii="Calibri" w:hAnsi="Calibri"/>
              <w:sz w:val="22"/>
              <w:szCs w:val="22"/>
            </w:rPr>
            <w:tab/>
          </w:r>
          <w:r>
            <w:rPr>
              <w:lang w:val="en-US" w:eastAsia="en-US"/>
            </w:rPr>
            <w:t>GPRS/EGPRS</w:t>
          </w:r>
          <w:r>
            <w:rPr/>
            <w:tab/>
          </w:r>
          <w:hyperlink w:anchor="__RefHeading___Toc518035500">
            <w:r>
              <w:rPr>
                <w:rStyle w:val="IndexLink"/>
              </w:rPr>
              <w:t>39</w:t>
            </w:r>
          </w:hyperlink>
        </w:p>
        <w:p>
          <w:pPr>
            <w:pStyle w:val="Contents5"/>
            <w:rPr>
              <w:rFonts w:ascii="Calibri" w:hAnsi="Calibri" w:cs="Calibri"/>
              <w:sz w:val="22"/>
              <w:szCs w:val="22"/>
              <w:lang w:val="en-US" w:eastAsia="en-US"/>
            </w:rPr>
          </w:pPr>
          <w:r>
            <w:rPr/>
            <w:t>24.2.3.2.1</w:t>
          </w:r>
          <w:r>
            <w:rPr>
              <w:rFonts w:cs="Calibri" w:ascii="Calibri" w:hAnsi="Calibri"/>
              <w:sz w:val="22"/>
              <w:szCs w:val="22"/>
            </w:rPr>
            <w:tab/>
          </w:r>
          <w:r>
            <w:rPr>
              <w:lang w:val="en-US" w:eastAsia="en-US"/>
            </w:rPr>
            <w:t>Resource usage</w:t>
          </w:r>
          <w:r>
            <w:rPr/>
            <w:tab/>
          </w:r>
          <w:hyperlink w:anchor="__RefHeading___Toc518035501">
            <w:r>
              <w:rPr>
                <w:rStyle w:val="IndexLink"/>
              </w:rPr>
              <w:t>39</w:t>
            </w:r>
          </w:hyperlink>
        </w:p>
        <w:p>
          <w:pPr>
            <w:pStyle w:val="Contents5"/>
            <w:rPr>
              <w:rFonts w:ascii="Calibri" w:hAnsi="Calibri" w:cs="Calibri"/>
              <w:sz w:val="22"/>
              <w:szCs w:val="22"/>
              <w:lang w:val="en-US" w:eastAsia="en-US"/>
            </w:rPr>
          </w:pPr>
          <w:r>
            <w:rPr/>
            <w:t>24.2.3.2.2</w:t>
          </w:r>
          <w:r>
            <w:rPr>
              <w:rFonts w:cs="Calibri" w:ascii="Calibri" w:hAnsi="Calibri"/>
              <w:sz w:val="22"/>
              <w:szCs w:val="22"/>
            </w:rPr>
            <w:tab/>
          </w:r>
          <w:r>
            <w:rPr>
              <w:lang w:val="en-US" w:eastAsia="en-US"/>
            </w:rPr>
            <w:t>Common control signaling delay</w:t>
          </w:r>
          <w:r>
            <w:rPr/>
            <w:tab/>
          </w:r>
          <w:hyperlink w:anchor="__RefHeading___Toc518035502">
            <w:r>
              <w:rPr>
                <w:rStyle w:val="IndexLink"/>
              </w:rPr>
              <w:t>40</w:t>
            </w:r>
          </w:hyperlink>
        </w:p>
        <w:p>
          <w:pPr>
            <w:pStyle w:val="Contents5"/>
            <w:rPr>
              <w:rFonts w:ascii="Calibri" w:hAnsi="Calibri" w:cs="Calibri"/>
              <w:sz w:val="22"/>
              <w:szCs w:val="22"/>
              <w:lang w:val="en-US" w:eastAsia="en-US"/>
            </w:rPr>
          </w:pPr>
          <w:r>
            <w:rPr/>
            <w:t>24.2.3.2.3</w:t>
          </w:r>
          <w:r>
            <w:rPr>
              <w:rFonts w:cs="Calibri" w:ascii="Calibri" w:hAnsi="Calibri"/>
              <w:sz w:val="22"/>
              <w:szCs w:val="22"/>
            </w:rPr>
            <w:tab/>
          </w:r>
          <w:r>
            <w:rPr>
              <w:lang w:val="en-US" w:eastAsia="en-US"/>
            </w:rPr>
            <w:t>Failed attempts</w:t>
          </w:r>
          <w:r>
            <w:rPr/>
            <w:tab/>
          </w:r>
          <w:hyperlink w:anchor="__RefHeading___Toc518035503">
            <w:r>
              <w:rPr>
                <w:rStyle w:val="IndexLink"/>
              </w:rPr>
              <w:t>40</w:t>
            </w:r>
          </w:hyperlink>
        </w:p>
        <w:p>
          <w:pPr>
            <w:pStyle w:val="Contents4"/>
            <w:rPr>
              <w:rFonts w:ascii="Calibri" w:hAnsi="Calibri" w:cs="Calibri"/>
              <w:sz w:val="22"/>
              <w:szCs w:val="22"/>
              <w:lang w:val="en-US" w:eastAsia="en-US"/>
            </w:rPr>
          </w:pPr>
          <w:r>
            <w:rPr/>
            <w:t>24.2.3.3</w:t>
          </w:r>
          <w:r>
            <w:rPr>
              <w:rFonts w:cs="Calibri" w:ascii="Calibri" w:hAnsi="Calibri"/>
              <w:sz w:val="22"/>
              <w:szCs w:val="22"/>
            </w:rPr>
            <w:tab/>
          </w:r>
          <w:r>
            <w:rPr>
              <w:lang w:val="en-US" w:eastAsia="en-US"/>
            </w:rPr>
            <w:t>EC-GSM-IoT</w:t>
          </w:r>
          <w:r>
            <w:rPr/>
            <w:tab/>
          </w:r>
          <w:hyperlink w:anchor="__RefHeading___Toc518035504">
            <w:r>
              <w:rPr>
                <w:rStyle w:val="IndexLink"/>
              </w:rPr>
              <w:t>40</w:t>
            </w:r>
          </w:hyperlink>
        </w:p>
        <w:p>
          <w:pPr>
            <w:pStyle w:val="Contents5"/>
            <w:rPr>
              <w:rFonts w:ascii="Calibri" w:hAnsi="Calibri" w:cs="Calibri"/>
              <w:sz w:val="22"/>
              <w:szCs w:val="22"/>
              <w:lang w:val="en-US" w:eastAsia="en-US"/>
            </w:rPr>
          </w:pPr>
          <w:r>
            <w:rPr/>
            <w:t>24.2.3.3.1</w:t>
          </w:r>
          <w:r>
            <w:rPr>
              <w:rFonts w:cs="Calibri" w:ascii="Calibri" w:hAnsi="Calibri"/>
              <w:sz w:val="22"/>
              <w:szCs w:val="22"/>
            </w:rPr>
            <w:tab/>
          </w:r>
          <w:r>
            <w:rPr>
              <w:lang w:val="en-US" w:eastAsia="en-US"/>
            </w:rPr>
            <w:t>Resource usage</w:t>
          </w:r>
          <w:r>
            <w:rPr/>
            <w:tab/>
          </w:r>
          <w:hyperlink w:anchor="__RefHeading___Toc518035505">
            <w:r>
              <w:rPr>
                <w:rStyle w:val="IndexLink"/>
              </w:rPr>
              <w:t>40</w:t>
            </w:r>
          </w:hyperlink>
        </w:p>
        <w:p>
          <w:pPr>
            <w:pStyle w:val="Contents5"/>
            <w:rPr>
              <w:rFonts w:ascii="Calibri" w:hAnsi="Calibri" w:cs="Calibri"/>
              <w:sz w:val="22"/>
              <w:szCs w:val="22"/>
              <w:lang w:val="en-US" w:eastAsia="en-US"/>
            </w:rPr>
          </w:pPr>
          <w:r>
            <w:rPr/>
            <w:t>24.2.3.3.2</w:t>
          </w:r>
          <w:r>
            <w:rPr>
              <w:rFonts w:cs="Calibri" w:ascii="Calibri" w:hAnsi="Calibri"/>
              <w:sz w:val="22"/>
              <w:szCs w:val="22"/>
            </w:rPr>
            <w:tab/>
          </w:r>
          <w:r>
            <w:rPr>
              <w:lang w:val="en-US" w:eastAsia="en-US"/>
            </w:rPr>
            <w:t>Common control signaling delay</w:t>
          </w:r>
          <w:r>
            <w:rPr/>
            <w:tab/>
          </w:r>
          <w:hyperlink w:anchor="__RefHeading___Toc518035506">
            <w:r>
              <w:rPr>
                <w:rStyle w:val="IndexLink"/>
              </w:rPr>
              <w:t>41</w:t>
            </w:r>
          </w:hyperlink>
        </w:p>
        <w:p>
          <w:pPr>
            <w:pStyle w:val="Contents5"/>
            <w:rPr>
              <w:rFonts w:ascii="Calibri" w:hAnsi="Calibri" w:cs="Calibri"/>
              <w:sz w:val="22"/>
              <w:szCs w:val="22"/>
              <w:lang w:val="en-US" w:eastAsia="en-US"/>
            </w:rPr>
          </w:pPr>
          <w:r>
            <w:rPr/>
            <w:t>24.2.3.3.3</w:t>
          </w:r>
          <w:r>
            <w:rPr>
              <w:rFonts w:cs="Calibri" w:ascii="Calibri" w:hAnsi="Calibri"/>
              <w:sz w:val="22"/>
              <w:szCs w:val="22"/>
            </w:rPr>
            <w:tab/>
          </w:r>
          <w:r>
            <w:rPr>
              <w:lang w:val="en-US" w:eastAsia="en-US"/>
            </w:rPr>
            <w:t>Failed attempts</w:t>
          </w:r>
          <w:r>
            <w:rPr/>
            <w:tab/>
          </w:r>
          <w:hyperlink w:anchor="__RefHeading___Toc518035507">
            <w:r>
              <w:rPr>
                <w:rStyle w:val="IndexLink"/>
              </w:rPr>
              <w:t>41</w:t>
            </w:r>
          </w:hyperlink>
        </w:p>
        <w:p>
          <w:pPr>
            <w:pStyle w:val="Contents5"/>
            <w:rPr>
              <w:rFonts w:ascii="Calibri" w:hAnsi="Calibri" w:cs="Calibri"/>
              <w:sz w:val="22"/>
              <w:szCs w:val="22"/>
              <w:lang w:val="en-US" w:eastAsia="en-US"/>
            </w:rPr>
          </w:pPr>
          <w:r>
            <w:rPr/>
            <w:t>24.2.3.3.4</w:t>
          </w:r>
          <w:r>
            <w:rPr>
              <w:rFonts w:cs="Calibri" w:ascii="Calibri" w:hAnsi="Calibri"/>
              <w:sz w:val="22"/>
              <w:szCs w:val="22"/>
            </w:rPr>
            <w:tab/>
          </w:r>
          <w:r>
            <w:rPr>
              <w:lang w:val="en-US" w:eastAsia="en-US"/>
            </w:rPr>
            <w:t>Coverage class distribution</w:t>
          </w:r>
          <w:r>
            <w:rPr/>
            <w:tab/>
          </w:r>
          <w:hyperlink w:anchor="__RefHeading___Toc518035508">
            <w:r>
              <w:rPr>
                <w:rStyle w:val="IndexLink"/>
              </w:rPr>
              <w:t>41</w:t>
            </w:r>
          </w:hyperlink>
        </w:p>
        <w:p>
          <w:pPr>
            <w:pStyle w:val="Contents3"/>
            <w:rPr>
              <w:rFonts w:ascii="Calibri" w:hAnsi="Calibri" w:cs="Calibri"/>
              <w:sz w:val="22"/>
              <w:szCs w:val="22"/>
              <w:lang w:val="en-US" w:eastAsia="en-US"/>
            </w:rPr>
          </w:pPr>
          <w:r>
            <w:rPr/>
            <w:t>24.2.4</w:t>
          </w:r>
          <w:r>
            <w:rPr>
              <w:rFonts w:cs="Calibri" w:ascii="Calibri" w:hAnsi="Calibri"/>
              <w:sz w:val="22"/>
              <w:szCs w:val="22"/>
            </w:rPr>
            <w:tab/>
          </w:r>
          <w:r>
            <w:rPr>
              <w:lang w:val="en-US" w:eastAsia="en-US"/>
            </w:rPr>
            <w:t>Data traffic and control channel performance</w:t>
          </w:r>
          <w:r>
            <w:rPr/>
            <w:tab/>
          </w:r>
          <w:hyperlink w:anchor="__RefHeading___Toc518035509">
            <w:r>
              <w:rPr>
                <w:rStyle w:val="IndexLink"/>
              </w:rPr>
              <w:t>42</w:t>
            </w:r>
          </w:hyperlink>
        </w:p>
        <w:p>
          <w:pPr>
            <w:pStyle w:val="Contents4"/>
            <w:rPr>
              <w:rFonts w:ascii="Calibri" w:hAnsi="Calibri" w:cs="Calibri"/>
              <w:sz w:val="22"/>
              <w:szCs w:val="22"/>
              <w:lang w:val="en-US" w:eastAsia="en-US"/>
            </w:rPr>
          </w:pPr>
          <w:r>
            <w:rPr/>
            <w:t>24.2.4.1</w:t>
          </w:r>
          <w:r>
            <w:rPr>
              <w:rFonts w:cs="Calibri" w:ascii="Calibri" w:hAnsi="Calibri"/>
              <w:sz w:val="22"/>
              <w:szCs w:val="22"/>
            </w:rPr>
            <w:tab/>
          </w:r>
          <w:r>
            <w:rPr>
              <w:lang w:val="en-US" w:eastAsia="en-US"/>
            </w:rPr>
            <w:t>General</w:t>
          </w:r>
          <w:r>
            <w:rPr/>
            <w:tab/>
          </w:r>
          <w:hyperlink w:anchor="__RefHeading___Toc518035510">
            <w:r>
              <w:rPr>
                <w:rStyle w:val="IndexLink"/>
              </w:rPr>
              <w:t>42</w:t>
            </w:r>
          </w:hyperlink>
        </w:p>
        <w:p>
          <w:pPr>
            <w:pStyle w:val="Contents4"/>
            <w:rPr>
              <w:rFonts w:ascii="Calibri" w:hAnsi="Calibri" w:cs="Calibri"/>
              <w:sz w:val="22"/>
              <w:szCs w:val="22"/>
              <w:lang w:val="en-US" w:eastAsia="en-US"/>
            </w:rPr>
          </w:pPr>
          <w:r>
            <w:rPr/>
            <w:t>24.2.4.2</w:t>
          </w:r>
          <w:r>
            <w:rPr>
              <w:rFonts w:cs="Calibri" w:ascii="Calibri" w:hAnsi="Calibri"/>
              <w:sz w:val="22"/>
              <w:szCs w:val="22"/>
            </w:rPr>
            <w:tab/>
          </w:r>
          <w:r>
            <w:rPr>
              <w:lang w:val="en-US" w:eastAsia="en-US"/>
            </w:rPr>
            <w:t>GPRS/EGPRS</w:t>
          </w:r>
          <w:r>
            <w:rPr/>
            <w:tab/>
          </w:r>
          <w:hyperlink w:anchor="__RefHeading___Toc518035511">
            <w:r>
              <w:rPr>
                <w:rStyle w:val="IndexLink"/>
              </w:rPr>
              <w:t>42</w:t>
            </w:r>
          </w:hyperlink>
        </w:p>
        <w:p>
          <w:pPr>
            <w:pStyle w:val="Contents5"/>
            <w:rPr>
              <w:rFonts w:ascii="Calibri" w:hAnsi="Calibri" w:cs="Calibri"/>
              <w:sz w:val="22"/>
              <w:szCs w:val="22"/>
              <w:lang w:val="en-US" w:eastAsia="en-US"/>
            </w:rPr>
          </w:pPr>
          <w:r>
            <w:rPr/>
            <w:t>24.2.4.2.1</w:t>
          </w:r>
          <w:r>
            <w:rPr>
              <w:rFonts w:cs="Calibri" w:ascii="Calibri" w:hAnsi="Calibri"/>
              <w:sz w:val="22"/>
              <w:szCs w:val="22"/>
            </w:rPr>
            <w:tab/>
          </w:r>
          <w:r>
            <w:rPr>
              <w:lang w:val="en-US" w:eastAsia="en-US"/>
            </w:rPr>
            <w:t>PDCH resource usage</w:t>
          </w:r>
          <w:r>
            <w:rPr/>
            <w:tab/>
          </w:r>
          <w:hyperlink w:anchor="__RefHeading___Toc518035512">
            <w:r>
              <w:rPr>
                <w:rStyle w:val="IndexLink"/>
              </w:rPr>
              <w:t>42</w:t>
            </w:r>
          </w:hyperlink>
        </w:p>
        <w:p>
          <w:pPr>
            <w:pStyle w:val="Contents5"/>
            <w:rPr>
              <w:rFonts w:ascii="Calibri" w:hAnsi="Calibri" w:cs="Calibri"/>
              <w:sz w:val="22"/>
              <w:szCs w:val="22"/>
              <w:lang w:val="en-US" w:eastAsia="en-US"/>
            </w:rPr>
          </w:pPr>
          <w:r>
            <w:rPr/>
            <w:t>24.2.4.2.2</w:t>
          </w:r>
          <w:r>
            <w:rPr>
              <w:rFonts w:cs="Calibri" w:ascii="Calibri" w:hAnsi="Calibri"/>
              <w:sz w:val="22"/>
              <w:szCs w:val="22"/>
              <w:lang w:val="en-US" w:eastAsia="en-US"/>
            </w:rPr>
            <w:tab/>
          </w:r>
          <w:r>
            <w:rPr/>
            <w:t>Latency</w:t>
            <w:tab/>
          </w:r>
          <w:hyperlink w:anchor="__RefHeading___Toc518035513">
            <w:r>
              <w:rPr>
                <w:rStyle w:val="IndexLink"/>
              </w:rPr>
              <w:t>42</w:t>
            </w:r>
          </w:hyperlink>
        </w:p>
        <w:p>
          <w:pPr>
            <w:pStyle w:val="Contents5"/>
            <w:rPr>
              <w:rFonts w:ascii="Calibri" w:hAnsi="Calibri" w:cs="Calibri"/>
              <w:sz w:val="22"/>
              <w:szCs w:val="22"/>
              <w:lang w:val="en-US" w:eastAsia="en-US"/>
            </w:rPr>
          </w:pPr>
          <w:r>
            <w:rPr/>
            <w:t>24.2.4.2.4</w:t>
          </w:r>
          <w:r>
            <w:rPr>
              <w:rFonts w:cs="Calibri" w:ascii="Calibri" w:hAnsi="Calibri"/>
              <w:sz w:val="22"/>
              <w:szCs w:val="22"/>
              <w:lang w:val="en-US" w:eastAsia="en-US"/>
            </w:rPr>
            <w:tab/>
          </w:r>
          <w:r>
            <w:rPr/>
            <w:t>Failed Attempts</w:t>
            <w:tab/>
          </w:r>
          <w:hyperlink w:anchor="__RefHeading___Toc518035514">
            <w:r>
              <w:rPr>
                <w:rStyle w:val="IndexLink"/>
              </w:rPr>
              <w:t>43</w:t>
            </w:r>
          </w:hyperlink>
        </w:p>
        <w:p>
          <w:pPr>
            <w:pStyle w:val="Contents5"/>
            <w:rPr>
              <w:rFonts w:ascii="Calibri" w:hAnsi="Calibri" w:cs="Calibri"/>
              <w:sz w:val="22"/>
              <w:szCs w:val="22"/>
              <w:lang w:val="en-US" w:eastAsia="en-US"/>
            </w:rPr>
          </w:pPr>
          <w:r>
            <w:rPr/>
            <w:t>24.2.4.2.5</w:t>
          </w:r>
          <w:r>
            <w:rPr>
              <w:rFonts w:cs="Calibri" w:ascii="Calibri" w:hAnsi="Calibri"/>
              <w:sz w:val="22"/>
              <w:szCs w:val="22"/>
              <w:lang w:val="en-US" w:eastAsia="en-US"/>
            </w:rPr>
            <w:tab/>
          </w:r>
          <w:r>
            <w:rPr/>
            <w:t>Capacity</w:t>
            <w:tab/>
          </w:r>
          <w:hyperlink w:anchor="__RefHeading___Toc518035515">
            <w:r>
              <w:rPr>
                <w:rStyle w:val="IndexLink"/>
              </w:rPr>
              <w:t>43</w:t>
            </w:r>
          </w:hyperlink>
        </w:p>
        <w:p>
          <w:pPr>
            <w:pStyle w:val="Contents4"/>
            <w:rPr>
              <w:rFonts w:ascii="Calibri" w:hAnsi="Calibri" w:cs="Calibri"/>
              <w:sz w:val="22"/>
              <w:szCs w:val="22"/>
              <w:lang w:val="en-US" w:eastAsia="en-US"/>
            </w:rPr>
          </w:pPr>
          <w:r>
            <w:rPr/>
            <w:t>24.2.4.3</w:t>
          </w:r>
          <w:r>
            <w:rPr>
              <w:rFonts w:cs="Calibri" w:ascii="Calibri" w:hAnsi="Calibri"/>
              <w:sz w:val="22"/>
              <w:szCs w:val="22"/>
            </w:rPr>
            <w:tab/>
          </w:r>
          <w:r>
            <w:rPr>
              <w:lang w:val="en-US" w:eastAsia="en-US"/>
            </w:rPr>
            <w:t>EC-GSM-IoT</w:t>
          </w:r>
          <w:r>
            <w:rPr/>
            <w:tab/>
          </w:r>
          <w:hyperlink w:anchor="__RefHeading___Toc518035516">
            <w:r>
              <w:rPr>
                <w:rStyle w:val="IndexLink"/>
              </w:rPr>
              <w:t>43</w:t>
            </w:r>
          </w:hyperlink>
        </w:p>
        <w:p>
          <w:pPr>
            <w:pStyle w:val="Contents5"/>
            <w:rPr>
              <w:rFonts w:ascii="Calibri" w:hAnsi="Calibri" w:cs="Calibri"/>
              <w:sz w:val="22"/>
              <w:szCs w:val="22"/>
              <w:lang w:val="en-US" w:eastAsia="en-US"/>
            </w:rPr>
          </w:pPr>
          <w:r>
            <w:rPr/>
            <w:t>24.2.4.3.1</w:t>
          </w:r>
          <w:r>
            <w:rPr>
              <w:rFonts w:cs="Calibri" w:ascii="Calibri" w:hAnsi="Calibri"/>
              <w:sz w:val="22"/>
              <w:szCs w:val="22"/>
            </w:rPr>
            <w:tab/>
          </w:r>
          <w:r>
            <w:rPr>
              <w:lang w:val="en-US" w:eastAsia="en-US"/>
            </w:rPr>
            <w:t>PDCH resource usage</w:t>
          </w:r>
          <w:r>
            <w:rPr/>
            <w:tab/>
          </w:r>
          <w:hyperlink w:anchor="__RefHeading___Toc518035517">
            <w:r>
              <w:rPr>
                <w:rStyle w:val="IndexLink"/>
              </w:rPr>
              <w:t>43</w:t>
            </w:r>
          </w:hyperlink>
        </w:p>
        <w:p>
          <w:pPr>
            <w:pStyle w:val="Contents5"/>
            <w:rPr>
              <w:rFonts w:ascii="Calibri" w:hAnsi="Calibri" w:cs="Calibri"/>
              <w:sz w:val="22"/>
              <w:szCs w:val="22"/>
              <w:lang w:val="en-US" w:eastAsia="en-US"/>
            </w:rPr>
          </w:pPr>
          <w:r>
            <w:rPr/>
            <w:t>24.2.4.3.2</w:t>
          </w:r>
          <w:r>
            <w:rPr>
              <w:rFonts w:cs="Calibri" w:ascii="Calibri" w:hAnsi="Calibri"/>
              <w:sz w:val="22"/>
              <w:szCs w:val="22"/>
            </w:rPr>
            <w:tab/>
          </w:r>
          <w:r>
            <w:rPr>
              <w:lang w:val="en-US" w:eastAsia="en-US"/>
            </w:rPr>
            <w:t>Latency of MAR periodic reports</w:t>
          </w:r>
          <w:r>
            <w:rPr/>
            <w:tab/>
          </w:r>
          <w:hyperlink w:anchor="__RefHeading___Toc518035518">
            <w:r>
              <w:rPr>
                <w:rStyle w:val="IndexLink"/>
              </w:rPr>
              <w:t>44</w:t>
            </w:r>
          </w:hyperlink>
        </w:p>
        <w:p>
          <w:pPr>
            <w:pStyle w:val="Contents5"/>
            <w:rPr>
              <w:rFonts w:ascii="Calibri" w:hAnsi="Calibri" w:cs="Calibri"/>
              <w:sz w:val="22"/>
              <w:szCs w:val="22"/>
              <w:lang w:val="en-US" w:eastAsia="en-US"/>
            </w:rPr>
          </w:pPr>
          <w:r>
            <w:rPr/>
            <w:t>24.2.4.3.3</w:t>
          </w:r>
          <w:r>
            <w:rPr>
              <w:rFonts w:cs="Calibri" w:ascii="Calibri" w:hAnsi="Calibri"/>
              <w:sz w:val="22"/>
              <w:szCs w:val="22"/>
            </w:rPr>
            <w:tab/>
          </w:r>
          <w:r>
            <w:rPr>
              <w:lang w:val="en-US" w:eastAsia="en-US"/>
            </w:rPr>
            <w:t>Latency of Downlink Application Ack</w:t>
          </w:r>
          <w:r>
            <w:rPr/>
            <w:tab/>
          </w:r>
          <w:hyperlink w:anchor="__RefHeading___Toc518035519">
            <w:r>
              <w:rPr>
                <w:rStyle w:val="IndexLink"/>
              </w:rPr>
              <w:t>44</w:t>
            </w:r>
          </w:hyperlink>
        </w:p>
        <w:p>
          <w:pPr>
            <w:pStyle w:val="Contents5"/>
            <w:rPr>
              <w:rFonts w:ascii="Calibri" w:hAnsi="Calibri" w:cs="Calibri"/>
              <w:sz w:val="22"/>
              <w:szCs w:val="22"/>
              <w:lang w:val="en-US" w:eastAsia="en-US"/>
            </w:rPr>
          </w:pPr>
          <w:r>
            <w:rPr/>
            <w:t>24.2.4.3.3</w:t>
          </w:r>
          <w:r>
            <w:rPr>
              <w:rFonts w:cs="Calibri" w:ascii="Calibri" w:hAnsi="Calibri"/>
              <w:sz w:val="22"/>
              <w:szCs w:val="22"/>
            </w:rPr>
            <w:tab/>
          </w:r>
          <w:r>
            <w:rPr>
              <w:lang w:val="en-US" w:eastAsia="en-US"/>
            </w:rPr>
            <w:t>Failed attempts</w:t>
          </w:r>
          <w:r>
            <w:rPr/>
            <w:tab/>
          </w:r>
          <w:hyperlink w:anchor="__RefHeading___Toc518035520">
            <w:r>
              <w:rPr>
                <w:rStyle w:val="IndexLink"/>
              </w:rPr>
              <w:t>44</w:t>
            </w:r>
          </w:hyperlink>
        </w:p>
        <w:p>
          <w:pPr>
            <w:pStyle w:val="Contents5"/>
            <w:rPr>
              <w:rFonts w:ascii="Calibri" w:hAnsi="Calibri" w:cs="Calibri"/>
              <w:sz w:val="22"/>
              <w:szCs w:val="22"/>
              <w:lang w:val="en-US" w:eastAsia="en-US"/>
            </w:rPr>
          </w:pPr>
          <w:r>
            <w:rPr/>
            <w:t>24.2.4.3.4</w:t>
          </w:r>
          <w:r>
            <w:rPr>
              <w:rFonts w:cs="Calibri" w:ascii="Calibri" w:hAnsi="Calibri"/>
              <w:sz w:val="22"/>
              <w:szCs w:val="22"/>
            </w:rPr>
            <w:tab/>
          </w:r>
          <w:r>
            <w:rPr>
              <w:lang w:val="en-US" w:eastAsia="en-US"/>
            </w:rPr>
            <w:t>Capacity</w:t>
          </w:r>
          <w:r>
            <w:rPr/>
            <w:tab/>
          </w:r>
          <w:hyperlink w:anchor="__RefHeading___Toc518035521">
            <w:r>
              <w:rPr>
                <w:rStyle w:val="IndexLink"/>
              </w:rPr>
              <w:t>44</w:t>
            </w:r>
          </w:hyperlink>
        </w:p>
        <w:p>
          <w:pPr>
            <w:pStyle w:val="Contents5"/>
            <w:rPr>
              <w:rFonts w:ascii="Calibri" w:hAnsi="Calibri" w:cs="Calibri"/>
              <w:sz w:val="22"/>
              <w:szCs w:val="22"/>
              <w:lang w:val="en-US" w:eastAsia="en-US"/>
            </w:rPr>
          </w:pPr>
          <w:r>
            <w:rPr/>
            <w:t>24.2.4.3.5</w:t>
          </w:r>
          <w:r>
            <w:rPr>
              <w:rFonts w:cs="Calibri" w:ascii="Calibri" w:hAnsi="Calibri"/>
              <w:sz w:val="22"/>
              <w:szCs w:val="22"/>
            </w:rPr>
            <w:tab/>
          </w:r>
          <w:r>
            <w:rPr>
              <w:lang w:val="en-US" w:eastAsia="en-US"/>
            </w:rPr>
            <w:t>Coverage Class Distribution</w:t>
          </w:r>
          <w:r>
            <w:rPr/>
            <w:tab/>
          </w:r>
          <w:hyperlink w:anchor="__RefHeading___Toc518035522">
            <w:r>
              <w:rPr>
                <w:rStyle w:val="IndexLink"/>
              </w:rPr>
              <w:t>45</w:t>
            </w:r>
          </w:hyperlink>
        </w:p>
        <w:p>
          <w:pPr>
            <w:pStyle w:val="Contents2"/>
            <w:rPr>
              <w:rFonts w:ascii="Calibri" w:hAnsi="Calibri" w:cs="Calibri"/>
              <w:sz w:val="22"/>
              <w:szCs w:val="22"/>
              <w:lang w:val="en-US" w:eastAsia="en-US"/>
            </w:rPr>
          </w:pPr>
          <w:r>
            <w:rPr/>
            <w:t>24.3</w:t>
          </w:r>
          <w:r>
            <w:rPr>
              <w:rFonts w:cs="Calibri" w:ascii="Calibri" w:hAnsi="Calibri"/>
              <w:sz w:val="22"/>
              <w:szCs w:val="22"/>
            </w:rPr>
            <w:tab/>
          </w:r>
          <w:r>
            <w:rPr>
              <w:lang w:val="en-US" w:eastAsia="en-US"/>
            </w:rPr>
            <w:t>Conclusion</w:t>
          </w:r>
          <w:r>
            <w:rPr/>
            <w:tab/>
          </w:r>
          <w:hyperlink w:anchor="__RefHeading___Toc518035523">
            <w:r>
              <w:rPr>
                <w:rStyle w:val="IndexLink"/>
              </w:rPr>
              <w:t>45</w:t>
            </w:r>
          </w:hyperlink>
        </w:p>
        <w:p>
          <w:pPr>
            <w:pStyle w:val="Contents9"/>
            <w:rPr>
              <w:rFonts w:ascii="Calibri" w:hAnsi="Calibri" w:cs="Calibri"/>
              <w:b w:val="false"/>
              <w:b w:val="false"/>
              <w:szCs w:val="22"/>
              <w:lang w:val="en-US" w:eastAsia="en-US"/>
            </w:rPr>
          </w:pPr>
          <w:r>
            <w:rPr/>
            <w:t>Annex A:</w:t>
            <w:tab/>
            <w:t>DCS1800 System scenarios</w:t>
            <w:tab/>
          </w:r>
          <w:hyperlink w:anchor="__RefHeading___Toc518035524">
            <w:r>
              <w:rPr>
                <w:rStyle w:val="IndexLink"/>
              </w:rPr>
              <w:t>47</w:t>
            </w:r>
          </w:hyperlink>
        </w:p>
        <w:p>
          <w:pPr>
            <w:pStyle w:val="Contents1"/>
            <w:rPr>
              <w:rFonts w:ascii="Calibri" w:hAnsi="Calibri" w:cs="Calibri"/>
              <w:szCs w:val="22"/>
              <w:lang w:val="en-US" w:eastAsia="en-US"/>
            </w:rPr>
          </w:pPr>
          <w:r>
            <w:rPr/>
            <w:t>A.0</w:t>
          </w:r>
          <w:r>
            <w:rPr>
              <w:rFonts w:cs="Calibri" w:ascii="Calibri" w:hAnsi="Calibri"/>
              <w:szCs w:val="22"/>
              <w:lang w:val="en-US" w:eastAsia="en-US"/>
            </w:rPr>
            <w:tab/>
          </w:r>
          <w:r>
            <w:rPr/>
            <w:t>INTRODUCTION</w:t>
            <w:tab/>
          </w:r>
          <w:hyperlink w:anchor="__RefHeading___Toc518035525">
            <w:r>
              <w:rPr>
                <w:rStyle w:val="IndexLink"/>
              </w:rPr>
              <w:t>47</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SCENARIO 1 - SINGLE BTS AND MS</w:t>
            <w:tab/>
          </w:r>
          <w:hyperlink w:anchor="__RefHeading___Toc518035526">
            <w:r>
              <w:rPr>
                <w:rStyle w:val="IndexLink"/>
              </w:rPr>
              <w:t>47</w:t>
            </w:r>
          </w:hyperlink>
        </w:p>
        <w:p>
          <w:pPr>
            <w:pStyle w:val="Contents2"/>
            <w:rPr>
              <w:rFonts w:ascii="Calibri" w:hAnsi="Calibri" w:cs="Calibri"/>
              <w:sz w:val="22"/>
              <w:szCs w:val="22"/>
              <w:lang w:val="en-US" w:eastAsia="en-US"/>
            </w:rPr>
          </w:pPr>
          <w:r>
            <w:rPr/>
            <w:t>A.1.1</w:t>
          </w:r>
          <w:r>
            <w:rPr>
              <w:rFonts w:cs="Calibri" w:ascii="Calibri" w:hAnsi="Calibri"/>
              <w:sz w:val="22"/>
              <w:szCs w:val="22"/>
              <w:lang w:val="en-US" w:eastAsia="en-US"/>
            </w:rPr>
            <w:tab/>
          </w:r>
          <w:r>
            <w:rPr/>
            <w:t>Constraints</w:t>
            <w:tab/>
          </w:r>
          <w:hyperlink w:anchor="__RefHeading___Toc518035527">
            <w:r>
              <w:rPr>
                <w:rStyle w:val="IndexLink"/>
              </w:rPr>
              <w:t>47</w:t>
            </w:r>
          </w:hyperlink>
        </w:p>
        <w:p>
          <w:pPr>
            <w:pStyle w:val="Contents3"/>
            <w:rPr>
              <w:rFonts w:ascii="Calibri" w:hAnsi="Calibri" w:cs="Calibri"/>
              <w:sz w:val="22"/>
              <w:szCs w:val="22"/>
              <w:lang w:val="en-US" w:eastAsia="en-US"/>
            </w:rPr>
          </w:pPr>
          <w:r>
            <w:rPr/>
            <w:t>A.1.1.1</w:t>
          </w:r>
          <w:r>
            <w:rPr>
              <w:rFonts w:cs="Calibri" w:ascii="Calibri" w:hAnsi="Calibri"/>
              <w:sz w:val="22"/>
              <w:szCs w:val="22"/>
              <w:lang w:val="en-US" w:eastAsia="en-US"/>
            </w:rPr>
            <w:tab/>
          </w:r>
          <w:r>
            <w:rPr/>
            <w:t>Frequency Bands and Channel Arrangement (Clause 2 of GSM 05.05)</w:t>
            <w:tab/>
          </w:r>
          <w:hyperlink w:anchor="__RefHeading___Toc518035528">
            <w:r>
              <w:rPr>
                <w:rStyle w:val="IndexLink"/>
              </w:rPr>
              <w:t>47</w:t>
            </w:r>
          </w:hyperlink>
        </w:p>
        <w:p>
          <w:pPr>
            <w:pStyle w:val="Contents3"/>
            <w:rPr>
              <w:rFonts w:ascii="Calibri" w:hAnsi="Calibri" w:cs="Calibri"/>
              <w:sz w:val="22"/>
              <w:szCs w:val="22"/>
              <w:lang w:val="en-US" w:eastAsia="en-US"/>
            </w:rPr>
          </w:pPr>
          <w:r>
            <w:rPr/>
            <w:t>A.1.1.2</w:t>
          </w:r>
          <w:r>
            <w:rPr>
              <w:rFonts w:cs="Calibri" w:ascii="Calibri" w:hAnsi="Calibri"/>
              <w:sz w:val="22"/>
              <w:szCs w:val="22"/>
              <w:lang w:val="en-US" w:eastAsia="en-US"/>
            </w:rPr>
            <w:tab/>
          </w:r>
          <w:r>
            <w:rPr/>
            <w:t>Proximity</w:t>
            <w:tab/>
          </w:r>
          <w:hyperlink w:anchor="__RefHeading___Toc518035529">
            <w:r>
              <w:rPr>
                <w:rStyle w:val="IndexLink"/>
              </w:rPr>
              <w:t>48</w:t>
            </w:r>
          </w:hyperlink>
        </w:p>
        <w:p>
          <w:pPr>
            <w:pStyle w:val="Contents3"/>
            <w:rPr>
              <w:rFonts w:ascii="Calibri" w:hAnsi="Calibri" w:cs="Calibri"/>
              <w:sz w:val="22"/>
              <w:szCs w:val="22"/>
              <w:lang w:val="en-US" w:eastAsia="en-US"/>
            </w:rPr>
          </w:pPr>
          <w:r>
            <w:rPr/>
            <w:t>A.1.1.3</w:t>
          </w:r>
          <w:r>
            <w:rPr>
              <w:rFonts w:cs="Calibri" w:ascii="Calibri" w:hAnsi="Calibri"/>
              <w:sz w:val="22"/>
              <w:szCs w:val="22"/>
              <w:lang w:val="en-US" w:eastAsia="en-US"/>
            </w:rPr>
            <w:tab/>
          </w:r>
          <w:r>
            <w:rPr/>
            <w:t>Range</w:t>
            <w:tab/>
          </w:r>
          <w:hyperlink w:anchor="__RefHeading___Toc518035530">
            <w:r>
              <w:rPr>
                <w:rStyle w:val="IndexLink"/>
              </w:rPr>
              <w:t>48</w:t>
            </w:r>
          </w:hyperlink>
        </w:p>
        <w:p>
          <w:pPr>
            <w:pStyle w:val="Contents2"/>
            <w:rPr>
              <w:rFonts w:ascii="Calibri" w:hAnsi="Calibri" w:cs="Calibri"/>
              <w:sz w:val="22"/>
              <w:szCs w:val="22"/>
              <w:lang w:val="en-US" w:eastAsia="en-US"/>
            </w:rPr>
          </w:pPr>
          <w:r>
            <w:rPr/>
            <w:t>A.1.3</w:t>
          </w:r>
          <w:r>
            <w:rPr>
              <w:rFonts w:cs="Calibri" w:ascii="Calibri" w:hAnsi="Calibri"/>
              <w:sz w:val="22"/>
              <w:szCs w:val="22"/>
              <w:lang w:val="en-US" w:eastAsia="en-US"/>
            </w:rPr>
            <w:tab/>
          </w:r>
          <w:r>
            <w:rPr/>
            <w:t>Inputs needed</w:t>
            <w:tab/>
          </w:r>
          <w:hyperlink w:anchor="__RefHeading___Toc518035531">
            <w:r>
              <w:rPr>
                <w:rStyle w:val="IndexLink"/>
              </w:rPr>
              <w:t>49</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SCENARIO 2 - MULTIPLE MS AND BTS, COORDINATED</w:t>
            <w:tab/>
          </w:r>
          <w:hyperlink w:anchor="__RefHeading___Toc518035532">
            <w:r>
              <w:rPr>
                <w:rStyle w:val="IndexLink"/>
              </w:rPr>
              <w:t>49</w:t>
            </w:r>
          </w:hyperlink>
        </w:p>
        <w:p>
          <w:pPr>
            <w:pStyle w:val="Contents2"/>
            <w:rPr>
              <w:rFonts w:ascii="Calibri" w:hAnsi="Calibri" w:cs="Calibri"/>
              <w:sz w:val="22"/>
              <w:szCs w:val="22"/>
              <w:lang w:val="en-US" w:eastAsia="en-US"/>
            </w:rPr>
          </w:pPr>
          <w:r>
            <w:rPr/>
            <w:t>A.2.1</w:t>
          </w:r>
          <w:r>
            <w:rPr>
              <w:rFonts w:cs="Calibri" w:ascii="Calibri" w:hAnsi="Calibri"/>
              <w:sz w:val="22"/>
              <w:szCs w:val="22"/>
              <w:lang w:val="en-US" w:eastAsia="en-US"/>
            </w:rPr>
            <w:tab/>
          </w:r>
          <w:r>
            <w:rPr/>
            <w:t>Constraints</w:t>
            <w:tab/>
          </w:r>
          <w:hyperlink w:anchor="__RefHeading___Toc518035533">
            <w:r>
              <w:rPr>
                <w:rStyle w:val="IndexLink"/>
              </w:rPr>
              <w:t>49</w:t>
            </w:r>
          </w:hyperlink>
        </w:p>
        <w:p>
          <w:pPr>
            <w:pStyle w:val="Contents2"/>
            <w:rPr>
              <w:rFonts w:ascii="Calibri" w:hAnsi="Calibri" w:cs="Calibri"/>
              <w:sz w:val="22"/>
              <w:szCs w:val="22"/>
              <w:lang w:val="en-US" w:eastAsia="en-US"/>
            </w:rPr>
          </w:pPr>
          <w:r>
            <w:rPr/>
            <w:t>A.2.3</w:t>
          </w:r>
          <w:r>
            <w:rPr>
              <w:rFonts w:cs="Calibri" w:ascii="Calibri" w:hAnsi="Calibri"/>
              <w:sz w:val="22"/>
              <w:szCs w:val="22"/>
              <w:lang w:val="en-US" w:eastAsia="en-US"/>
            </w:rPr>
            <w:tab/>
          </w:r>
          <w:r>
            <w:rPr/>
            <w:t>Inputs needed</w:t>
            <w:tab/>
          </w:r>
          <w:hyperlink w:anchor="__RefHeading___Toc518035534">
            <w:r>
              <w:rPr>
                <w:rStyle w:val="IndexLink"/>
              </w:rPr>
              <w:t>50</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SCENARIO 3 - MULTIPLE MS AND BTS, UNCOORDINATED</w:t>
            <w:tab/>
          </w:r>
          <w:hyperlink w:anchor="__RefHeading___Toc518035535">
            <w:r>
              <w:rPr>
                <w:rStyle w:val="IndexLink"/>
              </w:rPr>
              <w:t>51</w:t>
            </w:r>
          </w:hyperlink>
        </w:p>
        <w:p>
          <w:pPr>
            <w:pStyle w:val="Contents2"/>
            <w:rPr>
              <w:rFonts w:ascii="Calibri" w:hAnsi="Calibri" w:cs="Calibri"/>
              <w:sz w:val="22"/>
              <w:szCs w:val="22"/>
              <w:lang w:val="en-US" w:eastAsia="en-US"/>
            </w:rPr>
          </w:pPr>
          <w:r>
            <w:rPr/>
            <w:t>A.3.1</w:t>
          </w:r>
          <w:r>
            <w:rPr>
              <w:rFonts w:cs="Calibri" w:ascii="Calibri" w:hAnsi="Calibri"/>
              <w:sz w:val="22"/>
              <w:szCs w:val="22"/>
              <w:lang w:val="en-US" w:eastAsia="en-US"/>
            </w:rPr>
            <w:tab/>
          </w:r>
          <w:r>
            <w:rPr/>
            <w:t>Constraints</w:t>
            <w:tab/>
          </w:r>
          <w:hyperlink w:anchor="__RefHeading___Toc518035536">
            <w:r>
              <w:rPr>
                <w:rStyle w:val="IndexLink"/>
              </w:rPr>
              <w:t>51</w:t>
            </w:r>
          </w:hyperlink>
        </w:p>
        <w:p>
          <w:pPr>
            <w:pStyle w:val="Contents2"/>
            <w:rPr>
              <w:rFonts w:ascii="Calibri" w:hAnsi="Calibri" w:cs="Calibri"/>
              <w:sz w:val="22"/>
              <w:szCs w:val="22"/>
              <w:lang w:val="en-US" w:eastAsia="en-US"/>
            </w:rPr>
          </w:pPr>
          <w:r>
            <w:rPr/>
            <w:t>A.3.3</w:t>
          </w:r>
          <w:r>
            <w:rPr>
              <w:rFonts w:cs="Calibri" w:ascii="Calibri" w:hAnsi="Calibri"/>
              <w:sz w:val="22"/>
              <w:szCs w:val="22"/>
              <w:lang w:val="en-US" w:eastAsia="en-US"/>
            </w:rPr>
            <w:tab/>
          </w:r>
          <w:r>
            <w:rPr/>
            <w:t>Inputs needed</w:t>
            <w:tab/>
          </w:r>
          <w:hyperlink w:anchor="__RefHeading___Toc518035537">
            <w:r>
              <w:rPr>
                <w:rStyle w:val="IndexLink"/>
              </w:rPr>
              <w:t>51</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SCENARIO 4 - COLOCATED MS</w:t>
            <w:tab/>
          </w:r>
          <w:hyperlink w:anchor="__RefHeading___Toc518035538">
            <w:r>
              <w:rPr>
                <w:rStyle w:val="IndexLink"/>
              </w:rPr>
              <w:t>52</w:t>
            </w:r>
          </w:hyperlink>
        </w:p>
        <w:p>
          <w:pPr>
            <w:pStyle w:val="Contents2"/>
            <w:rPr>
              <w:rFonts w:ascii="Calibri" w:hAnsi="Calibri" w:cs="Calibri"/>
              <w:sz w:val="22"/>
              <w:szCs w:val="22"/>
              <w:lang w:val="en-US" w:eastAsia="en-US"/>
            </w:rPr>
          </w:pPr>
          <w:r>
            <w:rPr/>
            <w:t>A.4.1</w:t>
          </w:r>
          <w:r>
            <w:rPr>
              <w:rFonts w:cs="Calibri" w:ascii="Calibri" w:hAnsi="Calibri"/>
              <w:sz w:val="22"/>
              <w:szCs w:val="22"/>
              <w:lang w:val="en-US" w:eastAsia="en-US"/>
            </w:rPr>
            <w:tab/>
          </w:r>
          <w:r>
            <w:rPr/>
            <w:t>Constraints</w:t>
            <w:tab/>
          </w:r>
          <w:hyperlink w:anchor="__RefHeading___Toc518035539">
            <w:r>
              <w:rPr>
                <w:rStyle w:val="IndexLink"/>
              </w:rPr>
              <w:t>52</w:t>
            </w:r>
          </w:hyperlink>
        </w:p>
        <w:p>
          <w:pPr>
            <w:pStyle w:val="Contents2"/>
            <w:rPr>
              <w:rFonts w:ascii="Calibri" w:hAnsi="Calibri" w:cs="Calibri"/>
              <w:sz w:val="22"/>
              <w:szCs w:val="22"/>
              <w:lang w:val="en-US" w:eastAsia="en-US"/>
            </w:rPr>
          </w:pPr>
          <w:r>
            <w:rPr/>
            <w:t>A.4.3</w:t>
          </w:r>
          <w:r>
            <w:rPr>
              <w:rFonts w:cs="Calibri" w:ascii="Calibri" w:hAnsi="Calibri"/>
              <w:sz w:val="22"/>
              <w:szCs w:val="22"/>
              <w:lang w:val="en-US" w:eastAsia="en-US"/>
            </w:rPr>
            <w:tab/>
          </w:r>
          <w:r>
            <w:rPr/>
            <w:t>Inputs needed</w:t>
            <w:tab/>
          </w:r>
          <w:hyperlink w:anchor="__RefHeading___Toc518035540">
            <w:r>
              <w:rPr>
                <w:rStyle w:val="IndexLink"/>
              </w:rPr>
              <w:t>53</w:t>
            </w:r>
          </w:hyperlink>
        </w:p>
        <w:p>
          <w:pPr>
            <w:pStyle w:val="Contents1"/>
            <w:rPr>
              <w:rFonts w:ascii="Calibri" w:hAnsi="Calibri" w:cs="Calibri"/>
              <w:szCs w:val="22"/>
              <w:lang w:val="en-US" w:eastAsia="en-US"/>
            </w:rPr>
          </w:pPr>
          <w:r>
            <w:rPr/>
            <w:t>A.5</w:t>
          </w:r>
          <w:r>
            <w:rPr>
              <w:rFonts w:cs="Calibri" w:ascii="Calibri" w:hAnsi="Calibri"/>
              <w:szCs w:val="22"/>
              <w:lang w:val="en-US" w:eastAsia="en-US"/>
            </w:rPr>
            <w:tab/>
          </w:r>
          <w:r>
            <w:rPr/>
            <w:t>SCENARIO 5 - COLOCATED BTS</w:t>
            <w:tab/>
          </w:r>
          <w:hyperlink w:anchor="__RefHeading___Toc518035541">
            <w:r>
              <w:rPr>
                <w:rStyle w:val="IndexLink"/>
              </w:rPr>
              <w:t>53</w:t>
            </w:r>
          </w:hyperlink>
        </w:p>
        <w:p>
          <w:pPr>
            <w:pStyle w:val="Contents2"/>
            <w:rPr>
              <w:rFonts w:ascii="Calibri" w:hAnsi="Calibri" w:cs="Calibri"/>
              <w:sz w:val="22"/>
              <w:szCs w:val="22"/>
              <w:lang w:val="en-US" w:eastAsia="en-US"/>
            </w:rPr>
          </w:pPr>
          <w:r>
            <w:rPr/>
            <w:t>A.5.1</w:t>
          </w:r>
          <w:r>
            <w:rPr>
              <w:rFonts w:cs="Calibri" w:ascii="Calibri" w:hAnsi="Calibri"/>
              <w:sz w:val="22"/>
              <w:szCs w:val="22"/>
              <w:lang w:val="en-US" w:eastAsia="en-US"/>
            </w:rPr>
            <w:tab/>
          </w:r>
          <w:r>
            <w:rPr/>
            <w:t>Constraints</w:t>
            <w:tab/>
          </w:r>
          <w:hyperlink w:anchor="__RefHeading___Toc518035542">
            <w:r>
              <w:rPr>
                <w:rStyle w:val="IndexLink"/>
              </w:rPr>
              <w:t>53</w:t>
            </w:r>
          </w:hyperlink>
        </w:p>
        <w:p>
          <w:pPr>
            <w:pStyle w:val="Contents2"/>
            <w:rPr>
              <w:rFonts w:ascii="Calibri" w:hAnsi="Calibri" w:cs="Calibri"/>
              <w:sz w:val="22"/>
              <w:szCs w:val="22"/>
              <w:lang w:val="en-US" w:eastAsia="en-US"/>
            </w:rPr>
          </w:pPr>
          <w:r>
            <w:rPr/>
            <w:t>A.5.3</w:t>
          </w:r>
          <w:r>
            <w:rPr>
              <w:rFonts w:cs="Calibri" w:ascii="Calibri" w:hAnsi="Calibri"/>
              <w:sz w:val="22"/>
              <w:szCs w:val="22"/>
              <w:lang w:val="en-US" w:eastAsia="en-US"/>
            </w:rPr>
            <w:tab/>
          </w:r>
          <w:r>
            <w:rPr/>
            <w:t>Inputs needed</w:t>
            <w:tab/>
          </w:r>
          <w:hyperlink w:anchor="__RefHeading___Toc518035543">
            <w:r>
              <w:rPr>
                <w:rStyle w:val="IndexLink"/>
              </w:rPr>
              <w:t>53</w:t>
            </w:r>
          </w:hyperlink>
        </w:p>
        <w:p>
          <w:pPr>
            <w:pStyle w:val="Contents1"/>
            <w:rPr>
              <w:rFonts w:ascii="Calibri" w:hAnsi="Calibri" w:cs="Calibri"/>
              <w:szCs w:val="22"/>
              <w:lang w:val="en-US" w:eastAsia="en-US"/>
            </w:rPr>
          </w:pPr>
          <w:r>
            <w:rPr/>
            <w:t>A.6</w:t>
          </w:r>
          <w:r>
            <w:rPr>
              <w:rFonts w:cs="Calibri" w:ascii="Calibri" w:hAnsi="Calibri"/>
              <w:szCs w:val="22"/>
              <w:lang w:val="en-US" w:eastAsia="en-US"/>
            </w:rPr>
            <w:tab/>
          </w:r>
          <w:r>
            <w:rPr/>
            <w:t>SCENARIO 6 - COLOCATION WITH OTHER SYSTEMS</w:t>
            <w:tab/>
          </w:r>
          <w:hyperlink w:anchor="__RefHeading___Toc518035544">
            <w:r>
              <w:rPr>
                <w:rStyle w:val="IndexLink"/>
              </w:rPr>
              <w:t>54</w:t>
            </w:r>
          </w:hyperlink>
        </w:p>
        <w:p>
          <w:pPr>
            <w:pStyle w:val="Contents2"/>
            <w:rPr>
              <w:rFonts w:ascii="Calibri" w:hAnsi="Calibri" w:cs="Calibri"/>
              <w:sz w:val="22"/>
              <w:szCs w:val="22"/>
              <w:lang w:val="en-US" w:eastAsia="en-US"/>
            </w:rPr>
          </w:pPr>
          <w:r>
            <w:rPr/>
            <w:t>A.6.1</w:t>
          </w:r>
          <w:r>
            <w:rPr>
              <w:rFonts w:cs="Calibri" w:ascii="Calibri" w:hAnsi="Calibri"/>
              <w:sz w:val="22"/>
              <w:szCs w:val="22"/>
              <w:lang w:val="en-US" w:eastAsia="en-US"/>
            </w:rPr>
            <w:tab/>
          </w:r>
          <w:r>
            <w:rPr/>
            <w:t>Constraints</w:t>
            <w:tab/>
          </w:r>
          <w:hyperlink w:anchor="__RefHeading___Toc518035545">
            <w:r>
              <w:rPr>
                <w:rStyle w:val="IndexLink"/>
              </w:rPr>
              <w:t>54</w:t>
            </w:r>
          </w:hyperlink>
        </w:p>
        <w:p>
          <w:pPr>
            <w:pStyle w:val="Contents2"/>
            <w:rPr>
              <w:rFonts w:ascii="Calibri" w:hAnsi="Calibri" w:cs="Calibri"/>
              <w:sz w:val="22"/>
              <w:szCs w:val="22"/>
              <w:lang w:val="en-US" w:eastAsia="en-US"/>
            </w:rPr>
          </w:pPr>
          <w:r>
            <w:rPr/>
            <w:t>A.6.3</w:t>
          </w:r>
          <w:r>
            <w:rPr>
              <w:rFonts w:cs="Calibri" w:ascii="Calibri" w:hAnsi="Calibri"/>
              <w:sz w:val="22"/>
              <w:szCs w:val="22"/>
              <w:lang w:val="en-US" w:eastAsia="en-US"/>
            </w:rPr>
            <w:tab/>
          </w:r>
          <w:r>
            <w:rPr/>
            <w:t>Inputs needed</w:t>
            <w:tab/>
          </w:r>
          <w:hyperlink w:anchor="__RefHeading___Toc518035546">
            <w:r>
              <w:rPr>
                <w:rStyle w:val="IndexLink"/>
              </w:rPr>
              <w:t>54</w:t>
            </w:r>
          </w:hyperlink>
        </w:p>
        <w:p>
          <w:pPr>
            <w:pStyle w:val="Contents1"/>
            <w:rPr>
              <w:rFonts w:ascii="Calibri" w:hAnsi="Calibri" w:cs="Calibri"/>
              <w:szCs w:val="22"/>
              <w:lang w:val="en-US" w:eastAsia="en-US"/>
            </w:rPr>
          </w:pPr>
          <w:r>
            <w:rPr/>
            <w:t>A.7</w:t>
          </w:r>
          <w:r>
            <w:rPr>
              <w:rFonts w:cs="Calibri" w:ascii="Calibri" w:hAnsi="Calibri"/>
              <w:szCs w:val="22"/>
              <w:lang w:val="en-US" w:eastAsia="en-US"/>
            </w:rPr>
            <w:tab/>
          </w:r>
          <w:r>
            <w:rPr/>
            <w:t>Title: Justifications for the proposed Rec. 05.05_DCS</w:t>
            <w:tab/>
          </w:r>
          <w:hyperlink w:anchor="__RefHeading___Toc518035547">
            <w:r>
              <w:rPr>
                <w:rStyle w:val="IndexLink"/>
              </w:rPr>
              <w:t>55</w:t>
            </w:r>
          </w:hyperlink>
        </w:p>
        <w:p>
          <w:pPr>
            <w:pStyle w:val="Contents2"/>
            <w:rPr>
              <w:rFonts w:ascii="Calibri" w:hAnsi="Calibri" w:cs="Calibri"/>
              <w:sz w:val="22"/>
              <w:szCs w:val="22"/>
              <w:lang w:val="en-US" w:eastAsia="en-US"/>
            </w:rPr>
          </w:pPr>
          <w:r>
            <w:rPr/>
            <w:t>A.7.1</w:t>
          </w:r>
          <w:r>
            <w:rPr>
              <w:rFonts w:cs="Calibri" w:ascii="Calibri" w:hAnsi="Calibri"/>
              <w:sz w:val="22"/>
              <w:szCs w:val="22"/>
              <w:lang w:val="en-US" w:eastAsia="en-US"/>
            </w:rPr>
            <w:tab/>
          </w:r>
          <w:r>
            <w:rPr/>
            <w:t>Transmitter</w:t>
            <w:tab/>
          </w:r>
          <w:hyperlink w:anchor="__RefHeading___Toc518035548">
            <w:r>
              <w:rPr>
                <w:rStyle w:val="IndexLink"/>
              </w:rPr>
              <w:t>56</w:t>
            </w:r>
          </w:hyperlink>
        </w:p>
        <w:p>
          <w:pPr>
            <w:pStyle w:val="Contents3"/>
            <w:rPr>
              <w:rFonts w:ascii="Calibri" w:hAnsi="Calibri" w:cs="Calibri"/>
              <w:sz w:val="22"/>
              <w:szCs w:val="22"/>
              <w:lang w:val="en-US" w:eastAsia="en-US"/>
            </w:rPr>
          </w:pPr>
          <w:r>
            <w:rPr/>
            <w:t>A.7.1.1</w:t>
          </w:r>
          <w:r>
            <w:rPr>
              <w:rFonts w:cs="Calibri" w:ascii="Calibri" w:hAnsi="Calibri"/>
              <w:sz w:val="22"/>
              <w:szCs w:val="22"/>
              <w:lang w:val="en-US" w:eastAsia="en-US"/>
            </w:rPr>
            <w:tab/>
          </w:r>
          <w:r>
            <w:rPr/>
            <w:t>Modulation, Spurs and Noise</w:t>
            <w:tab/>
          </w:r>
          <w:hyperlink w:anchor="__RefHeading___Toc518035549">
            <w:r>
              <w:rPr>
                <w:rStyle w:val="IndexLink"/>
              </w:rPr>
              <w:t>56</w:t>
            </w:r>
          </w:hyperlink>
        </w:p>
        <w:p>
          <w:pPr>
            <w:pStyle w:val="Contents4"/>
            <w:rPr>
              <w:rFonts w:ascii="Calibri" w:hAnsi="Calibri" w:cs="Calibri"/>
              <w:sz w:val="22"/>
              <w:szCs w:val="22"/>
              <w:lang w:val="en-US" w:eastAsia="en-US"/>
            </w:rPr>
          </w:pPr>
          <w:r>
            <w:rPr/>
            <w:t>A.7.1.1.1</w:t>
          </w:r>
          <w:r>
            <w:rPr>
              <w:rFonts w:cs="Calibri" w:ascii="Calibri" w:hAnsi="Calibri"/>
              <w:sz w:val="22"/>
              <w:szCs w:val="22"/>
              <w:lang w:val="en-US" w:eastAsia="en-US"/>
            </w:rPr>
            <w:tab/>
          </w:r>
          <w:r>
            <w:rPr/>
            <w:t>Co-ordinated, BTS -&gt; MS (Scenario 2, figure 2.1)</w:t>
            <w:tab/>
          </w:r>
          <w:hyperlink w:anchor="__RefHeading___Toc518035550">
            <w:r>
              <w:rPr>
                <w:rStyle w:val="IndexLink"/>
              </w:rPr>
              <w:t>56</w:t>
            </w:r>
          </w:hyperlink>
        </w:p>
        <w:p>
          <w:pPr>
            <w:pStyle w:val="Contents4"/>
            <w:rPr>
              <w:rFonts w:ascii="Calibri" w:hAnsi="Calibri" w:cs="Calibri"/>
              <w:sz w:val="22"/>
              <w:szCs w:val="22"/>
              <w:lang w:val="en-US" w:eastAsia="en-US"/>
            </w:rPr>
          </w:pPr>
          <w:r>
            <w:rPr/>
            <w:t>A.7.1.1.2</w:t>
          </w:r>
          <w:r>
            <w:rPr>
              <w:rFonts w:cs="Calibri" w:ascii="Calibri" w:hAnsi="Calibri"/>
              <w:sz w:val="22"/>
              <w:szCs w:val="22"/>
              <w:lang w:val="en-US" w:eastAsia="en-US"/>
            </w:rPr>
            <w:tab/>
          </w:r>
          <w:r>
            <w:rPr/>
            <w:t>Uncoordinated, BTS -&gt; MS (Scenario 3, figure 3.1)</w:t>
            <w:tab/>
          </w:r>
          <w:hyperlink w:anchor="__RefHeading___Toc518035551">
            <w:r>
              <w:rPr>
                <w:rStyle w:val="IndexLink"/>
              </w:rPr>
              <w:t>56</w:t>
            </w:r>
          </w:hyperlink>
        </w:p>
        <w:p>
          <w:pPr>
            <w:pStyle w:val="Contents3"/>
            <w:rPr>
              <w:rFonts w:ascii="Calibri" w:hAnsi="Calibri" w:cs="Calibri"/>
              <w:sz w:val="22"/>
              <w:szCs w:val="22"/>
              <w:lang w:val="en-US" w:eastAsia="en-US"/>
            </w:rPr>
          </w:pPr>
          <w:r>
            <w:rPr/>
            <w:t>A.7.1.1.3</w:t>
          </w:r>
          <w:r>
            <w:rPr>
              <w:rFonts w:cs="Calibri" w:ascii="Calibri" w:hAnsi="Calibri"/>
              <w:sz w:val="22"/>
              <w:szCs w:val="22"/>
              <w:lang w:val="en-US" w:eastAsia="en-US"/>
            </w:rPr>
            <w:tab/>
          </w:r>
          <w:r>
            <w:rPr/>
            <w:t>Co-ordinated &amp; Uncoordinated MS -&gt; BTS (Scenarios 2 and 3, figures 2.1 and 3.1)</w:t>
            <w:tab/>
          </w:r>
          <w:hyperlink w:anchor="__RefHeading___Toc518035552">
            <w:r>
              <w:rPr>
                <w:rStyle w:val="IndexLink"/>
              </w:rPr>
              <w:t>56</w:t>
            </w:r>
          </w:hyperlink>
        </w:p>
        <w:p>
          <w:pPr>
            <w:pStyle w:val="Contents4"/>
            <w:rPr>
              <w:rFonts w:ascii="Calibri" w:hAnsi="Calibri" w:cs="Calibri"/>
              <w:sz w:val="22"/>
              <w:szCs w:val="22"/>
              <w:lang w:val="en-US" w:eastAsia="en-US"/>
            </w:rPr>
          </w:pPr>
          <w:r>
            <w:rPr/>
            <w:t>A.7.1.1.4</w:t>
          </w:r>
          <w:r>
            <w:rPr>
              <w:rFonts w:cs="Calibri" w:ascii="Calibri" w:hAnsi="Calibri"/>
              <w:sz w:val="22"/>
              <w:szCs w:val="22"/>
              <w:lang w:val="en-US" w:eastAsia="en-US"/>
            </w:rPr>
            <w:tab/>
          </w:r>
          <w:r>
            <w:rPr/>
            <w:t>Co-ordinated &amp; Uncoordinated MS-&gt;MS (Scenario 4)</w:t>
            <w:tab/>
          </w:r>
          <w:hyperlink w:anchor="__RefHeading___Toc518035553">
            <w:r>
              <w:rPr>
                <w:rStyle w:val="IndexLink"/>
              </w:rPr>
              <w:t>56</w:t>
            </w:r>
          </w:hyperlink>
        </w:p>
        <w:p>
          <w:pPr>
            <w:pStyle w:val="Contents4"/>
            <w:rPr>
              <w:rFonts w:ascii="Calibri" w:hAnsi="Calibri" w:cs="Calibri"/>
              <w:sz w:val="22"/>
              <w:szCs w:val="22"/>
              <w:lang w:val="en-US" w:eastAsia="en-US"/>
            </w:rPr>
          </w:pPr>
          <w:r>
            <w:rPr/>
            <w:t>A.7.1.1.5</w:t>
          </w:r>
          <w:r>
            <w:rPr>
              <w:rFonts w:cs="Calibri" w:ascii="Calibri" w:hAnsi="Calibri"/>
              <w:sz w:val="22"/>
              <w:szCs w:val="22"/>
              <w:lang w:val="en-US" w:eastAsia="en-US"/>
            </w:rPr>
            <w:tab/>
          </w:r>
          <w:r>
            <w:rPr/>
            <w:t>Co-ordinated &amp; Uncoordinated BTS-&gt;BTS (Scenario 5)</w:t>
            <w:tab/>
          </w:r>
          <w:hyperlink w:anchor="__RefHeading___Toc518035554">
            <w:r>
              <w:rPr>
                <w:rStyle w:val="IndexLink"/>
              </w:rPr>
              <w:t>56</w:t>
            </w:r>
          </w:hyperlink>
        </w:p>
        <w:p>
          <w:pPr>
            <w:pStyle w:val="Contents3"/>
            <w:rPr>
              <w:rFonts w:ascii="Calibri" w:hAnsi="Calibri" w:cs="Calibri"/>
              <w:sz w:val="22"/>
              <w:szCs w:val="22"/>
              <w:lang w:val="en-US" w:eastAsia="en-US"/>
            </w:rPr>
          </w:pPr>
          <w:r>
            <w:rPr/>
            <w:t>A.7.1.2</w:t>
          </w:r>
          <w:r>
            <w:rPr>
              <w:rFonts w:cs="Calibri" w:ascii="Calibri" w:hAnsi="Calibri"/>
              <w:sz w:val="22"/>
              <w:szCs w:val="22"/>
              <w:lang w:val="en-US" w:eastAsia="en-US"/>
            </w:rPr>
            <w:tab/>
          </w:r>
          <w:r>
            <w:rPr/>
            <w:t>Switching Transients</w:t>
            <w:tab/>
          </w:r>
          <w:hyperlink w:anchor="__RefHeading___Toc518035555">
            <w:r>
              <w:rPr>
                <w:rStyle w:val="IndexLink"/>
              </w:rPr>
              <w:t>56</w:t>
            </w:r>
          </w:hyperlink>
        </w:p>
        <w:p>
          <w:pPr>
            <w:pStyle w:val="Contents4"/>
            <w:rPr>
              <w:rFonts w:ascii="Calibri" w:hAnsi="Calibri" w:cs="Calibri"/>
              <w:sz w:val="22"/>
              <w:szCs w:val="22"/>
              <w:lang w:val="en-US" w:eastAsia="en-US"/>
            </w:rPr>
          </w:pPr>
          <w:r>
            <w:rPr/>
            <w:t>A.7.1.2.1</w:t>
          </w:r>
          <w:r>
            <w:rPr>
              <w:rFonts w:cs="Calibri" w:ascii="Calibri" w:hAnsi="Calibri"/>
              <w:sz w:val="22"/>
              <w:szCs w:val="22"/>
              <w:lang w:val="en-US" w:eastAsia="en-US"/>
            </w:rPr>
            <w:tab/>
          </w:r>
          <w:r>
            <w:rPr/>
            <w:t>Uncoordinated MS -&gt; BTS (Scenario 3, figure 3.1)</w:t>
            <w:tab/>
          </w:r>
          <w:hyperlink w:anchor="__RefHeading___Toc518035556">
            <w:r>
              <w:rPr>
                <w:rStyle w:val="IndexLink"/>
              </w:rPr>
              <w:t>56</w:t>
            </w:r>
          </w:hyperlink>
        </w:p>
        <w:p>
          <w:pPr>
            <w:pStyle w:val="Contents4"/>
            <w:rPr>
              <w:rFonts w:ascii="Calibri" w:hAnsi="Calibri" w:cs="Calibri"/>
              <w:sz w:val="22"/>
              <w:szCs w:val="22"/>
              <w:lang w:val="en-US" w:eastAsia="en-US"/>
            </w:rPr>
          </w:pPr>
          <w:r>
            <w:rPr/>
            <w:t>A.7.1.2.2</w:t>
          </w:r>
          <w:r>
            <w:rPr>
              <w:rFonts w:cs="Calibri" w:ascii="Calibri" w:hAnsi="Calibri"/>
              <w:sz w:val="22"/>
              <w:szCs w:val="22"/>
              <w:lang w:val="en-US" w:eastAsia="en-US"/>
            </w:rPr>
            <w:tab/>
          </w:r>
          <w:r>
            <w:rPr/>
            <w:t>Uncoordinated BTS -&gt; MS (Scenario 3, figure 3.1)</w:t>
            <w:tab/>
          </w:r>
          <w:hyperlink w:anchor="__RefHeading___Toc518035557">
            <w:r>
              <w:rPr>
                <w:rStyle w:val="IndexLink"/>
              </w:rPr>
              <w:t>56</w:t>
            </w:r>
          </w:hyperlink>
        </w:p>
        <w:p>
          <w:pPr>
            <w:pStyle w:val="Contents3"/>
            <w:rPr>
              <w:rFonts w:ascii="Calibri" w:hAnsi="Calibri" w:cs="Calibri"/>
              <w:sz w:val="22"/>
              <w:szCs w:val="22"/>
              <w:lang w:val="en-US" w:eastAsia="en-US"/>
            </w:rPr>
          </w:pPr>
          <w:r>
            <w:rPr/>
            <w:t>A.7.1.3</w:t>
          </w:r>
          <w:r>
            <w:rPr>
              <w:rFonts w:cs="Calibri" w:ascii="Calibri" w:hAnsi="Calibri"/>
              <w:sz w:val="22"/>
              <w:szCs w:val="22"/>
              <w:lang w:val="en-US" w:eastAsia="en-US"/>
            </w:rPr>
            <w:tab/>
          </w:r>
          <w:r>
            <w:rPr/>
            <w:t>Intermodulation</w:t>
            <w:tab/>
          </w:r>
          <w:hyperlink w:anchor="__RefHeading___Toc518035558">
            <w:r>
              <w:rPr>
                <w:rStyle w:val="IndexLink"/>
              </w:rPr>
              <w:t>57</w:t>
            </w:r>
          </w:hyperlink>
        </w:p>
        <w:p>
          <w:pPr>
            <w:pStyle w:val="Contents4"/>
            <w:rPr>
              <w:rFonts w:ascii="Calibri" w:hAnsi="Calibri" w:cs="Calibri"/>
              <w:sz w:val="22"/>
              <w:szCs w:val="22"/>
              <w:lang w:val="en-US" w:eastAsia="en-US"/>
            </w:rPr>
          </w:pPr>
          <w:r>
            <w:rPr/>
            <w:t>A.7.1.3.1</w:t>
          </w:r>
          <w:r>
            <w:rPr>
              <w:rFonts w:cs="Calibri" w:ascii="Calibri" w:hAnsi="Calibri"/>
              <w:sz w:val="22"/>
              <w:szCs w:val="22"/>
              <w:lang w:val="en-US" w:eastAsia="en-US"/>
            </w:rPr>
            <w:tab/>
          </w:r>
          <w:r>
            <w:rPr/>
            <w:t>Co-ordinated, BTS -&gt; MS (Scenario 2, figures 2.2 and 2.3)</w:t>
            <w:tab/>
          </w:r>
          <w:hyperlink w:anchor="__RefHeading___Toc518035559">
            <w:r>
              <w:rPr>
                <w:rStyle w:val="IndexLink"/>
              </w:rPr>
              <w:t>57</w:t>
            </w:r>
          </w:hyperlink>
        </w:p>
        <w:p>
          <w:pPr>
            <w:pStyle w:val="Contents4"/>
            <w:rPr>
              <w:rFonts w:ascii="Calibri" w:hAnsi="Calibri" w:cs="Calibri"/>
              <w:sz w:val="22"/>
              <w:szCs w:val="22"/>
              <w:lang w:val="en-US" w:eastAsia="en-US"/>
            </w:rPr>
          </w:pPr>
          <w:r>
            <w:rPr/>
            <w:t>A.7.1.3.2</w:t>
          </w:r>
          <w:r>
            <w:rPr>
              <w:rFonts w:cs="Calibri" w:ascii="Calibri" w:hAnsi="Calibri"/>
              <w:sz w:val="22"/>
              <w:szCs w:val="22"/>
              <w:lang w:val="en-US" w:eastAsia="en-US"/>
            </w:rPr>
            <w:tab/>
          </w:r>
          <w:r>
            <w:rPr/>
            <w:t>Uncoordinated, BTS -&gt;MS (Scenario 3, figure 3.2 top)</w:t>
            <w:tab/>
          </w:r>
          <w:hyperlink w:anchor="__RefHeading___Toc518035560">
            <w:r>
              <w:rPr>
                <w:rStyle w:val="IndexLink"/>
              </w:rPr>
              <w:t>57</w:t>
            </w:r>
          </w:hyperlink>
        </w:p>
        <w:p>
          <w:pPr>
            <w:pStyle w:val="Contents4"/>
            <w:rPr>
              <w:rFonts w:ascii="Calibri" w:hAnsi="Calibri" w:cs="Calibri"/>
              <w:sz w:val="22"/>
              <w:szCs w:val="22"/>
              <w:lang w:val="en-US" w:eastAsia="en-US"/>
            </w:rPr>
          </w:pPr>
          <w:r>
            <w:rPr/>
            <w:t>A.7.1.3.3</w:t>
          </w:r>
          <w:r>
            <w:rPr>
              <w:rFonts w:cs="Calibri" w:ascii="Calibri" w:hAnsi="Calibri"/>
              <w:sz w:val="22"/>
              <w:szCs w:val="22"/>
              <w:lang w:val="en-US" w:eastAsia="en-US"/>
            </w:rPr>
            <w:tab/>
          </w:r>
          <w:r>
            <w:rPr/>
            <w:t>Uncoordinated, MS&amp;MS-&gt; BTS (Scenario 4, figure 4.1 bottom)</w:t>
            <w:tab/>
          </w:r>
          <w:hyperlink w:anchor="__RefHeading___Toc518035561">
            <w:r>
              <w:rPr>
                <w:rStyle w:val="IndexLink"/>
              </w:rPr>
              <w:t>57</w:t>
            </w:r>
          </w:hyperlink>
        </w:p>
        <w:p>
          <w:pPr>
            <w:pStyle w:val="Contents4"/>
            <w:rPr>
              <w:rFonts w:ascii="Calibri" w:hAnsi="Calibri" w:cs="Calibri"/>
              <w:sz w:val="22"/>
              <w:szCs w:val="22"/>
              <w:lang w:val="en-US" w:eastAsia="en-US"/>
            </w:rPr>
          </w:pPr>
          <w:r>
            <w:rPr/>
            <w:t>A.7.1.3.4</w:t>
          </w:r>
          <w:r>
            <w:rPr>
              <w:rFonts w:cs="Calibri" w:ascii="Calibri" w:hAnsi="Calibri"/>
              <w:sz w:val="22"/>
              <w:szCs w:val="22"/>
              <w:lang w:val="en-US" w:eastAsia="en-US"/>
            </w:rPr>
            <w:tab/>
          </w:r>
          <w:r>
            <w:rPr/>
            <w:t>Uncoordinated MS&amp;MS-&gt; MS (Scenario 4, figure 4.1 top)</w:t>
            <w:tab/>
          </w:r>
          <w:hyperlink w:anchor="__RefHeading___Toc518035562">
            <w:r>
              <w:rPr>
                <w:rStyle w:val="IndexLink"/>
              </w:rPr>
              <w:t>57</w:t>
            </w:r>
          </w:hyperlink>
        </w:p>
        <w:p>
          <w:pPr>
            <w:pStyle w:val="Contents2"/>
            <w:rPr>
              <w:rFonts w:ascii="Calibri" w:hAnsi="Calibri" w:cs="Calibri"/>
              <w:sz w:val="22"/>
              <w:szCs w:val="22"/>
              <w:lang w:val="en-US" w:eastAsia="en-US"/>
            </w:rPr>
          </w:pPr>
          <w:r>
            <w:rPr/>
            <w:t>A.7.2</w:t>
          </w:r>
          <w:r>
            <w:rPr>
              <w:rFonts w:cs="Calibri" w:ascii="Calibri" w:hAnsi="Calibri"/>
              <w:sz w:val="22"/>
              <w:szCs w:val="22"/>
              <w:lang w:val="en-US" w:eastAsia="en-US"/>
            </w:rPr>
            <w:tab/>
          </w:r>
          <w:r>
            <w:rPr/>
            <w:t>Receiver</w:t>
            <w:tab/>
          </w:r>
          <w:hyperlink w:anchor="__RefHeading___Toc518035563">
            <w:r>
              <w:rPr>
                <w:rStyle w:val="IndexLink"/>
              </w:rPr>
              <w:t>57</w:t>
            </w:r>
          </w:hyperlink>
        </w:p>
        <w:p>
          <w:pPr>
            <w:pStyle w:val="Contents3"/>
            <w:rPr>
              <w:rFonts w:ascii="Calibri" w:hAnsi="Calibri" w:cs="Calibri"/>
              <w:sz w:val="22"/>
              <w:szCs w:val="22"/>
              <w:lang w:val="en-US" w:eastAsia="en-US"/>
            </w:rPr>
          </w:pPr>
          <w:r>
            <w:rPr/>
            <w:t>A.7.2.1</w:t>
          </w:r>
          <w:r>
            <w:rPr>
              <w:rFonts w:cs="Calibri" w:ascii="Calibri" w:hAnsi="Calibri"/>
              <w:sz w:val="22"/>
              <w:szCs w:val="22"/>
              <w:lang w:val="en-US" w:eastAsia="en-US"/>
            </w:rPr>
            <w:tab/>
          </w:r>
          <w:r>
            <w:rPr/>
            <w:t>Blocking</w:t>
            <w:tab/>
          </w:r>
          <w:hyperlink w:anchor="__RefHeading___Toc518035564">
            <w:r>
              <w:rPr>
                <w:rStyle w:val="IndexLink"/>
              </w:rPr>
              <w:t>57</w:t>
            </w:r>
          </w:hyperlink>
        </w:p>
        <w:p>
          <w:pPr>
            <w:pStyle w:val="Contents3"/>
            <w:rPr>
              <w:rFonts w:ascii="Calibri" w:hAnsi="Calibri" w:cs="Calibri"/>
              <w:sz w:val="22"/>
              <w:szCs w:val="22"/>
              <w:lang w:val="en-US" w:eastAsia="en-US"/>
            </w:rPr>
          </w:pPr>
          <w:r>
            <w:rPr/>
            <w:t>A.7.2.1.1</w:t>
          </w:r>
          <w:r>
            <w:rPr>
              <w:rFonts w:cs="Calibri" w:ascii="Calibri" w:hAnsi="Calibri"/>
              <w:sz w:val="22"/>
              <w:szCs w:val="22"/>
              <w:lang w:val="en-US" w:eastAsia="en-US"/>
            </w:rPr>
            <w:tab/>
          </w:r>
          <w:r>
            <w:rPr/>
            <w:t>Co-ordinated &amp; Uncoordinated BTS-&gt; MS (Scenarios 2 and 3, figures 2.1 and 3.1)</w:t>
            <w:tab/>
          </w:r>
          <w:hyperlink w:anchor="__RefHeading___Toc518035565">
            <w:r>
              <w:rPr>
                <w:rStyle w:val="IndexLink"/>
              </w:rPr>
              <w:t>57</w:t>
            </w:r>
          </w:hyperlink>
        </w:p>
        <w:p>
          <w:pPr>
            <w:pStyle w:val="Contents4"/>
            <w:rPr>
              <w:rFonts w:ascii="Calibri" w:hAnsi="Calibri" w:cs="Calibri"/>
              <w:sz w:val="22"/>
              <w:szCs w:val="22"/>
              <w:lang w:val="en-US" w:eastAsia="en-US"/>
            </w:rPr>
          </w:pPr>
          <w:r>
            <w:rPr/>
            <w:t>A.7.2.1.2</w:t>
          </w:r>
          <w:r>
            <w:rPr>
              <w:rFonts w:cs="Calibri" w:ascii="Calibri" w:hAnsi="Calibri"/>
              <w:sz w:val="22"/>
              <w:szCs w:val="22"/>
              <w:lang w:val="en-US" w:eastAsia="en-US"/>
            </w:rPr>
            <w:tab/>
          </w:r>
          <w:r>
            <w:rPr/>
            <w:t>Co-ordinated MS-&gt; BTS (Scenario 2, figure 2.1)</w:t>
            <w:tab/>
          </w:r>
          <w:hyperlink w:anchor="__RefHeading___Toc518035566">
            <w:r>
              <w:rPr>
                <w:rStyle w:val="IndexLink"/>
              </w:rPr>
              <w:t>57</w:t>
            </w:r>
          </w:hyperlink>
        </w:p>
        <w:p>
          <w:pPr>
            <w:pStyle w:val="Contents4"/>
            <w:rPr>
              <w:rFonts w:ascii="Calibri" w:hAnsi="Calibri" w:cs="Calibri"/>
              <w:sz w:val="22"/>
              <w:szCs w:val="22"/>
              <w:lang w:val="en-US" w:eastAsia="en-US"/>
            </w:rPr>
          </w:pPr>
          <w:r>
            <w:rPr/>
            <w:t>A.7.2.1.3</w:t>
          </w:r>
          <w:r>
            <w:rPr>
              <w:rFonts w:cs="Calibri" w:ascii="Calibri" w:hAnsi="Calibri"/>
              <w:sz w:val="22"/>
              <w:szCs w:val="22"/>
              <w:lang w:val="en-US" w:eastAsia="en-US"/>
            </w:rPr>
            <w:tab/>
          </w:r>
          <w:r>
            <w:rPr/>
            <w:t>Uncoordinated MS-&gt; BTS (Scenario 3, figure 3.1)</w:t>
            <w:tab/>
          </w:r>
          <w:hyperlink w:anchor="__RefHeading___Toc518035567">
            <w:r>
              <w:rPr>
                <w:rStyle w:val="IndexLink"/>
              </w:rPr>
              <w:t>57</w:t>
            </w:r>
          </w:hyperlink>
        </w:p>
        <w:p>
          <w:pPr>
            <w:pStyle w:val="Contents4"/>
            <w:rPr>
              <w:rFonts w:ascii="Calibri" w:hAnsi="Calibri" w:cs="Calibri"/>
              <w:sz w:val="22"/>
              <w:szCs w:val="22"/>
              <w:lang w:val="en-US" w:eastAsia="en-US"/>
            </w:rPr>
          </w:pPr>
          <w:r>
            <w:rPr/>
            <w:t>A.7.2.1.4</w:t>
          </w:r>
          <w:r>
            <w:rPr>
              <w:rFonts w:cs="Calibri" w:ascii="Calibri" w:hAnsi="Calibri"/>
              <w:sz w:val="22"/>
              <w:szCs w:val="22"/>
              <w:lang w:val="en-US" w:eastAsia="en-US"/>
            </w:rPr>
            <w:tab/>
          </w:r>
          <w:r>
            <w:rPr/>
            <w:t>Co-ordinated &amp; Uncoordinated MS-&gt; MS (Scenario 4)</w:t>
            <w:tab/>
          </w:r>
          <w:hyperlink w:anchor="__RefHeading___Toc518035568">
            <w:r>
              <w:rPr>
                <w:rStyle w:val="IndexLink"/>
              </w:rPr>
              <w:t>57</w:t>
            </w:r>
          </w:hyperlink>
        </w:p>
        <w:p>
          <w:pPr>
            <w:pStyle w:val="Contents4"/>
            <w:rPr>
              <w:rFonts w:ascii="Calibri" w:hAnsi="Calibri" w:cs="Calibri"/>
              <w:sz w:val="22"/>
              <w:szCs w:val="22"/>
              <w:lang w:val="en-US" w:eastAsia="en-US"/>
            </w:rPr>
          </w:pPr>
          <w:r>
            <w:rPr/>
            <w:t>A.7.2.1.5</w:t>
          </w:r>
          <w:r>
            <w:rPr>
              <w:rFonts w:cs="Calibri" w:ascii="Calibri" w:hAnsi="Calibri"/>
              <w:sz w:val="22"/>
              <w:szCs w:val="22"/>
              <w:lang w:val="en-US" w:eastAsia="en-US"/>
            </w:rPr>
            <w:tab/>
          </w:r>
          <w:r>
            <w:rPr/>
            <w:t>Co-ordinated &amp; Uncoordinated BTS-&gt; BTS (Scenario 5)</w:t>
            <w:tab/>
          </w:r>
          <w:hyperlink w:anchor="__RefHeading___Toc518035569">
            <w:r>
              <w:rPr>
                <w:rStyle w:val="IndexLink"/>
              </w:rPr>
              <w:t>57</w:t>
            </w:r>
          </w:hyperlink>
        </w:p>
        <w:p>
          <w:pPr>
            <w:pStyle w:val="Contents3"/>
            <w:rPr>
              <w:rFonts w:ascii="Calibri" w:hAnsi="Calibri" w:cs="Calibri"/>
              <w:sz w:val="22"/>
              <w:szCs w:val="22"/>
              <w:lang w:val="en-US" w:eastAsia="en-US"/>
            </w:rPr>
          </w:pPr>
          <w:r>
            <w:rPr/>
            <w:t>A.7.2.2</w:t>
          </w:r>
          <w:r>
            <w:rPr>
              <w:rFonts w:cs="Calibri" w:ascii="Calibri" w:hAnsi="Calibri"/>
              <w:sz w:val="22"/>
              <w:szCs w:val="22"/>
              <w:lang w:val="en-US" w:eastAsia="en-US"/>
            </w:rPr>
            <w:tab/>
          </w:r>
          <w:r>
            <w:rPr/>
            <w:t>Intermodulation</w:t>
            <w:tab/>
          </w:r>
          <w:hyperlink w:anchor="__RefHeading___Toc518035570">
            <w:r>
              <w:rPr>
                <w:rStyle w:val="IndexLink"/>
              </w:rPr>
              <w:t>58</w:t>
            </w:r>
          </w:hyperlink>
        </w:p>
        <w:p>
          <w:pPr>
            <w:pStyle w:val="Contents4"/>
            <w:rPr>
              <w:rFonts w:ascii="Calibri" w:hAnsi="Calibri" w:cs="Calibri"/>
              <w:sz w:val="22"/>
              <w:szCs w:val="22"/>
              <w:lang w:val="en-US" w:eastAsia="en-US"/>
            </w:rPr>
          </w:pPr>
          <w:r>
            <w:rPr/>
            <w:t>A.7.2.2.1</w:t>
          </w:r>
          <w:r>
            <w:rPr>
              <w:rFonts w:cs="Calibri" w:ascii="Calibri" w:hAnsi="Calibri"/>
              <w:sz w:val="22"/>
              <w:szCs w:val="22"/>
              <w:lang w:val="en-US" w:eastAsia="en-US"/>
            </w:rPr>
            <w:tab/>
          </w:r>
          <w:r>
            <w:rPr/>
            <w:t>Co-ordinated &amp; Uncoordinated BTS-&gt; MS (Scenarios 2 and 3, figure 3.2 middle)</w:t>
            <w:tab/>
          </w:r>
          <w:hyperlink w:anchor="__RefHeading___Toc518035571">
            <w:r>
              <w:rPr>
                <w:rStyle w:val="IndexLink"/>
              </w:rPr>
              <w:t>58</w:t>
            </w:r>
          </w:hyperlink>
        </w:p>
        <w:p>
          <w:pPr>
            <w:pStyle w:val="Contents4"/>
            <w:rPr>
              <w:rFonts w:ascii="Calibri" w:hAnsi="Calibri" w:cs="Calibri"/>
              <w:sz w:val="22"/>
              <w:szCs w:val="22"/>
              <w:lang w:val="en-US" w:eastAsia="en-US"/>
            </w:rPr>
          </w:pPr>
          <w:r>
            <w:rPr/>
            <w:t>A.7.2.2.2</w:t>
          </w:r>
          <w:r>
            <w:rPr>
              <w:rFonts w:cs="Calibri" w:ascii="Calibri" w:hAnsi="Calibri"/>
              <w:sz w:val="22"/>
              <w:szCs w:val="22"/>
              <w:lang w:val="en-US" w:eastAsia="en-US"/>
            </w:rPr>
            <w:tab/>
          </w:r>
          <w:r>
            <w:rPr/>
            <w:t>Co-ordinated MS &amp; MS -&gt; BTS (Scenario 4)</w:t>
            <w:tab/>
          </w:r>
          <w:hyperlink w:anchor="__RefHeading___Toc518035572">
            <w:r>
              <w:rPr>
                <w:rStyle w:val="IndexLink"/>
              </w:rPr>
              <w:t>58</w:t>
            </w:r>
          </w:hyperlink>
        </w:p>
        <w:p>
          <w:pPr>
            <w:pStyle w:val="Contents4"/>
            <w:rPr>
              <w:rFonts w:ascii="Calibri" w:hAnsi="Calibri" w:cs="Calibri"/>
              <w:sz w:val="22"/>
              <w:szCs w:val="22"/>
              <w:lang w:val="en-US" w:eastAsia="en-US"/>
            </w:rPr>
          </w:pPr>
          <w:r>
            <w:rPr/>
            <w:t>A.7.2.2.3</w:t>
          </w:r>
          <w:r>
            <w:rPr>
              <w:rFonts w:cs="Calibri" w:ascii="Calibri" w:hAnsi="Calibri"/>
              <w:sz w:val="22"/>
              <w:szCs w:val="22"/>
              <w:lang w:val="en-US" w:eastAsia="en-US"/>
            </w:rPr>
            <w:tab/>
          </w:r>
          <w:r>
            <w:rPr/>
            <w:t>Uncoordinated MS &amp; MS -&gt; BTS (Scenario 4, figure 3.2 lower)</w:t>
            <w:tab/>
          </w:r>
          <w:hyperlink w:anchor="__RefHeading___Toc518035573">
            <w:r>
              <w:rPr>
                <w:rStyle w:val="IndexLink"/>
              </w:rPr>
              <w:t>58</w:t>
            </w:r>
          </w:hyperlink>
        </w:p>
        <w:p>
          <w:pPr>
            <w:pStyle w:val="Contents3"/>
            <w:rPr>
              <w:rFonts w:ascii="Calibri" w:hAnsi="Calibri" w:cs="Calibri"/>
              <w:sz w:val="22"/>
              <w:szCs w:val="22"/>
              <w:lang w:val="en-US" w:eastAsia="en-US"/>
            </w:rPr>
          </w:pPr>
          <w:r>
            <w:rPr/>
            <w:t>A.7.2.3</w:t>
          </w:r>
          <w:r>
            <w:rPr>
              <w:rFonts w:cs="Calibri" w:ascii="Calibri" w:hAnsi="Calibri"/>
              <w:sz w:val="22"/>
              <w:szCs w:val="22"/>
              <w:lang w:val="en-US" w:eastAsia="en-US"/>
            </w:rPr>
            <w:tab/>
          </w:r>
          <w:r>
            <w:rPr/>
            <w:t>Maximum level</w:t>
            <w:tab/>
          </w:r>
          <w:hyperlink w:anchor="__RefHeading___Toc518035574">
            <w:r>
              <w:rPr>
                <w:rStyle w:val="IndexLink"/>
              </w:rPr>
              <w:t>58</w:t>
            </w:r>
          </w:hyperlink>
        </w:p>
        <w:p>
          <w:pPr>
            <w:pStyle w:val="Contents4"/>
            <w:rPr>
              <w:rFonts w:ascii="Calibri" w:hAnsi="Calibri" w:cs="Calibri"/>
              <w:sz w:val="22"/>
              <w:szCs w:val="22"/>
              <w:lang w:val="en-US" w:eastAsia="en-US"/>
            </w:rPr>
          </w:pPr>
          <w:r>
            <w:rPr/>
            <w:t>A.7.2.3.1</w:t>
          </w:r>
          <w:r>
            <w:rPr>
              <w:rFonts w:cs="Calibri" w:ascii="Calibri" w:hAnsi="Calibri"/>
              <w:sz w:val="22"/>
              <w:szCs w:val="22"/>
              <w:lang w:val="en-US" w:eastAsia="en-US"/>
            </w:rPr>
            <w:tab/>
          </w:r>
          <w:r>
            <w:rPr/>
            <w:t>Co-ordinated MS -&gt; BTS (Scenario 1)</w:t>
            <w:tab/>
          </w:r>
          <w:hyperlink w:anchor="__RefHeading___Toc518035575">
            <w:r>
              <w:rPr>
                <w:rStyle w:val="IndexLink"/>
              </w:rPr>
              <w:t>58</w:t>
            </w:r>
          </w:hyperlink>
        </w:p>
        <w:p>
          <w:pPr>
            <w:pStyle w:val="Contents4"/>
            <w:rPr>
              <w:rFonts w:ascii="Calibri" w:hAnsi="Calibri" w:cs="Calibri"/>
              <w:sz w:val="22"/>
              <w:szCs w:val="22"/>
              <w:lang w:val="en-US" w:eastAsia="en-US"/>
            </w:rPr>
          </w:pPr>
          <w:r>
            <w:rPr/>
            <w:t>A.7.2.3.2</w:t>
          </w:r>
          <w:r>
            <w:rPr>
              <w:rFonts w:cs="Calibri" w:ascii="Calibri" w:hAnsi="Calibri"/>
              <w:sz w:val="22"/>
              <w:szCs w:val="22"/>
              <w:lang w:val="en-US" w:eastAsia="en-US"/>
            </w:rPr>
            <w:tab/>
          </w:r>
          <w:r>
            <w:rPr/>
            <w:t>Co-ordinated BTS -&gt; MS (Scenario 1)</w:t>
            <w:tab/>
          </w:r>
          <w:hyperlink w:anchor="__RefHeading___Toc518035576">
            <w:r>
              <w:rPr>
                <w:rStyle w:val="IndexLink"/>
              </w:rPr>
              <w:t>58</w:t>
            </w:r>
          </w:hyperlink>
        </w:p>
        <w:p>
          <w:pPr>
            <w:pStyle w:val="Contents2"/>
            <w:rPr>
              <w:rFonts w:ascii="Calibri" w:hAnsi="Calibri" w:cs="Calibri"/>
              <w:sz w:val="22"/>
              <w:szCs w:val="22"/>
              <w:lang w:val="en-US" w:eastAsia="en-US"/>
            </w:rPr>
          </w:pPr>
          <w:r>
            <w:rPr/>
            <w:t>A.8.1</w:t>
          </w:r>
          <w:r>
            <w:rPr>
              <w:rFonts w:cs="Calibri" w:ascii="Calibri" w:hAnsi="Calibri"/>
              <w:sz w:val="22"/>
              <w:szCs w:val="22"/>
            </w:rPr>
            <w:tab/>
          </w:r>
          <w:r>
            <w:rPr>
              <w:lang w:val="en-US" w:eastAsia="en-US"/>
            </w:rPr>
            <w:t>SCOPE</w:t>
          </w:r>
          <w:r>
            <w:rPr/>
            <w:tab/>
          </w:r>
          <w:hyperlink w:anchor="__RefHeading___Toc518035577">
            <w:r>
              <w:rPr>
                <w:rStyle w:val="IndexLink"/>
              </w:rPr>
              <w:t>58</w:t>
            </w:r>
          </w:hyperlink>
        </w:p>
        <w:p>
          <w:pPr>
            <w:pStyle w:val="Contents2"/>
            <w:rPr>
              <w:rFonts w:ascii="Calibri" w:hAnsi="Calibri" w:cs="Calibri"/>
              <w:sz w:val="22"/>
              <w:szCs w:val="22"/>
              <w:lang w:val="en-US" w:eastAsia="en-US"/>
            </w:rPr>
          </w:pPr>
          <w:r>
            <w:rPr/>
            <w:t>A.8.2</w:t>
          </w:r>
          <w:r>
            <w:rPr>
              <w:rFonts w:cs="Calibri" w:ascii="Calibri" w:hAnsi="Calibri"/>
              <w:sz w:val="22"/>
              <w:szCs w:val="22"/>
              <w:lang w:val="en-US" w:eastAsia="en-US"/>
            </w:rPr>
            <w:tab/>
          </w:r>
          <w:r>
            <w:rPr/>
            <w:t>FREQUENCY BANDS AND CHANNEL ARRANGEMENT</w:t>
            <w:tab/>
          </w:r>
          <w:hyperlink w:anchor="__RefHeading___Toc518035578">
            <w:r>
              <w:rPr>
                <w:rStyle w:val="IndexLink"/>
              </w:rPr>
              <w:t>58</w:t>
            </w:r>
          </w:hyperlink>
        </w:p>
        <w:p>
          <w:pPr>
            <w:pStyle w:val="Contents2"/>
            <w:rPr>
              <w:rFonts w:ascii="Calibri" w:hAnsi="Calibri" w:cs="Calibri"/>
              <w:sz w:val="22"/>
              <w:szCs w:val="22"/>
              <w:lang w:val="en-US" w:eastAsia="en-US"/>
            </w:rPr>
          </w:pPr>
          <w:r>
            <w:rPr/>
            <w:t>A.8.3</w:t>
          </w:r>
          <w:r>
            <w:rPr>
              <w:rFonts w:cs="Calibri" w:ascii="Calibri" w:hAnsi="Calibri"/>
              <w:sz w:val="22"/>
              <w:szCs w:val="22"/>
              <w:lang w:val="en-US" w:eastAsia="en-US"/>
            </w:rPr>
            <w:tab/>
          </w:r>
          <w:r>
            <w:rPr/>
            <w:t>REFERENCE CONFIGURATION</w:t>
            <w:tab/>
          </w:r>
          <w:hyperlink w:anchor="__RefHeading___Toc518035579">
            <w:r>
              <w:rPr>
                <w:rStyle w:val="IndexLink"/>
              </w:rPr>
              <w:t>58</w:t>
            </w:r>
          </w:hyperlink>
        </w:p>
        <w:p>
          <w:pPr>
            <w:pStyle w:val="Contents2"/>
            <w:rPr>
              <w:rFonts w:ascii="Calibri" w:hAnsi="Calibri" w:cs="Calibri"/>
              <w:sz w:val="22"/>
              <w:szCs w:val="22"/>
              <w:lang w:val="en-US" w:eastAsia="en-US"/>
            </w:rPr>
          </w:pPr>
          <w:r>
            <w:rPr/>
            <w:t>A.8.4</w:t>
          </w:r>
          <w:r>
            <w:rPr>
              <w:rFonts w:cs="Calibri" w:ascii="Calibri" w:hAnsi="Calibri"/>
              <w:sz w:val="22"/>
              <w:szCs w:val="22"/>
              <w:lang w:val="en-US" w:eastAsia="en-US"/>
            </w:rPr>
            <w:tab/>
          </w:r>
          <w:r>
            <w:rPr/>
            <w:t>TRANSMITTER CHARACTERISTICS</w:t>
            <w:tab/>
          </w:r>
          <w:hyperlink w:anchor="__RefHeading___Toc518035580">
            <w:r>
              <w:rPr>
                <w:rStyle w:val="IndexLink"/>
              </w:rPr>
              <w:t>59</w:t>
            </w:r>
          </w:hyperlink>
        </w:p>
        <w:p>
          <w:pPr>
            <w:pStyle w:val="Contents3"/>
            <w:rPr>
              <w:rFonts w:ascii="Calibri" w:hAnsi="Calibri" w:cs="Calibri"/>
              <w:sz w:val="22"/>
              <w:szCs w:val="22"/>
              <w:lang w:val="en-US" w:eastAsia="en-US"/>
            </w:rPr>
          </w:pPr>
          <w:r>
            <w:rPr/>
            <w:t>A.8.4.1</w:t>
          </w:r>
          <w:r>
            <w:rPr>
              <w:rFonts w:cs="Calibri" w:ascii="Calibri" w:hAnsi="Calibri"/>
              <w:sz w:val="22"/>
              <w:szCs w:val="22"/>
              <w:lang w:val="en-US" w:eastAsia="en-US"/>
            </w:rPr>
            <w:tab/>
          </w:r>
          <w:r>
            <w:rPr/>
            <w:t>Output power</w:t>
            <w:tab/>
          </w:r>
          <w:hyperlink w:anchor="__RefHeading___Toc518035581">
            <w:r>
              <w:rPr>
                <w:rStyle w:val="IndexLink"/>
              </w:rPr>
              <w:t>59</w:t>
            </w:r>
          </w:hyperlink>
        </w:p>
        <w:p>
          <w:pPr>
            <w:pStyle w:val="Contents4"/>
            <w:rPr>
              <w:rFonts w:ascii="Calibri" w:hAnsi="Calibri" w:cs="Calibri"/>
              <w:sz w:val="22"/>
              <w:szCs w:val="22"/>
              <w:lang w:val="en-US" w:eastAsia="en-US"/>
            </w:rPr>
          </w:pPr>
          <w:r>
            <w:rPr/>
            <w:t>A.8.4.1.1</w:t>
          </w:r>
          <w:r>
            <w:rPr>
              <w:rFonts w:cs="Calibri" w:ascii="Calibri" w:hAnsi="Calibri"/>
              <w:sz w:val="22"/>
              <w:szCs w:val="22"/>
              <w:lang w:val="en-US" w:eastAsia="en-US"/>
            </w:rPr>
            <w:tab/>
          </w:r>
          <w:r>
            <w:rPr/>
            <w:t>Mobile Station</w:t>
            <w:tab/>
          </w:r>
          <w:hyperlink w:anchor="__RefHeading___Toc518035582">
            <w:r>
              <w:rPr>
                <w:rStyle w:val="IndexLink"/>
              </w:rPr>
              <w:t>59</w:t>
            </w:r>
          </w:hyperlink>
        </w:p>
        <w:p>
          <w:pPr>
            <w:pStyle w:val="Contents4"/>
            <w:rPr>
              <w:rFonts w:ascii="Calibri" w:hAnsi="Calibri" w:cs="Calibri"/>
              <w:sz w:val="22"/>
              <w:szCs w:val="22"/>
              <w:lang w:val="en-US" w:eastAsia="en-US"/>
            </w:rPr>
          </w:pPr>
          <w:r>
            <w:rPr/>
            <w:t>A.8.4.1.2</w:t>
          </w:r>
          <w:r>
            <w:rPr>
              <w:rFonts w:cs="Calibri" w:ascii="Calibri" w:hAnsi="Calibri"/>
              <w:sz w:val="22"/>
              <w:szCs w:val="22"/>
              <w:lang w:val="en-US" w:eastAsia="en-US"/>
            </w:rPr>
            <w:tab/>
          </w:r>
          <w:r>
            <w:rPr/>
            <w:t>Base Station</w:t>
            <w:tab/>
          </w:r>
          <w:hyperlink w:anchor="__RefHeading___Toc518035583">
            <w:r>
              <w:rPr>
                <w:rStyle w:val="IndexLink"/>
              </w:rPr>
              <w:t>59</w:t>
            </w:r>
          </w:hyperlink>
        </w:p>
        <w:p>
          <w:pPr>
            <w:pStyle w:val="Contents3"/>
            <w:rPr>
              <w:rFonts w:ascii="Calibri" w:hAnsi="Calibri" w:cs="Calibri"/>
              <w:sz w:val="22"/>
              <w:szCs w:val="22"/>
              <w:lang w:val="en-US" w:eastAsia="en-US"/>
            </w:rPr>
          </w:pPr>
          <w:r>
            <w:rPr/>
            <w:t>A.8.4.2</w:t>
          </w:r>
          <w:r>
            <w:rPr>
              <w:rFonts w:cs="Calibri" w:ascii="Calibri" w:hAnsi="Calibri"/>
              <w:sz w:val="22"/>
              <w:szCs w:val="22"/>
              <w:lang w:val="en-US" w:eastAsia="en-US"/>
            </w:rPr>
            <w:tab/>
          </w:r>
          <w:r>
            <w:rPr/>
            <w:t>Output RF spectrum</w:t>
            <w:tab/>
          </w:r>
          <w:hyperlink w:anchor="__RefHeading___Toc518035584">
            <w:r>
              <w:rPr>
                <w:rStyle w:val="IndexLink"/>
              </w:rPr>
              <w:t>59</w:t>
            </w:r>
          </w:hyperlink>
        </w:p>
        <w:p>
          <w:pPr>
            <w:pStyle w:val="Contents4"/>
            <w:rPr>
              <w:rFonts w:ascii="Calibri" w:hAnsi="Calibri" w:cs="Calibri"/>
              <w:sz w:val="22"/>
              <w:szCs w:val="22"/>
              <w:lang w:val="en-US" w:eastAsia="en-US"/>
            </w:rPr>
          </w:pPr>
          <w:r>
            <w:rPr/>
            <w:t>A.8.4.2.1</w:t>
          </w:r>
          <w:r>
            <w:rPr>
              <w:rFonts w:cs="Calibri" w:ascii="Calibri" w:hAnsi="Calibri"/>
              <w:sz w:val="22"/>
              <w:szCs w:val="22"/>
              <w:lang w:val="en-US" w:eastAsia="en-US"/>
            </w:rPr>
            <w:tab/>
          </w:r>
          <w:r>
            <w:rPr/>
            <w:t>Spectrum due to the modulation</w:t>
            <w:tab/>
          </w:r>
          <w:hyperlink w:anchor="__RefHeading___Toc518035585">
            <w:r>
              <w:rPr>
                <w:rStyle w:val="IndexLink"/>
              </w:rPr>
              <w:t>59</w:t>
            </w:r>
          </w:hyperlink>
        </w:p>
        <w:p>
          <w:pPr>
            <w:pStyle w:val="Contents4"/>
            <w:rPr>
              <w:rFonts w:ascii="Calibri" w:hAnsi="Calibri" w:cs="Calibri"/>
              <w:sz w:val="22"/>
              <w:szCs w:val="22"/>
              <w:lang w:val="en-US" w:eastAsia="en-US"/>
            </w:rPr>
          </w:pPr>
          <w:r>
            <w:rPr/>
            <w:t>A.8.4.2.2</w:t>
          </w:r>
          <w:r>
            <w:rPr>
              <w:rFonts w:cs="Calibri" w:ascii="Calibri" w:hAnsi="Calibri"/>
              <w:sz w:val="22"/>
              <w:szCs w:val="22"/>
              <w:lang w:val="en-US" w:eastAsia="en-US"/>
            </w:rPr>
            <w:tab/>
          </w:r>
          <w:r>
            <w:rPr/>
            <w:t>Spectrum due to switching transients</w:t>
            <w:tab/>
          </w:r>
          <w:hyperlink w:anchor="__RefHeading___Toc518035586">
            <w:r>
              <w:rPr>
                <w:rStyle w:val="IndexLink"/>
              </w:rPr>
              <w:t>60</w:t>
            </w:r>
          </w:hyperlink>
        </w:p>
        <w:p>
          <w:pPr>
            <w:pStyle w:val="Contents3"/>
            <w:rPr>
              <w:rFonts w:ascii="Calibri" w:hAnsi="Calibri" w:cs="Calibri"/>
              <w:sz w:val="22"/>
              <w:szCs w:val="22"/>
              <w:lang w:val="en-US" w:eastAsia="en-US"/>
            </w:rPr>
          </w:pPr>
          <w:r>
            <w:rPr/>
            <w:t>A.8.4.3</w:t>
          </w:r>
          <w:r>
            <w:rPr>
              <w:rFonts w:cs="Calibri" w:ascii="Calibri" w:hAnsi="Calibri"/>
              <w:sz w:val="22"/>
              <w:szCs w:val="22"/>
              <w:lang w:val="en-US" w:eastAsia="en-US"/>
            </w:rPr>
            <w:tab/>
          </w:r>
          <w:r>
            <w:rPr/>
            <w:t>Spurious emissions</w:t>
            <w:tab/>
          </w:r>
          <w:hyperlink w:anchor="__RefHeading___Toc518035587">
            <w:r>
              <w:rPr>
                <w:rStyle w:val="IndexLink"/>
              </w:rPr>
              <w:t>60</w:t>
            </w:r>
          </w:hyperlink>
        </w:p>
        <w:p>
          <w:pPr>
            <w:pStyle w:val="Contents4"/>
            <w:rPr>
              <w:rFonts w:ascii="Calibri" w:hAnsi="Calibri" w:cs="Calibri"/>
              <w:sz w:val="22"/>
              <w:szCs w:val="22"/>
              <w:lang w:val="en-US" w:eastAsia="en-US"/>
            </w:rPr>
          </w:pPr>
          <w:r>
            <w:rPr/>
            <w:t>A.8.4.3.1</w:t>
          </w:r>
          <w:r>
            <w:rPr>
              <w:rFonts w:cs="Calibri" w:ascii="Calibri" w:hAnsi="Calibri"/>
              <w:sz w:val="22"/>
              <w:szCs w:val="22"/>
              <w:lang w:val="en-US" w:eastAsia="en-US"/>
            </w:rPr>
            <w:tab/>
          </w:r>
          <w:r>
            <w:rPr/>
            <w:t>Principle of the specification</w:t>
            <w:tab/>
          </w:r>
          <w:hyperlink w:anchor="__RefHeading___Toc518035588">
            <w:r>
              <w:rPr>
                <w:rStyle w:val="IndexLink"/>
              </w:rPr>
              <w:t>60</w:t>
            </w:r>
          </w:hyperlink>
        </w:p>
        <w:p>
          <w:pPr>
            <w:pStyle w:val="Contents4"/>
            <w:rPr>
              <w:rFonts w:ascii="Calibri" w:hAnsi="Calibri" w:cs="Calibri"/>
              <w:sz w:val="22"/>
              <w:szCs w:val="22"/>
              <w:lang w:val="en-US" w:eastAsia="en-US"/>
            </w:rPr>
          </w:pPr>
          <w:r>
            <w:rPr/>
            <w:t>A.8.4.3.2</w:t>
          </w:r>
          <w:r>
            <w:rPr>
              <w:rFonts w:cs="Calibri" w:ascii="Calibri" w:hAnsi="Calibri"/>
              <w:sz w:val="22"/>
              <w:szCs w:val="22"/>
              <w:lang w:val="en-US" w:eastAsia="en-US"/>
            </w:rPr>
            <w:tab/>
          </w:r>
          <w:r>
            <w:rPr/>
            <w:t>Base Station</w:t>
            <w:tab/>
          </w:r>
          <w:hyperlink w:anchor="__RefHeading___Toc518035589">
            <w:r>
              <w:rPr>
                <w:rStyle w:val="IndexLink"/>
              </w:rPr>
              <w:t>60</w:t>
            </w:r>
          </w:hyperlink>
        </w:p>
        <w:p>
          <w:pPr>
            <w:pStyle w:val="Contents4"/>
            <w:rPr>
              <w:rFonts w:ascii="Calibri" w:hAnsi="Calibri" w:cs="Calibri"/>
              <w:sz w:val="22"/>
              <w:szCs w:val="22"/>
              <w:lang w:val="en-US" w:eastAsia="en-US"/>
            </w:rPr>
          </w:pPr>
          <w:r>
            <w:rPr/>
            <w:t>A.8.4.3.3</w:t>
          </w:r>
          <w:r>
            <w:rPr>
              <w:rFonts w:cs="Calibri" w:ascii="Calibri" w:hAnsi="Calibri"/>
              <w:sz w:val="22"/>
              <w:szCs w:val="22"/>
              <w:lang w:val="en-US" w:eastAsia="en-US"/>
            </w:rPr>
            <w:tab/>
          </w:r>
          <w:r>
            <w:rPr/>
            <w:t>Mobile Station</w:t>
            <w:tab/>
          </w:r>
          <w:hyperlink w:anchor="__RefHeading___Toc518035590">
            <w:r>
              <w:rPr>
                <w:rStyle w:val="IndexLink"/>
              </w:rPr>
              <w:t>60</w:t>
            </w:r>
          </w:hyperlink>
        </w:p>
        <w:p>
          <w:pPr>
            <w:pStyle w:val="Contents3"/>
            <w:rPr>
              <w:rFonts w:ascii="Calibri" w:hAnsi="Calibri" w:cs="Calibri"/>
              <w:sz w:val="22"/>
              <w:szCs w:val="22"/>
              <w:lang w:val="en-US" w:eastAsia="en-US"/>
            </w:rPr>
          </w:pPr>
          <w:r>
            <w:rPr/>
            <w:t>A.8.4.4</w:t>
          </w:r>
          <w:r>
            <w:rPr>
              <w:rFonts w:cs="Calibri" w:ascii="Calibri" w:hAnsi="Calibri"/>
              <w:sz w:val="22"/>
              <w:szCs w:val="22"/>
              <w:lang w:val="en-US" w:eastAsia="en-US"/>
            </w:rPr>
            <w:tab/>
          </w:r>
          <w:r>
            <w:rPr/>
            <w:t>Radio frequency tolerance</w:t>
            <w:tab/>
          </w:r>
          <w:hyperlink w:anchor="__RefHeading___Toc518035591">
            <w:r>
              <w:rPr>
                <w:rStyle w:val="IndexLink"/>
              </w:rPr>
              <w:t>61</w:t>
            </w:r>
          </w:hyperlink>
        </w:p>
        <w:p>
          <w:pPr>
            <w:pStyle w:val="Contents3"/>
            <w:rPr>
              <w:rFonts w:ascii="Calibri" w:hAnsi="Calibri" w:cs="Calibri"/>
              <w:sz w:val="22"/>
              <w:szCs w:val="22"/>
              <w:lang w:val="en-US" w:eastAsia="en-US"/>
            </w:rPr>
          </w:pPr>
          <w:r>
            <w:rPr/>
            <w:t>A.8.4.5</w:t>
          </w:r>
          <w:r>
            <w:rPr>
              <w:rFonts w:cs="Calibri" w:ascii="Calibri" w:hAnsi="Calibri"/>
              <w:sz w:val="22"/>
              <w:szCs w:val="22"/>
              <w:lang w:val="en-US" w:eastAsia="en-US"/>
            </w:rPr>
            <w:tab/>
          </w:r>
          <w:r>
            <w:rPr/>
            <w:t>Output level dynamic operation</w:t>
            <w:tab/>
          </w:r>
          <w:hyperlink w:anchor="__RefHeading___Toc518035592">
            <w:r>
              <w:rPr>
                <w:rStyle w:val="IndexLink"/>
              </w:rPr>
              <w:t>61</w:t>
            </w:r>
          </w:hyperlink>
        </w:p>
        <w:p>
          <w:pPr>
            <w:pStyle w:val="Contents4"/>
            <w:rPr>
              <w:rFonts w:ascii="Calibri" w:hAnsi="Calibri" w:cs="Calibri"/>
              <w:sz w:val="22"/>
              <w:szCs w:val="22"/>
              <w:lang w:val="en-US" w:eastAsia="en-US"/>
            </w:rPr>
          </w:pPr>
          <w:r>
            <w:rPr/>
            <w:t>A.8.4.5.1</w:t>
          </w:r>
          <w:r>
            <w:rPr>
              <w:rFonts w:cs="Calibri" w:ascii="Calibri" w:hAnsi="Calibri"/>
              <w:sz w:val="22"/>
              <w:szCs w:val="22"/>
              <w:lang w:val="en-US" w:eastAsia="en-US"/>
            </w:rPr>
            <w:tab/>
          </w:r>
          <w:r>
            <w:rPr/>
            <w:t>Base station</w:t>
            <w:tab/>
          </w:r>
          <w:hyperlink w:anchor="__RefHeading___Toc518035593">
            <w:r>
              <w:rPr>
                <w:rStyle w:val="IndexLink"/>
              </w:rPr>
              <w:t>61</w:t>
            </w:r>
          </w:hyperlink>
        </w:p>
        <w:p>
          <w:pPr>
            <w:pStyle w:val="Contents4"/>
            <w:rPr>
              <w:rFonts w:ascii="Calibri" w:hAnsi="Calibri" w:cs="Calibri"/>
              <w:sz w:val="22"/>
              <w:szCs w:val="22"/>
              <w:lang w:val="en-US" w:eastAsia="en-US"/>
            </w:rPr>
          </w:pPr>
          <w:r>
            <w:rPr/>
            <w:t>A.8.4.5.2</w:t>
          </w:r>
          <w:r>
            <w:rPr>
              <w:rFonts w:cs="Calibri" w:ascii="Calibri" w:hAnsi="Calibri"/>
              <w:sz w:val="22"/>
              <w:szCs w:val="22"/>
            </w:rPr>
            <w:tab/>
          </w:r>
          <w:r>
            <w:rPr>
              <w:lang w:val="en-US" w:eastAsia="en-US"/>
            </w:rPr>
            <w:t>Mobile station:</w:t>
          </w:r>
          <w:r>
            <w:rPr/>
            <w:tab/>
          </w:r>
          <w:hyperlink w:anchor="__RefHeading___Toc518035594">
            <w:r>
              <w:rPr>
                <w:rStyle w:val="IndexLink"/>
              </w:rPr>
              <w:t>61</w:t>
            </w:r>
          </w:hyperlink>
        </w:p>
        <w:p>
          <w:pPr>
            <w:pStyle w:val="Contents3"/>
            <w:rPr>
              <w:rFonts w:ascii="Calibri" w:hAnsi="Calibri" w:cs="Calibri"/>
              <w:sz w:val="22"/>
              <w:szCs w:val="22"/>
              <w:lang w:val="en-US" w:eastAsia="en-US"/>
            </w:rPr>
          </w:pPr>
          <w:r>
            <w:rPr/>
            <w:t>A.8.4.6</w:t>
          </w:r>
          <w:r>
            <w:rPr>
              <w:rFonts w:cs="Calibri" w:ascii="Calibri" w:hAnsi="Calibri"/>
              <w:sz w:val="22"/>
              <w:szCs w:val="22"/>
              <w:lang w:val="en-US" w:eastAsia="en-US"/>
            </w:rPr>
            <w:tab/>
          </w:r>
          <w:r>
            <w:rPr/>
            <w:t>Phase accuracy</w:t>
            <w:tab/>
          </w:r>
          <w:hyperlink w:anchor="__RefHeading___Toc518035595">
            <w:r>
              <w:rPr>
                <w:rStyle w:val="IndexLink"/>
              </w:rPr>
              <w:t>61</w:t>
            </w:r>
          </w:hyperlink>
        </w:p>
        <w:p>
          <w:pPr>
            <w:pStyle w:val="Contents3"/>
            <w:rPr>
              <w:rFonts w:ascii="Calibri" w:hAnsi="Calibri" w:cs="Calibri"/>
              <w:sz w:val="22"/>
              <w:szCs w:val="22"/>
              <w:lang w:val="en-US" w:eastAsia="en-US"/>
            </w:rPr>
          </w:pPr>
          <w:r>
            <w:rPr/>
            <w:t>A.8.4.7</w:t>
          </w:r>
          <w:r>
            <w:rPr>
              <w:rFonts w:cs="Calibri" w:ascii="Calibri" w:hAnsi="Calibri"/>
              <w:sz w:val="22"/>
              <w:szCs w:val="22"/>
              <w:lang w:val="en-US" w:eastAsia="en-US"/>
            </w:rPr>
            <w:tab/>
          </w:r>
          <w:r>
            <w:rPr/>
            <w:t>Intermodulation attenuation</w:t>
            <w:tab/>
          </w:r>
          <w:hyperlink w:anchor="__RefHeading___Toc518035596">
            <w:r>
              <w:rPr>
                <w:rStyle w:val="IndexLink"/>
              </w:rPr>
              <w:t>61</w:t>
            </w:r>
          </w:hyperlink>
        </w:p>
        <w:p>
          <w:pPr>
            <w:pStyle w:val="Contents4"/>
            <w:rPr>
              <w:rFonts w:ascii="Calibri" w:hAnsi="Calibri" w:cs="Calibri"/>
              <w:sz w:val="22"/>
              <w:szCs w:val="22"/>
              <w:lang w:val="en-US" w:eastAsia="en-US"/>
            </w:rPr>
          </w:pPr>
          <w:r>
            <w:rPr/>
            <w:t>A.8.4.7.1</w:t>
          </w:r>
          <w:r>
            <w:rPr>
              <w:rFonts w:cs="Calibri" w:ascii="Calibri" w:hAnsi="Calibri"/>
              <w:sz w:val="22"/>
              <w:szCs w:val="22"/>
              <w:lang w:val="en-US" w:eastAsia="en-US"/>
            </w:rPr>
            <w:tab/>
          </w:r>
          <w:r>
            <w:rPr/>
            <w:t>Base transceiver station</w:t>
            <w:tab/>
          </w:r>
          <w:hyperlink w:anchor="__RefHeading___Toc518035597">
            <w:r>
              <w:rPr>
                <w:rStyle w:val="IndexLink"/>
              </w:rPr>
              <w:t>61</w:t>
            </w:r>
          </w:hyperlink>
        </w:p>
        <w:p>
          <w:pPr>
            <w:pStyle w:val="Contents4"/>
            <w:rPr>
              <w:rFonts w:ascii="Calibri" w:hAnsi="Calibri" w:cs="Calibri"/>
              <w:sz w:val="22"/>
              <w:szCs w:val="22"/>
              <w:lang w:val="en-US" w:eastAsia="en-US"/>
            </w:rPr>
          </w:pPr>
          <w:r>
            <w:rPr/>
            <w:t>A.8.4.7.2</w:t>
          </w:r>
          <w:r>
            <w:rPr>
              <w:rFonts w:cs="Calibri" w:ascii="Calibri" w:hAnsi="Calibri"/>
              <w:sz w:val="22"/>
              <w:szCs w:val="22"/>
              <w:lang w:val="en-US" w:eastAsia="en-US"/>
            </w:rPr>
            <w:tab/>
          </w:r>
          <w:r>
            <w:rPr/>
            <w:t>Intra BTS intermodulation attenuation</w:t>
            <w:tab/>
          </w:r>
          <w:hyperlink w:anchor="__RefHeading___Toc518035598">
            <w:r>
              <w:rPr>
                <w:rStyle w:val="IndexLink"/>
              </w:rPr>
              <w:t>61</w:t>
            </w:r>
          </w:hyperlink>
        </w:p>
        <w:p>
          <w:pPr>
            <w:pStyle w:val="Contents4"/>
            <w:rPr>
              <w:rFonts w:ascii="Calibri" w:hAnsi="Calibri" w:cs="Calibri"/>
              <w:sz w:val="22"/>
              <w:szCs w:val="22"/>
              <w:lang w:val="en-US" w:eastAsia="en-US"/>
            </w:rPr>
          </w:pPr>
          <w:r>
            <w:rPr/>
            <w:t>A.8.4.7.3</w:t>
          </w:r>
          <w:r>
            <w:rPr>
              <w:rFonts w:cs="Calibri" w:ascii="Calibri" w:hAnsi="Calibri"/>
              <w:sz w:val="22"/>
              <w:szCs w:val="22"/>
              <w:lang w:val="en-US" w:eastAsia="en-US"/>
            </w:rPr>
            <w:tab/>
          </w:r>
          <w:r>
            <w:rPr/>
            <w:t>Intermodulation between MS</w:t>
            <w:tab/>
          </w:r>
          <w:hyperlink w:anchor="__RefHeading___Toc518035599">
            <w:r>
              <w:rPr>
                <w:rStyle w:val="IndexLink"/>
              </w:rPr>
              <w:t>61</w:t>
            </w:r>
          </w:hyperlink>
        </w:p>
        <w:p>
          <w:pPr>
            <w:pStyle w:val="Contents2"/>
            <w:rPr>
              <w:rFonts w:ascii="Calibri" w:hAnsi="Calibri" w:cs="Calibri"/>
              <w:sz w:val="22"/>
              <w:szCs w:val="22"/>
              <w:lang w:val="en-US" w:eastAsia="en-US"/>
            </w:rPr>
          </w:pPr>
          <w:r>
            <w:rPr/>
            <w:t>A.8.5</w:t>
          </w:r>
          <w:r>
            <w:rPr>
              <w:rFonts w:cs="Calibri" w:ascii="Calibri" w:hAnsi="Calibri"/>
              <w:sz w:val="22"/>
              <w:szCs w:val="22"/>
              <w:lang w:val="en-US" w:eastAsia="en-US"/>
            </w:rPr>
            <w:tab/>
          </w:r>
          <w:r>
            <w:rPr/>
            <w:t>RECEIVER CHARACTERISTICS</w:t>
            <w:tab/>
          </w:r>
          <w:hyperlink w:anchor="__RefHeading___Toc518035600">
            <w:r>
              <w:rPr>
                <w:rStyle w:val="IndexLink"/>
              </w:rPr>
              <w:t>62</w:t>
            </w:r>
          </w:hyperlink>
        </w:p>
        <w:p>
          <w:pPr>
            <w:pStyle w:val="Contents3"/>
            <w:rPr>
              <w:rFonts w:ascii="Calibri" w:hAnsi="Calibri" w:cs="Calibri"/>
              <w:sz w:val="22"/>
              <w:szCs w:val="22"/>
              <w:lang w:val="en-US" w:eastAsia="en-US"/>
            </w:rPr>
          </w:pPr>
          <w:r>
            <w:rPr/>
            <w:t>A.8.5.1</w:t>
          </w:r>
          <w:r>
            <w:rPr>
              <w:rFonts w:cs="Calibri" w:ascii="Calibri" w:hAnsi="Calibri"/>
              <w:sz w:val="22"/>
              <w:szCs w:val="22"/>
              <w:lang w:val="en-US" w:eastAsia="en-US"/>
            </w:rPr>
            <w:tab/>
          </w:r>
          <w:r>
            <w:rPr/>
            <w:t>Blocking characteristics</w:t>
            <w:tab/>
          </w:r>
          <w:hyperlink w:anchor="__RefHeading___Toc518035601">
            <w:r>
              <w:rPr>
                <w:rStyle w:val="IndexLink"/>
              </w:rPr>
              <w:t>62</w:t>
            </w:r>
          </w:hyperlink>
        </w:p>
        <w:p>
          <w:pPr>
            <w:pStyle w:val="Contents3"/>
            <w:rPr>
              <w:rFonts w:ascii="Calibri" w:hAnsi="Calibri" w:cs="Calibri"/>
              <w:sz w:val="22"/>
              <w:szCs w:val="22"/>
              <w:lang w:val="en-US" w:eastAsia="en-US"/>
            </w:rPr>
          </w:pPr>
          <w:r>
            <w:rPr/>
            <w:t>A.8.5.2</w:t>
          </w:r>
          <w:r>
            <w:rPr>
              <w:rFonts w:cs="Calibri" w:ascii="Calibri" w:hAnsi="Calibri"/>
              <w:sz w:val="22"/>
              <w:szCs w:val="22"/>
              <w:lang w:val="en-US" w:eastAsia="en-US"/>
            </w:rPr>
            <w:tab/>
          </w:r>
          <w:r>
            <w:rPr/>
            <w:t>Intermodulation characteristics</w:t>
            <w:tab/>
          </w:r>
          <w:hyperlink w:anchor="__RefHeading___Toc518035602">
            <w:r>
              <w:rPr>
                <w:rStyle w:val="IndexLink"/>
              </w:rPr>
              <w:t>63</w:t>
            </w:r>
          </w:hyperlink>
        </w:p>
        <w:p>
          <w:pPr>
            <w:pStyle w:val="Contents3"/>
            <w:rPr>
              <w:rFonts w:ascii="Calibri" w:hAnsi="Calibri" w:cs="Calibri"/>
              <w:sz w:val="22"/>
              <w:szCs w:val="22"/>
              <w:lang w:val="en-US" w:eastAsia="en-US"/>
            </w:rPr>
          </w:pPr>
          <w:r>
            <w:rPr/>
            <w:t>A.8.5.3</w:t>
          </w:r>
          <w:r>
            <w:rPr>
              <w:rFonts w:cs="Calibri" w:ascii="Calibri" w:hAnsi="Calibri"/>
              <w:sz w:val="22"/>
              <w:szCs w:val="22"/>
              <w:lang w:val="en-US" w:eastAsia="en-US"/>
            </w:rPr>
            <w:tab/>
          </w:r>
          <w:r>
            <w:rPr/>
            <w:t>Spurious response rejection</w:t>
            <w:tab/>
          </w:r>
          <w:hyperlink w:anchor="__RefHeading___Toc518035603">
            <w:r>
              <w:rPr>
                <w:rStyle w:val="IndexLink"/>
              </w:rPr>
              <w:t>63</w:t>
            </w:r>
          </w:hyperlink>
        </w:p>
        <w:p>
          <w:pPr>
            <w:pStyle w:val="Contents3"/>
            <w:rPr>
              <w:rFonts w:ascii="Calibri" w:hAnsi="Calibri" w:cs="Calibri"/>
              <w:sz w:val="22"/>
              <w:szCs w:val="22"/>
              <w:lang w:val="en-US" w:eastAsia="en-US"/>
            </w:rPr>
          </w:pPr>
          <w:r>
            <w:rPr/>
            <w:t>A.8.5.4</w:t>
          </w:r>
          <w:r>
            <w:rPr>
              <w:rFonts w:cs="Calibri" w:ascii="Calibri" w:hAnsi="Calibri"/>
              <w:sz w:val="22"/>
              <w:szCs w:val="22"/>
              <w:lang w:val="en-US" w:eastAsia="en-US"/>
            </w:rPr>
            <w:tab/>
          </w:r>
          <w:r>
            <w:rPr/>
            <w:t>Spurious emissions</w:t>
            <w:tab/>
          </w:r>
          <w:hyperlink w:anchor="__RefHeading___Toc518035604">
            <w:r>
              <w:rPr>
                <w:rStyle w:val="IndexLink"/>
              </w:rPr>
              <w:t>63</w:t>
            </w:r>
          </w:hyperlink>
        </w:p>
        <w:p>
          <w:pPr>
            <w:pStyle w:val="Contents2"/>
            <w:rPr>
              <w:rFonts w:ascii="Calibri" w:hAnsi="Calibri" w:cs="Calibri"/>
              <w:sz w:val="22"/>
              <w:szCs w:val="22"/>
              <w:lang w:val="en-US" w:eastAsia="en-US"/>
            </w:rPr>
          </w:pPr>
          <w:r>
            <w:rPr/>
            <w:t>A.8.6</w:t>
          </w:r>
          <w:r>
            <w:rPr>
              <w:rFonts w:cs="Calibri" w:ascii="Calibri" w:hAnsi="Calibri"/>
              <w:sz w:val="22"/>
              <w:szCs w:val="22"/>
              <w:lang w:val="en-US" w:eastAsia="en-US"/>
            </w:rPr>
            <w:tab/>
          </w:r>
          <w:r>
            <w:rPr/>
            <w:t>TRANSMITTER/RECEIVER PERFORMANCE</w:t>
            <w:tab/>
          </w:r>
          <w:hyperlink w:anchor="__RefHeading___Toc518035605">
            <w:r>
              <w:rPr>
                <w:rStyle w:val="IndexLink"/>
              </w:rPr>
              <w:t>63</w:t>
            </w:r>
          </w:hyperlink>
        </w:p>
        <w:p>
          <w:pPr>
            <w:pStyle w:val="Contents3"/>
            <w:rPr>
              <w:rFonts w:ascii="Calibri" w:hAnsi="Calibri" w:cs="Calibri"/>
              <w:sz w:val="22"/>
              <w:szCs w:val="22"/>
              <w:lang w:val="en-US" w:eastAsia="en-US"/>
            </w:rPr>
          </w:pPr>
          <w:r>
            <w:rPr/>
            <w:t>A.8.6.1</w:t>
          </w:r>
          <w:r>
            <w:rPr>
              <w:rFonts w:cs="Calibri" w:ascii="Calibri" w:hAnsi="Calibri"/>
              <w:sz w:val="22"/>
              <w:szCs w:val="22"/>
              <w:lang w:val="en-US" w:eastAsia="en-US"/>
            </w:rPr>
            <w:tab/>
          </w:r>
          <w:r>
            <w:rPr/>
            <w:t>Nominal error rates (NER)</w:t>
            <w:tab/>
          </w:r>
          <w:hyperlink w:anchor="__RefHeading___Toc518035606">
            <w:r>
              <w:rPr>
                <w:rStyle w:val="IndexLink"/>
              </w:rPr>
              <w:t>63</w:t>
            </w:r>
          </w:hyperlink>
        </w:p>
        <w:p>
          <w:pPr>
            <w:pStyle w:val="Contents3"/>
            <w:rPr>
              <w:rFonts w:ascii="Calibri" w:hAnsi="Calibri" w:cs="Calibri"/>
              <w:sz w:val="22"/>
              <w:szCs w:val="22"/>
              <w:lang w:val="en-US" w:eastAsia="en-US"/>
            </w:rPr>
          </w:pPr>
          <w:r>
            <w:rPr/>
            <w:t>A.8.6.2</w:t>
          </w:r>
          <w:r>
            <w:rPr>
              <w:rFonts w:cs="Calibri" w:ascii="Calibri" w:hAnsi="Calibri"/>
              <w:sz w:val="22"/>
              <w:szCs w:val="22"/>
              <w:lang w:val="en-US" w:eastAsia="en-US"/>
            </w:rPr>
            <w:tab/>
          </w:r>
          <w:r>
            <w:rPr/>
            <w:t>Reference sensitivity level</w:t>
            <w:tab/>
          </w:r>
          <w:hyperlink w:anchor="__RefHeading___Toc518035607">
            <w:r>
              <w:rPr>
                <w:rStyle w:val="IndexLink"/>
              </w:rPr>
              <w:t>63</w:t>
            </w:r>
          </w:hyperlink>
        </w:p>
        <w:p>
          <w:pPr>
            <w:pStyle w:val="Contents3"/>
            <w:rPr>
              <w:rFonts w:ascii="Calibri" w:hAnsi="Calibri" w:cs="Calibri"/>
              <w:sz w:val="22"/>
              <w:szCs w:val="22"/>
              <w:lang w:val="en-US" w:eastAsia="en-US"/>
            </w:rPr>
          </w:pPr>
          <w:r>
            <w:rPr/>
            <w:t>A.8.6.3</w:t>
          </w:r>
          <w:r>
            <w:rPr>
              <w:rFonts w:cs="Calibri" w:ascii="Calibri" w:hAnsi="Calibri"/>
              <w:sz w:val="22"/>
              <w:szCs w:val="22"/>
              <w:lang w:val="en-US" w:eastAsia="en-US"/>
            </w:rPr>
            <w:tab/>
          </w:r>
          <w:r>
            <w:rPr/>
            <w:t>Reference interference level</w:t>
            <w:tab/>
          </w:r>
          <w:hyperlink w:anchor="__RefHeading___Toc518035608">
            <w:r>
              <w:rPr>
                <w:rStyle w:val="IndexLink"/>
              </w:rPr>
              <w:t>64</w:t>
            </w:r>
          </w:hyperlink>
        </w:p>
        <w:p>
          <w:pPr>
            <w:pStyle w:val="Contents3"/>
            <w:rPr>
              <w:rFonts w:ascii="Calibri" w:hAnsi="Calibri" w:cs="Calibri"/>
              <w:sz w:val="22"/>
              <w:szCs w:val="22"/>
              <w:lang w:val="en-US" w:eastAsia="en-US"/>
            </w:rPr>
          </w:pPr>
          <w:r>
            <w:rPr/>
            <w:t>A.8.6.4</w:t>
          </w:r>
          <w:r>
            <w:rPr>
              <w:rFonts w:cs="Calibri" w:ascii="Calibri" w:hAnsi="Calibri"/>
              <w:sz w:val="22"/>
              <w:szCs w:val="22"/>
              <w:lang w:val="en-US" w:eastAsia="en-US"/>
            </w:rPr>
            <w:tab/>
          </w:r>
          <w:r>
            <w:rPr/>
            <w:t>Erroneous frame indication performance</w:t>
            <w:tab/>
          </w:r>
          <w:hyperlink w:anchor="__RefHeading___Toc518035609">
            <w:r>
              <w:rPr>
                <w:rStyle w:val="IndexLink"/>
              </w:rPr>
              <w:t>64</w:t>
            </w:r>
          </w:hyperlink>
        </w:p>
        <w:p>
          <w:pPr>
            <w:pStyle w:val="Contents9"/>
            <w:rPr>
              <w:rFonts w:ascii="Calibri" w:hAnsi="Calibri" w:cs="Calibri"/>
              <w:b w:val="false"/>
              <w:b w:val="false"/>
              <w:szCs w:val="22"/>
              <w:lang w:val="en-US" w:eastAsia="en-US"/>
            </w:rPr>
          </w:pPr>
          <w:r>
            <w:rPr/>
            <w:t>Annex B:</w:t>
            <w:tab/>
            <w:t>GSM900 Small Cell System scenarios</w:t>
            <w:tab/>
          </w:r>
          <w:hyperlink w:anchor="__RefHeading___Toc518035610">
            <w:r>
              <w:rPr>
                <w:rStyle w:val="IndexLink"/>
              </w:rPr>
              <w:t>65</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Transmitter</w:t>
            <w:tab/>
          </w:r>
          <w:hyperlink w:anchor="__RefHeading___Toc518035611">
            <w:r>
              <w:rPr>
                <w:rStyle w:val="IndexLink"/>
              </w:rPr>
              <w:t>66</w:t>
            </w:r>
          </w:hyperlink>
        </w:p>
        <w:p>
          <w:pPr>
            <w:pStyle w:val="Contents2"/>
            <w:rPr>
              <w:rFonts w:ascii="Calibri" w:hAnsi="Calibri" w:cs="Calibri"/>
              <w:sz w:val="22"/>
              <w:szCs w:val="22"/>
              <w:lang w:val="en-US" w:eastAsia="en-US"/>
            </w:rPr>
          </w:pPr>
          <w:r>
            <w:rPr/>
            <w:t>B.1.1</w:t>
          </w:r>
          <w:r>
            <w:rPr>
              <w:rFonts w:cs="Calibri" w:ascii="Calibri" w:hAnsi="Calibri"/>
              <w:sz w:val="22"/>
              <w:szCs w:val="22"/>
              <w:lang w:val="en-US" w:eastAsia="en-US"/>
            </w:rPr>
            <w:tab/>
          </w:r>
          <w:r>
            <w:rPr/>
            <w:t>Modulation, Spurs and Noise</w:t>
            <w:tab/>
          </w:r>
          <w:hyperlink w:anchor="__RefHeading___Toc518035612">
            <w:r>
              <w:rPr>
                <w:rStyle w:val="IndexLink"/>
              </w:rPr>
              <w:t>66</w:t>
            </w:r>
          </w:hyperlink>
        </w:p>
        <w:p>
          <w:pPr>
            <w:pStyle w:val="Contents3"/>
            <w:rPr>
              <w:rFonts w:ascii="Calibri" w:hAnsi="Calibri" w:cs="Calibri"/>
              <w:sz w:val="22"/>
              <w:szCs w:val="22"/>
              <w:lang w:val="en-US" w:eastAsia="en-US"/>
            </w:rPr>
          </w:pPr>
          <w:r>
            <w:rPr/>
            <w:t>B.1.1.1</w:t>
          </w:r>
          <w:r>
            <w:rPr>
              <w:rFonts w:cs="Calibri" w:ascii="Calibri" w:hAnsi="Calibri"/>
              <w:sz w:val="22"/>
              <w:szCs w:val="22"/>
              <w:lang w:val="en-US" w:eastAsia="en-US"/>
            </w:rPr>
            <w:tab/>
          </w:r>
          <w:r>
            <w:rPr/>
            <w:t>Co-ordinated, BTS -&gt; MS</w:t>
            <w:tab/>
          </w:r>
          <w:hyperlink w:anchor="__RefHeading___Toc518035613">
            <w:r>
              <w:rPr>
                <w:rStyle w:val="IndexLink"/>
              </w:rPr>
              <w:t>66</w:t>
            </w:r>
          </w:hyperlink>
        </w:p>
        <w:p>
          <w:pPr>
            <w:pStyle w:val="Contents3"/>
            <w:rPr>
              <w:rFonts w:ascii="Calibri" w:hAnsi="Calibri" w:cs="Calibri"/>
              <w:sz w:val="22"/>
              <w:szCs w:val="22"/>
              <w:lang w:val="en-US" w:eastAsia="en-US"/>
            </w:rPr>
          </w:pPr>
          <w:r>
            <w:rPr/>
            <w:t>B.1.1.2</w:t>
          </w:r>
          <w:r>
            <w:rPr>
              <w:rFonts w:cs="Calibri" w:ascii="Calibri" w:hAnsi="Calibri"/>
              <w:sz w:val="22"/>
              <w:szCs w:val="22"/>
              <w:lang w:val="en-US" w:eastAsia="en-US"/>
            </w:rPr>
            <w:tab/>
          </w:r>
          <w:r>
            <w:rPr/>
            <w:t>Uncoordinated, BTS -&gt; MS</w:t>
            <w:tab/>
          </w:r>
          <w:hyperlink w:anchor="__RefHeading___Toc518035614">
            <w:r>
              <w:rPr>
                <w:rStyle w:val="IndexLink"/>
              </w:rPr>
              <w:t>66</w:t>
            </w:r>
          </w:hyperlink>
        </w:p>
        <w:p>
          <w:pPr>
            <w:pStyle w:val="Contents3"/>
            <w:rPr>
              <w:rFonts w:ascii="Calibri" w:hAnsi="Calibri" w:cs="Calibri"/>
              <w:sz w:val="22"/>
              <w:szCs w:val="22"/>
              <w:lang w:val="en-US" w:eastAsia="en-US"/>
            </w:rPr>
          </w:pPr>
          <w:r>
            <w:rPr/>
            <w:t>B.1.1.3</w:t>
          </w:r>
          <w:r>
            <w:rPr>
              <w:rFonts w:cs="Calibri" w:ascii="Calibri" w:hAnsi="Calibri"/>
              <w:sz w:val="22"/>
              <w:szCs w:val="22"/>
              <w:lang w:val="en-US" w:eastAsia="en-US"/>
            </w:rPr>
            <w:tab/>
          </w:r>
          <w:r>
            <w:rPr/>
            <w:t>Co-ordinated &amp; Uncoordinated MS -&gt; BTS</w:t>
            <w:tab/>
          </w:r>
          <w:hyperlink w:anchor="__RefHeading___Toc518035615">
            <w:r>
              <w:rPr>
                <w:rStyle w:val="IndexLink"/>
              </w:rPr>
              <w:t>66</w:t>
            </w:r>
          </w:hyperlink>
        </w:p>
        <w:p>
          <w:pPr>
            <w:pStyle w:val="Contents3"/>
            <w:rPr>
              <w:rFonts w:ascii="Calibri" w:hAnsi="Calibri" w:cs="Calibri"/>
              <w:sz w:val="22"/>
              <w:szCs w:val="22"/>
              <w:lang w:val="en-US" w:eastAsia="en-US"/>
            </w:rPr>
          </w:pPr>
          <w:r>
            <w:rPr/>
            <w:t>B.1.1.4</w:t>
          </w:r>
          <w:r>
            <w:rPr>
              <w:rFonts w:cs="Calibri" w:ascii="Calibri" w:hAnsi="Calibri"/>
              <w:sz w:val="22"/>
              <w:szCs w:val="22"/>
              <w:lang w:val="en-US" w:eastAsia="en-US"/>
            </w:rPr>
            <w:tab/>
          </w:r>
          <w:r>
            <w:rPr/>
            <w:t>Co-ordinated &amp; Uncoordinated MS -&gt; MS</w:t>
            <w:tab/>
          </w:r>
          <w:hyperlink w:anchor="__RefHeading___Toc518035616">
            <w:r>
              <w:rPr>
                <w:rStyle w:val="IndexLink"/>
              </w:rPr>
              <w:t>66</w:t>
            </w:r>
          </w:hyperlink>
        </w:p>
        <w:p>
          <w:pPr>
            <w:pStyle w:val="Contents3"/>
            <w:rPr>
              <w:rFonts w:ascii="Calibri" w:hAnsi="Calibri" w:cs="Calibri"/>
              <w:sz w:val="22"/>
              <w:szCs w:val="22"/>
              <w:lang w:val="en-US" w:eastAsia="en-US"/>
            </w:rPr>
          </w:pPr>
          <w:r>
            <w:rPr/>
            <w:t>B.1.1.5</w:t>
          </w:r>
          <w:r>
            <w:rPr>
              <w:rFonts w:cs="Calibri" w:ascii="Calibri" w:hAnsi="Calibri"/>
              <w:sz w:val="22"/>
              <w:szCs w:val="22"/>
              <w:lang w:val="en-US" w:eastAsia="en-US"/>
            </w:rPr>
            <w:tab/>
          </w:r>
          <w:r>
            <w:rPr/>
            <w:t>Co-ordinated &amp; Uncoordinated BTS -&gt; BTS</w:t>
            <w:tab/>
          </w:r>
          <w:hyperlink w:anchor="__RefHeading___Toc518035617">
            <w:r>
              <w:rPr>
                <w:rStyle w:val="IndexLink"/>
              </w:rPr>
              <w:t>67</w:t>
            </w:r>
          </w:hyperlink>
        </w:p>
        <w:p>
          <w:pPr>
            <w:pStyle w:val="Contents2"/>
            <w:rPr>
              <w:rFonts w:ascii="Calibri" w:hAnsi="Calibri" w:cs="Calibri"/>
              <w:sz w:val="22"/>
              <w:szCs w:val="22"/>
              <w:lang w:val="en-US" w:eastAsia="en-US"/>
            </w:rPr>
          </w:pPr>
          <w:r>
            <w:rPr/>
            <w:t>B.1.2</w:t>
          </w:r>
          <w:r>
            <w:rPr>
              <w:rFonts w:cs="Calibri" w:ascii="Calibri" w:hAnsi="Calibri"/>
              <w:sz w:val="22"/>
              <w:szCs w:val="22"/>
              <w:lang w:val="en-US" w:eastAsia="en-US"/>
            </w:rPr>
            <w:tab/>
          </w:r>
          <w:r>
            <w:rPr/>
            <w:t>Switching Transients</w:t>
            <w:tab/>
          </w:r>
          <w:hyperlink w:anchor="__RefHeading___Toc518035618">
            <w:r>
              <w:rPr>
                <w:rStyle w:val="IndexLink"/>
              </w:rPr>
              <w:t>67</w:t>
            </w:r>
          </w:hyperlink>
        </w:p>
        <w:p>
          <w:pPr>
            <w:pStyle w:val="Contents3"/>
            <w:rPr>
              <w:rFonts w:ascii="Calibri" w:hAnsi="Calibri" w:cs="Calibri"/>
              <w:sz w:val="22"/>
              <w:szCs w:val="22"/>
              <w:lang w:val="en-US" w:eastAsia="en-US"/>
            </w:rPr>
          </w:pPr>
          <w:r>
            <w:rPr/>
            <w:t>B.1.2.1</w:t>
          </w:r>
          <w:r>
            <w:rPr>
              <w:rFonts w:cs="Calibri" w:ascii="Calibri" w:hAnsi="Calibri"/>
              <w:sz w:val="22"/>
              <w:szCs w:val="22"/>
              <w:lang w:val="en-US" w:eastAsia="en-US"/>
            </w:rPr>
            <w:tab/>
          </w:r>
          <w:r>
            <w:rPr/>
            <w:t>Uncoordinated MS -&gt; BTS</w:t>
            <w:tab/>
          </w:r>
          <w:hyperlink w:anchor="__RefHeading___Toc518035619">
            <w:r>
              <w:rPr>
                <w:rStyle w:val="IndexLink"/>
              </w:rPr>
              <w:t>67</w:t>
            </w:r>
          </w:hyperlink>
        </w:p>
        <w:p>
          <w:pPr>
            <w:pStyle w:val="Contents3"/>
            <w:rPr>
              <w:rFonts w:ascii="Calibri" w:hAnsi="Calibri" w:cs="Calibri"/>
              <w:sz w:val="22"/>
              <w:szCs w:val="22"/>
              <w:lang w:val="en-US" w:eastAsia="en-US"/>
            </w:rPr>
          </w:pPr>
          <w:r>
            <w:rPr/>
            <w:t>B.1.2.2</w:t>
          </w:r>
          <w:r>
            <w:rPr>
              <w:rFonts w:cs="Calibri" w:ascii="Calibri" w:hAnsi="Calibri"/>
              <w:sz w:val="22"/>
              <w:szCs w:val="22"/>
              <w:lang w:val="en-US" w:eastAsia="en-US"/>
            </w:rPr>
            <w:tab/>
          </w:r>
          <w:r>
            <w:rPr/>
            <w:t>Uncoordinated BTS -&gt; MS</w:t>
            <w:tab/>
          </w:r>
          <w:hyperlink w:anchor="__RefHeading___Toc518035620">
            <w:r>
              <w:rPr>
                <w:rStyle w:val="IndexLink"/>
              </w:rPr>
              <w:t>67</w:t>
            </w:r>
          </w:hyperlink>
        </w:p>
        <w:p>
          <w:pPr>
            <w:pStyle w:val="Contents2"/>
            <w:rPr>
              <w:rFonts w:ascii="Calibri" w:hAnsi="Calibri" w:cs="Calibri"/>
              <w:sz w:val="22"/>
              <w:szCs w:val="22"/>
              <w:lang w:val="en-US" w:eastAsia="en-US"/>
            </w:rPr>
          </w:pPr>
          <w:r>
            <w:rPr/>
            <w:t>B.1.3</w:t>
          </w:r>
          <w:r>
            <w:rPr>
              <w:rFonts w:cs="Calibri" w:ascii="Calibri" w:hAnsi="Calibri"/>
              <w:sz w:val="22"/>
              <w:szCs w:val="22"/>
              <w:lang w:val="en-US" w:eastAsia="en-US"/>
            </w:rPr>
            <w:tab/>
          </w:r>
          <w:r>
            <w:rPr/>
            <w:t>Intermodulation</w:t>
            <w:tab/>
          </w:r>
          <w:hyperlink w:anchor="__RefHeading___Toc518035621">
            <w:r>
              <w:rPr>
                <w:rStyle w:val="IndexLink"/>
              </w:rPr>
              <w:t>67</w:t>
            </w:r>
          </w:hyperlink>
        </w:p>
        <w:p>
          <w:pPr>
            <w:pStyle w:val="Contents3"/>
            <w:rPr>
              <w:rFonts w:ascii="Calibri" w:hAnsi="Calibri" w:cs="Calibri"/>
              <w:sz w:val="22"/>
              <w:szCs w:val="22"/>
              <w:lang w:val="en-US" w:eastAsia="en-US"/>
            </w:rPr>
          </w:pPr>
          <w:r>
            <w:rPr/>
            <w:t>B.1.3.1</w:t>
          </w:r>
          <w:r>
            <w:rPr>
              <w:rFonts w:cs="Calibri" w:ascii="Calibri" w:hAnsi="Calibri"/>
              <w:sz w:val="22"/>
              <w:szCs w:val="22"/>
              <w:lang w:val="en-US" w:eastAsia="en-US"/>
            </w:rPr>
            <w:tab/>
          </w:r>
          <w:r>
            <w:rPr/>
            <w:t>Coordinated, BTS -&gt; MS</w:t>
            <w:tab/>
          </w:r>
          <w:hyperlink w:anchor="__RefHeading___Toc518035622">
            <w:r>
              <w:rPr>
                <w:rStyle w:val="IndexLink"/>
              </w:rPr>
              <w:t>67</w:t>
            </w:r>
          </w:hyperlink>
        </w:p>
        <w:p>
          <w:pPr>
            <w:pStyle w:val="Contents3"/>
            <w:rPr>
              <w:rFonts w:ascii="Calibri" w:hAnsi="Calibri" w:cs="Calibri"/>
              <w:sz w:val="22"/>
              <w:szCs w:val="22"/>
              <w:lang w:val="en-US" w:eastAsia="en-US"/>
            </w:rPr>
          </w:pPr>
          <w:r>
            <w:rPr/>
            <w:t>B.1.3.2</w:t>
          </w:r>
          <w:r>
            <w:rPr>
              <w:rFonts w:cs="Calibri" w:ascii="Calibri" w:hAnsi="Calibri"/>
              <w:sz w:val="22"/>
              <w:szCs w:val="22"/>
              <w:lang w:val="en-US" w:eastAsia="en-US"/>
            </w:rPr>
            <w:tab/>
          </w:r>
          <w:r>
            <w:rPr/>
            <w:t>Uncoordinated, BTS -&gt; MS</w:t>
            <w:tab/>
          </w:r>
          <w:hyperlink w:anchor="__RefHeading___Toc518035623">
            <w:r>
              <w:rPr>
                <w:rStyle w:val="IndexLink"/>
              </w:rPr>
              <w:t>67</w:t>
            </w:r>
          </w:hyperlink>
        </w:p>
        <w:p>
          <w:pPr>
            <w:pStyle w:val="Contents3"/>
            <w:rPr>
              <w:rFonts w:ascii="Calibri" w:hAnsi="Calibri" w:cs="Calibri"/>
              <w:sz w:val="22"/>
              <w:szCs w:val="22"/>
              <w:lang w:val="en-US" w:eastAsia="en-US"/>
            </w:rPr>
          </w:pPr>
          <w:r>
            <w:rPr/>
            <w:t>B.1.3.3</w:t>
          </w:r>
          <w:r>
            <w:rPr>
              <w:rFonts w:cs="Calibri" w:ascii="Calibri" w:hAnsi="Calibri"/>
              <w:sz w:val="22"/>
              <w:szCs w:val="22"/>
              <w:lang w:val="en-US" w:eastAsia="en-US"/>
            </w:rPr>
            <w:tab/>
          </w:r>
          <w:r>
            <w:rPr/>
            <w:t>Uncoordinated, MS&amp;MS -&gt; BTS</w:t>
            <w:tab/>
          </w:r>
          <w:hyperlink w:anchor="__RefHeading___Toc518035624">
            <w:r>
              <w:rPr>
                <w:rStyle w:val="IndexLink"/>
              </w:rPr>
              <w:t>67</w:t>
            </w:r>
          </w:hyperlink>
        </w:p>
        <w:p>
          <w:pPr>
            <w:pStyle w:val="Contents3"/>
            <w:rPr>
              <w:rFonts w:ascii="Calibri" w:hAnsi="Calibri" w:cs="Calibri"/>
              <w:sz w:val="22"/>
              <w:szCs w:val="22"/>
              <w:lang w:val="en-US" w:eastAsia="en-US"/>
            </w:rPr>
          </w:pPr>
          <w:r>
            <w:rPr/>
            <w:t>B.1.3.4</w:t>
          </w:r>
          <w:r>
            <w:rPr>
              <w:rFonts w:cs="Calibri" w:ascii="Calibri" w:hAnsi="Calibri"/>
              <w:sz w:val="22"/>
              <w:szCs w:val="22"/>
              <w:lang w:val="en-US" w:eastAsia="en-US"/>
            </w:rPr>
            <w:tab/>
          </w:r>
          <w:r>
            <w:rPr/>
            <w:t>Uncoordinated MS&amp;MS -&gt; MS</w:t>
            <w:tab/>
          </w:r>
          <w:hyperlink w:anchor="__RefHeading___Toc518035625">
            <w:r>
              <w:rPr>
                <w:rStyle w:val="IndexLink"/>
              </w:rPr>
              <w:t>67</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Receiver</w:t>
            <w:tab/>
          </w:r>
          <w:hyperlink w:anchor="__RefHeading___Toc518035626">
            <w:r>
              <w:rPr>
                <w:rStyle w:val="IndexLink"/>
              </w:rPr>
              <w:t>67</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t>Blocking</w:t>
            <w:tab/>
          </w:r>
          <w:hyperlink w:anchor="__RefHeading___Toc518035627">
            <w:r>
              <w:rPr>
                <w:rStyle w:val="IndexLink"/>
              </w:rPr>
              <w:t>67</w:t>
            </w:r>
          </w:hyperlink>
        </w:p>
        <w:p>
          <w:pPr>
            <w:pStyle w:val="Contents3"/>
            <w:rPr>
              <w:rFonts w:ascii="Calibri" w:hAnsi="Calibri" w:cs="Calibri"/>
              <w:sz w:val="22"/>
              <w:szCs w:val="22"/>
              <w:lang w:val="en-US" w:eastAsia="en-US"/>
            </w:rPr>
          </w:pPr>
          <w:r>
            <w:rPr/>
            <w:t>B.2.1.1</w:t>
          </w:r>
          <w:r>
            <w:rPr>
              <w:rFonts w:cs="Calibri" w:ascii="Calibri" w:hAnsi="Calibri"/>
              <w:sz w:val="22"/>
              <w:szCs w:val="22"/>
              <w:lang w:val="en-US" w:eastAsia="en-US"/>
            </w:rPr>
            <w:tab/>
          </w:r>
          <w:r>
            <w:rPr/>
            <w:t>Co-ordinated &amp; Uncoordinated BTS -&gt; MS</w:t>
            <w:tab/>
          </w:r>
          <w:hyperlink w:anchor="__RefHeading___Toc518035628">
            <w:r>
              <w:rPr>
                <w:rStyle w:val="IndexLink"/>
              </w:rPr>
              <w:t>67</w:t>
            </w:r>
          </w:hyperlink>
        </w:p>
        <w:p>
          <w:pPr>
            <w:pStyle w:val="Contents3"/>
            <w:rPr>
              <w:rFonts w:ascii="Calibri" w:hAnsi="Calibri" w:cs="Calibri"/>
              <w:sz w:val="22"/>
              <w:szCs w:val="22"/>
              <w:lang w:val="en-US" w:eastAsia="en-US"/>
            </w:rPr>
          </w:pPr>
          <w:r>
            <w:rPr/>
            <w:t>B.2.1.2</w:t>
          </w:r>
          <w:r>
            <w:rPr>
              <w:rFonts w:cs="Calibri" w:ascii="Calibri" w:hAnsi="Calibri"/>
              <w:sz w:val="22"/>
              <w:szCs w:val="22"/>
              <w:lang w:val="en-US" w:eastAsia="en-US"/>
            </w:rPr>
            <w:tab/>
          </w:r>
          <w:r>
            <w:rPr/>
            <w:t>Co-ordinated MS -&gt; BTS</w:t>
            <w:tab/>
          </w:r>
          <w:hyperlink w:anchor="__RefHeading___Toc518035629">
            <w:r>
              <w:rPr>
                <w:rStyle w:val="IndexLink"/>
              </w:rPr>
              <w:t>67</w:t>
            </w:r>
          </w:hyperlink>
        </w:p>
        <w:p>
          <w:pPr>
            <w:pStyle w:val="Contents3"/>
            <w:rPr>
              <w:rFonts w:ascii="Calibri" w:hAnsi="Calibri" w:cs="Calibri"/>
              <w:sz w:val="22"/>
              <w:szCs w:val="22"/>
              <w:lang w:val="en-US" w:eastAsia="en-US"/>
            </w:rPr>
          </w:pPr>
          <w:r>
            <w:rPr/>
            <w:t>B.2.1.3</w:t>
          </w:r>
          <w:r>
            <w:rPr>
              <w:rFonts w:cs="Calibri" w:ascii="Calibri" w:hAnsi="Calibri"/>
              <w:sz w:val="22"/>
              <w:szCs w:val="22"/>
              <w:lang w:val="en-US" w:eastAsia="en-US"/>
            </w:rPr>
            <w:tab/>
          </w:r>
          <w:r>
            <w:rPr/>
            <w:t>Uncoordinated MS -&gt; BTS</w:t>
            <w:tab/>
          </w:r>
          <w:hyperlink w:anchor="__RefHeading___Toc518035630">
            <w:r>
              <w:rPr>
                <w:rStyle w:val="IndexLink"/>
              </w:rPr>
              <w:t>68</w:t>
            </w:r>
          </w:hyperlink>
        </w:p>
        <w:p>
          <w:pPr>
            <w:pStyle w:val="Contents3"/>
            <w:rPr>
              <w:rFonts w:ascii="Calibri" w:hAnsi="Calibri" w:cs="Calibri"/>
              <w:sz w:val="22"/>
              <w:szCs w:val="22"/>
              <w:lang w:val="en-US" w:eastAsia="en-US"/>
            </w:rPr>
          </w:pPr>
          <w:r>
            <w:rPr/>
            <w:t>B.2.1.4</w:t>
          </w:r>
          <w:r>
            <w:rPr>
              <w:rFonts w:cs="Calibri" w:ascii="Calibri" w:hAnsi="Calibri"/>
              <w:sz w:val="22"/>
              <w:szCs w:val="22"/>
              <w:lang w:val="en-US" w:eastAsia="en-US"/>
            </w:rPr>
            <w:tab/>
          </w:r>
          <w:r>
            <w:rPr/>
            <w:t>Co-ordinated &amp; Uncoordinated MS -&gt; MS</w:t>
            <w:tab/>
          </w:r>
          <w:hyperlink w:anchor="__RefHeading___Toc518035631">
            <w:r>
              <w:rPr>
                <w:rStyle w:val="IndexLink"/>
              </w:rPr>
              <w:t>68</w:t>
            </w:r>
          </w:hyperlink>
        </w:p>
        <w:p>
          <w:pPr>
            <w:pStyle w:val="Contents3"/>
            <w:rPr>
              <w:rFonts w:ascii="Calibri" w:hAnsi="Calibri" w:cs="Calibri"/>
              <w:sz w:val="22"/>
              <w:szCs w:val="22"/>
              <w:lang w:val="en-US" w:eastAsia="en-US"/>
            </w:rPr>
          </w:pPr>
          <w:r>
            <w:rPr/>
            <w:t>B.2.1.5</w:t>
          </w:r>
          <w:r>
            <w:rPr>
              <w:rFonts w:cs="Calibri" w:ascii="Calibri" w:hAnsi="Calibri"/>
              <w:sz w:val="22"/>
              <w:szCs w:val="22"/>
              <w:lang w:val="en-US" w:eastAsia="en-US"/>
            </w:rPr>
            <w:tab/>
          </w:r>
          <w:r>
            <w:rPr/>
            <w:t>Co-ordinated and Uncoordinated BTS -&gt; BTS</w:t>
            <w:tab/>
          </w:r>
          <w:hyperlink w:anchor="__RefHeading___Toc518035632">
            <w:r>
              <w:rPr>
                <w:rStyle w:val="IndexLink"/>
              </w:rPr>
              <w:t>68</w:t>
            </w:r>
          </w:hyperlink>
        </w:p>
        <w:p>
          <w:pPr>
            <w:pStyle w:val="Contents2"/>
            <w:rPr>
              <w:rFonts w:ascii="Calibri" w:hAnsi="Calibri" w:cs="Calibri"/>
              <w:sz w:val="22"/>
              <w:szCs w:val="22"/>
              <w:lang w:val="en-US" w:eastAsia="en-US"/>
            </w:rPr>
          </w:pPr>
          <w:r>
            <w:rPr/>
            <w:t>B.2.2</w:t>
          </w:r>
          <w:r>
            <w:rPr>
              <w:rFonts w:cs="Calibri" w:ascii="Calibri" w:hAnsi="Calibri"/>
              <w:sz w:val="22"/>
              <w:szCs w:val="22"/>
              <w:lang w:val="en-US" w:eastAsia="en-US"/>
            </w:rPr>
            <w:tab/>
          </w:r>
          <w:r>
            <w:rPr/>
            <w:t>Intermodulation</w:t>
            <w:tab/>
          </w:r>
          <w:hyperlink w:anchor="__RefHeading___Toc518035633">
            <w:r>
              <w:rPr>
                <w:rStyle w:val="IndexLink"/>
              </w:rPr>
              <w:t>68</w:t>
            </w:r>
          </w:hyperlink>
        </w:p>
        <w:p>
          <w:pPr>
            <w:pStyle w:val="Contents3"/>
            <w:rPr>
              <w:rFonts w:ascii="Calibri" w:hAnsi="Calibri" w:cs="Calibri"/>
              <w:sz w:val="22"/>
              <w:szCs w:val="22"/>
              <w:lang w:val="en-US" w:eastAsia="en-US"/>
            </w:rPr>
          </w:pPr>
          <w:r>
            <w:rPr/>
            <w:t>B.2.2.1</w:t>
          </w:r>
          <w:r>
            <w:rPr>
              <w:rFonts w:cs="Calibri" w:ascii="Calibri" w:hAnsi="Calibri"/>
              <w:sz w:val="22"/>
              <w:szCs w:val="22"/>
              <w:lang w:val="en-US" w:eastAsia="en-US"/>
            </w:rPr>
            <w:tab/>
          </w:r>
          <w:r>
            <w:rPr/>
            <w:t>Co-ordinated &amp; Uncoordinated BTS -&gt; MS</w:t>
            <w:tab/>
          </w:r>
          <w:hyperlink w:anchor="__RefHeading___Toc518035634">
            <w:r>
              <w:rPr>
                <w:rStyle w:val="IndexLink"/>
              </w:rPr>
              <w:t>68</w:t>
            </w:r>
          </w:hyperlink>
        </w:p>
        <w:p>
          <w:pPr>
            <w:pStyle w:val="Contents3"/>
            <w:rPr>
              <w:rFonts w:ascii="Calibri" w:hAnsi="Calibri" w:cs="Calibri"/>
              <w:sz w:val="22"/>
              <w:szCs w:val="22"/>
              <w:lang w:val="en-US" w:eastAsia="en-US"/>
            </w:rPr>
          </w:pPr>
          <w:r>
            <w:rPr/>
            <w:t>B.2.2.2</w:t>
          </w:r>
          <w:r>
            <w:rPr>
              <w:rFonts w:cs="Calibri" w:ascii="Calibri" w:hAnsi="Calibri"/>
              <w:sz w:val="22"/>
              <w:szCs w:val="22"/>
              <w:lang w:val="en-US" w:eastAsia="en-US"/>
            </w:rPr>
            <w:tab/>
          </w:r>
          <w:r>
            <w:rPr/>
            <w:t>Co-ordinated MS &amp; MS -&gt; BTS</w:t>
            <w:tab/>
          </w:r>
          <w:hyperlink w:anchor="__RefHeading___Toc518035635">
            <w:r>
              <w:rPr>
                <w:rStyle w:val="IndexLink"/>
              </w:rPr>
              <w:t>68</w:t>
            </w:r>
          </w:hyperlink>
        </w:p>
        <w:p>
          <w:pPr>
            <w:pStyle w:val="Contents3"/>
            <w:rPr>
              <w:rFonts w:ascii="Calibri" w:hAnsi="Calibri" w:cs="Calibri"/>
              <w:sz w:val="22"/>
              <w:szCs w:val="22"/>
              <w:lang w:val="en-US" w:eastAsia="en-US"/>
            </w:rPr>
          </w:pPr>
          <w:r>
            <w:rPr/>
            <w:t>B.2.2.3</w:t>
          </w:r>
          <w:r>
            <w:rPr>
              <w:rFonts w:cs="Calibri" w:ascii="Calibri" w:hAnsi="Calibri"/>
              <w:sz w:val="22"/>
              <w:szCs w:val="22"/>
              <w:lang w:val="en-US" w:eastAsia="en-US"/>
            </w:rPr>
            <w:tab/>
          </w:r>
          <w:r>
            <w:rPr/>
            <w:t>Uncoordinated MS &amp; MS -&gt; BTS</w:t>
            <w:tab/>
          </w:r>
          <w:hyperlink w:anchor="__RefHeading___Toc518035636">
            <w:r>
              <w:rPr>
                <w:rStyle w:val="IndexLink"/>
              </w:rPr>
              <w:t>68</w:t>
            </w:r>
          </w:hyperlink>
        </w:p>
        <w:p>
          <w:pPr>
            <w:pStyle w:val="Contents2"/>
            <w:rPr>
              <w:rFonts w:ascii="Calibri" w:hAnsi="Calibri" w:cs="Calibri"/>
              <w:sz w:val="22"/>
              <w:szCs w:val="22"/>
              <w:lang w:val="en-US" w:eastAsia="en-US"/>
            </w:rPr>
          </w:pPr>
          <w:r>
            <w:rPr/>
            <w:t>B.2.3</w:t>
          </w:r>
          <w:r>
            <w:rPr>
              <w:rFonts w:cs="Calibri" w:ascii="Calibri" w:hAnsi="Calibri"/>
              <w:sz w:val="22"/>
              <w:szCs w:val="22"/>
              <w:lang w:val="en-US" w:eastAsia="en-US"/>
            </w:rPr>
            <w:tab/>
          </w:r>
          <w:r>
            <w:rPr/>
            <w:t>Maximum level</w:t>
            <w:tab/>
          </w:r>
          <w:hyperlink w:anchor="__RefHeading___Toc518035637">
            <w:r>
              <w:rPr>
                <w:rStyle w:val="IndexLink"/>
              </w:rPr>
              <w:t>68</w:t>
            </w:r>
          </w:hyperlink>
        </w:p>
        <w:p>
          <w:pPr>
            <w:pStyle w:val="Contents3"/>
            <w:rPr>
              <w:rFonts w:ascii="Calibri" w:hAnsi="Calibri" w:cs="Calibri"/>
              <w:sz w:val="22"/>
              <w:szCs w:val="22"/>
              <w:lang w:val="en-US" w:eastAsia="en-US"/>
            </w:rPr>
          </w:pPr>
          <w:r>
            <w:rPr/>
            <w:t>B.2.3.1</w:t>
          </w:r>
          <w:r>
            <w:rPr>
              <w:rFonts w:cs="Calibri" w:ascii="Calibri" w:hAnsi="Calibri"/>
              <w:sz w:val="22"/>
              <w:szCs w:val="22"/>
              <w:lang w:val="en-US" w:eastAsia="en-US"/>
            </w:rPr>
            <w:tab/>
          </w:r>
          <w:r>
            <w:rPr/>
            <w:t>Co-ordinated MS -&gt; BTS</w:t>
            <w:tab/>
          </w:r>
          <w:hyperlink w:anchor="__RefHeading___Toc518035638">
            <w:r>
              <w:rPr>
                <w:rStyle w:val="IndexLink"/>
              </w:rPr>
              <w:t>68</w:t>
            </w:r>
          </w:hyperlink>
        </w:p>
        <w:p>
          <w:pPr>
            <w:pStyle w:val="Contents3"/>
            <w:rPr>
              <w:rFonts w:ascii="Calibri" w:hAnsi="Calibri" w:cs="Calibri"/>
              <w:sz w:val="22"/>
              <w:szCs w:val="22"/>
              <w:lang w:val="en-US" w:eastAsia="en-US"/>
            </w:rPr>
          </w:pPr>
          <w:r>
            <w:rPr/>
            <w:t>B.2.3.2</w:t>
          </w:r>
          <w:r>
            <w:rPr>
              <w:rFonts w:cs="Calibri" w:ascii="Calibri" w:hAnsi="Calibri"/>
              <w:sz w:val="22"/>
              <w:szCs w:val="22"/>
              <w:lang w:val="en-US" w:eastAsia="en-US"/>
            </w:rPr>
            <w:tab/>
          </w:r>
          <w:r>
            <w:rPr/>
            <w:t>Co-ordinated BTS -&gt; MS</w:t>
            <w:tab/>
          </w:r>
          <w:hyperlink w:anchor="__RefHeading___Toc518035639">
            <w:r>
              <w:rPr>
                <w:rStyle w:val="IndexLink"/>
              </w:rPr>
              <w:t>68</w:t>
            </w:r>
          </w:hyperlink>
        </w:p>
        <w:p>
          <w:pPr>
            <w:pStyle w:val="Contents2"/>
            <w:rPr>
              <w:rFonts w:ascii="Calibri" w:hAnsi="Calibri" w:cs="Calibri"/>
              <w:sz w:val="22"/>
              <w:szCs w:val="22"/>
              <w:lang w:val="en-US" w:eastAsia="en-US"/>
            </w:rPr>
          </w:pPr>
          <w:r>
            <w:rPr/>
            <w:t>B.3.1</w:t>
          </w:r>
          <w:r>
            <w:rPr>
              <w:rFonts w:cs="Calibri" w:ascii="Calibri" w:hAnsi="Calibri"/>
              <w:sz w:val="22"/>
              <w:szCs w:val="22"/>
              <w:lang w:val="en-US" w:eastAsia="en-US"/>
            </w:rPr>
            <w:tab/>
          </w:r>
          <w:r>
            <w:rPr/>
            <w:t>Transmitter</w:t>
            <w:tab/>
          </w:r>
          <w:hyperlink w:anchor="__RefHeading___Toc518035640">
            <w:r>
              <w:rPr>
                <w:rStyle w:val="IndexLink"/>
              </w:rPr>
              <w:t>69</w:t>
            </w:r>
          </w:hyperlink>
        </w:p>
        <w:p>
          <w:pPr>
            <w:pStyle w:val="Contents3"/>
            <w:rPr>
              <w:rFonts w:ascii="Calibri" w:hAnsi="Calibri" w:cs="Calibri"/>
              <w:sz w:val="22"/>
              <w:szCs w:val="22"/>
              <w:lang w:val="en-US" w:eastAsia="en-US"/>
            </w:rPr>
          </w:pPr>
          <w:r>
            <w:rPr/>
            <w:t>B.3.1.1</w:t>
          </w:r>
          <w:r>
            <w:rPr>
              <w:rFonts w:cs="Calibri" w:ascii="Calibri" w:hAnsi="Calibri"/>
              <w:sz w:val="22"/>
              <w:szCs w:val="22"/>
              <w:lang w:val="en-US" w:eastAsia="en-US"/>
            </w:rPr>
            <w:tab/>
          </w:r>
          <w:r>
            <w:rPr/>
            <w:t>Modulation, Spurs and Noise</w:t>
            <w:tab/>
          </w:r>
          <w:hyperlink w:anchor="__RefHeading___Toc518035641">
            <w:r>
              <w:rPr>
                <w:rStyle w:val="IndexLink"/>
              </w:rPr>
              <w:t>69</w:t>
            </w:r>
          </w:hyperlink>
        </w:p>
        <w:p>
          <w:pPr>
            <w:pStyle w:val="Contents4"/>
            <w:rPr>
              <w:rFonts w:ascii="Calibri" w:hAnsi="Calibri" w:cs="Calibri"/>
              <w:sz w:val="22"/>
              <w:szCs w:val="22"/>
              <w:lang w:val="en-US" w:eastAsia="en-US"/>
            </w:rPr>
          </w:pPr>
          <w:r>
            <w:rPr/>
            <w:t>B.3.1.1.1</w:t>
          </w:r>
          <w:r>
            <w:rPr>
              <w:rFonts w:cs="Calibri" w:ascii="Calibri" w:hAnsi="Calibri"/>
              <w:sz w:val="22"/>
              <w:szCs w:val="22"/>
              <w:lang w:val="en-US" w:eastAsia="en-US"/>
            </w:rPr>
            <w:tab/>
          </w:r>
          <w:r>
            <w:rPr/>
            <w:t>Co-ordinated, BTS -&gt; MS</w:t>
            <w:tab/>
          </w:r>
          <w:hyperlink w:anchor="__RefHeading___Toc518035642">
            <w:r>
              <w:rPr>
                <w:rStyle w:val="IndexLink"/>
              </w:rPr>
              <w:t>69</w:t>
            </w:r>
          </w:hyperlink>
        </w:p>
        <w:p>
          <w:pPr>
            <w:pStyle w:val="Contents4"/>
            <w:rPr>
              <w:rFonts w:ascii="Calibri" w:hAnsi="Calibri" w:cs="Calibri"/>
              <w:sz w:val="22"/>
              <w:szCs w:val="22"/>
              <w:lang w:val="en-US" w:eastAsia="en-US"/>
            </w:rPr>
          </w:pPr>
          <w:r>
            <w:rPr/>
            <w:t>B.3.1.1.2</w:t>
          </w:r>
          <w:r>
            <w:rPr>
              <w:rFonts w:cs="Calibri" w:ascii="Calibri" w:hAnsi="Calibri"/>
              <w:sz w:val="22"/>
              <w:szCs w:val="22"/>
              <w:lang w:val="en-US" w:eastAsia="en-US"/>
            </w:rPr>
            <w:tab/>
          </w:r>
          <w:r>
            <w:rPr/>
            <w:t>Uncoordinated, BTS -&gt; MS</w:t>
            <w:tab/>
          </w:r>
          <w:hyperlink w:anchor="__RefHeading___Toc518035643">
            <w:r>
              <w:rPr>
                <w:rStyle w:val="IndexLink"/>
              </w:rPr>
              <w:t>69</w:t>
            </w:r>
          </w:hyperlink>
        </w:p>
        <w:p>
          <w:pPr>
            <w:pStyle w:val="Contents4"/>
            <w:rPr>
              <w:rFonts w:ascii="Calibri" w:hAnsi="Calibri" w:cs="Calibri"/>
              <w:sz w:val="22"/>
              <w:szCs w:val="22"/>
              <w:lang w:val="en-US" w:eastAsia="en-US"/>
            </w:rPr>
          </w:pPr>
          <w:r>
            <w:rPr/>
            <w:t>B.3.1.1.3</w:t>
          </w:r>
          <w:r>
            <w:rPr>
              <w:rFonts w:cs="Calibri" w:ascii="Calibri" w:hAnsi="Calibri"/>
              <w:sz w:val="22"/>
              <w:szCs w:val="22"/>
              <w:lang w:val="en-US" w:eastAsia="en-US"/>
            </w:rPr>
            <w:tab/>
          </w:r>
          <w:r>
            <w:rPr/>
            <w:t>Co-ordinated &amp; Uncoordinated MS -&gt; BTS</w:t>
            <w:tab/>
          </w:r>
          <w:hyperlink w:anchor="__RefHeading___Toc518035644">
            <w:r>
              <w:rPr>
                <w:rStyle w:val="IndexLink"/>
              </w:rPr>
              <w:t>69</w:t>
            </w:r>
          </w:hyperlink>
        </w:p>
        <w:p>
          <w:pPr>
            <w:pStyle w:val="Contents4"/>
            <w:rPr>
              <w:rFonts w:ascii="Calibri" w:hAnsi="Calibri" w:cs="Calibri"/>
              <w:sz w:val="22"/>
              <w:szCs w:val="22"/>
              <w:lang w:val="en-US" w:eastAsia="en-US"/>
            </w:rPr>
          </w:pPr>
          <w:r>
            <w:rPr/>
            <w:t>B.3.1.1.4</w:t>
          </w:r>
          <w:r>
            <w:rPr>
              <w:rFonts w:cs="Calibri" w:ascii="Calibri" w:hAnsi="Calibri"/>
              <w:sz w:val="22"/>
              <w:szCs w:val="22"/>
              <w:lang w:val="en-US" w:eastAsia="en-US"/>
            </w:rPr>
            <w:tab/>
          </w:r>
          <w:r>
            <w:rPr/>
            <w:t>Co-ordinated &amp; Uncoordinated MS -&gt; MS</w:t>
            <w:tab/>
          </w:r>
          <w:hyperlink w:anchor="__RefHeading___Toc518035645">
            <w:r>
              <w:rPr>
                <w:rStyle w:val="IndexLink"/>
              </w:rPr>
              <w:t>69</w:t>
            </w:r>
          </w:hyperlink>
        </w:p>
        <w:p>
          <w:pPr>
            <w:pStyle w:val="Contents4"/>
            <w:rPr>
              <w:rFonts w:ascii="Calibri" w:hAnsi="Calibri" w:cs="Calibri"/>
              <w:sz w:val="22"/>
              <w:szCs w:val="22"/>
              <w:lang w:val="en-US" w:eastAsia="en-US"/>
            </w:rPr>
          </w:pPr>
          <w:r>
            <w:rPr/>
            <w:t>B.3.1.1.5</w:t>
          </w:r>
          <w:r>
            <w:rPr>
              <w:rFonts w:cs="Calibri" w:ascii="Calibri" w:hAnsi="Calibri"/>
              <w:sz w:val="22"/>
              <w:szCs w:val="22"/>
              <w:lang w:val="en-US" w:eastAsia="en-US"/>
            </w:rPr>
            <w:tab/>
          </w:r>
          <w:r>
            <w:rPr/>
            <w:t>Co-ordinated &amp; Uncoordinated BTS -&gt; BTS</w:t>
            <w:tab/>
          </w:r>
          <w:hyperlink w:anchor="__RefHeading___Toc518035646">
            <w:r>
              <w:rPr>
                <w:rStyle w:val="IndexLink"/>
              </w:rPr>
              <w:t>69</w:t>
            </w:r>
          </w:hyperlink>
        </w:p>
        <w:p>
          <w:pPr>
            <w:pStyle w:val="Contents3"/>
            <w:rPr>
              <w:rFonts w:ascii="Calibri" w:hAnsi="Calibri" w:cs="Calibri"/>
              <w:sz w:val="22"/>
              <w:szCs w:val="22"/>
              <w:lang w:val="en-US" w:eastAsia="en-US"/>
            </w:rPr>
          </w:pPr>
          <w:r>
            <w:rPr/>
            <w:t>B.3.1.2</w:t>
          </w:r>
          <w:r>
            <w:rPr>
              <w:rFonts w:cs="Calibri" w:ascii="Calibri" w:hAnsi="Calibri"/>
              <w:sz w:val="22"/>
              <w:szCs w:val="22"/>
              <w:lang w:val="en-US" w:eastAsia="en-US"/>
            </w:rPr>
            <w:tab/>
          </w:r>
          <w:r>
            <w:rPr/>
            <w:t>Switching Transients</w:t>
            <w:tab/>
          </w:r>
          <w:hyperlink w:anchor="__RefHeading___Toc518035647">
            <w:r>
              <w:rPr>
                <w:rStyle w:val="IndexLink"/>
              </w:rPr>
              <w:t>69</w:t>
            </w:r>
          </w:hyperlink>
        </w:p>
        <w:p>
          <w:pPr>
            <w:pStyle w:val="Contents4"/>
            <w:rPr>
              <w:rFonts w:ascii="Calibri" w:hAnsi="Calibri" w:cs="Calibri"/>
              <w:sz w:val="22"/>
              <w:szCs w:val="22"/>
              <w:lang w:val="en-US" w:eastAsia="en-US"/>
            </w:rPr>
          </w:pPr>
          <w:r>
            <w:rPr/>
            <w:t>B.3.1.2.1</w:t>
          </w:r>
          <w:r>
            <w:rPr>
              <w:rFonts w:cs="Calibri" w:ascii="Calibri" w:hAnsi="Calibri"/>
              <w:sz w:val="22"/>
              <w:szCs w:val="22"/>
              <w:lang w:val="en-US" w:eastAsia="en-US"/>
            </w:rPr>
            <w:tab/>
          </w:r>
          <w:r>
            <w:rPr/>
            <w:t>Uncoordinated MS -&gt; BTS</w:t>
            <w:tab/>
          </w:r>
          <w:hyperlink w:anchor="__RefHeading___Toc518035648">
            <w:r>
              <w:rPr>
                <w:rStyle w:val="IndexLink"/>
              </w:rPr>
              <w:t>69</w:t>
            </w:r>
          </w:hyperlink>
        </w:p>
        <w:p>
          <w:pPr>
            <w:pStyle w:val="Contents4"/>
            <w:rPr>
              <w:rFonts w:ascii="Calibri" w:hAnsi="Calibri" w:cs="Calibri"/>
              <w:sz w:val="22"/>
              <w:szCs w:val="22"/>
              <w:lang w:val="en-US" w:eastAsia="en-US"/>
            </w:rPr>
          </w:pPr>
          <w:r>
            <w:rPr/>
            <w:t>B.3.1.2.2</w:t>
          </w:r>
          <w:r>
            <w:rPr>
              <w:rFonts w:cs="Calibri" w:ascii="Calibri" w:hAnsi="Calibri"/>
              <w:sz w:val="22"/>
              <w:szCs w:val="22"/>
              <w:lang w:val="en-US" w:eastAsia="en-US"/>
            </w:rPr>
            <w:tab/>
          </w:r>
          <w:r>
            <w:rPr/>
            <w:t>Uncoordinated BTS -&gt; MS</w:t>
            <w:tab/>
          </w:r>
          <w:hyperlink w:anchor="__RefHeading___Toc518035649">
            <w:r>
              <w:rPr>
                <w:rStyle w:val="IndexLink"/>
              </w:rPr>
              <w:t>69</w:t>
            </w:r>
          </w:hyperlink>
        </w:p>
        <w:p>
          <w:pPr>
            <w:pStyle w:val="Contents3"/>
            <w:rPr>
              <w:rFonts w:ascii="Calibri" w:hAnsi="Calibri" w:cs="Calibri"/>
              <w:sz w:val="22"/>
              <w:szCs w:val="22"/>
              <w:lang w:val="en-US" w:eastAsia="en-US"/>
            </w:rPr>
          </w:pPr>
          <w:r>
            <w:rPr/>
            <w:t>B.3.1.3</w:t>
          </w:r>
          <w:r>
            <w:rPr>
              <w:rFonts w:cs="Calibri" w:ascii="Calibri" w:hAnsi="Calibri"/>
              <w:sz w:val="22"/>
              <w:szCs w:val="22"/>
              <w:lang w:val="en-US" w:eastAsia="en-US"/>
            </w:rPr>
            <w:tab/>
          </w:r>
          <w:r>
            <w:rPr/>
            <w:t>Intermodulation</w:t>
            <w:tab/>
          </w:r>
          <w:hyperlink w:anchor="__RefHeading___Toc518035650">
            <w:r>
              <w:rPr>
                <w:rStyle w:val="IndexLink"/>
              </w:rPr>
              <w:t>70</w:t>
            </w:r>
          </w:hyperlink>
        </w:p>
        <w:p>
          <w:pPr>
            <w:pStyle w:val="Contents4"/>
            <w:rPr>
              <w:rFonts w:ascii="Calibri" w:hAnsi="Calibri" w:cs="Calibri"/>
              <w:sz w:val="22"/>
              <w:szCs w:val="22"/>
              <w:lang w:val="en-US" w:eastAsia="en-US"/>
            </w:rPr>
          </w:pPr>
          <w:r>
            <w:rPr/>
            <w:t>B.3.1.3.1</w:t>
          </w:r>
          <w:r>
            <w:rPr>
              <w:rFonts w:cs="Calibri" w:ascii="Calibri" w:hAnsi="Calibri"/>
              <w:sz w:val="22"/>
              <w:szCs w:val="22"/>
              <w:lang w:val="en-US" w:eastAsia="en-US"/>
            </w:rPr>
            <w:tab/>
          </w:r>
          <w:r>
            <w:rPr/>
            <w:t>Coordinated, BTS -&gt; MS</w:t>
            <w:tab/>
          </w:r>
          <w:hyperlink w:anchor="__RefHeading___Toc518035651">
            <w:r>
              <w:rPr>
                <w:rStyle w:val="IndexLink"/>
              </w:rPr>
              <w:t>70</w:t>
            </w:r>
          </w:hyperlink>
        </w:p>
        <w:p>
          <w:pPr>
            <w:pStyle w:val="Contents4"/>
            <w:rPr>
              <w:rFonts w:ascii="Calibri" w:hAnsi="Calibri" w:cs="Calibri"/>
              <w:sz w:val="22"/>
              <w:szCs w:val="22"/>
              <w:lang w:val="en-US" w:eastAsia="en-US"/>
            </w:rPr>
          </w:pPr>
          <w:r>
            <w:rPr/>
            <w:t>B.3.1.3.2</w:t>
          </w:r>
          <w:r>
            <w:rPr>
              <w:rFonts w:cs="Calibri" w:ascii="Calibri" w:hAnsi="Calibri"/>
              <w:sz w:val="22"/>
              <w:szCs w:val="22"/>
              <w:lang w:val="en-US" w:eastAsia="en-US"/>
            </w:rPr>
            <w:tab/>
          </w:r>
          <w:r>
            <w:rPr/>
            <w:t>Uncoordinated, BTS -&gt; MS</w:t>
            <w:tab/>
          </w:r>
          <w:hyperlink w:anchor="__RefHeading___Toc518035652">
            <w:r>
              <w:rPr>
                <w:rStyle w:val="IndexLink"/>
              </w:rPr>
              <w:t>70</w:t>
            </w:r>
          </w:hyperlink>
        </w:p>
        <w:p>
          <w:pPr>
            <w:pStyle w:val="Contents4"/>
            <w:rPr>
              <w:rFonts w:ascii="Calibri" w:hAnsi="Calibri" w:cs="Calibri"/>
              <w:sz w:val="22"/>
              <w:szCs w:val="22"/>
              <w:lang w:val="en-US" w:eastAsia="en-US"/>
            </w:rPr>
          </w:pPr>
          <w:r>
            <w:rPr/>
            <w:t>B.3.1.3.3</w:t>
          </w:r>
          <w:r>
            <w:rPr>
              <w:rFonts w:cs="Calibri" w:ascii="Calibri" w:hAnsi="Calibri"/>
              <w:sz w:val="22"/>
              <w:szCs w:val="22"/>
              <w:lang w:val="en-US" w:eastAsia="en-US"/>
            </w:rPr>
            <w:tab/>
          </w:r>
          <w:r>
            <w:rPr/>
            <w:t>Uncoordinated, MS&amp;MS -&gt; BTS</w:t>
            <w:tab/>
          </w:r>
          <w:hyperlink w:anchor="__RefHeading___Toc518035653">
            <w:r>
              <w:rPr>
                <w:rStyle w:val="IndexLink"/>
              </w:rPr>
              <w:t>70</w:t>
            </w:r>
          </w:hyperlink>
        </w:p>
        <w:p>
          <w:pPr>
            <w:pStyle w:val="Contents4"/>
            <w:rPr>
              <w:rFonts w:ascii="Calibri" w:hAnsi="Calibri" w:cs="Calibri"/>
              <w:sz w:val="22"/>
              <w:szCs w:val="22"/>
              <w:lang w:val="en-US" w:eastAsia="en-US"/>
            </w:rPr>
          </w:pPr>
          <w:r>
            <w:rPr/>
            <w:t>B.3.1.3.4</w:t>
          </w:r>
          <w:r>
            <w:rPr>
              <w:rFonts w:cs="Calibri" w:ascii="Calibri" w:hAnsi="Calibri"/>
              <w:sz w:val="22"/>
              <w:szCs w:val="22"/>
              <w:lang w:val="en-US" w:eastAsia="en-US"/>
            </w:rPr>
            <w:tab/>
          </w:r>
          <w:r>
            <w:rPr/>
            <w:t>Uncoordinated MS&amp;MS -&gt; MS</w:t>
            <w:tab/>
          </w:r>
          <w:hyperlink w:anchor="__RefHeading___Toc518035654">
            <w:r>
              <w:rPr>
                <w:rStyle w:val="IndexLink"/>
              </w:rPr>
              <w:t>70</w:t>
            </w:r>
          </w:hyperlink>
        </w:p>
        <w:p>
          <w:pPr>
            <w:pStyle w:val="Contents2"/>
            <w:rPr>
              <w:rFonts w:ascii="Calibri" w:hAnsi="Calibri" w:cs="Calibri"/>
              <w:sz w:val="22"/>
              <w:szCs w:val="22"/>
              <w:lang w:val="en-US" w:eastAsia="en-US"/>
            </w:rPr>
          </w:pPr>
          <w:r>
            <w:rPr/>
            <w:t>B.3.2</w:t>
          </w:r>
          <w:r>
            <w:rPr>
              <w:rFonts w:cs="Calibri" w:ascii="Calibri" w:hAnsi="Calibri"/>
              <w:sz w:val="22"/>
              <w:szCs w:val="22"/>
              <w:lang w:val="en-US" w:eastAsia="en-US"/>
            </w:rPr>
            <w:tab/>
          </w:r>
          <w:r>
            <w:rPr/>
            <w:t>Receiver</w:t>
            <w:tab/>
          </w:r>
          <w:hyperlink w:anchor="__RefHeading___Toc518035655">
            <w:r>
              <w:rPr>
                <w:rStyle w:val="IndexLink"/>
              </w:rPr>
              <w:t>70</w:t>
            </w:r>
          </w:hyperlink>
        </w:p>
        <w:p>
          <w:pPr>
            <w:pStyle w:val="Contents3"/>
            <w:rPr>
              <w:rFonts w:ascii="Calibri" w:hAnsi="Calibri" w:cs="Calibri"/>
              <w:sz w:val="22"/>
              <w:szCs w:val="22"/>
              <w:lang w:val="en-US" w:eastAsia="en-US"/>
            </w:rPr>
          </w:pPr>
          <w:r>
            <w:rPr/>
            <w:t>B.3.2.1</w:t>
          </w:r>
          <w:r>
            <w:rPr>
              <w:rFonts w:cs="Calibri" w:ascii="Calibri" w:hAnsi="Calibri"/>
              <w:sz w:val="22"/>
              <w:szCs w:val="22"/>
              <w:lang w:val="en-US" w:eastAsia="en-US"/>
            </w:rPr>
            <w:tab/>
          </w:r>
          <w:r>
            <w:rPr/>
            <w:t>Blocking</w:t>
            <w:tab/>
          </w:r>
          <w:hyperlink w:anchor="__RefHeading___Toc518035656">
            <w:r>
              <w:rPr>
                <w:rStyle w:val="IndexLink"/>
              </w:rPr>
              <w:t>70</w:t>
            </w:r>
          </w:hyperlink>
        </w:p>
        <w:p>
          <w:pPr>
            <w:pStyle w:val="Contents4"/>
            <w:rPr>
              <w:rFonts w:ascii="Calibri" w:hAnsi="Calibri" w:cs="Calibri"/>
              <w:sz w:val="22"/>
              <w:szCs w:val="22"/>
              <w:lang w:val="en-US" w:eastAsia="en-US"/>
            </w:rPr>
          </w:pPr>
          <w:r>
            <w:rPr/>
            <w:t>B.3.2.1.1</w:t>
          </w:r>
          <w:r>
            <w:rPr>
              <w:rFonts w:cs="Calibri" w:ascii="Calibri" w:hAnsi="Calibri"/>
              <w:sz w:val="22"/>
              <w:szCs w:val="22"/>
              <w:lang w:val="en-US" w:eastAsia="en-US"/>
            </w:rPr>
            <w:tab/>
          </w:r>
          <w:r>
            <w:rPr/>
            <w:t>Co-ordinated &amp; Uncoordinated BTS -&gt; MS</w:t>
            <w:tab/>
          </w:r>
          <w:hyperlink w:anchor="__RefHeading___Toc518035657">
            <w:r>
              <w:rPr>
                <w:rStyle w:val="IndexLink"/>
              </w:rPr>
              <w:t>70</w:t>
            </w:r>
          </w:hyperlink>
        </w:p>
        <w:p>
          <w:pPr>
            <w:pStyle w:val="Contents4"/>
            <w:rPr>
              <w:rFonts w:ascii="Calibri" w:hAnsi="Calibri" w:cs="Calibri"/>
              <w:sz w:val="22"/>
              <w:szCs w:val="22"/>
              <w:lang w:val="en-US" w:eastAsia="en-US"/>
            </w:rPr>
          </w:pPr>
          <w:r>
            <w:rPr/>
            <w:t>B.3.2.1.2</w:t>
          </w:r>
          <w:r>
            <w:rPr>
              <w:rFonts w:cs="Calibri" w:ascii="Calibri" w:hAnsi="Calibri"/>
              <w:sz w:val="22"/>
              <w:szCs w:val="22"/>
              <w:lang w:val="en-US" w:eastAsia="en-US"/>
            </w:rPr>
            <w:tab/>
          </w:r>
          <w:r>
            <w:rPr/>
            <w:t>Co-ordinated MS -&gt; BTS</w:t>
            <w:tab/>
          </w:r>
          <w:hyperlink w:anchor="__RefHeading___Toc518035658">
            <w:r>
              <w:rPr>
                <w:rStyle w:val="IndexLink"/>
              </w:rPr>
              <w:t>70</w:t>
            </w:r>
          </w:hyperlink>
        </w:p>
        <w:p>
          <w:pPr>
            <w:pStyle w:val="Contents4"/>
            <w:rPr>
              <w:rFonts w:ascii="Calibri" w:hAnsi="Calibri" w:cs="Calibri"/>
              <w:sz w:val="22"/>
              <w:szCs w:val="22"/>
              <w:lang w:val="en-US" w:eastAsia="en-US"/>
            </w:rPr>
          </w:pPr>
          <w:r>
            <w:rPr/>
            <w:t>B.3.2.1.3</w:t>
          </w:r>
          <w:r>
            <w:rPr>
              <w:rFonts w:cs="Calibri" w:ascii="Calibri" w:hAnsi="Calibri"/>
              <w:sz w:val="22"/>
              <w:szCs w:val="22"/>
              <w:lang w:val="en-US" w:eastAsia="en-US"/>
            </w:rPr>
            <w:tab/>
          </w:r>
          <w:r>
            <w:rPr/>
            <w:t>Uncoordinated MS -&gt; BTS</w:t>
            <w:tab/>
          </w:r>
          <w:hyperlink w:anchor="__RefHeading___Toc518035659">
            <w:r>
              <w:rPr>
                <w:rStyle w:val="IndexLink"/>
              </w:rPr>
              <w:t>70</w:t>
            </w:r>
          </w:hyperlink>
        </w:p>
        <w:p>
          <w:pPr>
            <w:pStyle w:val="Contents4"/>
            <w:rPr>
              <w:rFonts w:ascii="Calibri" w:hAnsi="Calibri" w:cs="Calibri"/>
              <w:sz w:val="22"/>
              <w:szCs w:val="22"/>
              <w:lang w:val="en-US" w:eastAsia="en-US"/>
            </w:rPr>
          </w:pPr>
          <w:r>
            <w:rPr/>
            <w:t>B.3.2.1.4</w:t>
          </w:r>
          <w:r>
            <w:rPr>
              <w:rFonts w:cs="Calibri" w:ascii="Calibri" w:hAnsi="Calibri"/>
              <w:sz w:val="22"/>
              <w:szCs w:val="22"/>
              <w:lang w:val="en-US" w:eastAsia="en-US"/>
            </w:rPr>
            <w:tab/>
          </w:r>
          <w:r>
            <w:rPr/>
            <w:t>Co-ordinated &amp; Uncoordinated MS -&gt; MS</w:t>
            <w:tab/>
          </w:r>
          <w:hyperlink w:anchor="__RefHeading___Toc518035660">
            <w:r>
              <w:rPr>
                <w:rStyle w:val="IndexLink"/>
              </w:rPr>
              <w:t>70</w:t>
            </w:r>
          </w:hyperlink>
        </w:p>
        <w:p>
          <w:pPr>
            <w:pStyle w:val="Contents4"/>
            <w:rPr>
              <w:rFonts w:ascii="Calibri" w:hAnsi="Calibri" w:cs="Calibri"/>
              <w:sz w:val="22"/>
              <w:szCs w:val="22"/>
              <w:lang w:val="en-US" w:eastAsia="en-US"/>
            </w:rPr>
          </w:pPr>
          <w:r>
            <w:rPr/>
            <w:t>B.3.2.1.5</w:t>
          </w:r>
          <w:r>
            <w:rPr>
              <w:rFonts w:cs="Calibri" w:ascii="Calibri" w:hAnsi="Calibri"/>
              <w:sz w:val="22"/>
              <w:szCs w:val="22"/>
              <w:lang w:val="en-US" w:eastAsia="en-US"/>
            </w:rPr>
            <w:tab/>
          </w:r>
          <w:r>
            <w:rPr/>
            <w:t>Co-ordinated and Uncoordinated BTS -&gt; BTS</w:t>
            <w:tab/>
          </w:r>
          <w:hyperlink w:anchor="__RefHeading___Toc518035661">
            <w:r>
              <w:rPr>
                <w:rStyle w:val="IndexLink"/>
              </w:rPr>
              <w:t>70</w:t>
            </w:r>
          </w:hyperlink>
        </w:p>
        <w:p>
          <w:pPr>
            <w:pStyle w:val="Contents3"/>
            <w:rPr>
              <w:rFonts w:ascii="Calibri" w:hAnsi="Calibri" w:cs="Calibri"/>
              <w:sz w:val="22"/>
              <w:szCs w:val="22"/>
              <w:lang w:val="en-US" w:eastAsia="en-US"/>
            </w:rPr>
          </w:pPr>
          <w:r>
            <w:rPr/>
            <w:t>B.3.2.2</w:t>
          </w:r>
          <w:r>
            <w:rPr>
              <w:rFonts w:cs="Calibri" w:ascii="Calibri" w:hAnsi="Calibri"/>
              <w:sz w:val="22"/>
              <w:szCs w:val="22"/>
              <w:lang w:val="en-US" w:eastAsia="en-US"/>
            </w:rPr>
            <w:tab/>
          </w:r>
          <w:r>
            <w:rPr/>
            <w:t>Intermodulation</w:t>
            <w:tab/>
          </w:r>
          <w:hyperlink w:anchor="__RefHeading___Toc518035662">
            <w:r>
              <w:rPr>
                <w:rStyle w:val="IndexLink"/>
              </w:rPr>
              <w:t>70</w:t>
            </w:r>
          </w:hyperlink>
        </w:p>
        <w:p>
          <w:pPr>
            <w:pStyle w:val="Contents4"/>
            <w:rPr>
              <w:rFonts w:ascii="Calibri" w:hAnsi="Calibri" w:cs="Calibri"/>
              <w:sz w:val="22"/>
              <w:szCs w:val="22"/>
              <w:lang w:val="en-US" w:eastAsia="en-US"/>
            </w:rPr>
          </w:pPr>
          <w:r>
            <w:rPr/>
            <w:t>B.3.2.2.1</w:t>
          </w:r>
          <w:r>
            <w:rPr>
              <w:rFonts w:cs="Calibri" w:ascii="Calibri" w:hAnsi="Calibri"/>
              <w:sz w:val="22"/>
              <w:szCs w:val="22"/>
              <w:lang w:val="en-US" w:eastAsia="en-US"/>
            </w:rPr>
            <w:tab/>
          </w:r>
          <w:r>
            <w:rPr/>
            <w:t>Co-ordinated &amp; Uncoordinated BTS -&gt; MS</w:t>
            <w:tab/>
          </w:r>
          <w:hyperlink w:anchor="__RefHeading___Toc518035663">
            <w:r>
              <w:rPr>
                <w:rStyle w:val="IndexLink"/>
              </w:rPr>
              <w:t>70</w:t>
            </w:r>
          </w:hyperlink>
        </w:p>
        <w:p>
          <w:pPr>
            <w:pStyle w:val="Contents4"/>
            <w:rPr>
              <w:rFonts w:ascii="Calibri" w:hAnsi="Calibri" w:cs="Calibri"/>
              <w:sz w:val="22"/>
              <w:szCs w:val="22"/>
              <w:lang w:val="en-US" w:eastAsia="en-US"/>
            </w:rPr>
          </w:pPr>
          <w:r>
            <w:rPr/>
            <w:t>B.3.2.2.2</w:t>
          </w:r>
          <w:r>
            <w:rPr>
              <w:rFonts w:cs="Calibri" w:ascii="Calibri" w:hAnsi="Calibri"/>
              <w:sz w:val="22"/>
              <w:szCs w:val="22"/>
              <w:lang w:val="en-US" w:eastAsia="en-US"/>
            </w:rPr>
            <w:tab/>
          </w:r>
          <w:r>
            <w:rPr/>
            <w:t>Co-ordinated MS &amp; MS -&gt; BTS</w:t>
            <w:tab/>
          </w:r>
          <w:hyperlink w:anchor="__RefHeading___Toc518035664">
            <w:r>
              <w:rPr>
                <w:rStyle w:val="IndexLink"/>
              </w:rPr>
              <w:t>71</w:t>
            </w:r>
          </w:hyperlink>
        </w:p>
        <w:p>
          <w:pPr>
            <w:pStyle w:val="Contents4"/>
            <w:rPr>
              <w:rFonts w:ascii="Calibri" w:hAnsi="Calibri" w:cs="Calibri"/>
              <w:sz w:val="22"/>
              <w:szCs w:val="22"/>
              <w:lang w:val="en-US" w:eastAsia="en-US"/>
            </w:rPr>
          </w:pPr>
          <w:r>
            <w:rPr/>
            <w:t>B.3.2.2.3</w:t>
          </w:r>
          <w:r>
            <w:rPr>
              <w:rFonts w:cs="Calibri" w:ascii="Calibri" w:hAnsi="Calibri"/>
              <w:sz w:val="22"/>
              <w:szCs w:val="22"/>
              <w:lang w:val="en-US" w:eastAsia="en-US"/>
            </w:rPr>
            <w:tab/>
          </w:r>
          <w:r>
            <w:rPr/>
            <w:t>Uncoordinated MS &amp; MS -&gt; BTS</w:t>
            <w:tab/>
          </w:r>
          <w:hyperlink w:anchor="__RefHeading___Toc518035665">
            <w:r>
              <w:rPr>
                <w:rStyle w:val="IndexLink"/>
              </w:rPr>
              <w:t>71</w:t>
            </w:r>
          </w:hyperlink>
        </w:p>
        <w:p>
          <w:pPr>
            <w:pStyle w:val="Contents3"/>
            <w:rPr>
              <w:rFonts w:ascii="Calibri" w:hAnsi="Calibri" w:cs="Calibri"/>
              <w:sz w:val="22"/>
              <w:szCs w:val="22"/>
              <w:lang w:val="en-US" w:eastAsia="en-US"/>
            </w:rPr>
          </w:pPr>
          <w:r>
            <w:rPr/>
            <w:t>B.3.2.3</w:t>
          </w:r>
          <w:r>
            <w:rPr>
              <w:rFonts w:cs="Calibri" w:ascii="Calibri" w:hAnsi="Calibri"/>
              <w:sz w:val="22"/>
              <w:szCs w:val="22"/>
              <w:lang w:val="en-US" w:eastAsia="en-US"/>
            </w:rPr>
            <w:tab/>
          </w:r>
          <w:r>
            <w:rPr/>
            <w:t>Maximum level</w:t>
            <w:tab/>
          </w:r>
          <w:hyperlink w:anchor="__RefHeading___Toc518035666">
            <w:r>
              <w:rPr>
                <w:rStyle w:val="IndexLink"/>
              </w:rPr>
              <w:t>71</w:t>
            </w:r>
          </w:hyperlink>
        </w:p>
        <w:p>
          <w:pPr>
            <w:pStyle w:val="Contents4"/>
            <w:rPr>
              <w:rFonts w:ascii="Calibri" w:hAnsi="Calibri" w:cs="Calibri"/>
              <w:sz w:val="22"/>
              <w:szCs w:val="22"/>
              <w:lang w:val="en-US" w:eastAsia="en-US"/>
            </w:rPr>
          </w:pPr>
          <w:r>
            <w:rPr/>
            <w:t>B.3.2.3.1</w:t>
          </w:r>
          <w:r>
            <w:rPr>
              <w:rFonts w:cs="Calibri" w:ascii="Calibri" w:hAnsi="Calibri"/>
              <w:sz w:val="22"/>
              <w:szCs w:val="22"/>
              <w:lang w:val="en-US" w:eastAsia="en-US"/>
            </w:rPr>
            <w:tab/>
          </w:r>
          <w:r>
            <w:rPr/>
            <w:t>Co-ordinated MS -&gt; BTS</w:t>
            <w:tab/>
          </w:r>
          <w:hyperlink w:anchor="__RefHeading___Toc518035667">
            <w:r>
              <w:rPr>
                <w:rStyle w:val="IndexLink"/>
              </w:rPr>
              <w:t>71</w:t>
            </w:r>
          </w:hyperlink>
        </w:p>
        <w:p>
          <w:pPr>
            <w:pStyle w:val="Contents4"/>
            <w:rPr>
              <w:rFonts w:ascii="Calibri" w:hAnsi="Calibri" w:cs="Calibri"/>
              <w:sz w:val="22"/>
              <w:szCs w:val="22"/>
              <w:lang w:val="en-US" w:eastAsia="en-US"/>
            </w:rPr>
          </w:pPr>
          <w:r>
            <w:rPr/>
            <w:t>B.3.2.3.2</w:t>
          </w:r>
          <w:r>
            <w:rPr>
              <w:rFonts w:cs="Calibri" w:ascii="Calibri" w:hAnsi="Calibri"/>
              <w:sz w:val="22"/>
              <w:szCs w:val="22"/>
              <w:lang w:val="en-US" w:eastAsia="en-US"/>
            </w:rPr>
            <w:tab/>
          </w:r>
          <w:r>
            <w:rPr/>
            <w:t>Co-ordinated BTS -&gt; MS</w:t>
            <w:tab/>
          </w:r>
          <w:hyperlink w:anchor="__RefHeading___Toc518035668">
            <w:r>
              <w:rPr>
                <w:rStyle w:val="IndexLink"/>
              </w:rPr>
              <w:t>71</w:t>
            </w:r>
          </w:hyperlink>
        </w:p>
        <w:p>
          <w:pPr>
            <w:pStyle w:val="Contents9"/>
            <w:rPr>
              <w:rFonts w:ascii="Calibri" w:hAnsi="Calibri" w:cs="Calibri"/>
              <w:b w:val="false"/>
              <w:b w:val="false"/>
              <w:szCs w:val="22"/>
              <w:lang w:val="en-US" w:eastAsia="en-US"/>
            </w:rPr>
          </w:pPr>
          <w:r>
            <w:rPr/>
            <w:t>Annex C:</w:t>
            <w:tab/>
            <w:t>Microcell System Scenarios</w:t>
            <w:tab/>
          </w:r>
          <w:hyperlink w:anchor="__RefHeading___Toc518035669">
            <w:r>
              <w:rPr>
                <w:rStyle w:val="IndexLink"/>
              </w:rPr>
              <w:t>72</w:t>
            </w:r>
          </w:hyperlink>
        </w:p>
        <w:p>
          <w:pPr>
            <w:pStyle w:val="Contents9"/>
            <w:rPr>
              <w:rFonts w:ascii="Calibri" w:hAnsi="Calibri" w:cs="Calibri"/>
              <w:b w:val="false"/>
              <w:b w:val="false"/>
              <w:szCs w:val="22"/>
              <w:lang w:val="en-US" w:eastAsia="en-US"/>
            </w:rPr>
          </w:pPr>
          <w:r>
            <w:rPr/>
            <w:t>Annex D:</w:t>
            <w:tab/>
            <w:t>Conversion factors</w:t>
            <w:tab/>
          </w:r>
          <w:hyperlink w:anchor="__RefHeading___Toc518035670">
            <w:r>
              <w:rPr>
                <w:rStyle w:val="IndexLink"/>
              </w:rPr>
              <w:t>85</w:t>
            </w:r>
          </w:hyperlink>
        </w:p>
        <w:p>
          <w:pPr>
            <w:pStyle w:val="Contents9"/>
            <w:rPr>
              <w:rFonts w:ascii="Calibri" w:hAnsi="Calibri" w:cs="Calibri"/>
              <w:b w:val="false"/>
              <w:b w:val="false"/>
              <w:szCs w:val="22"/>
              <w:lang w:val="en-US" w:eastAsia="en-US"/>
            </w:rPr>
          </w:pPr>
          <w:r>
            <w:rPr/>
            <w:t>Annex E:</w:t>
            <w:tab/>
            <w:t>Repeater Scenarios</w:t>
            <w:tab/>
          </w:r>
          <w:hyperlink w:anchor="__RefHeading___Toc518035671">
            <w:r>
              <w:rPr>
                <w:rStyle w:val="IndexLink"/>
              </w:rPr>
              <w:t>89</w:t>
            </w:r>
          </w:hyperlink>
        </w:p>
        <w:p>
          <w:pPr>
            <w:pStyle w:val="Contents1"/>
            <w:rPr>
              <w:rFonts w:ascii="Calibri" w:hAnsi="Calibri" w:cs="Calibri"/>
              <w:szCs w:val="22"/>
              <w:lang w:val="en-US" w:eastAsia="en-US"/>
            </w:rPr>
          </w:pPr>
          <w:r>
            <w:rPr/>
            <w:t>E.1</w:t>
          </w:r>
          <w:r>
            <w:rPr>
              <w:rFonts w:cs="Calibri" w:ascii="Calibri" w:hAnsi="Calibri"/>
              <w:szCs w:val="22"/>
              <w:lang w:val="en-US" w:eastAsia="en-US"/>
            </w:rPr>
            <w:tab/>
          </w:r>
          <w:r>
            <w:rPr/>
            <w:t>INTRODUCTION</w:t>
            <w:tab/>
          </w:r>
          <w:hyperlink w:anchor="__RefHeading___Toc518035672">
            <w:r>
              <w:rPr>
                <w:rStyle w:val="IndexLink"/>
              </w:rPr>
              <w:t>89</w:t>
            </w:r>
          </w:hyperlink>
        </w:p>
        <w:p>
          <w:pPr>
            <w:pStyle w:val="Contents1"/>
            <w:rPr>
              <w:rFonts w:ascii="Calibri" w:hAnsi="Calibri" w:cs="Calibri"/>
              <w:szCs w:val="22"/>
              <w:lang w:val="en-US" w:eastAsia="en-US"/>
            </w:rPr>
          </w:pPr>
          <w:r>
            <w:rPr/>
            <w:t>E.2</w:t>
          </w:r>
          <w:r>
            <w:rPr>
              <w:rFonts w:cs="Calibri" w:ascii="Calibri" w:hAnsi="Calibri"/>
              <w:szCs w:val="22"/>
              <w:lang w:val="en-US" w:eastAsia="en-US"/>
            </w:rPr>
            <w:tab/>
          </w:r>
          <w:r>
            <w:rPr/>
            <w:t>REPEATER APPLICATIONS - OUTDOOR AND INDOOR</w:t>
            <w:tab/>
          </w:r>
          <w:hyperlink w:anchor="__RefHeading___Toc518035673">
            <w:r>
              <w:rPr>
                <w:rStyle w:val="IndexLink"/>
              </w:rPr>
              <w:t>89</w:t>
            </w:r>
          </w:hyperlink>
        </w:p>
        <w:p>
          <w:pPr>
            <w:pStyle w:val="Contents1"/>
            <w:rPr>
              <w:rFonts w:ascii="Calibri" w:hAnsi="Calibri" w:cs="Calibri"/>
              <w:szCs w:val="22"/>
              <w:lang w:val="en-US" w:eastAsia="en-US"/>
            </w:rPr>
          </w:pPr>
          <w:r>
            <w:rPr/>
            <w:t>E.3</w:t>
          </w:r>
          <w:r>
            <w:rPr>
              <w:rFonts w:cs="Calibri" w:ascii="Calibri" w:hAnsi="Calibri"/>
              <w:szCs w:val="22"/>
              <w:lang w:val="en-US" w:eastAsia="en-US"/>
            </w:rPr>
            <w:tab/>
          </w:r>
          <w:r>
            <w:rPr/>
            <w:t>OUTDOOR REPEATER SCENARIO</w:t>
            <w:tab/>
          </w:r>
          <w:hyperlink w:anchor="__RefHeading___Toc518035674">
            <w:r>
              <w:rPr>
                <w:rStyle w:val="IndexLink"/>
              </w:rPr>
              <w:t>89</w:t>
            </w:r>
          </w:hyperlink>
        </w:p>
        <w:p>
          <w:pPr>
            <w:pStyle w:val="Contents1"/>
            <w:rPr>
              <w:rFonts w:ascii="Calibri" w:hAnsi="Calibri" w:cs="Calibri"/>
              <w:szCs w:val="22"/>
              <w:lang w:val="en-US" w:eastAsia="en-US"/>
            </w:rPr>
          </w:pPr>
          <w:r>
            <w:rPr/>
            <w:t>E.4</w:t>
          </w:r>
          <w:r>
            <w:rPr>
              <w:rFonts w:cs="Calibri" w:ascii="Calibri" w:hAnsi="Calibri"/>
              <w:szCs w:val="22"/>
              <w:lang w:val="en-US" w:eastAsia="en-US"/>
            </w:rPr>
            <w:tab/>
          </w:r>
          <w:r>
            <w:rPr/>
            <w:t>OUTDOOR REPEATER PERFORMANCE Requirements</w:t>
            <w:tab/>
          </w:r>
          <w:hyperlink w:anchor="__RefHeading___Toc518035675">
            <w:r>
              <w:rPr>
                <w:rStyle w:val="IndexLink"/>
              </w:rPr>
              <w:t>90</w:t>
            </w:r>
          </w:hyperlink>
        </w:p>
        <w:p>
          <w:pPr>
            <w:pStyle w:val="Contents2"/>
            <w:rPr>
              <w:rFonts w:ascii="Calibri" w:hAnsi="Calibri" w:cs="Calibri"/>
              <w:sz w:val="22"/>
              <w:szCs w:val="22"/>
              <w:lang w:val="en-US" w:eastAsia="en-US"/>
            </w:rPr>
          </w:pPr>
          <w:r>
            <w:rPr/>
            <w:t>E.4.1</w:t>
          </w:r>
          <w:r>
            <w:rPr>
              <w:rFonts w:cs="Calibri" w:ascii="Calibri" w:hAnsi="Calibri"/>
              <w:sz w:val="22"/>
              <w:szCs w:val="22"/>
              <w:lang w:val="en-US" w:eastAsia="en-US"/>
            </w:rPr>
            <w:tab/>
          </w:r>
          <w:r>
            <w:rPr/>
            <w:t>Wideband Noise</w:t>
            <w:tab/>
          </w:r>
          <w:hyperlink w:anchor="__RefHeading___Toc518035676">
            <w:r>
              <w:rPr>
                <w:rStyle w:val="IndexLink"/>
              </w:rPr>
              <w:t>90</w:t>
            </w:r>
          </w:hyperlink>
        </w:p>
        <w:p>
          <w:pPr>
            <w:pStyle w:val="Contents2"/>
            <w:rPr>
              <w:rFonts w:ascii="Calibri" w:hAnsi="Calibri" w:cs="Calibri"/>
              <w:sz w:val="22"/>
              <w:szCs w:val="22"/>
              <w:lang w:val="en-US" w:eastAsia="en-US"/>
            </w:rPr>
          </w:pPr>
          <w:r>
            <w:rPr/>
            <w:t>E.4.2</w:t>
          </w:r>
          <w:r>
            <w:rPr>
              <w:rFonts w:cs="Calibri" w:ascii="Calibri" w:hAnsi="Calibri"/>
              <w:sz w:val="22"/>
              <w:szCs w:val="22"/>
              <w:lang w:val="en-US" w:eastAsia="en-US"/>
            </w:rPr>
            <w:tab/>
          </w:r>
          <w:r>
            <w:rPr/>
            <w:t>Intermodulation Products and Spurious Emissions</w:t>
            <w:tab/>
          </w:r>
          <w:hyperlink w:anchor="__RefHeading___Toc518035677">
            <w:r>
              <w:rPr>
                <w:rStyle w:val="IndexLink"/>
              </w:rPr>
              <w:t>91</w:t>
            </w:r>
          </w:hyperlink>
        </w:p>
        <w:p>
          <w:pPr>
            <w:pStyle w:val="Contents2"/>
            <w:rPr>
              <w:rFonts w:ascii="Calibri" w:hAnsi="Calibri" w:cs="Calibri"/>
              <w:sz w:val="22"/>
              <w:szCs w:val="22"/>
              <w:lang w:val="en-US" w:eastAsia="en-US"/>
            </w:rPr>
          </w:pPr>
          <w:r>
            <w:rPr/>
            <w:t>E.4.3</w:t>
          </w:r>
          <w:r>
            <w:rPr>
              <w:rFonts w:cs="Calibri" w:ascii="Calibri" w:hAnsi="Calibri"/>
              <w:sz w:val="22"/>
              <w:szCs w:val="22"/>
              <w:lang w:val="en-US" w:eastAsia="en-US"/>
            </w:rPr>
            <w:tab/>
          </w:r>
          <w:r>
            <w:rPr/>
            <w:t>Output Power</w:t>
            <w:tab/>
          </w:r>
          <w:hyperlink w:anchor="__RefHeading___Toc518035678">
            <w:r>
              <w:rPr>
                <w:rStyle w:val="IndexLink"/>
              </w:rPr>
              <w:t>91</w:t>
            </w:r>
          </w:hyperlink>
        </w:p>
        <w:p>
          <w:pPr>
            <w:pStyle w:val="Contents2"/>
            <w:rPr>
              <w:rFonts w:ascii="Calibri" w:hAnsi="Calibri" w:cs="Calibri"/>
              <w:sz w:val="22"/>
              <w:szCs w:val="22"/>
              <w:lang w:val="en-US" w:eastAsia="en-US"/>
            </w:rPr>
          </w:pPr>
          <w:r>
            <w:rPr/>
            <w:t>E.4.4</w:t>
          </w:r>
          <w:r>
            <w:rPr>
              <w:rFonts w:cs="Calibri" w:ascii="Calibri" w:hAnsi="Calibri"/>
              <w:sz w:val="22"/>
              <w:szCs w:val="22"/>
              <w:lang w:val="en-US" w:eastAsia="en-US"/>
            </w:rPr>
            <w:tab/>
          </w:r>
          <w:r>
            <w:rPr/>
            <w:t>Blocking by Uncoordinated BTS</w:t>
            <w:tab/>
          </w:r>
          <w:hyperlink w:anchor="__RefHeading___Toc518035679">
            <w:r>
              <w:rPr>
                <w:rStyle w:val="IndexLink"/>
              </w:rPr>
              <w:t>91</w:t>
            </w:r>
          </w:hyperlink>
        </w:p>
        <w:p>
          <w:pPr>
            <w:pStyle w:val="Contents2"/>
            <w:rPr>
              <w:rFonts w:ascii="Calibri" w:hAnsi="Calibri" w:cs="Calibri"/>
              <w:sz w:val="22"/>
              <w:szCs w:val="22"/>
              <w:lang w:val="en-US" w:eastAsia="en-US"/>
            </w:rPr>
          </w:pPr>
          <w:r>
            <w:rPr/>
            <w:t>E.4.5</w:t>
          </w:r>
          <w:r>
            <w:rPr>
              <w:rFonts w:cs="Calibri" w:ascii="Calibri" w:hAnsi="Calibri"/>
              <w:sz w:val="22"/>
              <w:szCs w:val="22"/>
              <w:lang w:val="en-US" w:eastAsia="en-US"/>
            </w:rPr>
            <w:tab/>
          </w:r>
          <w:r>
            <w:rPr/>
            <w:t>Summary of Outdoor Repeater Requirements</w:t>
            <w:tab/>
          </w:r>
          <w:hyperlink w:anchor="__RefHeading___Toc518035680">
            <w:r>
              <w:rPr>
                <w:rStyle w:val="IndexLink"/>
              </w:rPr>
              <w:t>92</w:t>
            </w:r>
          </w:hyperlink>
        </w:p>
        <w:p>
          <w:pPr>
            <w:pStyle w:val="Contents1"/>
            <w:rPr>
              <w:rFonts w:ascii="Calibri" w:hAnsi="Calibri" w:cs="Calibri"/>
              <w:szCs w:val="22"/>
              <w:lang w:val="en-US" w:eastAsia="en-US"/>
            </w:rPr>
          </w:pPr>
          <w:r>
            <w:rPr/>
            <w:t>E.5</w:t>
          </w:r>
          <w:r>
            <w:rPr>
              <w:rFonts w:cs="Calibri" w:ascii="Calibri" w:hAnsi="Calibri"/>
              <w:szCs w:val="22"/>
              <w:lang w:val="en-US" w:eastAsia="en-US"/>
            </w:rPr>
            <w:tab/>
          </w:r>
          <w:r>
            <w:rPr/>
            <w:t>INDOOR REPEATER SCENARIO</w:t>
            <w:tab/>
          </w:r>
          <w:hyperlink w:anchor="__RefHeading___Toc518035681">
            <w:r>
              <w:rPr>
                <w:rStyle w:val="IndexLink"/>
              </w:rPr>
              <w:t>92</w:t>
            </w:r>
          </w:hyperlink>
        </w:p>
        <w:p>
          <w:pPr>
            <w:pStyle w:val="Contents1"/>
            <w:rPr>
              <w:rFonts w:ascii="Calibri" w:hAnsi="Calibri" w:cs="Calibri"/>
              <w:szCs w:val="22"/>
              <w:lang w:val="en-US" w:eastAsia="en-US"/>
            </w:rPr>
          </w:pPr>
          <w:r>
            <w:rPr/>
            <w:t>E.6</w:t>
          </w:r>
          <w:r>
            <w:rPr>
              <w:rFonts w:cs="Calibri" w:ascii="Calibri" w:hAnsi="Calibri"/>
              <w:szCs w:val="22"/>
              <w:lang w:val="en-US" w:eastAsia="en-US"/>
            </w:rPr>
            <w:tab/>
          </w:r>
          <w:r>
            <w:rPr/>
            <w:t>INDOOR REPEATER PERFORMANCE REQUIREMENTS</w:t>
            <w:tab/>
          </w:r>
          <w:hyperlink w:anchor="__RefHeading___Toc518035682">
            <w:r>
              <w:rPr>
                <w:rStyle w:val="IndexLink"/>
              </w:rPr>
              <w:t>92</w:t>
            </w:r>
          </w:hyperlink>
        </w:p>
        <w:p>
          <w:pPr>
            <w:pStyle w:val="Contents2"/>
            <w:rPr>
              <w:rFonts w:ascii="Calibri" w:hAnsi="Calibri" w:cs="Calibri"/>
              <w:sz w:val="22"/>
              <w:szCs w:val="22"/>
              <w:lang w:val="en-US" w:eastAsia="en-US"/>
            </w:rPr>
          </w:pPr>
          <w:r>
            <w:rPr/>
            <w:t>E.6.1</w:t>
          </w:r>
          <w:r>
            <w:rPr>
              <w:rFonts w:cs="Calibri" w:ascii="Calibri" w:hAnsi="Calibri"/>
              <w:sz w:val="22"/>
              <w:szCs w:val="22"/>
              <w:lang w:val="en-US" w:eastAsia="en-US"/>
            </w:rPr>
            <w:tab/>
          </w:r>
          <w:r>
            <w:rPr/>
            <w:t>Wideband Noise</w:t>
            <w:tab/>
          </w:r>
          <w:hyperlink w:anchor="__RefHeading___Toc518035683">
            <w:r>
              <w:rPr>
                <w:rStyle w:val="IndexLink"/>
              </w:rPr>
              <w:t>92</w:t>
            </w:r>
          </w:hyperlink>
        </w:p>
        <w:p>
          <w:pPr>
            <w:pStyle w:val="Contents2"/>
            <w:rPr>
              <w:rFonts w:ascii="Calibri" w:hAnsi="Calibri" w:cs="Calibri"/>
              <w:sz w:val="22"/>
              <w:szCs w:val="22"/>
              <w:lang w:val="en-US" w:eastAsia="en-US"/>
            </w:rPr>
          </w:pPr>
          <w:r>
            <w:rPr/>
            <w:t>E.6.2</w:t>
          </w:r>
          <w:r>
            <w:rPr>
              <w:rFonts w:cs="Calibri" w:ascii="Calibri" w:hAnsi="Calibri"/>
              <w:sz w:val="22"/>
              <w:szCs w:val="22"/>
              <w:lang w:val="en-US" w:eastAsia="en-US"/>
            </w:rPr>
            <w:tab/>
          </w:r>
          <w:r>
            <w:rPr/>
            <w:t>Intermodulation Products and Spurious Emissions</w:t>
            <w:tab/>
          </w:r>
          <w:hyperlink w:anchor="__RefHeading___Toc518035684">
            <w:r>
              <w:rPr>
                <w:rStyle w:val="IndexLink"/>
              </w:rPr>
              <w:t>93</w:t>
            </w:r>
          </w:hyperlink>
        </w:p>
        <w:p>
          <w:pPr>
            <w:pStyle w:val="Contents2"/>
            <w:rPr>
              <w:rFonts w:ascii="Calibri" w:hAnsi="Calibri" w:cs="Calibri"/>
              <w:sz w:val="22"/>
              <w:szCs w:val="22"/>
              <w:lang w:val="en-US" w:eastAsia="en-US"/>
            </w:rPr>
          </w:pPr>
          <w:r>
            <w:rPr/>
            <w:t>E.6.3</w:t>
          </w:r>
          <w:r>
            <w:rPr>
              <w:rFonts w:cs="Calibri" w:ascii="Calibri" w:hAnsi="Calibri"/>
              <w:sz w:val="22"/>
              <w:szCs w:val="22"/>
              <w:lang w:val="en-US" w:eastAsia="en-US"/>
            </w:rPr>
            <w:tab/>
          </w:r>
          <w:r>
            <w:rPr/>
            <w:t>Output Power</w:t>
            <w:tab/>
          </w:r>
          <w:hyperlink w:anchor="__RefHeading___Toc518035685">
            <w:r>
              <w:rPr>
                <w:rStyle w:val="IndexLink"/>
              </w:rPr>
              <w:t>93</w:t>
            </w:r>
          </w:hyperlink>
        </w:p>
        <w:p>
          <w:pPr>
            <w:pStyle w:val="Contents2"/>
            <w:rPr>
              <w:rFonts w:ascii="Calibri" w:hAnsi="Calibri" w:cs="Calibri"/>
              <w:sz w:val="22"/>
              <w:szCs w:val="22"/>
              <w:lang w:val="en-US" w:eastAsia="en-US"/>
            </w:rPr>
          </w:pPr>
          <w:r>
            <w:rPr/>
            <w:t>E.6.4</w:t>
          </w:r>
          <w:r>
            <w:rPr>
              <w:rFonts w:cs="Calibri" w:ascii="Calibri" w:hAnsi="Calibri"/>
              <w:sz w:val="22"/>
              <w:szCs w:val="22"/>
              <w:lang w:val="en-US" w:eastAsia="en-US"/>
            </w:rPr>
            <w:tab/>
          </w:r>
          <w:r>
            <w:rPr/>
            <w:t>Blocking by Uncoordinated BTS</w:t>
            <w:tab/>
          </w:r>
          <w:hyperlink w:anchor="__RefHeading___Toc518035686">
            <w:r>
              <w:rPr>
                <w:rStyle w:val="IndexLink"/>
              </w:rPr>
              <w:t>94</w:t>
            </w:r>
          </w:hyperlink>
        </w:p>
        <w:p>
          <w:pPr>
            <w:pStyle w:val="Contents2"/>
            <w:rPr>
              <w:rFonts w:ascii="Calibri" w:hAnsi="Calibri" w:cs="Calibri"/>
              <w:sz w:val="22"/>
              <w:szCs w:val="22"/>
              <w:lang w:val="en-US" w:eastAsia="en-US"/>
            </w:rPr>
          </w:pPr>
          <w:r>
            <w:rPr/>
            <w:t>E.6.5</w:t>
          </w:r>
          <w:r>
            <w:rPr>
              <w:rFonts w:cs="Calibri" w:ascii="Calibri" w:hAnsi="Calibri"/>
              <w:sz w:val="22"/>
              <w:szCs w:val="22"/>
              <w:lang w:val="en-US" w:eastAsia="en-US"/>
            </w:rPr>
            <w:tab/>
          </w:r>
          <w:r>
            <w:rPr/>
            <w:t>Summary of Indoor Repeater Requirements</w:t>
            <w:tab/>
          </w:r>
          <w:hyperlink w:anchor="__RefHeading___Toc518035687">
            <w:r>
              <w:rPr>
                <w:rStyle w:val="IndexLink"/>
              </w:rPr>
              <w:t>94</w:t>
            </w:r>
          </w:hyperlink>
        </w:p>
        <w:p>
          <w:pPr>
            <w:pStyle w:val="Contents1"/>
            <w:rPr>
              <w:rFonts w:ascii="Calibri" w:hAnsi="Calibri" w:cs="Calibri"/>
              <w:szCs w:val="22"/>
              <w:lang w:val="en-US" w:eastAsia="en-US"/>
            </w:rPr>
          </w:pPr>
          <w:r>
            <w:rPr/>
            <w:t>E.7</w:t>
          </w:r>
          <w:r>
            <w:rPr>
              <w:rFonts w:cs="Calibri" w:ascii="Calibri" w:hAnsi="Calibri"/>
              <w:szCs w:val="22"/>
              <w:lang w:val="en-US" w:eastAsia="en-US"/>
            </w:rPr>
            <w:tab/>
          </w:r>
          <w:r>
            <w:rPr/>
            <w:t>Title: Repeater Scenarios</w:t>
            <w:tab/>
          </w:r>
          <w:hyperlink w:anchor="__RefHeading___Toc518035688">
            <w:r>
              <w:rPr>
                <w:rStyle w:val="IndexLink"/>
              </w:rPr>
              <w:t>95</w:t>
            </w:r>
          </w:hyperlink>
        </w:p>
        <w:p>
          <w:pPr>
            <w:pStyle w:val="Contents2"/>
            <w:rPr>
              <w:rFonts w:ascii="Calibri" w:hAnsi="Calibri" w:cs="Calibri"/>
              <w:sz w:val="22"/>
              <w:szCs w:val="22"/>
              <w:lang w:val="en-US" w:eastAsia="en-US"/>
            </w:rPr>
          </w:pPr>
          <w:r>
            <w:rPr/>
            <w:t>E.7.1</w:t>
          </w:r>
          <w:r>
            <w:rPr>
              <w:rFonts w:cs="Calibri" w:ascii="Calibri" w:hAnsi="Calibri"/>
              <w:sz w:val="22"/>
              <w:szCs w:val="22"/>
              <w:lang w:val="en-US" w:eastAsia="en-US"/>
            </w:rPr>
            <w:tab/>
          </w:r>
          <w:r>
            <w:rPr/>
            <w:t>Introduction</w:t>
            <w:tab/>
          </w:r>
          <w:hyperlink w:anchor="__RefHeading___Toc518035689">
            <w:r>
              <w:rPr>
                <w:rStyle w:val="IndexLink"/>
              </w:rPr>
              <w:t>95</w:t>
            </w:r>
          </w:hyperlink>
        </w:p>
        <w:p>
          <w:pPr>
            <w:pStyle w:val="Contents2"/>
            <w:rPr>
              <w:rFonts w:ascii="Calibri" w:hAnsi="Calibri" w:cs="Calibri"/>
              <w:sz w:val="22"/>
              <w:szCs w:val="22"/>
              <w:lang w:val="en-US" w:eastAsia="en-US"/>
            </w:rPr>
          </w:pPr>
          <w:r>
            <w:rPr/>
            <w:t>E.7.2</w:t>
          </w:r>
          <w:r>
            <w:rPr>
              <w:rFonts w:cs="Calibri" w:ascii="Calibri" w:hAnsi="Calibri"/>
              <w:sz w:val="22"/>
              <w:szCs w:val="22"/>
              <w:lang w:val="en-US" w:eastAsia="en-US"/>
            </w:rPr>
            <w:tab/>
          </w:r>
          <w:r>
            <w:rPr/>
            <w:t>Repeater performance</w:t>
            <w:tab/>
          </w:r>
          <w:hyperlink w:anchor="__RefHeading___Toc518035690">
            <w:r>
              <w:rPr>
                <w:rStyle w:val="IndexLink"/>
              </w:rPr>
              <w:t>95</w:t>
            </w:r>
          </w:hyperlink>
        </w:p>
        <w:p>
          <w:pPr>
            <w:pStyle w:val="Contents3"/>
            <w:rPr>
              <w:rFonts w:ascii="Calibri" w:hAnsi="Calibri" w:cs="Calibri"/>
              <w:sz w:val="22"/>
              <w:szCs w:val="22"/>
              <w:lang w:val="en-US" w:eastAsia="en-US"/>
            </w:rPr>
          </w:pPr>
          <w:r>
            <w:rPr/>
            <w:t>E.7.2.1</w:t>
          </w:r>
          <w:r>
            <w:rPr>
              <w:rFonts w:cs="Calibri" w:ascii="Calibri" w:hAnsi="Calibri"/>
              <w:sz w:val="22"/>
              <w:szCs w:val="22"/>
              <w:lang w:val="en-US" w:eastAsia="en-US"/>
            </w:rPr>
            <w:tab/>
          </w:r>
          <w:r>
            <w:rPr/>
            <w:t>Link Equations</w:t>
            <w:tab/>
          </w:r>
          <w:hyperlink w:anchor="__RefHeading___Toc518035691">
            <w:r>
              <w:rPr>
                <w:rStyle w:val="IndexLink"/>
              </w:rPr>
              <w:t>95</w:t>
            </w:r>
          </w:hyperlink>
        </w:p>
        <w:p>
          <w:pPr>
            <w:pStyle w:val="Contents3"/>
            <w:rPr>
              <w:rFonts w:ascii="Calibri" w:hAnsi="Calibri" w:cs="Calibri"/>
              <w:sz w:val="22"/>
              <w:szCs w:val="22"/>
              <w:lang w:val="en-US" w:eastAsia="en-US"/>
            </w:rPr>
          </w:pPr>
          <w:r>
            <w:rPr/>
            <w:t>E.7.2.2</w:t>
          </w:r>
          <w:r>
            <w:rPr>
              <w:rFonts w:cs="Calibri" w:ascii="Calibri" w:hAnsi="Calibri"/>
              <w:sz w:val="22"/>
              <w:szCs w:val="22"/>
              <w:lang w:val="en-US" w:eastAsia="en-US"/>
            </w:rPr>
            <w:tab/>
          </w:r>
          <w:r>
            <w:rPr/>
            <w:t>Co-ordinated Scenario</w:t>
            <w:tab/>
          </w:r>
          <w:hyperlink w:anchor="__RefHeading___Toc518035692">
            <w:r>
              <w:rPr>
                <w:rStyle w:val="IndexLink"/>
              </w:rPr>
              <w:t>96</w:t>
            </w:r>
          </w:hyperlink>
        </w:p>
        <w:p>
          <w:pPr>
            <w:pStyle w:val="Contents3"/>
            <w:rPr>
              <w:rFonts w:ascii="Calibri" w:hAnsi="Calibri" w:cs="Calibri"/>
              <w:sz w:val="22"/>
              <w:szCs w:val="22"/>
              <w:lang w:val="en-US" w:eastAsia="en-US"/>
            </w:rPr>
          </w:pPr>
          <w:r>
            <w:rPr/>
            <w:t>E.7.2.3</w:t>
          </w:r>
          <w:r>
            <w:rPr>
              <w:rFonts w:cs="Calibri" w:ascii="Calibri" w:hAnsi="Calibri"/>
              <w:sz w:val="22"/>
              <w:szCs w:val="22"/>
              <w:lang w:val="en-US" w:eastAsia="en-US"/>
            </w:rPr>
            <w:tab/>
          </w:r>
          <w:r>
            <w:rPr/>
            <w:t>Uncoordinated Scenario</w:t>
            <w:tab/>
          </w:r>
          <w:hyperlink w:anchor="__RefHeading___Toc518035693">
            <w:r>
              <w:rPr>
                <w:rStyle w:val="IndexLink"/>
              </w:rPr>
              <w:t>97</w:t>
            </w:r>
          </w:hyperlink>
        </w:p>
        <w:p>
          <w:pPr>
            <w:pStyle w:val="Contents3"/>
            <w:rPr>
              <w:rFonts w:ascii="Calibri" w:hAnsi="Calibri" w:cs="Calibri"/>
              <w:sz w:val="22"/>
              <w:szCs w:val="22"/>
              <w:lang w:val="en-US" w:eastAsia="en-US"/>
            </w:rPr>
          </w:pPr>
          <w:r>
            <w:rPr/>
            <w:t>E.7.2.4</w:t>
          </w:r>
          <w:r>
            <w:rPr>
              <w:rFonts w:cs="Calibri" w:ascii="Calibri" w:hAnsi="Calibri"/>
              <w:sz w:val="22"/>
              <w:szCs w:val="22"/>
              <w:lang w:val="en-US" w:eastAsia="en-US"/>
            </w:rPr>
            <w:tab/>
          </w:r>
          <w:r>
            <w:rPr/>
            <w:t>Wideband Noise</w:t>
            <w:tab/>
          </w:r>
          <w:hyperlink w:anchor="__RefHeading___Toc518035694">
            <w:r>
              <w:rPr>
                <w:rStyle w:val="IndexLink"/>
              </w:rPr>
              <w:t>97</w:t>
            </w:r>
          </w:hyperlink>
        </w:p>
        <w:p>
          <w:pPr>
            <w:pStyle w:val="Contents3"/>
            <w:rPr>
              <w:rFonts w:ascii="Calibri" w:hAnsi="Calibri" w:cs="Calibri"/>
              <w:sz w:val="22"/>
              <w:szCs w:val="22"/>
              <w:lang w:val="en-US" w:eastAsia="en-US"/>
            </w:rPr>
          </w:pPr>
          <w:r>
            <w:rPr/>
            <w:t>E.7.2.5</w:t>
          </w:r>
          <w:r>
            <w:rPr>
              <w:rFonts w:cs="Calibri" w:ascii="Calibri" w:hAnsi="Calibri"/>
              <w:sz w:val="22"/>
              <w:szCs w:val="22"/>
              <w:lang w:val="en-US" w:eastAsia="en-US"/>
            </w:rPr>
            <w:tab/>
          </w:r>
          <w:r>
            <w:rPr/>
            <w:t>3rd order Intermodulation (IM3) performance/Spurious emissions:</w:t>
            <w:tab/>
          </w:r>
          <w:hyperlink w:anchor="__RefHeading___Toc518035695">
            <w:r>
              <w:rPr>
                <w:rStyle w:val="IndexLink"/>
              </w:rPr>
              <w:t>97</w:t>
            </w:r>
          </w:hyperlink>
        </w:p>
        <w:p>
          <w:pPr>
            <w:pStyle w:val="Contents2"/>
            <w:rPr>
              <w:rFonts w:ascii="Calibri" w:hAnsi="Calibri" w:cs="Calibri"/>
              <w:sz w:val="22"/>
              <w:szCs w:val="22"/>
              <w:lang w:val="en-US" w:eastAsia="en-US"/>
            </w:rPr>
          </w:pPr>
          <w:r>
            <w:rPr/>
            <w:t>E.7.3</w:t>
          </w:r>
          <w:r>
            <w:rPr>
              <w:rFonts w:cs="Calibri" w:ascii="Calibri" w:hAnsi="Calibri"/>
              <w:sz w:val="22"/>
              <w:szCs w:val="22"/>
              <w:lang w:val="en-US" w:eastAsia="en-US"/>
            </w:rPr>
            <w:tab/>
          </w:r>
          <w:r>
            <w:rPr/>
            <w:t>Repeater scenarios</w:t>
            <w:tab/>
          </w:r>
          <w:hyperlink w:anchor="__RefHeading___Toc518035696">
            <w:r>
              <w:rPr>
                <w:rStyle w:val="IndexLink"/>
              </w:rPr>
              <w:t>97</w:t>
            </w:r>
          </w:hyperlink>
        </w:p>
        <w:p>
          <w:pPr>
            <w:pStyle w:val="Contents3"/>
            <w:rPr>
              <w:rFonts w:ascii="Calibri" w:hAnsi="Calibri" w:cs="Calibri"/>
              <w:sz w:val="22"/>
              <w:szCs w:val="22"/>
              <w:lang w:val="en-US" w:eastAsia="en-US"/>
            </w:rPr>
          </w:pPr>
          <w:r>
            <w:rPr/>
            <w:t>E.7.3.1</w:t>
          </w:r>
          <w:r>
            <w:rPr>
              <w:rFonts w:cs="Calibri" w:ascii="Calibri" w:hAnsi="Calibri"/>
              <w:sz w:val="22"/>
              <w:szCs w:val="22"/>
              <w:lang w:val="en-US" w:eastAsia="en-US"/>
            </w:rPr>
            <w:tab/>
          </w:r>
          <w:r>
            <w:rPr/>
            <w:t>Rural scenario</w:t>
            <w:tab/>
          </w:r>
          <w:hyperlink w:anchor="__RefHeading___Toc518035697">
            <w:r>
              <w:rPr>
                <w:rStyle w:val="IndexLink"/>
              </w:rPr>
              <w:t>98</w:t>
            </w:r>
          </w:hyperlink>
        </w:p>
        <w:p>
          <w:pPr>
            <w:pStyle w:val="Contents3"/>
            <w:rPr>
              <w:rFonts w:ascii="Calibri" w:hAnsi="Calibri" w:cs="Calibri"/>
              <w:sz w:val="22"/>
              <w:szCs w:val="22"/>
              <w:lang w:val="en-US" w:eastAsia="en-US"/>
            </w:rPr>
          </w:pPr>
          <w:r>
            <w:rPr/>
            <w:t>E.7.3.2</w:t>
          </w:r>
          <w:r>
            <w:rPr>
              <w:rFonts w:cs="Calibri" w:ascii="Calibri" w:hAnsi="Calibri"/>
              <w:sz w:val="22"/>
              <w:szCs w:val="22"/>
              <w:lang w:val="en-US" w:eastAsia="en-US"/>
            </w:rPr>
            <w:tab/>
          </w:r>
          <w:r>
            <w:rPr/>
            <w:t>Urban Scenario</w:t>
            <w:tab/>
          </w:r>
          <w:hyperlink w:anchor="__RefHeading___Toc518035698">
            <w:r>
              <w:rPr>
                <w:rStyle w:val="IndexLink"/>
              </w:rPr>
              <w:t>98</w:t>
            </w:r>
          </w:hyperlink>
        </w:p>
        <w:p>
          <w:pPr>
            <w:pStyle w:val="Contents2"/>
            <w:rPr>
              <w:rFonts w:ascii="Calibri" w:hAnsi="Calibri" w:cs="Calibri"/>
              <w:sz w:val="22"/>
              <w:szCs w:val="22"/>
              <w:lang w:val="en-US" w:eastAsia="en-US"/>
            </w:rPr>
          </w:pPr>
          <w:r>
            <w:rPr/>
            <w:t>E.7.4</w:t>
          </w:r>
          <w:r>
            <w:rPr>
              <w:rFonts w:cs="Calibri" w:ascii="Calibri" w:hAnsi="Calibri"/>
              <w:sz w:val="22"/>
              <w:szCs w:val="22"/>
              <w:lang w:val="en-US" w:eastAsia="en-US"/>
            </w:rPr>
            <w:tab/>
          </w:r>
          <w:r>
            <w:rPr/>
            <w:t>Summary</w:t>
            <w:tab/>
          </w:r>
          <w:hyperlink w:anchor="__RefHeading___Toc518035699">
            <w:r>
              <w:rPr>
                <w:rStyle w:val="IndexLink"/>
              </w:rPr>
              <w:t>99</w:t>
            </w:r>
          </w:hyperlink>
        </w:p>
        <w:p>
          <w:pPr>
            <w:pStyle w:val="Contents3"/>
            <w:rPr>
              <w:rFonts w:ascii="Calibri" w:hAnsi="Calibri" w:cs="Calibri"/>
              <w:sz w:val="22"/>
              <w:szCs w:val="22"/>
              <w:lang w:val="en-US" w:eastAsia="en-US"/>
            </w:rPr>
          </w:pPr>
          <w:r>
            <w:rPr/>
            <w:t>E.7.4.1</w:t>
          </w:r>
          <w:r>
            <w:rPr>
              <w:rFonts w:cs="Calibri" w:ascii="Calibri" w:hAnsi="Calibri"/>
              <w:sz w:val="22"/>
              <w:szCs w:val="22"/>
              <w:lang w:val="en-US" w:eastAsia="en-US"/>
            </w:rPr>
            <w:tab/>
          </w:r>
          <w:r>
            <w:rPr/>
            <w:t>Repeater Specification</w:t>
            <w:tab/>
          </w:r>
          <w:hyperlink w:anchor="__RefHeading___Toc518035700">
            <w:r>
              <w:rPr>
                <w:rStyle w:val="IndexLink"/>
              </w:rPr>
              <w:t>99</w:t>
            </w:r>
          </w:hyperlink>
        </w:p>
        <w:p>
          <w:pPr>
            <w:pStyle w:val="Contents3"/>
            <w:rPr>
              <w:rFonts w:ascii="Calibri" w:hAnsi="Calibri" w:cs="Calibri"/>
              <w:sz w:val="22"/>
              <w:szCs w:val="22"/>
              <w:lang w:val="en-US" w:eastAsia="en-US"/>
            </w:rPr>
          </w:pPr>
          <w:r>
            <w:rPr/>
            <w:t>E.7.4.2</w:t>
          </w:r>
          <w:r>
            <w:rPr>
              <w:rFonts w:cs="Calibri" w:ascii="Calibri" w:hAnsi="Calibri"/>
              <w:sz w:val="22"/>
              <w:szCs w:val="22"/>
              <w:lang w:val="en-US" w:eastAsia="en-US"/>
            </w:rPr>
            <w:tab/>
          </w:r>
          <w:r>
            <w:rPr/>
            <w:t>Planning considerations</w:t>
            <w:tab/>
          </w:r>
          <w:hyperlink w:anchor="__RefHeading___Toc518035701">
            <w:r>
              <w:rPr>
                <w:rStyle w:val="IndexLink"/>
              </w:rPr>
              <w:t>99</w:t>
            </w:r>
          </w:hyperlink>
        </w:p>
        <w:p>
          <w:pPr>
            <w:pStyle w:val="Contents2"/>
            <w:rPr>
              <w:rFonts w:ascii="Calibri" w:hAnsi="Calibri" w:cs="Calibri"/>
              <w:sz w:val="22"/>
              <w:szCs w:val="22"/>
              <w:lang w:val="en-US" w:eastAsia="en-US"/>
            </w:rPr>
          </w:pPr>
          <w:r>
            <w:rPr/>
            <w:t>E.7.5</w:t>
          </w:r>
          <w:r>
            <w:rPr>
              <w:rFonts w:cs="Calibri" w:ascii="Calibri" w:hAnsi="Calibri"/>
              <w:sz w:val="22"/>
              <w:szCs w:val="22"/>
              <w:lang w:val="en-US" w:eastAsia="en-US"/>
            </w:rPr>
            <w:tab/>
          </w:r>
          <w:r>
            <w:rPr/>
            <w:t>Out of band Gain</w:t>
            <w:tab/>
          </w:r>
          <w:hyperlink w:anchor="__RefHeading___Toc518035702">
            <w:r>
              <w:rPr>
                <w:rStyle w:val="IndexLink"/>
              </w:rPr>
              <w:t>100</w:t>
            </w:r>
          </w:hyperlink>
        </w:p>
        <w:p>
          <w:pPr>
            <w:pStyle w:val="Contents3"/>
            <w:rPr>
              <w:rFonts w:ascii="Calibri" w:hAnsi="Calibri" w:cs="Calibri"/>
              <w:sz w:val="22"/>
              <w:szCs w:val="22"/>
              <w:lang w:val="en-US" w:eastAsia="en-US"/>
            </w:rPr>
          </w:pPr>
          <w:r>
            <w:rPr/>
            <w:t>E.7.6</w:t>
          </w:r>
          <w:r>
            <w:rPr>
              <w:rFonts w:cs="Calibri" w:ascii="Calibri" w:hAnsi="Calibri"/>
              <w:sz w:val="22"/>
              <w:szCs w:val="22"/>
              <w:lang w:val="en-US" w:eastAsia="en-US"/>
            </w:rPr>
            <w:tab/>
          </w:r>
          <w:r>
            <w:rPr/>
            <w:t>Planning guidelines for repeaters</w:t>
            <w:tab/>
          </w:r>
          <w:hyperlink w:anchor="__RefHeading___Toc518035703">
            <w:r>
              <w:rPr>
                <w:rStyle w:val="IndexLink"/>
              </w:rPr>
              <w:t>100</w:t>
            </w:r>
          </w:hyperlink>
        </w:p>
        <w:p>
          <w:pPr>
            <w:pStyle w:val="Contents2"/>
            <w:rPr>
              <w:rFonts w:ascii="Calibri" w:hAnsi="Calibri" w:cs="Calibri"/>
              <w:sz w:val="22"/>
              <w:szCs w:val="22"/>
              <w:lang w:val="en-US" w:eastAsia="en-US"/>
            </w:rPr>
          </w:pPr>
          <w:r>
            <w:rPr/>
            <w:t>E.7.7</w:t>
          </w:r>
          <w:r>
            <w:rPr>
              <w:rFonts w:cs="Calibri" w:ascii="Calibri" w:hAnsi="Calibri"/>
              <w:sz w:val="22"/>
              <w:szCs w:val="22"/>
              <w:lang w:val="en-US" w:eastAsia="en-US"/>
            </w:rPr>
            <w:tab/>
          </w:r>
          <w:r>
            <w:rPr/>
            <w:t>Indoor Repeater Scenario</w:t>
            <w:tab/>
          </w:r>
          <w:hyperlink w:anchor="__RefHeading___Toc518035704">
            <w:r>
              <w:rPr>
                <w:rStyle w:val="IndexLink"/>
              </w:rPr>
              <w:t>100</w:t>
            </w:r>
          </w:hyperlink>
        </w:p>
        <w:p>
          <w:pPr>
            <w:pStyle w:val="Contents9"/>
            <w:rPr>
              <w:rFonts w:ascii="Calibri" w:hAnsi="Calibri" w:cs="Calibri"/>
              <w:b w:val="false"/>
              <w:b w:val="false"/>
              <w:szCs w:val="22"/>
              <w:lang w:val="en-US" w:eastAsia="en-US"/>
            </w:rPr>
          </w:pPr>
          <w:r>
            <w:rPr/>
            <w:t>Annex F:</w:t>
            <w:tab/>
            <w:t>Error Patterns for Speech Coder Development</w:t>
            <w:tab/>
          </w:r>
          <w:hyperlink w:anchor="__RefHeading___Toc518035705">
            <w:r>
              <w:rPr>
                <w:rStyle w:val="IndexLink"/>
              </w:rPr>
              <w:t>104</w:t>
            </w:r>
          </w:hyperlink>
        </w:p>
        <w:p>
          <w:pPr>
            <w:pStyle w:val="Contents1"/>
            <w:rPr>
              <w:rFonts w:ascii="Calibri" w:hAnsi="Calibri" w:cs="Calibri"/>
              <w:szCs w:val="22"/>
              <w:lang w:val="en-US" w:eastAsia="en-US"/>
            </w:rPr>
          </w:pPr>
          <w:r>
            <w:rPr/>
            <w:t>F.0</w:t>
          </w:r>
          <w:r>
            <w:rPr>
              <w:rFonts w:cs="Calibri" w:ascii="Calibri" w:hAnsi="Calibri"/>
              <w:szCs w:val="22"/>
              <w:lang w:val="en-US" w:eastAsia="en-US"/>
            </w:rPr>
            <w:tab/>
          </w:r>
          <w:r>
            <w:rPr/>
            <w:t>Introduction</w:t>
            <w:tab/>
          </w:r>
          <w:hyperlink w:anchor="__RefHeading___Toc518035706">
            <w:r>
              <w:rPr>
                <w:rStyle w:val="IndexLink"/>
              </w:rPr>
              <w:t>104</w:t>
            </w:r>
          </w:hyperlink>
        </w:p>
        <w:p>
          <w:pPr>
            <w:pStyle w:val="Contents1"/>
            <w:rPr>
              <w:rFonts w:ascii="Calibri" w:hAnsi="Calibri" w:cs="Calibri"/>
              <w:szCs w:val="22"/>
              <w:lang w:val="en-US" w:eastAsia="en-US"/>
            </w:rPr>
          </w:pPr>
          <w:r>
            <w:rPr/>
            <w:t>F.1</w:t>
          </w:r>
          <w:r>
            <w:rPr>
              <w:rFonts w:cs="Calibri" w:ascii="Calibri" w:hAnsi="Calibri"/>
              <w:szCs w:val="22"/>
              <w:lang w:val="en-US" w:eastAsia="en-US"/>
            </w:rPr>
            <w:tab/>
          </w:r>
          <w:r>
            <w:rPr/>
            <w:t>Channel Conditions</w:t>
            <w:tab/>
          </w:r>
          <w:hyperlink w:anchor="__RefHeading___Toc518035707">
            <w:r>
              <w:rPr>
                <w:rStyle w:val="IndexLink"/>
              </w:rPr>
              <w:t>104</w:t>
            </w:r>
          </w:hyperlink>
        </w:p>
        <w:p>
          <w:pPr>
            <w:pStyle w:val="Contents2"/>
            <w:rPr>
              <w:rFonts w:ascii="Calibri" w:hAnsi="Calibri" w:cs="Calibri"/>
              <w:sz w:val="22"/>
              <w:szCs w:val="22"/>
              <w:lang w:val="en-US" w:eastAsia="en-US"/>
            </w:rPr>
          </w:pPr>
          <w:r>
            <w:rPr/>
            <w:t>F.1.1</w:t>
          </w:r>
          <w:r>
            <w:rPr>
              <w:rFonts w:cs="Calibri" w:ascii="Calibri" w:hAnsi="Calibri"/>
              <w:sz w:val="22"/>
              <w:szCs w:val="22"/>
              <w:lang w:val="en-US" w:eastAsia="en-US"/>
            </w:rPr>
            <w:tab/>
          </w:r>
          <w:r>
            <w:rPr/>
            <w:t>Simulation Conditions</w:t>
            <w:tab/>
          </w:r>
          <w:hyperlink w:anchor="__RefHeading___Toc518035708">
            <w:r>
              <w:rPr>
                <w:rStyle w:val="IndexLink"/>
              </w:rPr>
              <w:t>104</w:t>
            </w:r>
          </w:hyperlink>
        </w:p>
        <w:p>
          <w:pPr>
            <w:pStyle w:val="Contents2"/>
            <w:rPr>
              <w:rFonts w:ascii="Calibri" w:hAnsi="Calibri" w:cs="Calibri"/>
              <w:sz w:val="22"/>
              <w:szCs w:val="22"/>
              <w:lang w:val="en-US" w:eastAsia="en-US"/>
            </w:rPr>
          </w:pPr>
          <w:r>
            <w:rPr/>
            <w:t>F.1.2</w:t>
          </w:r>
          <w:r>
            <w:rPr>
              <w:rFonts w:cs="Calibri" w:ascii="Calibri" w:hAnsi="Calibri"/>
              <w:sz w:val="22"/>
              <w:szCs w:val="22"/>
              <w:lang w:val="en-US" w:eastAsia="en-US"/>
            </w:rPr>
            <w:tab/>
          </w:r>
          <w:r>
            <w:rPr/>
            <w:t>Available Error Patterns</w:t>
            <w:tab/>
          </w:r>
          <w:hyperlink w:anchor="__RefHeading___Toc518035709">
            <w:r>
              <w:rPr>
                <w:rStyle w:val="IndexLink"/>
              </w:rPr>
              <w:t>104</w:t>
            </w:r>
          </w:hyperlink>
        </w:p>
        <w:p>
          <w:pPr>
            <w:pStyle w:val="Contents1"/>
            <w:rPr>
              <w:rFonts w:ascii="Calibri" w:hAnsi="Calibri" w:cs="Calibri"/>
              <w:szCs w:val="22"/>
              <w:lang w:val="en-US" w:eastAsia="en-US"/>
            </w:rPr>
          </w:pPr>
          <w:r>
            <w:rPr/>
            <w:t>F.2</w:t>
          </w:r>
          <w:r>
            <w:rPr>
              <w:rFonts w:cs="Calibri" w:ascii="Calibri" w:hAnsi="Calibri"/>
              <w:szCs w:val="22"/>
              <w:lang w:val="en-US" w:eastAsia="en-US"/>
            </w:rPr>
            <w:tab/>
          </w:r>
          <w:r>
            <w:rPr/>
            <w:t>Test Data for the half rate speech coder</w:t>
            <w:tab/>
          </w:r>
          <w:hyperlink w:anchor="__RefHeading___Toc518035710">
            <w:r>
              <w:rPr>
                <w:rStyle w:val="IndexLink"/>
              </w:rPr>
              <w:t>105</w:t>
            </w:r>
          </w:hyperlink>
        </w:p>
        <w:p>
          <w:pPr>
            <w:pStyle w:val="Contents2"/>
            <w:rPr>
              <w:rFonts w:ascii="Calibri" w:hAnsi="Calibri" w:cs="Calibri"/>
              <w:sz w:val="22"/>
              <w:szCs w:val="22"/>
              <w:lang w:val="en-US" w:eastAsia="en-US"/>
            </w:rPr>
          </w:pPr>
          <w:r>
            <w:rPr/>
            <w:t>F.2.1</w:t>
          </w:r>
          <w:r>
            <w:rPr>
              <w:rFonts w:cs="Calibri" w:ascii="Calibri" w:hAnsi="Calibri"/>
              <w:sz w:val="22"/>
              <w:szCs w:val="22"/>
              <w:lang w:val="en-US" w:eastAsia="en-US"/>
            </w:rPr>
            <w:tab/>
          </w:r>
          <w:r>
            <w:rPr/>
            <w:t>File description</w:t>
            <w:tab/>
          </w:r>
          <w:hyperlink w:anchor="__RefHeading___Toc518035711">
            <w:r>
              <w:rPr>
                <w:rStyle w:val="IndexLink"/>
              </w:rPr>
              <w:t>105</w:t>
            </w:r>
          </w:hyperlink>
        </w:p>
        <w:p>
          <w:pPr>
            <w:pStyle w:val="Contents2"/>
            <w:rPr>
              <w:rFonts w:ascii="Calibri" w:hAnsi="Calibri" w:cs="Calibri"/>
              <w:sz w:val="22"/>
              <w:szCs w:val="22"/>
              <w:lang w:val="en-US" w:eastAsia="en-US"/>
            </w:rPr>
          </w:pPr>
          <w:r>
            <w:rPr/>
            <w:t>F.2.2</w:t>
          </w:r>
          <w:r>
            <w:rPr>
              <w:rFonts w:cs="Calibri" w:ascii="Calibri" w:hAnsi="Calibri"/>
              <w:sz w:val="22"/>
              <w:szCs w:val="22"/>
              <w:lang w:val="en-US" w:eastAsia="en-US"/>
            </w:rPr>
            <w:tab/>
          </w:r>
          <w:r>
            <w:rPr/>
            <w:t>Soft decision values and chip error patterns</w:t>
            <w:tab/>
          </w:r>
          <w:hyperlink w:anchor="__RefHeading___Toc518035712">
            <w:r>
              <w:rPr>
                <w:rStyle w:val="IndexLink"/>
              </w:rPr>
              <w:t>105</w:t>
            </w:r>
          </w:hyperlink>
        </w:p>
        <w:p>
          <w:pPr>
            <w:pStyle w:val="Contents2"/>
            <w:rPr>
              <w:rFonts w:ascii="Calibri" w:hAnsi="Calibri" w:cs="Calibri"/>
              <w:sz w:val="22"/>
              <w:szCs w:val="22"/>
              <w:lang w:val="en-US" w:eastAsia="en-US"/>
            </w:rPr>
          </w:pPr>
          <w:r>
            <w:rPr/>
            <w:t>F.2.3</w:t>
          </w:r>
          <w:r>
            <w:rPr>
              <w:rFonts w:cs="Calibri" w:ascii="Calibri" w:hAnsi="Calibri"/>
              <w:sz w:val="22"/>
              <w:szCs w:val="22"/>
              <w:lang w:val="en-US" w:eastAsia="en-US"/>
            </w:rPr>
            <w:tab/>
          </w:r>
          <w:r>
            <w:rPr/>
            <w:t>Error patterns of corresponding TCH/FS</w:t>
            <w:tab/>
          </w:r>
          <w:hyperlink w:anchor="__RefHeading___Toc518035713">
            <w:r>
              <w:rPr>
                <w:rStyle w:val="IndexLink"/>
              </w:rPr>
              <w:t>106</w:t>
            </w:r>
          </w:hyperlink>
        </w:p>
        <w:p>
          <w:pPr>
            <w:pStyle w:val="Contents9"/>
            <w:rPr>
              <w:rFonts w:ascii="Calibri" w:hAnsi="Calibri" w:cs="Calibri"/>
              <w:b w:val="false"/>
              <w:b w:val="false"/>
              <w:szCs w:val="22"/>
              <w:lang w:val="en-US" w:eastAsia="en-US"/>
            </w:rPr>
          </w:pPr>
          <w:r>
            <w:rPr/>
            <w:t>Annex G:</w:t>
            <w:tab/>
            <w:t>Simulation of Performance</w:t>
            <w:tab/>
          </w:r>
          <w:hyperlink w:anchor="__RefHeading___Toc518035714">
            <w:r>
              <w:rPr>
                <w:rStyle w:val="IndexLink"/>
              </w:rPr>
              <w:t>108</w:t>
            </w:r>
          </w:hyperlink>
        </w:p>
        <w:p>
          <w:pPr>
            <w:pStyle w:val="Contents1"/>
            <w:rPr>
              <w:rFonts w:ascii="Calibri" w:hAnsi="Calibri" w:cs="Calibri"/>
              <w:szCs w:val="22"/>
              <w:lang w:val="en-US" w:eastAsia="en-US"/>
            </w:rPr>
          </w:pPr>
          <w:r>
            <w:rPr/>
            <w:t>G.1</w:t>
          </w:r>
          <w:r>
            <w:rPr>
              <w:rFonts w:cs="Calibri" w:ascii="Calibri" w:hAnsi="Calibri"/>
              <w:szCs w:val="22"/>
              <w:lang w:val="en-US" w:eastAsia="en-US"/>
            </w:rPr>
            <w:tab/>
          </w:r>
          <w:r>
            <w:rPr/>
            <w:t>Implementation Losses and Noise Figure</w:t>
            <w:tab/>
          </w:r>
          <w:hyperlink w:anchor="__RefHeading___Toc518035715">
            <w:r>
              <w:rPr>
                <w:rStyle w:val="IndexLink"/>
              </w:rPr>
              <w:t>108</w:t>
            </w:r>
          </w:hyperlink>
        </w:p>
        <w:p>
          <w:pPr>
            <w:pStyle w:val="Contents2"/>
            <w:rPr>
              <w:rFonts w:ascii="Calibri" w:hAnsi="Calibri" w:cs="Calibri"/>
              <w:sz w:val="22"/>
              <w:szCs w:val="22"/>
              <w:lang w:val="en-US" w:eastAsia="en-US"/>
            </w:rPr>
          </w:pPr>
          <w:r>
            <w:rPr/>
            <w:t>G.1.1</w:t>
          </w:r>
          <w:r>
            <w:rPr>
              <w:rFonts w:cs="Calibri" w:ascii="Calibri" w:hAnsi="Calibri"/>
              <w:sz w:val="22"/>
              <w:szCs w:val="22"/>
              <w:lang w:val="en-US" w:eastAsia="en-US"/>
            </w:rPr>
            <w:tab/>
          </w:r>
          <w:r>
            <w:rPr/>
            <w:t>Assumed Equalizer</w:t>
            <w:tab/>
          </w:r>
          <w:hyperlink w:anchor="__RefHeading___Toc518035716">
            <w:r>
              <w:rPr>
                <w:rStyle w:val="IndexLink"/>
              </w:rPr>
              <w:t>108</w:t>
            </w:r>
          </w:hyperlink>
        </w:p>
        <w:p>
          <w:pPr>
            <w:pStyle w:val="Contents2"/>
            <w:rPr>
              <w:rFonts w:ascii="Calibri" w:hAnsi="Calibri" w:cs="Calibri"/>
              <w:sz w:val="22"/>
              <w:szCs w:val="22"/>
              <w:lang w:val="en-US" w:eastAsia="en-US"/>
            </w:rPr>
          </w:pPr>
          <w:r>
            <w:rPr/>
            <w:t>G.1.2</w:t>
          </w:r>
          <w:r>
            <w:rPr>
              <w:rFonts w:cs="Calibri" w:ascii="Calibri" w:hAnsi="Calibri"/>
              <w:sz w:val="22"/>
              <w:szCs w:val="22"/>
              <w:lang w:val="en-US" w:eastAsia="en-US"/>
            </w:rPr>
            <w:tab/>
          </w:r>
          <w:r>
            <w:rPr/>
            <w:t>Accuracy of Simulations</w:t>
            <w:tab/>
          </w:r>
          <w:hyperlink w:anchor="__RefHeading___Toc518035717">
            <w:r>
              <w:rPr>
                <w:rStyle w:val="IndexLink"/>
              </w:rPr>
              <w:t>108</w:t>
            </w:r>
          </w:hyperlink>
        </w:p>
        <w:p>
          <w:pPr>
            <w:pStyle w:val="Contents2"/>
            <w:rPr>
              <w:rFonts w:ascii="Calibri" w:hAnsi="Calibri" w:cs="Calibri"/>
              <w:sz w:val="22"/>
              <w:szCs w:val="22"/>
              <w:lang w:val="en-US" w:eastAsia="en-US"/>
            </w:rPr>
          </w:pPr>
          <w:r>
            <w:rPr/>
            <w:t>G.1.3</w:t>
          </w:r>
          <w:r>
            <w:rPr>
              <w:rFonts w:cs="Calibri" w:ascii="Calibri" w:hAnsi="Calibri"/>
              <w:sz w:val="22"/>
              <w:szCs w:val="22"/>
              <w:lang w:val="en-US" w:eastAsia="en-US"/>
            </w:rPr>
            <w:tab/>
          </w:r>
          <w:r>
            <w:rPr/>
            <w:t>Simulation Results</w:t>
            <w:tab/>
          </w:r>
          <w:hyperlink w:anchor="__RefHeading___Toc518035718">
            <w:r>
              <w:rPr>
                <w:rStyle w:val="IndexLink"/>
              </w:rPr>
              <w:t>108</w:t>
            </w:r>
          </w:hyperlink>
        </w:p>
        <w:p>
          <w:pPr>
            <w:pStyle w:val="Contents1"/>
            <w:rPr>
              <w:rFonts w:ascii="Calibri" w:hAnsi="Calibri" w:cs="Calibri"/>
              <w:szCs w:val="22"/>
              <w:lang w:val="en-US" w:eastAsia="en-US"/>
            </w:rPr>
          </w:pPr>
          <w:r>
            <w:rPr/>
            <w:t>G.2</w:t>
          </w:r>
          <w:r>
            <w:rPr>
              <w:rFonts w:cs="Calibri" w:ascii="Calibri" w:hAnsi="Calibri"/>
              <w:szCs w:val="22"/>
              <w:lang w:val="en-US" w:eastAsia="en-US"/>
            </w:rPr>
            <w:tab/>
          </w:r>
          <w:r>
            <w:rPr/>
            <w:t>Reference Structure</w:t>
            <w:tab/>
          </w:r>
          <w:hyperlink w:anchor="__RefHeading___Toc518035719">
            <w:r>
              <w:rPr>
                <w:rStyle w:val="IndexLink"/>
              </w:rPr>
              <w:t>117</w:t>
            </w:r>
          </w:hyperlink>
        </w:p>
        <w:p>
          <w:pPr>
            <w:pStyle w:val="Contents2"/>
            <w:rPr>
              <w:rFonts w:ascii="Calibri" w:hAnsi="Calibri" w:cs="Calibri"/>
              <w:sz w:val="22"/>
              <w:szCs w:val="22"/>
              <w:lang w:val="en-US" w:eastAsia="en-US"/>
            </w:rPr>
          </w:pPr>
          <w:r>
            <w:rPr/>
            <w:t>G.2.1</w:t>
          </w:r>
          <w:r>
            <w:rPr>
              <w:rFonts w:cs="Calibri" w:ascii="Calibri" w:hAnsi="Calibri"/>
              <w:sz w:val="22"/>
              <w:szCs w:val="22"/>
              <w:lang w:val="en-US" w:eastAsia="en-US"/>
            </w:rPr>
            <w:tab/>
          </w:r>
          <w:r>
            <w:rPr/>
            <w:t>Error Concealment</w:t>
            <w:tab/>
          </w:r>
          <w:hyperlink w:anchor="__RefHeading___Toc518035720">
            <w:r>
              <w:rPr>
                <w:rStyle w:val="IndexLink"/>
              </w:rPr>
              <w:t>118</w:t>
            </w:r>
          </w:hyperlink>
        </w:p>
        <w:p>
          <w:pPr>
            <w:pStyle w:val="Contents2"/>
            <w:rPr>
              <w:rFonts w:ascii="Calibri" w:hAnsi="Calibri" w:cs="Calibri"/>
              <w:sz w:val="22"/>
              <w:szCs w:val="22"/>
              <w:lang w:val="en-US" w:eastAsia="en-US"/>
            </w:rPr>
          </w:pPr>
          <w:r>
            <w:rPr/>
            <w:t>G.2.2</w:t>
          </w:r>
          <w:r>
            <w:rPr>
              <w:rFonts w:cs="Calibri" w:ascii="Calibri" w:hAnsi="Calibri"/>
              <w:sz w:val="22"/>
              <w:szCs w:val="22"/>
              <w:lang w:val="en-US" w:eastAsia="en-US"/>
            </w:rPr>
            <w:tab/>
          </w:r>
          <w:r>
            <w:rPr/>
            <w:t>Implementation Losses and Noise Figure</w:t>
            <w:tab/>
          </w:r>
          <w:hyperlink w:anchor="__RefHeading___Toc518035721">
            <w:r>
              <w:rPr>
                <w:rStyle w:val="IndexLink"/>
              </w:rPr>
              <w:t>118</w:t>
            </w:r>
          </w:hyperlink>
        </w:p>
        <w:p>
          <w:pPr>
            <w:pStyle w:val="Contents2"/>
            <w:rPr>
              <w:rFonts w:ascii="Calibri" w:hAnsi="Calibri" w:cs="Calibri"/>
              <w:sz w:val="22"/>
              <w:szCs w:val="22"/>
              <w:lang w:val="en-US" w:eastAsia="en-US"/>
            </w:rPr>
          </w:pPr>
          <w:r>
            <w:rPr/>
            <w:t>G.2.3</w:t>
          </w:r>
          <w:r>
            <w:rPr>
              <w:rFonts w:cs="Calibri" w:ascii="Calibri" w:hAnsi="Calibri"/>
              <w:sz w:val="22"/>
              <w:szCs w:val="22"/>
              <w:lang w:val="en-US" w:eastAsia="en-US"/>
            </w:rPr>
            <w:tab/>
          </w:r>
          <w:r>
            <w:rPr/>
            <w:t>Assumed Equalizer</w:t>
            <w:tab/>
          </w:r>
          <w:hyperlink w:anchor="__RefHeading___Toc518035722">
            <w:r>
              <w:rPr>
                <w:rStyle w:val="IndexLink"/>
              </w:rPr>
              <w:t>118</w:t>
            </w:r>
          </w:hyperlink>
        </w:p>
        <w:p>
          <w:pPr>
            <w:pStyle w:val="Contents2"/>
            <w:rPr>
              <w:rFonts w:ascii="Calibri" w:hAnsi="Calibri" w:cs="Calibri"/>
              <w:sz w:val="22"/>
              <w:szCs w:val="22"/>
              <w:lang w:val="en-US" w:eastAsia="en-US"/>
            </w:rPr>
          </w:pPr>
          <w:r>
            <w:rPr/>
            <w:t>G.2.4</w:t>
          </w:r>
          <w:r>
            <w:rPr>
              <w:rFonts w:cs="Calibri" w:ascii="Calibri" w:hAnsi="Calibri"/>
              <w:sz w:val="22"/>
              <w:szCs w:val="22"/>
              <w:lang w:val="en-US" w:eastAsia="en-US"/>
            </w:rPr>
            <w:tab/>
          </w:r>
          <w:r>
            <w:rPr/>
            <w:t>Simulation Results</w:t>
            <w:tab/>
          </w:r>
          <w:hyperlink w:anchor="__RefHeading___Toc518035723">
            <w:r>
              <w:rPr>
                <w:rStyle w:val="IndexLink"/>
              </w:rPr>
              <w:t>118</w:t>
            </w:r>
          </w:hyperlink>
        </w:p>
        <w:p>
          <w:pPr>
            <w:pStyle w:val="Contents2"/>
            <w:rPr>
              <w:rFonts w:ascii="Calibri" w:hAnsi="Calibri" w:cs="Calibri"/>
              <w:sz w:val="22"/>
              <w:szCs w:val="22"/>
              <w:lang w:val="en-US" w:eastAsia="en-US"/>
            </w:rPr>
          </w:pPr>
          <w:r>
            <w:rPr/>
            <w:t>G.2.5</w:t>
          </w:r>
          <w:r>
            <w:rPr>
              <w:rFonts w:cs="Calibri" w:ascii="Calibri" w:hAnsi="Calibri"/>
              <w:sz w:val="22"/>
              <w:szCs w:val="22"/>
              <w:lang w:val="en-US" w:eastAsia="en-US"/>
            </w:rPr>
            <w:tab/>
          </w:r>
          <w:r>
            <w:rPr/>
            <w:t>Proposed Values for Recommendation GSM 05.05</w:t>
            <w:tab/>
          </w:r>
          <w:hyperlink w:anchor="__RefHeading___Toc518035724">
            <w:r>
              <w:rPr>
                <w:rStyle w:val="IndexLink"/>
              </w:rPr>
              <w:t>118</w:t>
            </w:r>
          </w:hyperlink>
        </w:p>
        <w:p>
          <w:pPr>
            <w:pStyle w:val="Contents1"/>
            <w:rPr>
              <w:rFonts w:ascii="Calibri" w:hAnsi="Calibri" w:cs="Calibri"/>
              <w:szCs w:val="22"/>
              <w:lang w:val="en-US" w:eastAsia="en-US"/>
            </w:rPr>
          </w:pPr>
          <w:r>
            <w:rPr/>
            <w:t>G.3</w:t>
          </w:r>
          <w:r>
            <w:rPr>
              <w:rFonts w:cs="Calibri" w:ascii="Calibri" w:hAnsi="Calibri"/>
              <w:szCs w:val="22"/>
              <w:lang w:val="en-US" w:eastAsia="en-US"/>
            </w:rPr>
            <w:tab/>
          </w:r>
          <w:r>
            <w:rPr/>
            <w:t>Simulation of performance for AMR</w:t>
            <w:tab/>
          </w:r>
          <w:hyperlink w:anchor="__RefHeading___Toc518035725">
            <w:r>
              <w:rPr>
                <w:rStyle w:val="IndexLink"/>
              </w:rPr>
              <w:t>119</w:t>
            </w:r>
          </w:hyperlink>
        </w:p>
        <w:p>
          <w:pPr>
            <w:pStyle w:val="Contents2"/>
            <w:rPr>
              <w:rFonts w:ascii="Calibri" w:hAnsi="Calibri" w:cs="Calibri"/>
              <w:sz w:val="22"/>
              <w:szCs w:val="22"/>
              <w:lang w:val="en-US" w:eastAsia="en-US"/>
            </w:rPr>
          </w:pPr>
          <w:r>
            <w:rPr/>
            <w:t>G.3.1</w:t>
          </w:r>
          <w:r>
            <w:rPr>
              <w:rFonts w:cs="Calibri" w:ascii="Calibri" w:hAnsi="Calibri"/>
              <w:sz w:val="22"/>
              <w:szCs w:val="22"/>
              <w:lang w:val="en-US" w:eastAsia="en-US"/>
            </w:rPr>
            <w:tab/>
          </w:r>
          <w:r>
            <w:rPr/>
            <w:t>System Configuration</w:t>
            <w:tab/>
          </w:r>
          <w:hyperlink w:anchor="__RefHeading___Toc518035726">
            <w:r>
              <w:rPr>
                <w:rStyle w:val="IndexLink"/>
              </w:rPr>
              <w:t>119</w:t>
            </w:r>
          </w:hyperlink>
        </w:p>
        <w:p>
          <w:pPr>
            <w:pStyle w:val="Contents2"/>
            <w:rPr>
              <w:rFonts w:ascii="Calibri" w:hAnsi="Calibri" w:cs="Calibri"/>
              <w:sz w:val="22"/>
              <w:szCs w:val="22"/>
              <w:lang w:val="en-US" w:eastAsia="en-US"/>
            </w:rPr>
          </w:pPr>
          <w:r>
            <w:rPr/>
            <w:t>G.3.2</w:t>
          </w:r>
          <w:r>
            <w:rPr>
              <w:rFonts w:cs="Calibri" w:ascii="Calibri" w:hAnsi="Calibri"/>
              <w:sz w:val="22"/>
              <w:szCs w:val="22"/>
              <w:lang w:val="en-US" w:eastAsia="en-US"/>
            </w:rPr>
            <w:tab/>
          </w:r>
          <w:r>
            <w:rPr/>
            <w:t>Error Concealment</w:t>
            <w:tab/>
          </w:r>
          <w:hyperlink w:anchor="__RefHeading___Toc518035727">
            <w:r>
              <w:rPr>
                <w:rStyle w:val="IndexLink"/>
              </w:rPr>
              <w:t>119</w:t>
            </w:r>
          </w:hyperlink>
        </w:p>
        <w:p>
          <w:pPr>
            <w:pStyle w:val="Contents2"/>
            <w:rPr>
              <w:rFonts w:ascii="Calibri" w:hAnsi="Calibri" w:cs="Calibri"/>
              <w:sz w:val="22"/>
              <w:szCs w:val="22"/>
              <w:lang w:val="en-US" w:eastAsia="en-US"/>
            </w:rPr>
          </w:pPr>
          <w:r>
            <w:rPr/>
            <w:t>G.3.3</w:t>
          </w:r>
          <w:r>
            <w:rPr>
              <w:rFonts w:cs="Calibri" w:ascii="Calibri" w:hAnsi="Calibri"/>
              <w:sz w:val="22"/>
              <w:szCs w:val="22"/>
              <w:lang w:val="en-US" w:eastAsia="en-US"/>
            </w:rPr>
            <w:tab/>
          </w:r>
          <w:r>
            <w:rPr/>
            <w:t>Implementation Losses and Noise Figure</w:t>
            <w:tab/>
          </w:r>
          <w:hyperlink w:anchor="__RefHeading___Toc518035728">
            <w:r>
              <w:rPr>
                <w:rStyle w:val="IndexLink"/>
              </w:rPr>
              <w:t>120</w:t>
            </w:r>
          </w:hyperlink>
        </w:p>
        <w:p>
          <w:pPr>
            <w:pStyle w:val="Contents2"/>
            <w:rPr>
              <w:rFonts w:ascii="Calibri" w:hAnsi="Calibri" w:cs="Calibri"/>
              <w:sz w:val="22"/>
              <w:szCs w:val="22"/>
              <w:lang w:val="en-US" w:eastAsia="en-US"/>
            </w:rPr>
          </w:pPr>
          <w:r>
            <w:rPr/>
            <w:t>G.3.4</w:t>
          </w:r>
          <w:r>
            <w:rPr>
              <w:rFonts w:cs="Calibri" w:ascii="Calibri" w:hAnsi="Calibri"/>
              <w:sz w:val="22"/>
              <w:szCs w:val="22"/>
              <w:lang w:val="en-US" w:eastAsia="en-US"/>
            </w:rPr>
            <w:tab/>
          </w:r>
          <w:r>
            <w:rPr/>
            <w:t>Assumed Equalizer</w:t>
            <w:tab/>
          </w:r>
          <w:hyperlink w:anchor="__RefHeading___Toc518035729">
            <w:r>
              <w:rPr>
                <w:rStyle w:val="IndexLink"/>
              </w:rPr>
              <w:t>120</w:t>
            </w:r>
          </w:hyperlink>
        </w:p>
        <w:p>
          <w:pPr>
            <w:pStyle w:val="Contents2"/>
            <w:rPr>
              <w:rFonts w:ascii="Calibri" w:hAnsi="Calibri" w:cs="Calibri"/>
              <w:sz w:val="22"/>
              <w:szCs w:val="22"/>
              <w:lang w:val="en-US" w:eastAsia="en-US"/>
            </w:rPr>
          </w:pPr>
          <w:r>
            <w:rPr/>
            <w:t>G.3.5</w:t>
          </w:r>
          <w:r>
            <w:rPr>
              <w:rFonts w:cs="Calibri" w:ascii="Calibri" w:hAnsi="Calibri"/>
              <w:sz w:val="22"/>
              <w:szCs w:val="22"/>
              <w:lang w:val="en-US" w:eastAsia="en-US"/>
            </w:rPr>
            <w:tab/>
          </w:r>
          <w:r>
            <w:rPr/>
            <w:t>Simulation Methods</w:t>
            <w:tab/>
          </w:r>
          <w:hyperlink w:anchor="__RefHeading___Toc518035730">
            <w:r>
              <w:rPr>
                <w:rStyle w:val="IndexLink"/>
              </w:rPr>
              <w:t>120</w:t>
            </w:r>
          </w:hyperlink>
        </w:p>
        <w:p>
          <w:pPr>
            <w:pStyle w:val="Contents3"/>
            <w:rPr>
              <w:rFonts w:ascii="Calibri" w:hAnsi="Calibri" w:cs="Calibri"/>
              <w:sz w:val="22"/>
              <w:szCs w:val="22"/>
              <w:lang w:val="en-US" w:eastAsia="en-US"/>
            </w:rPr>
          </w:pPr>
          <w:r>
            <w:rPr/>
            <w:t>G.3.5.1</w:t>
          </w:r>
          <w:r>
            <w:rPr>
              <w:rFonts w:cs="Calibri" w:ascii="Calibri" w:hAnsi="Calibri"/>
              <w:sz w:val="22"/>
              <w:szCs w:val="22"/>
              <w:lang w:val="en-US" w:eastAsia="en-US"/>
            </w:rPr>
            <w:tab/>
          </w:r>
          <w:r>
            <w:rPr/>
            <w:t>Simulation for speech</w:t>
            <w:tab/>
          </w:r>
          <w:hyperlink w:anchor="__RefHeading___Toc518035731">
            <w:r>
              <w:rPr>
                <w:rStyle w:val="IndexLink"/>
              </w:rPr>
              <w:t>120</w:t>
            </w:r>
          </w:hyperlink>
        </w:p>
        <w:p>
          <w:pPr>
            <w:pStyle w:val="Contents3"/>
            <w:rPr>
              <w:rFonts w:ascii="Calibri" w:hAnsi="Calibri" w:cs="Calibri"/>
              <w:sz w:val="22"/>
              <w:szCs w:val="22"/>
              <w:lang w:val="en-US" w:eastAsia="en-US"/>
            </w:rPr>
          </w:pPr>
          <w:r>
            <w:rPr/>
            <w:t>G.3.5.2</w:t>
          </w:r>
          <w:r>
            <w:rPr>
              <w:rFonts w:cs="Calibri" w:ascii="Calibri" w:hAnsi="Calibri"/>
              <w:sz w:val="22"/>
              <w:szCs w:val="22"/>
              <w:lang w:val="en-US" w:eastAsia="en-US"/>
            </w:rPr>
            <w:tab/>
          </w:r>
          <w:r>
            <w:rPr/>
            <w:t>Simulation for DTX</w:t>
            <w:tab/>
          </w:r>
          <w:hyperlink w:anchor="__RefHeading___Toc518035732">
            <w:r>
              <w:rPr>
                <w:rStyle w:val="IndexLink"/>
              </w:rPr>
              <w:t>120</w:t>
            </w:r>
          </w:hyperlink>
        </w:p>
        <w:p>
          <w:pPr>
            <w:pStyle w:val="Contents3"/>
            <w:rPr>
              <w:rFonts w:ascii="Calibri" w:hAnsi="Calibri" w:cs="Calibri"/>
              <w:sz w:val="22"/>
              <w:szCs w:val="22"/>
              <w:lang w:val="en-US" w:eastAsia="en-US"/>
            </w:rPr>
          </w:pPr>
          <w:r>
            <w:rPr/>
            <w:t>G.3.5.3</w:t>
          </w:r>
          <w:r>
            <w:rPr>
              <w:rFonts w:cs="Calibri" w:ascii="Calibri" w:hAnsi="Calibri"/>
              <w:sz w:val="22"/>
              <w:szCs w:val="22"/>
              <w:lang w:val="en-US" w:eastAsia="en-US"/>
            </w:rPr>
            <w:tab/>
          </w:r>
          <w:r>
            <w:rPr/>
            <w:t>Simulation for inband channel</w:t>
            <w:tab/>
          </w:r>
          <w:hyperlink w:anchor="__RefHeading___Toc518035733">
            <w:r>
              <w:rPr>
                <w:rStyle w:val="IndexLink"/>
              </w:rPr>
              <w:t>120</w:t>
            </w:r>
          </w:hyperlink>
        </w:p>
        <w:p>
          <w:pPr>
            <w:pStyle w:val="Contents2"/>
            <w:rPr>
              <w:rFonts w:ascii="Calibri" w:hAnsi="Calibri" w:cs="Calibri"/>
              <w:sz w:val="22"/>
              <w:szCs w:val="22"/>
              <w:lang w:val="en-US" w:eastAsia="en-US"/>
            </w:rPr>
          </w:pPr>
          <w:r>
            <w:rPr/>
            <w:t>G.3.6</w:t>
          </w:r>
          <w:r>
            <w:rPr>
              <w:rFonts w:cs="Calibri" w:ascii="Calibri" w:hAnsi="Calibri"/>
              <w:sz w:val="22"/>
              <w:szCs w:val="22"/>
              <w:lang w:val="en-US" w:eastAsia="en-US"/>
            </w:rPr>
            <w:tab/>
          </w:r>
          <w:r>
            <w:rPr/>
            <w:t>Remarks to the Data in GSM 05.05</w:t>
            <w:tab/>
          </w:r>
          <w:hyperlink w:anchor="__RefHeading___Toc518035734">
            <w:r>
              <w:rPr>
                <w:rStyle w:val="IndexLink"/>
              </w:rPr>
              <w:t>121</w:t>
            </w:r>
          </w:hyperlink>
        </w:p>
        <w:p>
          <w:pPr>
            <w:pStyle w:val="Contents9"/>
            <w:rPr>
              <w:rFonts w:ascii="Calibri" w:hAnsi="Calibri" w:cs="Calibri"/>
              <w:b w:val="false"/>
              <w:b w:val="false"/>
              <w:szCs w:val="22"/>
              <w:lang w:val="en-US" w:eastAsia="en-US"/>
            </w:rPr>
          </w:pPr>
          <w:r>
            <w:rPr/>
            <w:t>Annex H:</w:t>
            <w:tab/>
            <w:t>GSM900 Railway System Scenarios</w:t>
            <w:tab/>
          </w:r>
          <w:hyperlink w:anchor="__RefHeading___Toc518035735">
            <w:r>
              <w:rPr>
                <w:rStyle w:val="IndexLink"/>
              </w:rPr>
              <w:t>122</w:t>
            </w:r>
          </w:hyperlink>
        </w:p>
        <w:p>
          <w:pPr>
            <w:pStyle w:val="Contents1"/>
            <w:rPr>
              <w:rFonts w:ascii="Calibri" w:hAnsi="Calibri" w:cs="Calibri"/>
              <w:szCs w:val="22"/>
              <w:lang w:val="en-US" w:eastAsia="en-US"/>
            </w:rPr>
          </w:pPr>
          <w:r>
            <w:rPr/>
            <w:t>H.1</w:t>
          </w:r>
          <w:r>
            <w:rPr>
              <w:rFonts w:cs="Calibri" w:ascii="Calibri" w:hAnsi="Calibri"/>
              <w:szCs w:val="22"/>
              <w:lang w:val="en-US" w:eastAsia="en-US"/>
            </w:rPr>
            <w:tab/>
          </w:r>
          <w:r>
            <w:rPr/>
            <w:t>Scope</w:t>
            <w:tab/>
          </w:r>
          <w:hyperlink w:anchor="__RefHeading___Toc518035736">
            <w:r>
              <w:rPr>
                <w:rStyle w:val="IndexLink"/>
              </w:rPr>
              <w:t>122</w:t>
            </w:r>
          </w:hyperlink>
        </w:p>
        <w:p>
          <w:pPr>
            <w:pStyle w:val="Contents2"/>
            <w:rPr>
              <w:rFonts w:ascii="Calibri" w:hAnsi="Calibri" w:cs="Calibri"/>
              <w:sz w:val="22"/>
              <w:szCs w:val="22"/>
              <w:lang w:val="en-US" w:eastAsia="en-US"/>
            </w:rPr>
          </w:pPr>
          <w:r>
            <w:rPr/>
            <w:t>H.1.1</w:t>
          </w:r>
          <w:r>
            <w:rPr>
              <w:rFonts w:cs="Calibri" w:ascii="Calibri" w:hAnsi="Calibri"/>
              <w:sz w:val="22"/>
              <w:szCs w:val="22"/>
              <w:lang w:val="en-US" w:eastAsia="en-US"/>
            </w:rPr>
            <w:tab/>
          </w:r>
          <w:r>
            <w:rPr/>
            <w:t>List of some abbreviations</w:t>
            <w:tab/>
          </w:r>
          <w:hyperlink w:anchor="__RefHeading___Toc518035737">
            <w:r>
              <w:rPr>
                <w:rStyle w:val="IndexLink"/>
              </w:rPr>
              <w:t>122</w:t>
            </w:r>
          </w:hyperlink>
        </w:p>
        <w:p>
          <w:pPr>
            <w:pStyle w:val="Contents1"/>
            <w:rPr>
              <w:rFonts w:ascii="Calibri" w:hAnsi="Calibri" w:cs="Calibri"/>
              <w:szCs w:val="22"/>
              <w:lang w:val="en-US" w:eastAsia="en-US"/>
            </w:rPr>
          </w:pPr>
          <w:r>
            <w:rPr/>
            <w:t>H.2</w:t>
          </w:r>
          <w:r>
            <w:rPr>
              <w:rFonts w:cs="Calibri" w:ascii="Calibri" w:hAnsi="Calibri"/>
              <w:szCs w:val="22"/>
              <w:lang w:val="en-US" w:eastAsia="en-US"/>
            </w:rPr>
            <w:tab/>
          </w:r>
          <w:r>
            <w:rPr/>
            <w:t>Constraints</w:t>
            <w:tab/>
          </w:r>
          <w:hyperlink w:anchor="__RefHeading___Toc518035738">
            <w:r>
              <w:rPr>
                <w:rStyle w:val="IndexLink"/>
              </w:rPr>
              <w:t>122</w:t>
            </w:r>
          </w:hyperlink>
        </w:p>
        <w:p>
          <w:pPr>
            <w:pStyle w:val="Contents2"/>
            <w:rPr>
              <w:rFonts w:ascii="Calibri" w:hAnsi="Calibri" w:cs="Calibri"/>
              <w:sz w:val="22"/>
              <w:szCs w:val="22"/>
              <w:lang w:val="en-US" w:eastAsia="en-US"/>
            </w:rPr>
          </w:pPr>
          <w:r>
            <w:rPr/>
            <w:t>H.2.1</w:t>
          </w:r>
          <w:r>
            <w:rPr>
              <w:rFonts w:cs="Calibri" w:ascii="Calibri" w:hAnsi="Calibri"/>
              <w:sz w:val="22"/>
              <w:szCs w:val="22"/>
              <w:lang w:val="en-US" w:eastAsia="en-US"/>
            </w:rPr>
            <w:tab/>
          </w:r>
          <w:r>
            <w:rPr/>
            <w:t>GSM based systems in the 900 MHz band</w:t>
            <w:tab/>
          </w:r>
          <w:hyperlink w:anchor="__RefHeading___Toc518035739">
            <w:r>
              <w:rPr>
                <w:rStyle w:val="IndexLink"/>
              </w:rPr>
              <w:t>122</w:t>
            </w:r>
          </w:hyperlink>
        </w:p>
        <w:p>
          <w:pPr>
            <w:pStyle w:val="Contents2"/>
            <w:rPr>
              <w:rFonts w:ascii="Calibri" w:hAnsi="Calibri" w:cs="Calibri"/>
              <w:sz w:val="22"/>
              <w:szCs w:val="22"/>
              <w:lang w:val="en-US" w:eastAsia="en-US"/>
            </w:rPr>
          </w:pPr>
          <w:r>
            <w:rPr/>
            <w:t>H.2.2</w:t>
          </w:r>
          <w:r>
            <w:rPr>
              <w:rFonts w:cs="Calibri" w:ascii="Calibri" w:hAnsi="Calibri"/>
              <w:sz w:val="22"/>
              <w:szCs w:val="22"/>
              <w:lang w:val="en-US" w:eastAsia="en-US"/>
            </w:rPr>
            <w:tab/>
          </w:r>
          <w:r>
            <w:rPr/>
            <w:t>Other systems</w:t>
            <w:tab/>
          </w:r>
          <w:hyperlink w:anchor="__RefHeading___Toc518035740">
            <w:r>
              <w:rPr>
                <w:rStyle w:val="IndexLink"/>
              </w:rPr>
              <w:t>123</w:t>
            </w:r>
          </w:hyperlink>
        </w:p>
        <w:p>
          <w:pPr>
            <w:pStyle w:val="Contents2"/>
            <w:rPr>
              <w:rFonts w:ascii="Calibri" w:hAnsi="Calibri" w:cs="Calibri"/>
              <w:sz w:val="22"/>
              <w:szCs w:val="22"/>
              <w:lang w:val="en-US" w:eastAsia="en-US"/>
            </w:rPr>
          </w:pPr>
          <w:r>
            <w:rPr/>
            <w:t>H.2.3</w:t>
          </w:r>
          <w:r>
            <w:rPr>
              <w:rFonts w:cs="Calibri" w:ascii="Calibri" w:hAnsi="Calibri"/>
              <w:sz w:val="22"/>
              <w:szCs w:val="22"/>
              <w:lang w:val="en-US" w:eastAsia="en-US"/>
            </w:rPr>
            <w:tab/>
          </w:r>
          <w:r>
            <w:rPr/>
            <w:t>UIC systems outline</w:t>
            <w:tab/>
          </w:r>
          <w:hyperlink w:anchor="__RefHeading___Toc518035741">
            <w:r>
              <w:rPr>
                <w:rStyle w:val="IndexLink"/>
              </w:rPr>
              <w:t>123</w:t>
            </w:r>
          </w:hyperlink>
        </w:p>
        <w:p>
          <w:pPr>
            <w:pStyle w:val="Contents2"/>
            <w:rPr>
              <w:rFonts w:ascii="Calibri" w:hAnsi="Calibri" w:cs="Calibri"/>
              <w:sz w:val="22"/>
              <w:szCs w:val="22"/>
              <w:lang w:val="en-US" w:eastAsia="en-US"/>
            </w:rPr>
          </w:pPr>
          <w:r>
            <w:rPr/>
            <w:t>H.2.4</w:t>
          </w:r>
          <w:r>
            <w:rPr>
              <w:rFonts w:cs="Calibri" w:ascii="Calibri" w:hAnsi="Calibri"/>
              <w:sz w:val="22"/>
              <w:szCs w:val="22"/>
              <w:lang w:val="en-US" w:eastAsia="en-US"/>
            </w:rPr>
            <w:tab/>
          </w:r>
          <w:r>
            <w:rPr/>
            <w:t>Fixed UIC RF parameters</w:t>
            <w:tab/>
          </w:r>
          <w:hyperlink w:anchor="__RefHeading___Toc518035742">
            <w:r>
              <w:rPr>
                <w:rStyle w:val="IndexLink"/>
              </w:rPr>
              <w:t>123</w:t>
            </w:r>
          </w:hyperlink>
        </w:p>
        <w:p>
          <w:pPr>
            <w:pStyle w:val="Contents1"/>
            <w:rPr>
              <w:rFonts w:ascii="Calibri" w:hAnsi="Calibri" w:cs="Calibri"/>
              <w:szCs w:val="22"/>
              <w:lang w:val="en-US" w:eastAsia="en-US"/>
            </w:rPr>
          </w:pPr>
          <w:r>
            <w:rPr/>
            <w:t>H.3</w:t>
          </w:r>
          <w:r>
            <w:rPr>
              <w:rFonts w:cs="Calibri" w:ascii="Calibri" w:hAnsi="Calibri"/>
              <w:szCs w:val="22"/>
              <w:lang w:val="en-US" w:eastAsia="en-US"/>
            </w:rPr>
            <w:tab/>
          </w:r>
          <w:r>
            <w:rPr/>
            <w:t>Methodology</w:t>
            <w:tab/>
          </w:r>
          <w:hyperlink w:anchor="__RefHeading___Toc518035743">
            <w:r>
              <w:rPr>
                <w:rStyle w:val="IndexLink"/>
              </w:rPr>
              <w:t>123</w:t>
            </w:r>
          </w:hyperlink>
        </w:p>
        <w:p>
          <w:pPr>
            <w:pStyle w:val="Contents2"/>
            <w:rPr>
              <w:rFonts w:ascii="Calibri" w:hAnsi="Calibri" w:cs="Calibri"/>
              <w:sz w:val="22"/>
              <w:szCs w:val="22"/>
              <w:lang w:val="en-US" w:eastAsia="en-US"/>
            </w:rPr>
          </w:pPr>
          <w:r>
            <w:rPr/>
            <w:t>H.3.1</w:t>
          </w:r>
          <w:r>
            <w:rPr>
              <w:rFonts w:cs="Calibri" w:ascii="Calibri" w:hAnsi="Calibri"/>
              <w:sz w:val="22"/>
              <w:szCs w:val="22"/>
              <w:lang w:val="en-US" w:eastAsia="en-US"/>
            </w:rPr>
            <w:tab/>
          </w:r>
          <w:r>
            <w:rPr/>
            <w:t>Scenarios</w:t>
            <w:tab/>
          </w:r>
          <w:hyperlink w:anchor="__RefHeading___Toc518035744">
            <w:r>
              <w:rPr>
                <w:rStyle w:val="IndexLink"/>
              </w:rPr>
              <w:t>124</w:t>
            </w:r>
          </w:hyperlink>
        </w:p>
        <w:p>
          <w:pPr>
            <w:pStyle w:val="Contents2"/>
            <w:rPr>
              <w:rFonts w:ascii="Calibri" w:hAnsi="Calibri" w:cs="Calibri"/>
              <w:sz w:val="22"/>
              <w:szCs w:val="22"/>
              <w:lang w:val="en-US" w:eastAsia="en-US"/>
            </w:rPr>
          </w:pPr>
          <w:r>
            <w:rPr/>
            <w:t>H.3.2</w:t>
          </w:r>
          <w:r>
            <w:rPr>
              <w:rFonts w:cs="Calibri" w:ascii="Calibri" w:hAnsi="Calibri"/>
              <w:sz w:val="22"/>
              <w:szCs w:val="22"/>
              <w:lang w:val="en-US" w:eastAsia="en-US"/>
            </w:rPr>
            <w:tab/>
          </w:r>
          <w:r>
            <w:rPr/>
            <w:t>Format of calculations</w:t>
            <w:tab/>
          </w:r>
          <w:hyperlink w:anchor="__RefHeading___Toc518035745">
            <w:r>
              <w:rPr>
                <w:rStyle w:val="IndexLink"/>
              </w:rPr>
              <w:t>125</w:t>
            </w:r>
          </w:hyperlink>
        </w:p>
        <w:p>
          <w:pPr>
            <w:pStyle w:val="Contents2"/>
            <w:rPr>
              <w:rFonts w:ascii="Calibri" w:hAnsi="Calibri" w:cs="Calibri"/>
              <w:sz w:val="22"/>
              <w:szCs w:val="22"/>
              <w:lang w:val="en-US" w:eastAsia="en-US"/>
            </w:rPr>
          </w:pPr>
          <w:r>
            <w:rPr/>
            <w:t>H.3.3</w:t>
          </w:r>
          <w:r>
            <w:rPr>
              <w:rFonts w:cs="Calibri" w:ascii="Calibri" w:hAnsi="Calibri"/>
              <w:sz w:val="22"/>
              <w:szCs w:val="22"/>
              <w:lang w:val="en-US" w:eastAsia="en-US"/>
            </w:rPr>
            <w:tab/>
          </w:r>
          <w:r>
            <w:rPr/>
            <w:t>GSM900 systems parameters</w:t>
            <w:tab/>
          </w:r>
          <w:hyperlink w:anchor="__RefHeading___Toc518035746">
            <w:r>
              <w:rPr>
                <w:rStyle w:val="IndexLink"/>
              </w:rPr>
              <w:t>125</w:t>
            </w:r>
          </w:hyperlink>
        </w:p>
        <w:p>
          <w:pPr>
            <w:pStyle w:val="Contents2"/>
            <w:rPr>
              <w:rFonts w:ascii="Calibri" w:hAnsi="Calibri" w:cs="Calibri"/>
              <w:sz w:val="22"/>
              <w:szCs w:val="22"/>
              <w:lang w:val="en-US" w:eastAsia="en-US"/>
            </w:rPr>
          </w:pPr>
          <w:r>
            <w:rPr/>
            <w:t>H.3.4</w:t>
          </w:r>
          <w:r>
            <w:rPr>
              <w:rFonts w:cs="Calibri" w:ascii="Calibri" w:hAnsi="Calibri"/>
              <w:sz w:val="22"/>
              <w:szCs w:val="22"/>
              <w:lang w:val="en-US" w:eastAsia="en-US"/>
            </w:rPr>
            <w:tab/>
          </w:r>
          <w:r>
            <w:rPr/>
            <w:t>Minimum Coupling Loss</w:t>
            <w:tab/>
          </w:r>
          <w:hyperlink w:anchor="__RefHeading___Toc518035747">
            <w:r>
              <w:rPr>
                <w:rStyle w:val="IndexLink"/>
              </w:rPr>
              <w:t>126</w:t>
            </w:r>
          </w:hyperlink>
        </w:p>
        <w:p>
          <w:pPr>
            <w:pStyle w:val="Contents2"/>
            <w:rPr>
              <w:rFonts w:ascii="Calibri" w:hAnsi="Calibri" w:cs="Calibri"/>
              <w:sz w:val="22"/>
              <w:szCs w:val="22"/>
              <w:lang w:val="en-US" w:eastAsia="en-US"/>
            </w:rPr>
          </w:pPr>
          <w:r>
            <w:rPr/>
            <w:t>H.3.5</w:t>
          </w:r>
          <w:r>
            <w:rPr>
              <w:rFonts w:cs="Calibri" w:ascii="Calibri" w:hAnsi="Calibri"/>
              <w:sz w:val="22"/>
              <w:szCs w:val="22"/>
              <w:lang w:val="en-US" w:eastAsia="en-US"/>
            </w:rPr>
            <w:tab/>
          </w:r>
          <w:r>
            <w:rPr/>
            <w:t>Interference margins</w:t>
            <w:tab/>
          </w:r>
          <w:hyperlink w:anchor="__RefHeading___Toc518035748">
            <w:r>
              <w:rPr>
                <w:rStyle w:val="IndexLink"/>
              </w:rPr>
              <w:t>127</w:t>
            </w:r>
          </w:hyperlink>
        </w:p>
        <w:p>
          <w:pPr>
            <w:pStyle w:val="Contents2"/>
            <w:rPr>
              <w:rFonts w:ascii="Calibri" w:hAnsi="Calibri" w:cs="Calibri"/>
              <w:sz w:val="22"/>
              <w:szCs w:val="22"/>
              <w:lang w:val="en-US" w:eastAsia="en-US"/>
            </w:rPr>
          </w:pPr>
          <w:r>
            <w:rPr/>
            <w:t>H.3.6</w:t>
          </w:r>
          <w:r>
            <w:rPr>
              <w:rFonts w:cs="Calibri" w:ascii="Calibri" w:hAnsi="Calibri"/>
              <w:sz w:val="22"/>
              <w:szCs w:val="22"/>
              <w:lang w:val="en-US" w:eastAsia="en-US"/>
            </w:rPr>
            <w:tab/>
          </w:r>
          <w:r>
            <w:rPr/>
            <w:t>Differences between E- and P-GSM</w:t>
            <w:tab/>
          </w:r>
          <w:hyperlink w:anchor="__RefHeading___Toc518035749">
            <w:r>
              <w:rPr>
                <w:rStyle w:val="IndexLink"/>
              </w:rPr>
              <w:t>127</w:t>
            </w:r>
          </w:hyperlink>
        </w:p>
        <w:p>
          <w:pPr>
            <w:pStyle w:val="Contents1"/>
            <w:rPr>
              <w:rFonts w:ascii="Calibri" w:hAnsi="Calibri" w:cs="Calibri"/>
              <w:szCs w:val="22"/>
              <w:lang w:val="en-US" w:eastAsia="en-US"/>
            </w:rPr>
          </w:pPr>
          <w:r>
            <w:rPr/>
            <w:t>H4</w:t>
          </w:r>
          <w:r>
            <w:rPr>
              <w:rFonts w:cs="Calibri" w:ascii="Calibri" w:hAnsi="Calibri"/>
              <w:szCs w:val="22"/>
              <w:lang w:val="en-US" w:eastAsia="en-US"/>
            </w:rPr>
            <w:tab/>
          </w:r>
          <w:r>
            <w:rPr/>
            <w:t>Transmitter requirements</w:t>
            <w:tab/>
          </w:r>
          <w:hyperlink w:anchor="__RefHeading___Toc518035750">
            <w:r>
              <w:rPr>
                <w:rStyle w:val="IndexLink"/>
              </w:rPr>
              <w:t>127</w:t>
            </w:r>
          </w:hyperlink>
        </w:p>
        <w:p>
          <w:pPr>
            <w:pStyle w:val="Contents2"/>
            <w:rPr>
              <w:rFonts w:ascii="Calibri" w:hAnsi="Calibri" w:cs="Calibri"/>
              <w:sz w:val="22"/>
              <w:szCs w:val="22"/>
              <w:lang w:val="en-US" w:eastAsia="en-US"/>
            </w:rPr>
          </w:pPr>
          <w:r>
            <w:rPr/>
            <w:t>H.4.1</w:t>
          </w:r>
          <w:r>
            <w:rPr>
              <w:rFonts w:cs="Calibri" w:ascii="Calibri" w:hAnsi="Calibri"/>
              <w:sz w:val="22"/>
              <w:szCs w:val="22"/>
              <w:lang w:val="en-US" w:eastAsia="en-US"/>
            </w:rPr>
            <w:tab/>
          </w:r>
          <w:r>
            <w:rPr/>
            <w:t>Transmitter requirements summary</w:t>
            <w:tab/>
          </w:r>
          <w:hyperlink w:anchor="__RefHeading___Toc518035751">
            <w:r>
              <w:rPr>
                <w:rStyle w:val="IndexLink"/>
              </w:rPr>
              <w:t>128</w:t>
            </w:r>
          </w:hyperlink>
        </w:p>
        <w:p>
          <w:pPr>
            <w:pStyle w:val="Contents1"/>
            <w:rPr>
              <w:rFonts w:ascii="Calibri" w:hAnsi="Calibri" w:cs="Calibri"/>
              <w:szCs w:val="22"/>
              <w:lang w:val="en-US" w:eastAsia="en-US"/>
            </w:rPr>
          </w:pPr>
          <w:r>
            <w:rPr/>
            <w:t>H.5</w:t>
          </w:r>
          <w:r>
            <w:rPr>
              <w:rFonts w:cs="Calibri" w:ascii="Calibri" w:hAnsi="Calibri"/>
              <w:szCs w:val="22"/>
              <w:lang w:val="en-US" w:eastAsia="en-US"/>
            </w:rPr>
            <w:tab/>
          </w:r>
          <w:r>
            <w:rPr/>
            <w:t>Receiver requirements</w:t>
            <w:tab/>
          </w:r>
          <w:hyperlink w:anchor="__RefHeading___Toc518035752">
            <w:r>
              <w:rPr>
                <w:rStyle w:val="IndexLink"/>
              </w:rPr>
              <w:t>128</w:t>
            </w:r>
          </w:hyperlink>
        </w:p>
        <w:p>
          <w:pPr>
            <w:pStyle w:val="Contents2"/>
            <w:rPr>
              <w:rFonts w:ascii="Calibri" w:hAnsi="Calibri" w:cs="Calibri"/>
              <w:sz w:val="22"/>
              <w:szCs w:val="22"/>
              <w:lang w:val="en-US" w:eastAsia="en-US"/>
            </w:rPr>
          </w:pPr>
          <w:r>
            <w:rPr/>
            <w:t>H.5.1</w:t>
          </w:r>
          <w:r>
            <w:rPr>
              <w:rFonts w:cs="Calibri" w:ascii="Calibri" w:hAnsi="Calibri"/>
              <w:sz w:val="22"/>
              <w:szCs w:val="22"/>
              <w:lang w:val="en-US" w:eastAsia="en-US"/>
            </w:rPr>
            <w:tab/>
          </w:r>
          <w:r>
            <w:rPr/>
            <w:t>Receiver requirements summary</w:t>
            <w:tab/>
          </w:r>
          <w:hyperlink w:anchor="__RefHeading___Toc518035753">
            <w:r>
              <w:rPr>
                <w:rStyle w:val="IndexLink"/>
              </w:rPr>
              <w:t>129</w:t>
            </w:r>
          </w:hyperlink>
        </w:p>
        <w:p>
          <w:pPr>
            <w:pStyle w:val="Contents1"/>
            <w:rPr>
              <w:rFonts w:ascii="Calibri" w:hAnsi="Calibri" w:cs="Calibri"/>
              <w:szCs w:val="22"/>
              <w:lang w:val="en-US" w:eastAsia="en-US"/>
            </w:rPr>
          </w:pPr>
          <w:r>
            <w:rPr/>
            <w:t>H.6</w:t>
          </w:r>
          <w:r>
            <w:rPr>
              <w:rFonts w:cs="Calibri" w:ascii="Calibri" w:hAnsi="Calibri"/>
              <w:szCs w:val="22"/>
              <w:lang w:val="en-US" w:eastAsia="en-US"/>
            </w:rPr>
            <w:tab/>
          </w:r>
          <w:r>
            <w:rPr/>
            <w:t>Wanted signals levels</w:t>
            <w:tab/>
          </w:r>
          <w:hyperlink w:anchor="__RefHeading___Toc518035754">
            <w:r>
              <w:rPr>
                <w:rStyle w:val="IndexLink"/>
              </w:rPr>
              <w:t>129</w:t>
            </w:r>
          </w:hyperlink>
        </w:p>
        <w:p>
          <w:pPr>
            <w:pStyle w:val="Contents2"/>
            <w:rPr>
              <w:rFonts w:ascii="Calibri" w:hAnsi="Calibri" w:cs="Calibri"/>
              <w:sz w:val="22"/>
              <w:szCs w:val="22"/>
              <w:lang w:val="en-US" w:eastAsia="en-US"/>
            </w:rPr>
          </w:pPr>
          <w:r>
            <w:rPr/>
            <w:t>H.6.1</w:t>
          </w:r>
          <w:r>
            <w:rPr>
              <w:rFonts w:cs="Calibri" w:ascii="Calibri" w:hAnsi="Calibri"/>
              <w:sz w:val="22"/>
              <w:szCs w:val="22"/>
              <w:lang w:val="en-US" w:eastAsia="en-US"/>
            </w:rPr>
            <w:tab/>
          </w:r>
          <w:r>
            <w:rPr/>
            <w:t>Maximum wanted signal level</w:t>
            <w:tab/>
          </w:r>
          <w:hyperlink w:anchor="__RefHeading___Toc518035755">
            <w:r>
              <w:rPr>
                <w:rStyle w:val="IndexLink"/>
              </w:rPr>
              <w:t>130</w:t>
            </w:r>
          </w:hyperlink>
        </w:p>
        <w:p>
          <w:pPr>
            <w:pStyle w:val="Contents2"/>
            <w:rPr>
              <w:rFonts w:ascii="Calibri" w:hAnsi="Calibri" w:cs="Calibri"/>
              <w:sz w:val="22"/>
              <w:szCs w:val="22"/>
              <w:lang w:val="en-US" w:eastAsia="en-US"/>
            </w:rPr>
          </w:pPr>
          <w:r>
            <w:rPr/>
            <w:t>H.6.2</w:t>
          </w:r>
          <w:r>
            <w:rPr>
              <w:rFonts w:cs="Calibri" w:ascii="Calibri" w:hAnsi="Calibri"/>
              <w:sz w:val="22"/>
              <w:szCs w:val="22"/>
              <w:lang w:val="en-US" w:eastAsia="en-US"/>
            </w:rPr>
            <w:tab/>
          </w:r>
          <w:r>
            <w:rPr/>
            <w:t>Dynamic range of wanted signals</w:t>
            <w:tab/>
          </w:r>
          <w:hyperlink w:anchor="__RefHeading___Toc518035756">
            <w:r>
              <w:rPr>
                <w:rStyle w:val="IndexLink"/>
              </w:rPr>
              <w:t>130</w:t>
            </w:r>
          </w:hyperlink>
        </w:p>
        <w:p>
          <w:pPr>
            <w:pStyle w:val="Contents9"/>
            <w:rPr>
              <w:rFonts w:ascii="Calibri" w:hAnsi="Calibri" w:cs="Calibri"/>
              <w:b w:val="false"/>
              <w:b w:val="false"/>
              <w:szCs w:val="22"/>
              <w:lang w:val="en-US" w:eastAsia="en-US"/>
            </w:rPr>
          </w:pPr>
          <w:r>
            <w:rPr/>
            <w:t>Annex I:</w:t>
            <w:tab/>
            <w:t>Void</w:t>
            <w:tab/>
          </w:r>
          <w:hyperlink w:anchor="__RefHeading___Toc518035757">
            <w:r>
              <w:rPr>
                <w:rStyle w:val="IndexLink"/>
              </w:rPr>
              <w:t>131</w:t>
            </w:r>
          </w:hyperlink>
        </w:p>
        <w:p>
          <w:pPr>
            <w:pStyle w:val="Contents9"/>
            <w:rPr>
              <w:rFonts w:ascii="Calibri" w:hAnsi="Calibri" w:cs="Calibri"/>
              <w:b w:val="false"/>
              <w:b w:val="false"/>
              <w:szCs w:val="22"/>
              <w:lang w:val="en-US" w:eastAsia="en-US"/>
            </w:rPr>
          </w:pPr>
          <w:r>
            <w:rPr/>
            <w:t>Annex J:</w:t>
            <w:tab/>
            <w:t>GSM900 Railway System Scenarios</w:t>
            <w:tab/>
          </w:r>
          <w:hyperlink w:anchor="__RefHeading___Toc518035758">
            <w:r>
              <w:rPr>
                <w:rStyle w:val="IndexLink"/>
              </w:rPr>
              <w:t>132</w:t>
            </w:r>
          </w:hyperlink>
        </w:p>
        <w:p>
          <w:pPr>
            <w:pStyle w:val="Contents1"/>
            <w:rPr>
              <w:rFonts w:ascii="Calibri" w:hAnsi="Calibri" w:cs="Calibri"/>
              <w:szCs w:val="22"/>
              <w:lang w:val="en-US" w:eastAsia="en-US"/>
            </w:rPr>
          </w:pPr>
          <w:r>
            <w:rPr/>
            <w:t>J.1</w:t>
          </w:r>
          <w:r>
            <w:rPr>
              <w:rFonts w:cs="Calibri" w:ascii="Calibri" w:hAnsi="Calibri"/>
              <w:szCs w:val="22"/>
              <w:lang w:val="en-US" w:eastAsia="en-US"/>
            </w:rPr>
            <w:tab/>
          </w:r>
          <w:r>
            <w:rPr/>
            <w:t>Introduction</w:t>
            <w:tab/>
          </w:r>
          <w:hyperlink w:anchor="__RefHeading___Toc518035759">
            <w:r>
              <w:rPr>
                <w:rStyle w:val="IndexLink"/>
              </w:rPr>
              <w:t>132</w:t>
            </w:r>
          </w:hyperlink>
        </w:p>
        <w:p>
          <w:pPr>
            <w:pStyle w:val="Contents1"/>
            <w:rPr>
              <w:rFonts w:ascii="Calibri" w:hAnsi="Calibri" w:cs="Calibri"/>
              <w:szCs w:val="22"/>
              <w:lang w:val="en-US" w:eastAsia="en-US"/>
            </w:rPr>
          </w:pPr>
          <w:r>
            <w:rPr/>
            <w:t>J.2</w:t>
          </w:r>
          <w:r>
            <w:rPr>
              <w:rFonts w:cs="Calibri" w:ascii="Calibri" w:hAnsi="Calibri"/>
              <w:szCs w:val="22"/>
              <w:lang w:val="en-US" w:eastAsia="en-US"/>
            </w:rPr>
            <w:tab/>
          </w:r>
          <w:r>
            <w:rPr/>
            <w:t>Basic considerations</w:t>
            <w:tab/>
          </w:r>
          <w:hyperlink w:anchor="__RefHeading___Toc518035760">
            <w:r>
              <w:rPr>
                <w:rStyle w:val="IndexLink"/>
              </w:rPr>
              <w:t>132</w:t>
            </w:r>
          </w:hyperlink>
        </w:p>
        <w:p>
          <w:pPr>
            <w:pStyle w:val="Contents2"/>
            <w:rPr>
              <w:rFonts w:ascii="Calibri" w:hAnsi="Calibri" w:cs="Calibri"/>
              <w:sz w:val="22"/>
              <w:szCs w:val="22"/>
              <w:lang w:val="en-US" w:eastAsia="en-US"/>
            </w:rPr>
          </w:pPr>
          <w:r>
            <w:rPr/>
            <w:t>J.2.1</w:t>
          </w:r>
          <w:r>
            <w:rPr>
              <w:rFonts w:cs="Calibri" w:ascii="Calibri" w:hAnsi="Calibri"/>
              <w:sz w:val="22"/>
              <w:szCs w:val="22"/>
              <w:lang w:val="en-US" w:eastAsia="en-US"/>
            </w:rPr>
            <w:tab/>
          </w:r>
          <w:r>
            <w:rPr/>
            <w:t>Types of equipment and frequency ranges</w:t>
            <w:tab/>
          </w:r>
          <w:hyperlink w:anchor="__RefHeading___Toc518035761">
            <w:r>
              <w:rPr>
                <w:rStyle w:val="IndexLink"/>
              </w:rPr>
              <w:t>132</w:t>
            </w:r>
          </w:hyperlink>
        </w:p>
        <w:p>
          <w:pPr>
            <w:pStyle w:val="Contents1"/>
            <w:rPr>
              <w:rFonts w:ascii="Calibri" w:hAnsi="Calibri" w:cs="Calibri"/>
              <w:szCs w:val="22"/>
              <w:lang w:val="en-US" w:eastAsia="en-US"/>
            </w:rPr>
          </w:pPr>
          <w:r>
            <w:rPr/>
            <w:t>J.3</w:t>
          </w:r>
          <w:r>
            <w:rPr>
              <w:rFonts w:cs="Calibri" w:ascii="Calibri" w:hAnsi="Calibri"/>
              <w:szCs w:val="22"/>
              <w:lang w:val="en-US" w:eastAsia="en-US"/>
            </w:rPr>
            <w:tab/>
          </w:r>
          <w:r>
            <w:rPr/>
            <w:t>Discussion of the individual sections in GSM 05.05</w:t>
            <w:tab/>
          </w:r>
          <w:hyperlink w:anchor="__RefHeading___Toc518035762">
            <w:r>
              <w:rPr>
                <w:rStyle w:val="IndexLink"/>
              </w:rPr>
              <w:t>133</w:t>
            </w:r>
          </w:hyperlink>
        </w:p>
        <w:p>
          <w:pPr>
            <w:pStyle w:val="Contents2"/>
            <w:rPr>
              <w:rFonts w:ascii="Calibri" w:hAnsi="Calibri" w:cs="Calibri"/>
              <w:sz w:val="22"/>
              <w:szCs w:val="22"/>
              <w:lang w:val="en-US" w:eastAsia="en-US"/>
            </w:rPr>
          </w:pPr>
          <w:r>
            <w:rPr/>
            <w:t>J.3.1</w:t>
          </w:r>
          <w:r>
            <w:rPr>
              <w:rFonts w:cs="Calibri" w:ascii="Calibri" w:hAnsi="Calibri"/>
              <w:sz w:val="22"/>
              <w:szCs w:val="22"/>
              <w:lang w:val="en-US" w:eastAsia="en-US"/>
            </w:rPr>
            <w:tab/>
          </w:r>
          <w:r>
            <w:rPr/>
            <w:t>Scope</w:t>
            <w:tab/>
          </w:r>
          <w:hyperlink w:anchor="__RefHeading___Toc518035763">
            <w:r>
              <w:rPr>
                <w:rStyle w:val="IndexLink"/>
              </w:rPr>
              <w:t>133</w:t>
            </w:r>
          </w:hyperlink>
        </w:p>
        <w:p>
          <w:pPr>
            <w:pStyle w:val="Contents2"/>
            <w:rPr>
              <w:rFonts w:ascii="Calibri" w:hAnsi="Calibri" w:cs="Calibri"/>
              <w:sz w:val="22"/>
              <w:szCs w:val="22"/>
              <w:lang w:val="en-US" w:eastAsia="en-US"/>
            </w:rPr>
          </w:pPr>
          <w:r>
            <w:rPr/>
            <w:t>J.3.2</w:t>
          </w:r>
          <w:r>
            <w:rPr>
              <w:rFonts w:cs="Calibri" w:ascii="Calibri" w:hAnsi="Calibri"/>
              <w:sz w:val="22"/>
              <w:szCs w:val="22"/>
              <w:lang w:val="en-US" w:eastAsia="en-US"/>
            </w:rPr>
            <w:tab/>
          </w:r>
          <w:r>
            <w:rPr/>
            <w:t>Frequency bands and channel arrangement</w:t>
            <w:tab/>
          </w:r>
          <w:hyperlink w:anchor="__RefHeading___Toc518035764">
            <w:r>
              <w:rPr>
                <w:rStyle w:val="IndexLink"/>
              </w:rPr>
              <w:t>133</w:t>
            </w:r>
          </w:hyperlink>
        </w:p>
        <w:p>
          <w:pPr>
            <w:pStyle w:val="Contents2"/>
            <w:rPr>
              <w:rFonts w:ascii="Calibri" w:hAnsi="Calibri" w:cs="Calibri"/>
              <w:sz w:val="22"/>
              <w:szCs w:val="22"/>
              <w:lang w:val="en-US" w:eastAsia="en-US"/>
            </w:rPr>
          </w:pPr>
          <w:r>
            <w:rPr/>
            <w:t>J.3.3</w:t>
          </w:r>
          <w:r>
            <w:rPr>
              <w:rFonts w:cs="Calibri" w:ascii="Calibri" w:hAnsi="Calibri"/>
              <w:sz w:val="22"/>
              <w:szCs w:val="22"/>
              <w:lang w:val="en-US" w:eastAsia="en-US"/>
            </w:rPr>
            <w:tab/>
          </w:r>
          <w:r>
            <w:rPr/>
            <w:t>Reference configuration</w:t>
            <w:tab/>
          </w:r>
          <w:hyperlink w:anchor="__RefHeading___Toc518035765">
            <w:r>
              <w:rPr>
                <w:rStyle w:val="IndexLink"/>
              </w:rPr>
              <w:t>134</w:t>
            </w:r>
          </w:hyperlink>
        </w:p>
        <w:p>
          <w:pPr>
            <w:pStyle w:val="Contents2"/>
            <w:rPr>
              <w:rFonts w:ascii="Calibri" w:hAnsi="Calibri" w:cs="Calibri"/>
              <w:sz w:val="22"/>
              <w:szCs w:val="22"/>
              <w:lang w:val="en-US" w:eastAsia="en-US"/>
            </w:rPr>
          </w:pPr>
          <w:r>
            <w:rPr/>
            <w:t>J.3.4</w:t>
          </w:r>
          <w:r>
            <w:rPr>
              <w:rFonts w:cs="Calibri" w:ascii="Calibri" w:hAnsi="Calibri"/>
              <w:sz w:val="22"/>
              <w:szCs w:val="22"/>
              <w:lang w:val="en-US" w:eastAsia="en-US"/>
            </w:rPr>
            <w:tab/>
          </w:r>
          <w:r>
            <w:rPr/>
            <w:t>Transmitter characteristics</w:t>
            <w:tab/>
          </w:r>
          <w:hyperlink w:anchor="__RefHeading___Toc518035766">
            <w:r>
              <w:rPr>
                <w:rStyle w:val="IndexLink"/>
              </w:rPr>
              <w:t>134</w:t>
            </w:r>
          </w:hyperlink>
        </w:p>
        <w:p>
          <w:pPr>
            <w:pStyle w:val="Contents3"/>
            <w:rPr>
              <w:rFonts w:ascii="Calibri" w:hAnsi="Calibri" w:cs="Calibri"/>
              <w:sz w:val="22"/>
              <w:szCs w:val="22"/>
              <w:lang w:val="en-US" w:eastAsia="en-US"/>
            </w:rPr>
          </w:pPr>
          <w:r>
            <w:rPr/>
            <w:t>J.3.4.1</w:t>
          </w:r>
          <w:r>
            <w:rPr>
              <w:rFonts w:cs="Calibri" w:ascii="Calibri" w:hAnsi="Calibri"/>
              <w:sz w:val="22"/>
              <w:szCs w:val="22"/>
              <w:lang w:val="en-US" w:eastAsia="en-US"/>
            </w:rPr>
            <w:tab/>
          </w:r>
          <w:r>
            <w:rPr/>
            <w:t>Output power</w:t>
            <w:tab/>
          </w:r>
          <w:hyperlink w:anchor="__RefHeading___Toc518035767">
            <w:r>
              <w:rPr>
                <w:rStyle w:val="IndexLink"/>
              </w:rPr>
              <w:t>134</w:t>
            </w:r>
          </w:hyperlink>
        </w:p>
        <w:p>
          <w:pPr>
            <w:pStyle w:val="Contents3"/>
            <w:rPr>
              <w:rFonts w:ascii="Calibri" w:hAnsi="Calibri" w:cs="Calibri"/>
              <w:sz w:val="22"/>
              <w:szCs w:val="22"/>
              <w:lang w:val="en-US" w:eastAsia="en-US"/>
            </w:rPr>
          </w:pPr>
          <w:r>
            <w:rPr/>
            <w:t>J.3.4.2</w:t>
          </w:r>
          <w:r>
            <w:rPr>
              <w:rFonts w:cs="Calibri" w:ascii="Calibri" w:hAnsi="Calibri"/>
              <w:sz w:val="22"/>
              <w:szCs w:val="22"/>
              <w:lang w:val="en-US" w:eastAsia="en-US"/>
            </w:rPr>
            <w:tab/>
          </w:r>
          <w:r>
            <w:rPr/>
            <w:t>Void</w:t>
            <w:tab/>
          </w:r>
          <w:hyperlink w:anchor="__RefHeading___Toc518035768">
            <w:r>
              <w:rPr>
                <w:rStyle w:val="IndexLink"/>
              </w:rPr>
              <w:t>134</w:t>
            </w:r>
          </w:hyperlink>
        </w:p>
        <w:p>
          <w:pPr>
            <w:pStyle w:val="Contents4"/>
            <w:rPr>
              <w:rFonts w:ascii="Calibri" w:hAnsi="Calibri" w:cs="Calibri"/>
              <w:sz w:val="22"/>
              <w:szCs w:val="22"/>
              <w:lang w:val="en-US" w:eastAsia="en-US"/>
            </w:rPr>
          </w:pPr>
          <w:r>
            <w:rPr/>
            <w:t>J.3.4.2.1</w:t>
          </w:r>
          <w:r>
            <w:rPr>
              <w:rFonts w:cs="Calibri" w:ascii="Calibri" w:hAnsi="Calibri"/>
              <w:sz w:val="22"/>
              <w:szCs w:val="22"/>
              <w:lang w:val="en-US" w:eastAsia="en-US"/>
            </w:rPr>
            <w:tab/>
          </w:r>
          <w:r>
            <w:rPr/>
            <w:t>Spectrum due to the modulation and wide band noise</w:t>
            <w:tab/>
          </w:r>
          <w:hyperlink w:anchor="__RefHeading___Toc518035769">
            <w:r>
              <w:rPr>
                <w:rStyle w:val="IndexLink"/>
              </w:rPr>
              <w:t>134</w:t>
            </w:r>
          </w:hyperlink>
        </w:p>
        <w:p>
          <w:pPr>
            <w:pStyle w:val="Contents4"/>
            <w:rPr>
              <w:rFonts w:ascii="Calibri" w:hAnsi="Calibri" w:cs="Calibri"/>
              <w:sz w:val="22"/>
              <w:szCs w:val="22"/>
              <w:lang w:val="en-US" w:eastAsia="en-US"/>
            </w:rPr>
          </w:pPr>
          <w:r>
            <w:rPr/>
            <w:t>J.3.4.2.2a</w:t>
          </w:r>
          <w:r>
            <w:rPr>
              <w:rFonts w:cs="Calibri" w:ascii="Calibri" w:hAnsi="Calibri"/>
              <w:sz w:val="22"/>
              <w:szCs w:val="22"/>
              <w:lang w:val="en-US" w:eastAsia="en-US"/>
            </w:rPr>
            <w:tab/>
          </w:r>
          <w:r>
            <w:rPr/>
            <w:t>MS spectrum due to switching transients</w:t>
            <w:tab/>
          </w:r>
          <w:hyperlink w:anchor="__RefHeading___Toc518035770">
            <w:r>
              <w:rPr>
                <w:rStyle w:val="IndexLink"/>
              </w:rPr>
              <w:t>134</w:t>
            </w:r>
          </w:hyperlink>
        </w:p>
        <w:p>
          <w:pPr>
            <w:pStyle w:val="Contents4"/>
            <w:rPr>
              <w:rFonts w:ascii="Calibri" w:hAnsi="Calibri" w:cs="Calibri"/>
              <w:sz w:val="22"/>
              <w:szCs w:val="22"/>
              <w:lang w:val="en-US" w:eastAsia="en-US"/>
            </w:rPr>
          </w:pPr>
          <w:r>
            <w:rPr/>
            <w:t>J.3.4.2.2b</w:t>
          </w:r>
          <w:r>
            <w:rPr>
              <w:rFonts w:cs="Calibri" w:ascii="Calibri" w:hAnsi="Calibri"/>
              <w:sz w:val="22"/>
              <w:szCs w:val="22"/>
              <w:lang w:val="en-US" w:eastAsia="en-US"/>
            </w:rPr>
            <w:tab/>
          </w:r>
          <w:r>
            <w:rPr/>
            <w:t>BTS spectrum due to switching transients</w:t>
            <w:tab/>
          </w:r>
          <w:hyperlink w:anchor="__RefHeading___Toc518035771">
            <w:r>
              <w:rPr>
                <w:rStyle w:val="IndexLink"/>
              </w:rPr>
              <w:t>135</w:t>
            </w:r>
          </w:hyperlink>
        </w:p>
        <w:p>
          <w:pPr>
            <w:pStyle w:val="Contents4"/>
            <w:rPr>
              <w:rFonts w:ascii="Calibri" w:hAnsi="Calibri" w:cs="Calibri"/>
              <w:sz w:val="22"/>
              <w:szCs w:val="22"/>
              <w:lang w:val="en-US" w:eastAsia="en-US"/>
            </w:rPr>
          </w:pPr>
          <w:r>
            <w:rPr/>
            <w:t>J.3.4.3.1</w:t>
          </w:r>
          <w:r>
            <w:rPr>
              <w:rFonts w:cs="Calibri" w:ascii="Calibri" w:hAnsi="Calibri"/>
              <w:sz w:val="22"/>
              <w:szCs w:val="22"/>
              <w:lang w:val="en-US" w:eastAsia="en-US"/>
            </w:rPr>
            <w:tab/>
          </w:r>
          <w:r>
            <w:rPr/>
            <w:t>Spurious emissions</w:t>
            <w:tab/>
          </w:r>
          <w:hyperlink w:anchor="__RefHeading___Toc518035772">
            <w:r>
              <w:rPr>
                <w:rStyle w:val="IndexLink"/>
              </w:rPr>
              <w:t>135</w:t>
            </w:r>
          </w:hyperlink>
        </w:p>
        <w:p>
          <w:pPr>
            <w:pStyle w:val="Contents4"/>
            <w:rPr>
              <w:rFonts w:ascii="Calibri" w:hAnsi="Calibri" w:cs="Calibri"/>
              <w:sz w:val="22"/>
              <w:szCs w:val="22"/>
              <w:lang w:val="en-US" w:eastAsia="en-US"/>
            </w:rPr>
          </w:pPr>
          <w:r>
            <w:rPr/>
            <w:t>J.3.4.3.2</w:t>
          </w:r>
          <w:r>
            <w:rPr>
              <w:rFonts w:cs="Calibri" w:ascii="Calibri" w:hAnsi="Calibri"/>
              <w:sz w:val="22"/>
              <w:szCs w:val="22"/>
              <w:lang w:val="en-US" w:eastAsia="en-US"/>
            </w:rPr>
            <w:tab/>
          </w:r>
          <w:r>
            <w:rPr/>
            <w:t>BTS spurious emissions</w:t>
            <w:tab/>
          </w:r>
          <w:hyperlink w:anchor="__RefHeading___Toc518035773">
            <w:r>
              <w:rPr>
                <w:rStyle w:val="IndexLink"/>
              </w:rPr>
              <w:t>136</w:t>
            </w:r>
          </w:hyperlink>
        </w:p>
        <w:p>
          <w:pPr>
            <w:pStyle w:val="Contents4"/>
            <w:rPr>
              <w:rFonts w:ascii="Calibri" w:hAnsi="Calibri" w:cs="Calibri"/>
              <w:sz w:val="22"/>
              <w:szCs w:val="22"/>
              <w:lang w:val="en-US" w:eastAsia="en-US"/>
            </w:rPr>
          </w:pPr>
          <w:r>
            <w:rPr/>
            <w:t>J.3.4.3.3</w:t>
          </w:r>
          <w:r>
            <w:rPr>
              <w:rFonts w:cs="Calibri" w:ascii="Calibri" w:hAnsi="Calibri"/>
              <w:sz w:val="22"/>
              <w:szCs w:val="22"/>
              <w:lang w:val="en-US" w:eastAsia="en-US"/>
            </w:rPr>
            <w:tab/>
          </w:r>
          <w:r>
            <w:rPr/>
            <w:t>MS spurious emissions</w:t>
            <w:tab/>
          </w:r>
          <w:hyperlink w:anchor="__RefHeading___Toc518035774">
            <w:r>
              <w:rPr>
                <w:rStyle w:val="IndexLink"/>
              </w:rPr>
              <w:t>136</w:t>
            </w:r>
          </w:hyperlink>
        </w:p>
        <w:p>
          <w:pPr>
            <w:pStyle w:val="Contents4"/>
            <w:rPr>
              <w:rFonts w:ascii="Calibri" w:hAnsi="Calibri" w:cs="Calibri"/>
              <w:sz w:val="22"/>
              <w:szCs w:val="22"/>
              <w:lang w:val="en-US" w:eastAsia="en-US"/>
            </w:rPr>
          </w:pPr>
          <w:r>
            <w:rPr/>
            <w:t>J.3.4.3.4</w:t>
          </w:r>
          <w:r>
            <w:rPr>
              <w:rFonts w:cs="Calibri" w:ascii="Calibri" w:hAnsi="Calibri"/>
              <w:sz w:val="22"/>
              <w:szCs w:val="22"/>
              <w:lang w:val="en-US" w:eastAsia="en-US"/>
            </w:rPr>
            <w:tab/>
          </w:r>
          <w:r>
            <w:rPr/>
            <w:t>MS spurious emissions onto downlinks</w:t>
            <w:tab/>
          </w:r>
          <w:hyperlink w:anchor="__RefHeading___Toc518035775">
            <w:r>
              <w:rPr>
                <w:rStyle w:val="IndexLink"/>
              </w:rPr>
              <w:t>137</w:t>
            </w:r>
          </w:hyperlink>
        </w:p>
        <w:p>
          <w:pPr>
            <w:pStyle w:val="Contents3"/>
            <w:rPr>
              <w:rFonts w:ascii="Calibri" w:hAnsi="Calibri" w:cs="Calibri"/>
              <w:sz w:val="22"/>
              <w:szCs w:val="22"/>
              <w:lang w:val="en-US" w:eastAsia="en-US"/>
            </w:rPr>
          </w:pPr>
          <w:r>
            <w:rPr/>
            <w:t>J.3.4.4</w:t>
          </w:r>
          <w:r>
            <w:rPr>
              <w:rFonts w:cs="Calibri" w:ascii="Calibri" w:hAnsi="Calibri"/>
              <w:sz w:val="22"/>
              <w:szCs w:val="22"/>
              <w:lang w:val="en-US" w:eastAsia="en-US"/>
            </w:rPr>
            <w:tab/>
          </w:r>
          <w:r>
            <w:rPr/>
            <w:t>Radio frequency tolerance</w:t>
            <w:tab/>
          </w:r>
          <w:hyperlink w:anchor="__RefHeading___Toc518035776">
            <w:r>
              <w:rPr>
                <w:rStyle w:val="IndexLink"/>
              </w:rPr>
              <w:t>138</w:t>
            </w:r>
          </w:hyperlink>
        </w:p>
        <w:p>
          <w:pPr>
            <w:pStyle w:val="Contents3"/>
            <w:rPr>
              <w:rFonts w:ascii="Calibri" w:hAnsi="Calibri" w:cs="Calibri"/>
              <w:sz w:val="22"/>
              <w:szCs w:val="22"/>
              <w:lang w:val="en-US" w:eastAsia="en-US"/>
            </w:rPr>
          </w:pPr>
          <w:r>
            <w:rPr/>
            <w:t>J.3.4.5</w:t>
          </w:r>
          <w:r>
            <w:rPr>
              <w:rFonts w:cs="Calibri" w:ascii="Calibri" w:hAnsi="Calibri"/>
              <w:sz w:val="22"/>
              <w:szCs w:val="22"/>
              <w:lang w:val="en-US" w:eastAsia="en-US"/>
            </w:rPr>
            <w:tab/>
          </w:r>
          <w:r>
            <w:rPr/>
            <w:t>Output level dynamic operation</w:t>
            <w:tab/>
          </w:r>
          <w:hyperlink w:anchor="__RefHeading___Toc518035777">
            <w:r>
              <w:rPr>
                <w:rStyle w:val="IndexLink"/>
              </w:rPr>
              <w:t>138</w:t>
            </w:r>
          </w:hyperlink>
        </w:p>
        <w:p>
          <w:pPr>
            <w:pStyle w:val="Contents4"/>
            <w:rPr>
              <w:rFonts w:ascii="Calibri" w:hAnsi="Calibri" w:cs="Calibri"/>
              <w:sz w:val="22"/>
              <w:szCs w:val="22"/>
              <w:lang w:val="en-US" w:eastAsia="en-US"/>
            </w:rPr>
          </w:pPr>
          <w:r>
            <w:rPr/>
            <w:t>J.3.4.5.1</w:t>
          </w:r>
          <w:r>
            <w:rPr>
              <w:rFonts w:cs="Calibri" w:ascii="Calibri" w:hAnsi="Calibri"/>
              <w:sz w:val="22"/>
              <w:szCs w:val="22"/>
              <w:lang w:val="en-US" w:eastAsia="en-US"/>
            </w:rPr>
            <w:tab/>
          </w:r>
          <w:r>
            <w:rPr/>
            <w:t>BTS output level dynamic operation</w:t>
            <w:tab/>
          </w:r>
          <w:hyperlink w:anchor="__RefHeading___Toc518035778">
            <w:r>
              <w:rPr>
                <w:rStyle w:val="IndexLink"/>
              </w:rPr>
              <w:t>138</w:t>
            </w:r>
          </w:hyperlink>
        </w:p>
        <w:p>
          <w:pPr>
            <w:pStyle w:val="Contents4"/>
            <w:rPr>
              <w:rFonts w:ascii="Calibri" w:hAnsi="Calibri" w:cs="Calibri"/>
              <w:sz w:val="22"/>
              <w:szCs w:val="22"/>
              <w:lang w:val="en-US" w:eastAsia="en-US"/>
            </w:rPr>
          </w:pPr>
          <w:r>
            <w:rPr/>
            <w:t>J.3.4.5.2</w:t>
          </w:r>
          <w:r>
            <w:rPr>
              <w:rFonts w:cs="Calibri" w:ascii="Calibri" w:hAnsi="Calibri"/>
              <w:sz w:val="22"/>
              <w:szCs w:val="22"/>
              <w:lang w:val="en-US" w:eastAsia="en-US"/>
            </w:rPr>
            <w:tab/>
          </w:r>
          <w:r>
            <w:rPr/>
            <w:t>MS output level dynamic operation</w:t>
            <w:tab/>
          </w:r>
          <w:hyperlink w:anchor="__RefHeading___Toc518035779">
            <w:r>
              <w:rPr>
                <w:rStyle w:val="IndexLink"/>
              </w:rPr>
              <w:t>139</w:t>
            </w:r>
          </w:hyperlink>
        </w:p>
        <w:p>
          <w:pPr>
            <w:pStyle w:val="Contents3"/>
            <w:rPr>
              <w:rFonts w:ascii="Calibri" w:hAnsi="Calibri" w:cs="Calibri"/>
              <w:sz w:val="22"/>
              <w:szCs w:val="22"/>
              <w:lang w:val="en-US" w:eastAsia="en-US"/>
            </w:rPr>
          </w:pPr>
          <w:r>
            <w:rPr/>
            <w:t>J.3.4.6</w:t>
          </w:r>
          <w:r>
            <w:rPr>
              <w:rFonts w:cs="Calibri" w:ascii="Calibri" w:hAnsi="Calibri"/>
              <w:sz w:val="22"/>
              <w:szCs w:val="22"/>
              <w:lang w:val="en-US" w:eastAsia="en-US"/>
            </w:rPr>
            <w:tab/>
          </w:r>
          <w:r>
            <w:rPr/>
            <w:t>Phase accuracy</w:t>
            <w:tab/>
          </w:r>
          <w:hyperlink w:anchor="__RefHeading___Toc518035780">
            <w:r>
              <w:rPr>
                <w:rStyle w:val="IndexLink"/>
              </w:rPr>
              <w:t>139</w:t>
            </w:r>
          </w:hyperlink>
        </w:p>
        <w:p>
          <w:pPr>
            <w:pStyle w:val="Contents4"/>
            <w:rPr>
              <w:rFonts w:ascii="Calibri" w:hAnsi="Calibri" w:cs="Calibri"/>
              <w:sz w:val="22"/>
              <w:szCs w:val="22"/>
              <w:lang w:val="en-US" w:eastAsia="en-US"/>
            </w:rPr>
          </w:pPr>
          <w:r>
            <w:rPr/>
            <w:t>J.3.4.7.1</w:t>
          </w:r>
          <w:r>
            <w:rPr>
              <w:rFonts w:cs="Calibri" w:ascii="Calibri" w:hAnsi="Calibri"/>
              <w:sz w:val="22"/>
              <w:szCs w:val="22"/>
              <w:lang w:val="en-US" w:eastAsia="en-US"/>
            </w:rPr>
            <w:tab/>
          </w:r>
          <w:r>
            <w:rPr/>
            <w:t>Intra BTS intermod attenuation</w:t>
            <w:tab/>
          </w:r>
          <w:hyperlink w:anchor="__RefHeading___Toc518035781">
            <w:r>
              <w:rPr>
                <w:rStyle w:val="IndexLink"/>
              </w:rPr>
              <w:t>139</w:t>
            </w:r>
          </w:hyperlink>
        </w:p>
        <w:p>
          <w:pPr>
            <w:pStyle w:val="Contents4"/>
            <w:rPr>
              <w:rFonts w:ascii="Calibri" w:hAnsi="Calibri" w:cs="Calibri"/>
              <w:sz w:val="22"/>
              <w:szCs w:val="22"/>
              <w:lang w:val="en-US" w:eastAsia="en-US"/>
            </w:rPr>
          </w:pPr>
          <w:r>
            <w:rPr/>
            <w:t>J.3.4.7.2</w:t>
          </w:r>
          <w:r>
            <w:rPr>
              <w:rFonts w:cs="Calibri" w:ascii="Calibri" w:hAnsi="Calibri"/>
              <w:sz w:val="22"/>
              <w:szCs w:val="22"/>
              <w:lang w:val="en-US" w:eastAsia="en-US"/>
            </w:rPr>
            <w:tab/>
          </w:r>
          <w:r>
            <w:rPr/>
            <w:t>Intermodulation between MS (DCS1800 only)</w:t>
            <w:tab/>
          </w:r>
          <w:hyperlink w:anchor="__RefHeading___Toc518035782">
            <w:r>
              <w:rPr>
                <w:rStyle w:val="IndexLink"/>
              </w:rPr>
              <w:t>139</w:t>
            </w:r>
          </w:hyperlink>
        </w:p>
        <w:p>
          <w:pPr>
            <w:pStyle w:val="Contents4"/>
            <w:rPr>
              <w:rFonts w:ascii="Calibri" w:hAnsi="Calibri" w:cs="Calibri"/>
              <w:sz w:val="22"/>
              <w:szCs w:val="22"/>
              <w:lang w:val="en-US" w:eastAsia="en-US"/>
            </w:rPr>
          </w:pPr>
          <w:r>
            <w:rPr/>
            <w:t>J.3.4.7.3</w:t>
          </w:r>
          <w:r>
            <w:rPr>
              <w:rFonts w:cs="Calibri" w:ascii="Calibri" w:hAnsi="Calibri"/>
              <w:sz w:val="22"/>
              <w:szCs w:val="22"/>
              <w:lang w:val="en-US" w:eastAsia="en-US"/>
            </w:rPr>
            <w:tab/>
          </w:r>
          <w:r>
            <w:rPr/>
            <w:t>Mobile PBX</w:t>
            <w:tab/>
          </w:r>
          <w:hyperlink w:anchor="__RefHeading___Toc518035783">
            <w:r>
              <w:rPr>
                <w:rStyle w:val="IndexLink"/>
              </w:rPr>
              <w:t>139</w:t>
            </w:r>
          </w:hyperlink>
        </w:p>
        <w:p>
          <w:pPr>
            <w:pStyle w:val="Contents2"/>
            <w:rPr>
              <w:rFonts w:ascii="Calibri" w:hAnsi="Calibri" w:cs="Calibri"/>
              <w:sz w:val="22"/>
              <w:szCs w:val="22"/>
              <w:lang w:val="en-US" w:eastAsia="en-US"/>
            </w:rPr>
          </w:pPr>
          <w:r>
            <w:rPr/>
            <w:t>J.3.5</w:t>
          </w:r>
          <w:r>
            <w:rPr>
              <w:rFonts w:cs="Calibri" w:ascii="Calibri" w:hAnsi="Calibri"/>
              <w:sz w:val="22"/>
              <w:szCs w:val="22"/>
              <w:lang w:val="en-US" w:eastAsia="en-US"/>
            </w:rPr>
            <w:tab/>
          </w:r>
          <w:r>
            <w:rPr/>
            <w:t>Receiver characteristics</w:t>
            <w:tab/>
          </w:r>
          <w:hyperlink w:anchor="__RefHeading___Toc518035784">
            <w:r>
              <w:rPr>
                <w:rStyle w:val="IndexLink"/>
              </w:rPr>
              <w:t>140</w:t>
            </w:r>
          </w:hyperlink>
        </w:p>
        <w:p>
          <w:pPr>
            <w:pStyle w:val="Contents3"/>
            <w:rPr>
              <w:rFonts w:ascii="Calibri" w:hAnsi="Calibri" w:cs="Calibri"/>
              <w:sz w:val="22"/>
              <w:szCs w:val="22"/>
              <w:lang w:val="en-US" w:eastAsia="en-US"/>
            </w:rPr>
          </w:pPr>
          <w:r>
            <w:rPr/>
            <w:t>J.3.5.1</w:t>
          </w:r>
          <w:r>
            <w:rPr>
              <w:rFonts w:cs="Calibri" w:ascii="Calibri" w:hAnsi="Calibri"/>
              <w:sz w:val="22"/>
              <w:szCs w:val="22"/>
              <w:lang w:val="en-US" w:eastAsia="en-US"/>
            </w:rPr>
            <w:tab/>
          </w:r>
          <w:r>
            <w:rPr/>
            <w:t>Blocking characteristics</w:t>
            <w:tab/>
          </w:r>
          <w:hyperlink w:anchor="__RefHeading___Toc518035785">
            <w:r>
              <w:rPr>
                <w:rStyle w:val="IndexLink"/>
              </w:rPr>
              <w:t>140</w:t>
            </w:r>
          </w:hyperlink>
        </w:p>
        <w:p>
          <w:pPr>
            <w:pStyle w:val="Contents3"/>
            <w:rPr>
              <w:rFonts w:ascii="Calibri" w:hAnsi="Calibri" w:cs="Calibri"/>
              <w:sz w:val="22"/>
              <w:szCs w:val="22"/>
              <w:lang w:val="en-US" w:eastAsia="en-US"/>
            </w:rPr>
          </w:pPr>
          <w:r>
            <w:rPr/>
            <w:t>J.3.5.2</w:t>
          </w:r>
          <w:r>
            <w:rPr>
              <w:rFonts w:cs="Calibri" w:ascii="Calibri" w:hAnsi="Calibri"/>
              <w:sz w:val="22"/>
              <w:szCs w:val="22"/>
              <w:lang w:val="en-US" w:eastAsia="en-US"/>
            </w:rPr>
            <w:tab/>
          </w:r>
          <w:r>
            <w:rPr/>
            <w:t>Blocking characteristics (in</w:t>
            <w:noBreakHyphen/>
            <w:t>band)</w:t>
            <w:tab/>
          </w:r>
          <w:hyperlink w:anchor="__RefHeading___Toc518035786">
            <w:r>
              <w:rPr>
                <w:rStyle w:val="IndexLink"/>
              </w:rPr>
              <w:t>140</w:t>
            </w:r>
          </w:hyperlink>
        </w:p>
        <w:p>
          <w:pPr>
            <w:pStyle w:val="Contents3"/>
            <w:rPr>
              <w:rFonts w:ascii="Calibri" w:hAnsi="Calibri" w:cs="Calibri"/>
              <w:sz w:val="22"/>
              <w:szCs w:val="22"/>
              <w:lang w:val="en-US" w:eastAsia="en-US"/>
            </w:rPr>
          </w:pPr>
          <w:r>
            <w:rPr/>
            <w:t>J.3.5.3</w:t>
          </w:r>
          <w:r>
            <w:rPr>
              <w:rFonts w:cs="Calibri" w:ascii="Calibri" w:hAnsi="Calibri"/>
              <w:sz w:val="22"/>
              <w:szCs w:val="22"/>
              <w:lang w:val="en-US" w:eastAsia="en-US"/>
            </w:rPr>
            <w:tab/>
          </w:r>
          <w:r>
            <w:rPr/>
            <w:t>Blocking characteristics (out</w:t>
            <w:noBreakHyphen/>
            <w:t>of</w:t>
            <w:noBreakHyphen/>
            <w:t>band)</w:t>
            <w:tab/>
          </w:r>
          <w:hyperlink w:anchor="__RefHeading___Toc518035787">
            <w:r>
              <w:rPr>
                <w:rStyle w:val="IndexLink"/>
              </w:rPr>
              <w:t>141</w:t>
            </w:r>
          </w:hyperlink>
        </w:p>
        <w:p>
          <w:pPr>
            <w:pStyle w:val="Contents3"/>
            <w:rPr>
              <w:rFonts w:ascii="Calibri" w:hAnsi="Calibri" w:cs="Calibri"/>
              <w:sz w:val="22"/>
              <w:szCs w:val="22"/>
              <w:lang w:val="en-US" w:eastAsia="en-US"/>
            </w:rPr>
          </w:pPr>
          <w:r>
            <w:rPr/>
            <w:t>J.3.5.4</w:t>
          </w:r>
          <w:r>
            <w:rPr>
              <w:rFonts w:cs="Calibri" w:ascii="Calibri" w:hAnsi="Calibri"/>
              <w:sz w:val="22"/>
              <w:szCs w:val="22"/>
              <w:lang w:val="en-US" w:eastAsia="en-US"/>
            </w:rPr>
            <w:tab/>
          </w:r>
          <w:r>
            <w:rPr/>
            <w:t>AM suppresion characteristics</w:t>
            <w:tab/>
          </w:r>
          <w:hyperlink w:anchor="__RefHeading___Toc518035788">
            <w:r>
              <w:rPr>
                <w:rStyle w:val="IndexLink"/>
              </w:rPr>
              <w:t>141</w:t>
            </w:r>
          </w:hyperlink>
        </w:p>
        <w:p>
          <w:pPr>
            <w:pStyle w:val="Contents3"/>
            <w:rPr>
              <w:rFonts w:ascii="Calibri" w:hAnsi="Calibri" w:cs="Calibri"/>
              <w:sz w:val="22"/>
              <w:szCs w:val="22"/>
              <w:lang w:val="en-US" w:eastAsia="en-US"/>
            </w:rPr>
          </w:pPr>
          <w:r>
            <w:rPr/>
            <w:t>J.3.5.5</w:t>
          </w:r>
          <w:r>
            <w:rPr>
              <w:rFonts w:cs="Calibri" w:ascii="Calibri" w:hAnsi="Calibri"/>
              <w:sz w:val="22"/>
              <w:szCs w:val="22"/>
              <w:lang w:val="en-US" w:eastAsia="en-US"/>
            </w:rPr>
            <w:tab/>
          </w:r>
          <w:r>
            <w:rPr/>
            <w:t>Intermodulation characteristics</w:t>
            <w:tab/>
          </w:r>
          <w:hyperlink w:anchor="__RefHeading___Toc518035789">
            <w:r>
              <w:rPr>
                <w:rStyle w:val="IndexLink"/>
              </w:rPr>
              <w:t>141</w:t>
            </w:r>
          </w:hyperlink>
        </w:p>
        <w:p>
          <w:pPr>
            <w:pStyle w:val="Contents3"/>
            <w:rPr>
              <w:rFonts w:ascii="Calibri" w:hAnsi="Calibri" w:cs="Calibri"/>
              <w:sz w:val="22"/>
              <w:szCs w:val="22"/>
              <w:lang w:val="en-US" w:eastAsia="en-US"/>
            </w:rPr>
          </w:pPr>
          <w:r>
            <w:rPr/>
            <w:t>J.3.5.6</w:t>
          </w:r>
          <w:r>
            <w:rPr>
              <w:rFonts w:cs="Calibri" w:ascii="Calibri" w:hAnsi="Calibri"/>
              <w:sz w:val="22"/>
              <w:szCs w:val="22"/>
              <w:lang w:val="en-US" w:eastAsia="en-US"/>
            </w:rPr>
            <w:tab/>
          </w:r>
          <w:r>
            <w:rPr/>
            <w:t>Spurious emissions</w:t>
            <w:tab/>
          </w:r>
          <w:hyperlink w:anchor="__RefHeading___Toc518035790">
            <w:r>
              <w:rPr>
                <w:rStyle w:val="IndexLink"/>
              </w:rPr>
              <w:t>141</w:t>
            </w:r>
          </w:hyperlink>
        </w:p>
        <w:p>
          <w:pPr>
            <w:pStyle w:val="Contents2"/>
            <w:rPr>
              <w:rFonts w:ascii="Calibri" w:hAnsi="Calibri" w:cs="Calibri"/>
              <w:sz w:val="22"/>
              <w:szCs w:val="22"/>
              <w:lang w:val="en-US" w:eastAsia="en-US"/>
            </w:rPr>
          </w:pPr>
          <w:r>
            <w:rPr/>
            <w:t>J.3.6</w:t>
          </w:r>
          <w:r>
            <w:rPr>
              <w:rFonts w:cs="Calibri" w:ascii="Calibri" w:hAnsi="Calibri"/>
              <w:sz w:val="22"/>
              <w:szCs w:val="22"/>
              <w:lang w:val="en-US" w:eastAsia="en-US"/>
            </w:rPr>
            <w:tab/>
          </w:r>
          <w:r>
            <w:rPr/>
            <w:t>Transmitter/receiver performance</w:t>
            <w:tab/>
          </w:r>
          <w:hyperlink w:anchor="__RefHeading___Toc518035791">
            <w:r>
              <w:rPr>
                <w:rStyle w:val="IndexLink"/>
              </w:rPr>
              <w:t>141</w:t>
            </w:r>
          </w:hyperlink>
        </w:p>
        <w:p>
          <w:pPr>
            <w:pStyle w:val="Contents3"/>
            <w:rPr>
              <w:rFonts w:ascii="Calibri" w:hAnsi="Calibri" w:cs="Calibri"/>
              <w:sz w:val="22"/>
              <w:szCs w:val="22"/>
              <w:lang w:val="en-US" w:eastAsia="en-US"/>
            </w:rPr>
          </w:pPr>
          <w:r>
            <w:rPr/>
            <w:t>J.3.6.1</w:t>
          </w:r>
          <w:r>
            <w:rPr>
              <w:rFonts w:cs="Calibri" w:ascii="Calibri" w:hAnsi="Calibri"/>
              <w:sz w:val="22"/>
              <w:szCs w:val="22"/>
              <w:lang w:val="en-US" w:eastAsia="en-US"/>
            </w:rPr>
            <w:tab/>
          </w:r>
          <w:r>
            <w:rPr/>
            <w:t>Nominal error rates</w:t>
            <w:tab/>
          </w:r>
          <w:hyperlink w:anchor="__RefHeading___Toc518035792">
            <w:r>
              <w:rPr>
                <w:rStyle w:val="IndexLink"/>
              </w:rPr>
              <w:t>141</w:t>
            </w:r>
          </w:hyperlink>
        </w:p>
        <w:p>
          <w:pPr>
            <w:pStyle w:val="Contents3"/>
            <w:rPr>
              <w:rFonts w:ascii="Calibri" w:hAnsi="Calibri" w:cs="Calibri"/>
              <w:sz w:val="22"/>
              <w:szCs w:val="22"/>
              <w:lang w:val="en-US" w:eastAsia="en-US"/>
            </w:rPr>
          </w:pPr>
          <w:r>
            <w:rPr/>
            <w:t>J.3.6.2</w:t>
          </w:r>
          <w:r>
            <w:rPr>
              <w:rFonts w:cs="Calibri" w:ascii="Calibri" w:hAnsi="Calibri"/>
              <w:sz w:val="22"/>
              <w:szCs w:val="22"/>
              <w:lang w:val="en-US" w:eastAsia="en-US"/>
            </w:rPr>
            <w:tab/>
          </w:r>
          <w:r>
            <w:rPr/>
            <w:t>Reference sensitivity level</w:t>
            <w:tab/>
          </w:r>
          <w:hyperlink w:anchor="__RefHeading___Toc518035793">
            <w:r>
              <w:rPr>
                <w:rStyle w:val="IndexLink"/>
              </w:rPr>
              <w:t>141</w:t>
            </w:r>
          </w:hyperlink>
        </w:p>
        <w:p>
          <w:pPr>
            <w:pStyle w:val="Contents9"/>
            <w:rPr>
              <w:rFonts w:ascii="Calibri" w:hAnsi="Calibri" w:cs="Calibri"/>
              <w:b w:val="false"/>
              <w:b w:val="false"/>
              <w:szCs w:val="22"/>
              <w:lang w:val="en-US" w:eastAsia="en-US"/>
            </w:rPr>
          </w:pPr>
          <w:r>
            <w:rPr/>
            <w:t>Annex K:</w:t>
            <w:tab/>
            <w:t>Block Erasure Rate Performance for GPRS</w:t>
            <w:tab/>
          </w:r>
          <w:hyperlink w:anchor="__RefHeading___Toc518035794">
            <w:r>
              <w:rPr>
                <w:rStyle w:val="IndexLink"/>
              </w:rPr>
              <w:t>143</w:t>
            </w:r>
          </w:hyperlink>
        </w:p>
        <w:p>
          <w:pPr>
            <w:pStyle w:val="Contents1"/>
            <w:rPr>
              <w:rFonts w:ascii="Calibri" w:hAnsi="Calibri" w:cs="Calibri"/>
              <w:szCs w:val="22"/>
              <w:lang w:val="en-US" w:eastAsia="en-US"/>
            </w:rPr>
          </w:pPr>
          <w:r>
            <w:rPr/>
            <w:t>K.1</w:t>
          </w:r>
          <w:r>
            <w:rPr>
              <w:rFonts w:cs="Calibri" w:ascii="Calibri" w:hAnsi="Calibri"/>
              <w:szCs w:val="22"/>
              <w:lang w:val="en-US" w:eastAsia="en-US"/>
            </w:rPr>
            <w:tab/>
          </w:r>
          <w:r>
            <w:rPr/>
            <w:t>Introduction</w:t>
            <w:tab/>
          </w:r>
          <w:hyperlink w:anchor="__RefHeading___Toc518035795">
            <w:r>
              <w:rPr>
                <w:rStyle w:val="IndexLink"/>
              </w:rPr>
              <w:t>143</w:t>
            </w:r>
          </w:hyperlink>
        </w:p>
        <w:p>
          <w:pPr>
            <w:pStyle w:val="Contents1"/>
            <w:rPr>
              <w:rFonts w:ascii="Calibri" w:hAnsi="Calibri" w:cs="Calibri"/>
              <w:szCs w:val="22"/>
              <w:lang w:val="en-US" w:eastAsia="en-US"/>
            </w:rPr>
          </w:pPr>
          <w:r>
            <w:rPr/>
            <w:t>K.2</w:t>
          </w:r>
          <w:r>
            <w:rPr>
              <w:rFonts w:cs="Calibri" w:ascii="Calibri" w:hAnsi="Calibri"/>
              <w:szCs w:val="22"/>
              <w:lang w:val="en-US" w:eastAsia="en-US"/>
            </w:rPr>
            <w:tab/>
          </w:r>
          <w:r>
            <w:rPr/>
            <w:t>Simulation Model</w:t>
            <w:tab/>
          </w:r>
          <w:hyperlink w:anchor="__RefHeading___Toc518035796">
            <w:r>
              <w:rPr>
                <w:rStyle w:val="IndexLink"/>
              </w:rPr>
              <w:t>143</w:t>
            </w:r>
          </w:hyperlink>
        </w:p>
        <w:p>
          <w:pPr>
            <w:pStyle w:val="Contents1"/>
            <w:rPr>
              <w:rFonts w:ascii="Calibri" w:hAnsi="Calibri" w:cs="Calibri"/>
              <w:szCs w:val="22"/>
              <w:lang w:val="en-US" w:eastAsia="en-US"/>
            </w:rPr>
          </w:pPr>
          <w:r>
            <w:rPr/>
            <w:t>K.3</w:t>
          </w:r>
          <w:r>
            <w:rPr>
              <w:rFonts w:cs="Calibri" w:ascii="Calibri" w:hAnsi="Calibri"/>
              <w:szCs w:val="22"/>
              <w:lang w:val="en-US" w:eastAsia="en-US"/>
            </w:rPr>
            <w:tab/>
          </w:r>
          <w:r>
            <w:rPr/>
            <w:t>Results</w:t>
            <w:tab/>
          </w:r>
          <w:hyperlink w:anchor="__RefHeading___Toc518035797">
            <w:r>
              <w:rPr>
                <w:rStyle w:val="IndexLink"/>
              </w:rPr>
              <w:t>143</w:t>
            </w:r>
          </w:hyperlink>
        </w:p>
        <w:p>
          <w:pPr>
            <w:pStyle w:val="Contents1"/>
            <w:rPr>
              <w:rFonts w:ascii="Calibri" w:hAnsi="Calibri" w:cs="Calibri"/>
              <w:szCs w:val="22"/>
              <w:lang w:val="en-US" w:eastAsia="en-US"/>
            </w:rPr>
          </w:pPr>
          <w:r>
            <w:rPr/>
            <w:t>K.4</w:t>
          </w:r>
          <w:r>
            <w:rPr>
              <w:rFonts w:cs="Calibri" w:ascii="Calibri" w:hAnsi="Calibri"/>
              <w:szCs w:val="22"/>
              <w:lang w:val="en-US" w:eastAsia="en-US"/>
            </w:rPr>
            <w:tab/>
          </w:r>
          <w:r>
            <w:rPr/>
            <w:t>Conclusions</w:t>
            <w:tab/>
          </w:r>
          <w:hyperlink w:anchor="__RefHeading___Toc518035798">
            <w:r>
              <w:rPr>
                <w:rStyle w:val="IndexLink"/>
              </w:rPr>
              <w:t>144</w:t>
            </w:r>
          </w:hyperlink>
        </w:p>
        <w:p>
          <w:pPr>
            <w:pStyle w:val="Contents9"/>
            <w:rPr>
              <w:rFonts w:ascii="Calibri" w:hAnsi="Calibri" w:cs="Calibri"/>
              <w:b w:val="false"/>
              <w:b w:val="false"/>
              <w:szCs w:val="22"/>
              <w:lang w:val="en-US" w:eastAsia="en-US"/>
            </w:rPr>
          </w:pPr>
          <w:r>
            <w:rPr/>
            <w:t>Annex L:</w:t>
            <w:tab/>
            <w:t>Proposal on how to report GPRS performance into GSM 05.05</w:t>
            <w:tab/>
          </w:r>
          <w:hyperlink w:anchor="__RefHeading___Toc518035799">
            <w:r>
              <w:rPr>
                <w:rStyle w:val="IndexLink"/>
              </w:rPr>
              <w:t>145</w:t>
            </w:r>
          </w:hyperlink>
        </w:p>
        <w:p>
          <w:pPr>
            <w:pStyle w:val="Contents1"/>
            <w:rPr>
              <w:rFonts w:ascii="Calibri" w:hAnsi="Calibri" w:cs="Calibri"/>
              <w:szCs w:val="22"/>
              <w:lang w:val="en-US" w:eastAsia="en-US"/>
            </w:rPr>
          </w:pPr>
          <w:r>
            <w:rPr/>
            <w:t>L.1</w:t>
          </w:r>
          <w:r>
            <w:rPr>
              <w:rFonts w:cs="Calibri" w:ascii="Calibri" w:hAnsi="Calibri"/>
              <w:szCs w:val="22"/>
              <w:lang w:val="en-US" w:eastAsia="en-US"/>
            </w:rPr>
            <w:tab/>
          </w:r>
          <w:r>
            <w:rPr/>
            <w:t>Introduction</w:t>
            <w:tab/>
          </w:r>
          <w:hyperlink w:anchor="__RefHeading___Toc518035800">
            <w:r>
              <w:rPr>
                <w:rStyle w:val="IndexLink"/>
              </w:rPr>
              <w:t>145</w:t>
            </w:r>
          </w:hyperlink>
        </w:p>
        <w:p>
          <w:pPr>
            <w:pStyle w:val="Contents1"/>
            <w:rPr>
              <w:rFonts w:ascii="Calibri" w:hAnsi="Calibri" w:cs="Calibri"/>
              <w:szCs w:val="22"/>
              <w:lang w:val="en-US" w:eastAsia="en-US"/>
            </w:rPr>
          </w:pPr>
          <w:r>
            <w:rPr/>
            <w:t>L.2</w:t>
          </w:r>
          <w:r>
            <w:rPr>
              <w:rFonts w:cs="Calibri" w:ascii="Calibri" w:hAnsi="Calibri"/>
              <w:szCs w:val="22"/>
              <w:lang w:val="en-US" w:eastAsia="en-US"/>
            </w:rPr>
            <w:tab/>
          </w:r>
          <w:r>
            <w:rPr/>
            <w:t>GPRS BLER performance</w:t>
            <w:tab/>
          </w:r>
          <w:hyperlink w:anchor="__RefHeading___Toc518035801">
            <w:r>
              <w:rPr>
                <w:rStyle w:val="IndexLink"/>
              </w:rPr>
              <w:t>145</w:t>
            </w:r>
          </w:hyperlink>
        </w:p>
        <w:p>
          <w:pPr>
            <w:pStyle w:val="Contents1"/>
            <w:rPr>
              <w:rFonts w:ascii="Calibri" w:hAnsi="Calibri" w:cs="Calibri"/>
              <w:szCs w:val="22"/>
              <w:lang w:val="en-US" w:eastAsia="en-US"/>
            </w:rPr>
          </w:pPr>
          <w:r>
            <w:rPr/>
            <w:t>L.3</w:t>
          </w:r>
          <w:r>
            <w:rPr>
              <w:rFonts w:cs="Calibri" w:ascii="Calibri" w:hAnsi="Calibri"/>
              <w:szCs w:val="22"/>
              <w:lang w:val="en-US" w:eastAsia="en-US"/>
            </w:rPr>
            <w:tab/>
          </w:r>
          <w:r>
            <w:rPr/>
            <w:t>GPRS throughput analyses</w:t>
            <w:tab/>
          </w:r>
          <w:hyperlink w:anchor="__RefHeading___Toc518035802">
            <w:r>
              <w:rPr>
                <w:rStyle w:val="IndexLink"/>
              </w:rPr>
              <w:t>146</w:t>
            </w:r>
          </w:hyperlink>
        </w:p>
        <w:p>
          <w:pPr>
            <w:pStyle w:val="Contents2"/>
            <w:rPr>
              <w:rFonts w:ascii="Calibri" w:hAnsi="Calibri" w:cs="Calibri"/>
              <w:sz w:val="22"/>
              <w:szCs w:val="22"/>
              <w:lang w:val="en-US" w:eastAsia="en-US"/>
            </w:rPr>
          </w:pPr>
          <w:r>
            <w:rPr/>
            <w:t>L.3.1</w:t>
          </w:r>
          <w:r>
            <w:rPr>
              <w:rFonts w:cs="Calibri" w:ascii="Calibri" w:hAnsi="Calibri"/>
              <w:sz w:val="22"/>
              <w:szCs w:val="22"/>
              <w:lang w:val="en-US" w:eastAsia="en-US"/>
            </w:rPr>
            <w:tab/>
          </w:r>
          <w:r>
            <w:rPr/>
            <w:t>TU50 ideal FH</w:t>
            <w:tab/>
          </w:r>
          <w:hyperlink w:anchor="__RefHeading___Toc518035803">
            <w:r>
              <w:rPr>
                <w:rStyle w:val="IndexLink"/>
              </w:rPr>
              <w:t>147</w:t>
            </w:r>
          </w:hyperlink>
        </w:p>
        <w:p>
          <w:pPr>
            <w:pStyle w:val="Contents2"/>
            <w:rPr>
              <w:rFonts w:ascii="Calibri" w:hAnsi="Calibri" w:cs="Calibri"/>
              <w:sz w:val="22"/>
              <w:szCs w:val="22"/>
              <w:lang w:val="en-US" w:eastAsia="en-US"/>
            </w:rPr>
          </w:pPr>
          <w:r>
            <w:rPr/>
            <w:t>L.3.2</w:t>
          </w:r>
          <w:r>
            <w:rPr>
              <w:rFonts w:cs="Calibri" w:ascii="Calibri" w:hAnsi="Calibri"/>
              <w:sz w:val="22"/>
              <w:szCs w:val="22"/>
            </w:rPr>
            <w:tab/>
          </w:r>
          <w:r>
            <w:rPr>
              <w:lang w:val="en-US" w:eastAsia="en-US"/>
            </w:rPr>
            <w:t>TU3 no FH</w:t>
          </w:r>
          <w:r>
            <w:rPr/>
            <w:tab/>
          </w:r>
          <w:hyperlink w:anchor="__RefHeading___Toc518035804">
            <w:r>
              <w:rPr>
                <w:rStyle w:val="IndexLink"/>
              </w:rPr>
              <w:t>148</w:t>
            </w:r>
          </w:hyperlink>
        </w:p>
        <w:p>
          <w:pPr>
            <w:pStyle w:val="Contents1"/>
            <w:rPr>
              <w:rFonts w:ascii="Calibri" w:hAnsi="Calibri" w:cs="Calibri"/>
              <w:szCs w:val="22"/>
              <w:lang w:val="en-US" w:eastAsia="en-US"/>
            </w:rPr>
          </w:pPr>
          <w:r>
            <w:rPr/>
            <w:t>L.4</w:t>
          </w:r>
          <w:r>
            <w:rPr>
              <w:rFonts w:cs="Calibri" w:ascii="Calibri" w:hAnsi="Calibri"/>
              <w:szCs w:val="22"/>
              <w:lang w:val="en-US" w:eastAsia="en-US"/>
            </w:rPr>
            <w:tab/>
          </w:r>
          <w:r>
            <w:rPr/>
            <w:t>Proposals for GPRS performance in GSM 05.05</w:t>
            <w:tab/>
          </w:r>
          <w:hyperlink w:anchor="__RefHeading___Toc518035805">
            <w:r>
              <w:rPr>
                <w:rStyle w:val="IndexLink"/>
              </w:rPr>
              <w:t>148</w:t>
            </w:r>
          </w:hyperlink>
        </w:p>
        <w:p>
          <w:pPr>
            <w:pStyle w:val="Contents2"/>
            <w:rPr>
              <w:rFonts w:ascii="Calibri" w:hAnsi="Calibri" w:cs="Calibri"/>
              <w:sz w:val="22"/>
              <w:szCs w:val="22"/>
              <w:lang w:val="en-US" w:eastAsia="en-US"/>
            </w:rPr>
          </w:pPr>
          <w:r>
            <w:rPr/>
            <w:t>L.4.1</w:t>
          </w:r>
          <w:r>
            <w:rPr>
              <w:rFonts w:cs="Calibri" w:ascii="Calibri" w:hAnsi="Calibri"/>
              <w:sz w:val="22"/>
              <w:szCs w:val="22"/>
              <w:lang w:val="en-US" w:eastAsia="en-US"/>
            </w:rPr>
            <w:tab/>
          </w:r>
          <w:r>
            <w:rPr/>
            <w:t>TU50 ideal FH</w:t>
            <w:tab/>
          </w:r>
          <w:hyperlink w:anchor="__RefHeading___Toc518035806">
            <w:r>
              <w:rPr>
                <w:rStyle w:val="IndexLink"/>
              </w:rPr>
              <w:t>148</w:t>
            </w:r>
          </w:hyperlink>
        </w:p>
        <w:p>
          <w:pPr>
            <w:pStyle w:val="Contents2"/>
            <w:rPr>
              <w:rFonts w:ascii="Calibri" w:hAnsi="Calibri" w:cs="Calibri"/>
              <w:sz w:val="22"/>
              <w:szCs w:val="22"/>
              <w:lang w:val="en-US" w:eastAsia="en-US"/>
            </w:rPr>
          </w:pPr>
          <w:r>
            <w:rPr/>
            <w:t>L.4.2</w:t>
          </w:r>
          <w:r>
            <w:rPr>
              <w:rFonts w:cs="Calibri" w:ascii="Calibri" w:hAnsi="Calibri"/>
              <w:sz w:val="22"/>
              <w:szCs w:val="22"/>
              <w:lang w:val="en-US" w:eastAsia="en-US"/>
            </w:rPr>
            <w:tab/>
          </w:r>
          <w:r>
            <w:rPr/>
            <w:t>TU3 no FH</w:t>
            <w:tab/>
          </w:r>
          <w:hyperlink w:anchor="__RefHeading___Toc518035807">
            <w:r>
              <w:rPr>
                <w:rStyle w:val="IndexLink"/>
              </w:rPr>
              <w:t>149</w:t>
            </w:r>
          </w:hyperlink>
        </w:p>
        <w:p>
          <w:pPr>
            <w:pStyle w:val="Contents1"/>
            <w:rPr>
              <w:rFonts w:ascii="Calibri" w:hAnsi="Calibri" w:cs="Calibri"/>
              <w:szCs w:val="22"/>
              <w:lang w:val="en-US" w:eastAsia="en-US"/>
            </w:rPr>
          </w:pPr>
          <w:r>
            <w:rPr/>
            <w:t>L.5</w:t>
          </w:r>
          <w:r>
            <w:rPr>
              <w:rFonts w:cs="Calibri" w:ascii="Calibri" w:hAnsi="Calibri"/>
              <w:szCs w:val="22"/>
              <w:lang w:val="en-US" w:eastAsia="en-US"/>
            </w:rPr>
            <w:tab/>
          </w:r>
          <w:r>
            <w:rPr/>
            <w:t>Conclusions</w:t>
            <w:tab/>
          </w:r>
          <w:hyperlink w:anchor="__RefHeading___Toc518035808">
            <w:r>
              <w:rPr>
                <w:rStyle w:val="IndexLink"/>
              </w:rPr>
              <w:t>149</w:t>
            </w:r>
          </w:hyperlink>
        </w:p>
        <w:p>
          <w:pPr>
            <w:pStyle w:val="Contents9"/>
            <w:rPr>
              <w:rFonts w:ascii="Calibri" w:hAnsi="Calibri" w:cs="Calibri"/>
              <w:b w:val="false"/>
              <w:b w:val="false"/>
              <w:szCs w:val="22"/>
              <w:lang w:val="en-US" w:eastAsia="en-US"/>
            </w:rPr>
          </w:pPr>
          <w:r>
            <w:rPr/>
            <w:t>Annex M:</w:t>
            <w:tab/>
            <w:t>GPRS simulation results in TU 3 and TU 50 no FH</w:t>
            <w:tab/>
          </w:r>
          <w:hyperlink w:anchor="__RefHeading___Toc518035809">
            <w:r>
              <w:rPr>
                <w:rStyle w:val="IndexLink"/>
              </w:rPr>
              <w:t>150</w:t>
            </w:r>
          </w:hyperlink>
        </w:p>
        <w:p>
          <w:pPr>
            <w:pStyle w:val="Contents1"/>
            <w:rPr>
              <w:rFonts w:ascii="Calibri" w:hAnsi="Calibri" w:cs="Calibri"/>
              <w:szCs w:val="22"/>
              <w:lang w:val="en-US" w:eastAsia="en-US"/>
            </w:rPr>
          </w:pPr>
          <w:r>
            <w:rPr/>
            <w:t>M.1</w:t>
          </w:r>
          <w:r>
            <w:rPr>
              <w:rFonts w:cs="Calibri" w:ascii="Calibri" w:hAnsi="Calibri"/>
              <w:szCs w:val="22"/>
              <w:lang w:val="en-US" w:eastAsia="en-US"/>
            </w:rPr>
            <w:tab/>
          </w:r>
          <w:r>
            <w:rPr/>
            <w:t>Introduction</w:t>
            <w:tab/>
          </w:r>
          <w:hyperlink w:anchor="__RefHeading___Toc518035810">
            <w:r>
              <w:rPr>
                <w:rStyle w:val="IndexLink"/>
              </w:rPr>
              <w:t>150</w:t>
            </w:r>
          </w:hyperlink>
        </w:p>
        <w:p>
          <w:pPr>
            <w:pStyle w:val="Contents1"/>
            <w:rPr>
              <w:rFonts w:ascii="Calibri" w:hAnsi="Calibri" w:cs="Calibri"/>
              <w:szCs w:val="22"/>
              <w:lang w:val="en-US" w:eastAsia="en-US"/>
            </w:rPr>
          </w:pPr>
          <w:r>
            <w:rPr/>
            <w:t>M.2</w:t>
          </w:r>
          <w:r>
            <w:rPr>
              <w:rFonts w:cs="Calibri" w:ascii="Calibri" w:hAnsi="Calibri"/>
              <w:szCs w:val="22"/>
              <w:lang w:val="en-US" w:eastAsia="en-US"/>
            </w:rPr>
            <w:tab/>
          </w:r>
          <w:r>
            <w:rPr/>
            <w:t>Simulation Model</w:t>
            <w:tab/>
          </w:r>
          <w:hyperlink w:anchor="__RefHeading___Toc518035811">
            <w:r>
              <w:rPr>
                <w:rStyle w:val="IndexLink"/>
              </w:rPr>
              <w:t>150</w:t>
            </w:r>
          </w:hyperlink>
        </w:p>
        <w:p>
          <w:pPr>
            <w:pStyle w:val="Contents1"/>
            <w:rPr>
              <w:rFonts w:ascii="Calibri" w:hAnsi="Calibri" w:cs="Calibri"/>
              <w:szCs w:val="22"/>
              <w:lang w:val="en-US" w:eastAsia="en-US"/>
            </w:rPr>
          </w:pPr>
          <w:r>
            <w:rPr/>
            <w:t>M.3</w:t>
          </w:r>
          <w:r>
            <w:rPr>
              <w:rFonts w:cs="Calibri" w:ascii="Calibri" w:hAnsi="Calibri"/>
              <w:szCs w:val="22"/>
              <w:lang w:val="en-US" w:eastAsia="en-US"/>
            </w:rPr>
            <w:tab/>
          </w:r>
          <w:r>
            <w:rPr/>
            <w:t>Maximum GPRS throughput</w:t>
            <w:tab/>
          </w:r>
          <w:hyperlink w:anchor="__RefHeading___Toc518035812">
            <w:r>
              <w:rPr>
                <w:rStyle w:val="IndexLink"/>
              </w:rPr>
              <w:t>152</w:t>
            </w:r>
          </w:hyperlink>
        </w:p>
        <w:p>
          <w:pPr>
            <w:pStyle w:val="Contents1"/>
            <w:rPr>
              <w:rFonts w:ascii="Calibri" w:hAnsi="Calibri" w:cs="Calibri"/>
              <w:szCs w:val="22"/>
              <w:lang w:val="en-US" w:eastAsia="en-US"/>
            </w:rPr>
          </w:pPr>
          <w:r>
            <w:rPr/>
            <w:t>M.4</w:t>
          </w:r>
          <w:r>
            <w:rPr>
              <w:rFonts w:cs="Calibri" w:ascii="Calibri" w:hAnsi="Calibri"/>
              <w:szCs w:val="22"/>
              <w:lang w:val="en-US" w:eastAsia="en-US"/>
            </w:rPr>
            <w:tab/>
          </w:r>
          <w:r>
            <w:rPr/>
            <w:t>Conclusion</w:t>
            <w:tab/>
          </w:r>
          <w:hyperlink w:anchor="__RefHeading___Toc518035813">
            <w:r>
              <w:rPr>
                <w:rStyle w:val="IndexLink"/>
              </w:rPr>
              <w:t>153</w:t>
            </w:r>
          </w:hyperlink>
        </w:p>
        <w:p>
          <w:pPr>
            <w:pStyle w:val="Contents1"/>
            <w:rPr>
              <w:rFonts w:ascii="Calibri" w:hAnsi="Calibri" w:cs="Calibri"/>
              <w:szCs w:val="22"/>
              <w:lang w:val="en-US" w:eastAsia="en-US"/>
            </w:rPr>
          </w:pPr>
          <w:r>
            <w:rPr/>
            <w:t>M.5</w:t>
          </w:r>
          <w:r>
            <w:rPr>
              <w:rFonts w:cs="Calibri" w:ascii="Calibri" w:hAnsi="Calibri"/>
              <w:szCs w:val="22"/>
              <w:lang w:val="en-US" w:eastAsia="en-US"/>
            </w:rPr>
            <w:tab/>
          </w:r>
          <w:r>
            <w:rPr/>
            <w:t>References</w:t>
            <w:tab/>
          </w:r>
          <w:hyperlink w:anchor="__RefHeading___Toc518035814">
            <w:r>
              <w:rPr>
                <w:rStyle w:val="IndexLink"/>
              </w:rPr>
              <w:t>153</w:t>
            </w:r>
          </w:hyperlink>
        </w:p>
        <w:p>
          <w:pPr>
            <w:pStyle w:val="Contents9"/>
            <w:rPr>
              <w:rFonts w:ascii="Calibri" w:hAnsi="Calibri" w:cs="Calibri"/>
              <w:b w:val="false"/>
              <w:b w:val="false"/>
              <w:szCs w:val="22"/>
              <w:lang w:val="en-US" w:eastAsia="en-US"/>
            </w:rPr>
          </w:pPr>
          <w:r>
            <w:rPr/>
            <w:t>Annex N:</w:t>
            <w:tab/>
            <w:t>C/I</w:t>
          </w:r>
          <w:r>
            <w:rPr>
              <w:vertAlign w:val="subscript"/>
            </w:rPr>
            <w:t>c</w:t>
          </w:r>
          <w:r>
            <w:rPr/>
            <w:t xml:space="preserve"> and E</w:t>
          </w:r>
          <w:r>
            <w:rPr>
              <w:vertAlign w:val="subscript"/>
            </w:rPr>
            <w:t>b</w:t>
          </w:r>
          <w:r>
            <w:rPr/>
            <w:t>/N</w:t>
          </w:r>
          <w:r>
            <w:rPr>
              <w:vertAlign w:val="subscript"/>
            </w:rPr>
            <w:t>o</w:t>
          </w:r>
          <w:r>
            <w:rPr/>
            <w:t xml:space="preserve"> Radio Performance for the GPRS Coding Schemes</w:t>
            <w:tab/>
          </w:r>
          <w:hyperlink w:anchor="__RefHeading___Toc518035815">
            <w:r>
              <w:rPr>
                <w:rStyle w:val="IndexLink"/>
              </w:rPr>
              <w:t>154</w:t>
            </w:r>
          </w:hyperlink>
        </w:p>
        <w:p>
          <w:pPr>
            <w:pStyle w:val="Contents1"/>
            <w:rPr>
              <w:rFonts w:ascii="Calibri" w:hAnsi="Calibri" w:cs="Calibri"/>
              <w:szCs w:val="22"/>
              <w:lang w:val="en-US" w:eastAsia="en-US"/>
            </w:rPr>
          </w:pPr>
          <w:r>
            <w:rPr/>
            <w:t>N.1</w:t>
          </w:r>
          <w:r>
            <w:rPr>
              <w:rFonts w:cs="Calibri" w:ascii="Calibri" w:hAnsi="Calibri"/>
              <w:szCs w:val="22"/>
              <w:lang w:val="en-US" w:eastAsia="en-US"/>
            </w:rPr>
            <w:tab/>
          </w:r>
          <w:r>
            <w:rPr/>
            <w:t>Introduction</w:t>
            <w:tab/>
          </w:r>
          <w:hyperlink w:anchor="__RefHeading___Toc518035816">
            <w:r>
              <w:rPr>
                <w:rStyle w:val="IndexLink"/>
              </w:rPr>
              <w:t>154</w:t>
            </w:r>
          </w:hyperlink>
        </w:p>
        <w:p>
          <w:pPr>
            <w:pStyle w:val="Contents1"/>
            <w:rPr>
              <w:rFonts w:ascii="Calibri" w:hAnsi="Calibri" w:cs="Calibri"/>
              <w:szCs w:val="22"/>
              <w:lang w:val="en-US" w:eastAsia="en-US"/>
            </w:rPr>
          </w:pPr>
          <w:r>
            <w:rPr/>
            <w:t>N.2</w:t>
          </w:r>
          <w:r>
            <w:rPr>
              <w:rFonts w:cs="Calibri" w:ascii="Calibri" w:hAnsi="Calibri"/>
              <w:szCs w:val="22"/>
              <w:lang w:val="en-US" w:eastAsia="en-US"/>
            </w:rPr>
            <w:tab/>
          </w:r>
          <w:r>
            <w:rPr/>
            <w:t>C/I simulation results</w:t>
            <w:tab/>
          </w:r>
          <w:hyperlink w:anchor="__RefHeading___Toc518035817">
            <w:r>
              <w:rPr>
                <w:rStyle w:val="IndexLink"/>
              </w:rPr>
              <w:t>154</w:t>
            </w:r>
          </w:hyperlink>
        </w:p>
        <w:p>
          <w:pPr>
            <w:pStyle w:val="Contents1"/>
            <w:rPr>
              <w:rFonts w:ascii="Calibri" w:hAnsi="Calibri" w:cs="Calibri"/>
              <w:szCs w:val="22"/>
              <w:lang w:val="en-US" w:eastAsia="en-US"/>
            </w:rPr>
          </w:pPr>
          <w:r>
            <w:rPr/>
            <w:t>N.3</w:t>
          </w:r>
          <w:r>
            <w:rPr>
              <w:rFonts w:cs="Calibri" w:ascii="Calibri" w:hAnsi="Calibri"/>
              <w:szCs w:val="22"/>
              <w:lang w:val="en-US" w:eastAsia="en-US"/>
            </w:rPr>
            <w:tab/>
          </w:r>
          <w:r>
            <w:rPr/>
            <w:t>E</w:t>
          </w:r>
          <w:r>
            <w:rPr>
              <w:vertAlign w:val="subscript"/>
            </w:rPr>
            <w:t>b</w:t>
          </w:r>
          <w:r>
            <w:rPr/>
            <w:t>/N</w:t>
          </w:r>
          <w:r>
            <w:rPr>
              <w:vertAlign w:val="subscript"/>
            </w:rPr>
            <w:t>0</w:t>
          </w:r>
          <w:r>
            <w:rPr/>
            <w:t xml:space="preserve"> performance</w:t>
            <w:tab/>
          </w:r>
          <w:hyperlink w:anchor="__RefHeading___Toc518035818">
            <w:r>
              <w:rPr>
                <w:rStyle w:val="IndexLink"/>
              </w:rPr>
              <w:t>156</w:t>
            </w:r>
          </w:hyperlink>
        </w:p>
        <w:p>
          <w:pPr>
            <w:pStyle w:val="Contents1"/>
            <w:rPr>
              <w:rFonts w:ascii="Calibri" w:hAnsi="Calibri" w:cs="Calibri"/>
              <w:szCs w:val="22"/>
              <w:lang w:val="en-US" w:eastAsia="en-US"/>
            </w:rPr>
          </w:pPr>
          <w:r>
            <w:rPr/>
            <w:t>N.4</w:t>
          </w:r>
          <w:r>
            <w:rPr>
              <w:rFonts w:cs="Calibri" w:ascii="Calibri" w:hAnsi="Calibri"/>
              <w:szCs w:val="22"/>
              <w:lang w:val="en-US" w:eastAsia="en-US"/>
            </w:rPr>
            <w:tab/>
          </w:r>
          <w:r>
            <w:rPr/>
            <w:t>Conclusions</w:t>
            <w:tab/>
          </w:r>
          <w:hyperlink w:anchor="__RefHeading___Toc518035819">
            <w:r>
              <w:rPr>
                <w:rStyle w:val="IndexLink"/>
              </w:rPr>
              <w:t>158</w:t>
            </w:r>
          </w:hyperlink>
        </w:p>
        <w:p>
          <w:pPr>
            <w:pStyle w:val="Contents1"/>
            <w:rPr>
              <w:rFonts w:ascii="Calibri" w:hAnsi="Calibri" w:cs="Calibri"/>
              <w:szCs w:val="22"/>
              <w:lang w:val="en-US" w:eastAsia="en-US"/>
            </w:rPr>
          </w:pPr>
          <w:r>
            <w:rPr/>
            <w:t>N.5</w:t>
          </w:r>
          <w:r>
            <w:rPr>
              <w:rFonts w:cs="Calibri" w:ascii="Calibri" w:hAnsi="Calibri"/>
              <w:szCs w:val="22"/>
              <w:lang w:val="en-US" w:eastAsia="en-US"/>
            </w:rPr>
            <w:tab/>
          </w:r>
          <w:r>
            <w:rPr/>
            <w:t>References</w:t>
            <w:tab/>
          </w:r>
          <w:hyperlink w:anchor="__RefHeading___Toc518035820">
            <w:r>
              <w:rPr>
                <w:rStyle w:val="IndexLink"/>
              </w:rPr>
              <w:t>158</w:t>
            </w:r>
          </w:hyperlink>
        </w:p>
        <w:p>
          <w:pPr>
            <w:pStyle w:val="Contents9"/>
            <w:rPr>
              <w:rFonts w:ascii="Calibri" w:hAnsi="Calibri" w:cs="Calibri"/>
              <w:b w:val="false"/>
              <w:b w:val="false"/>
              <w:szCs w:val="22"/>
              <w:lang w:val="en-US" w:eastAsia="en-US"/>
            </w:rPr>
          </w:pPr>
          <w:r>
            <w:rPr/>
            <w:t>Annex O:</w:t>
            <w:tab/>
            <w:t>Void</w:t>
            <w:tab/>
          </w:r>
          <w:hyperlink w:anchor="__RefHeading___Toc518035821">
            <w:r>
              <w:rPr>
                <w:rStyle w:val="IndexLink"/>
              </w:rPr>
              <w:t>159</w:t>
            </w:r>
          </w:hyperlink>
        </w:p>
        <w:p>
          <w:pPr>
            <w:pStyle w:val="Contents9"/>
            <w:rPr>
              <w:rFonts w:ascii="Calibri" w:hAnsi="Calibri" w:cs="Calibri"/>
              <w:b w:val="false"/>
              <w:b w:val="false"/>
              <w:szCs w:val="22"/>
              <w:lang w:val="en-US" w:eastAsia="en-US"/>
            </w:rPr>
          </w:pPr>
          <w:r>
            <w:rPr/>
            <w:t>Annex P:</w:t>
            <w:tab/>
            <w:t>Block Error Rate and USF Error Rate for GPRS</w:t>
            <w:tab/>
          </w:r>
          <w:hyperlink w:anchor="__RefHeading___Toc518035822">
            <w:r>
              <w:rPr>
                <w:rStyle w:val="IndexLink"/>
              </w:rPr>
              <w:t>160</w:t>
            </w:r>
          </w:hyperlink>
        </w:p>
        <w:p>
          <w:pPr>
            <w:pStyle w:val="Contents1"/>
            <w:rPr>
              <w:rFonts w:ascii="Calibri" w:hAnsi="Calibri" w:cs="Calibri"/>
              <w:szCs w:val="22"/>
              <w:lang w:val="en-US" w:eastAsia="en-US"/>
            </w:rPr>
          </w:pPr>
          <w:r>
            <w:rPr/>
            <w:t>P.1</w:t>
          </w:r>
          <w:r>
            <w:rPr>
              <w:rFonts w:cs="Calibri" w:ascii="Calibri" w:hAnsi="Calibri"/>
              <w:szCs w:val="22"/>
              <w:lang w:val="en-US" w:eastAsia="en-US"/>
            </w:rPr>
            <w:tab/>
          </w:r>
          <w:r>
            <w:rPr/>
            <w:t>Introduction</w:t>
            <w:tab/>
          </w:r>
          <w:hyperlink w:anchor="__RefHeading___Toc518035823">
            <w:r>
              <w:rPr>
                <w:rStyle w:val="IndexLink"/>
              </w:rPr>
              <w:t>160</w:t>
            </w:r>
          </w:hyperlink>
        </w:p>
        <w:p>
          <w:pPr>
            <w:pStyle w:val="Contents1"/>
            <w:rPr>
              <w:rFonts w:ascii="Calibri" w:hAnsi="Calibri" w:cs="Calibri"/>
              <w:szCs w:val="22"/>
              <w:lang w:val="en-US" w:eastAsia="en-US"/>
            </w:rPr>
          </w:pPr>
          <w:r>
            <w:rPr/>
            <w:t>P.2</w:t>
          </w:r>
          <w:r>
            <w:rPr>
              <w:rFonts w:cs="Calibri" w:ascii="Calibri" w:hAnsi="Calibri"/>
              <w:szCs w:val="22"/>
              <w:lang w:val="en-US" w:eastAsia="en-US"/>
            </w:rPr>
            <w:tab/>
          </w:r>
          <w:r>
            <w:rPr/>
            <w:t>Simulation Assumptions</w:t>
            <w:tab/>
          </w:r>
          <w:hyperlink w:anchor="__RefHeading___Toc518035824">
            <w:r>
              <w:rPr>
                <w:rStyle w:val="IndexLink"/>
              </w:rPr>
              <w:t>160</w:t>
            </w:r>
          </w:hyperlink>
        </w:p>
        <w:p>
          <w:pPr>
            <w:pStyle w:val="Contents1"/>
            <w:rPr>
              <w:rFonts w:ascii="Calibri" w:hAnsi="Calibri" w:cs="Calibri"/>
              <w:szCs w:val="22"/>
              <w:lang w:val="en-US" w:eastAsia="en-US"/>
            </w:rPr>
          </w:pPr>
          <w:r>
            <w:rPr/>
            <w:t>P.3</w:t>
          </w:r>
          <w:r>
            <w:rPr>
              <w:rFonts w:cs="Calibri" w:ascii="Calibri" w:hAnsi="Calibri"/>
              <w:szCs w:val="22"/>
              <w:lang w:val="en-US" w:eastAsia="en-US"/>
            </w:rPr>
            <w:tab/>
          </w:r>
          <w:r>
            <w:rPr/>
            <w:t>Simulation Results</w:t>
            <w:tab/>
          </w:r>
          <w:hyperlink w:anchor="__RefHeading___Toc518035825">
            <w:r>
              <w:rPr>
                <w:rStyle w:val="IndexLink"/>
              </w:rPr>
              <w:t>161</w:t>
            </w:r>
          </w:hyperlink>
        </w:p>
        <w:p>
          <w:pPr>
            <w:pStyle w:val="Contents2"/>
            <w:rPr>
              <w:rFonts w:ascii="Calibri" w:hAnsi="Calibri" w:cs="Calibri"/>
              <w:sz w:val="22"/>
              <w:szCs w:val="22"/>
              <w:lang w:val="en-US" w:eastAsia="en-US"/>
            </w:rPr>
          </w:pPr>
          <w:r>
            <w:rPr/>
            <w:t>P.3.1</w:t>
          </w:r>
          <w:r>
            <w:rPr>
              <w:rFonts w:cs="Calibri" w:ascii="Calibri" w:hAnsi="Calibri"/>
              <w:sz w:val="22"/>
              <w:szCs w:val="22"/>
              <w:lang w:val="en-US" w:eastAsia="en-US"/>
            </w:rPr>
            <w:tab/>
          </w:r>
          <w:r>
            <w:rPr/>
            <w:t>Interference Simulations</w:t>
            <w:tab/>
          </w:r>
          <w:hyperlink w:anchor="__RefHeading___Toc518035826">
            <w:r>
              <w:rPr>
                <w:rStyle w:val="IndexLink"/>
              </w:rPr>
              <w:t>161</w:t>
            </w:r>
          </w:hyperlink>
        </w:p>
        <w:p>
          <w:pPr>
            <w:pStyle w:val="Contents3"/>
            <w:rPr>
              <w:rFonts w:ascii="Calibri" w:hAnsi="Calibri" w:cs="Calibri"/>
              <w:sz w:val="22"/>
              <w:szCs w:val="22"/>
              <w:lang w:val="en-US" w:eastAsia="en-US"/>
            </w:rPr>
          </w:pPr>
          <w:r>
            <w:rPr/>
            <w:t>P.3.1.1</w:t>
          </w:r>
          <w:r>
            <w:rPr>
              <w:rFonts w:cs="Calibri" w:ascii="Calibri" w:hAnsi="Calibri"/>
              <w:sz w:val="22"/>
              <w:szCs w:val="22"/>
              <w:lang w:val="en-US" w:eastAsia="en-US"/>
            </w:rPr>
            <w:tab/>
          </w:r>
          <w:r>
            <w:rPr/>
            <w:t>TU50 Ideal Frequency Hopping</w:t>
            <w:tab/>
          </w:r>
          <w:hyperlink w:anchor="__RefHeading___Toc518035827">
            <w:r>
              <w:rPr>
                <w:rStyle w:val="IndexLink"/>
              </w:rPr>
              <w:t>161</w:t>
            </w:r>
          </w:hyperlink>
        </w:p>
        <w:p>
          <w:pPr>
            <w:pStyle w:val="Contents3"/>
            <w:rPr>
              <w:rFonts w:ascii="Calibri" w:hAnsi="Calibri" w:cs="Calibri"/>
              <w:sz w:val="22"/>
              <w:szCs w:val="22"/>
              <w:lang w:val="en-US" w:eastAsia="en-US"/>
            </w:rPr>
          </w:pPr>
          <w:r>
            <w:rPr/>
            <w:t>P.3.1.2</w:t>
          </w:r>
          <w:r>
            <w:rPr>
              <w:rFonts w:cs="Calibri" w:ascii="Calibri" w:hAnsi="Calibri"/>
              <w:sz w:val="22"/>
              <w:szCs w:val="22"/>
              <w:lang w:val="en-US" w:eastAsia="en-US"/>
            </w:rPr>
            <w:tab/>
          </w:r>
          <w:r>
            <w:rPr/>
            <w:t>TU50 No Frequency Hopping</w:t>
            <w:tab/>
          </w:r>
          <w:hyperlink w:anchor="__RefHeading___Toc518035828">
            <w:r>
              <w:rPr>
                <w:rStyle w:val="IndexLink"/>
              </w:rPr>
              <w:t>162</w:t>
            </w:r>
          </w:hyperlink>
        </w:p>
        <w:p>
          <w:pPr>
            <w:pStyle w:val="Contents3"/>
            <w:rPr>
              <w:rFonts w:ascii="Calibri" w:hAnsi="Calibri" w:cs="Calibri"/>
              <w:sz w:val="22"/>
              <w:szCs w:val="22"/>
              <w:lang w:val="en-US" w:eastAsia="en-US"/>
            </w:rPr>
          </w:pPr>
          <w:r>
            <w:rPr/>
            <w:t>P.3.1.3</w:t>
          </w:r>
          <w:r>
            <w:rPr>
              <w:rFonts w:cs="Calibri" w:ascii="Calibri" w:hAnsi="Calibri"/>
              <w:sz w:val="22"/>
              <w:szCs w:val="22"/>
              <w:lang w:val="en-US" w:eastAsia="en-US"/>
            </w:rPr>
            <w:tab/>
          </w:r>
          <w:r>
            <w:rPr/>
            <w:t>TU3 Ideal Frequency Hopping</w:t>
            <w:tab/>
          </w:r>
          <w:hyperlink w:anchor="__RefHeading___Toc518035829">
            <w:r>
              <w:rPr>
                <w:rStyle w:val="IndexLink"/>
              </w:rPr>
              <w:t>163</w:t>
            </w:r>
          </w:hyperlink>
        </w:p>
        <w:p>
          <w:pPr>
            <w:pStyle w:val="Contents3"/>
            <w:rPr>
              <w:rFonts w:ascii="Calibri" w:hAnsi="Calibri" w:cs="Calibri"/>
              <w:sz w:val="22"/>
              <w:szCs w:val="22"/>
              <w:lang w:val="en-US" w:eastAsia="en-US"/>
            </w:rPr>
          </w:pPr>
          <w:r>
            <w:rPr/>
            <w:t>P.3.1.4</w:t>
          </w:r>
          <w:r>
            <w:rPr>
              <w:rFonts w:cs="Calibri" w:ascii="Calibri" w:hAnsi="Calibri"/>
              <w:sz w:val="22"/>
              <w:szCs w:val="22"/>
              <w:lang w:val="en-US" w:eastAsia="en-US"/>
            </w:rPr>
            <w:tab/>
          </w:r>
          <w:r>
            <w:rPr/>
            <w:t>TU3 No Frequency Hopping</w:t>
            <w:tab/>
          </w:r>
          <w:hyperlink w:anchor="__RefHeading___Toc518035830">
            <w:r>
              <w:rPr>
                <w:rStyle w:val="IndexLink"/>
              </w:rPr>
              <w:t>164</w:t>
            </w:r>
          </w:hyperlink>
        </w:p>
        <w:p>
          <w:pPr>
            <w:pStyle w:val="Contents3"/>
            <w:rPr>
              <w:rFonts w:ascii="Calibri" w:hAnsi="Calibri" w:cs="Calibri"/>
              <w:sz w:val="22"/>
              <w:szCs w:val="22"/>
              <w:lang w:val="en-US" w:eastAsia="en-US"/>
            </w:rPr>
          </w:pPr>
          <w:r>
            <w:rPr/>
            <w:t>P.3.1.5</w:t>
          </w:r>
          <w:r>
            <w:rPr>
              <w:rFonts w:cs="Calibri" w:ascii="Calibri" w:hAnsi="Calibri"/>
              <w:sz w:val="22"/>
              <w:szCs w:val="22"/>
              <w:lang w:val="en-US" w:eastAsia="en-US"/>
            </w:rPr>
            <w:tab/>
          </w:r>
          <w:r>
            <w:rPr/>
            <w:t>RA250 No Frequency Hopping</w:t>
            <w:tab/>
          </w:r>
          <w:hyperlink w:anchor="__RefHeading___Toc518035831">
            <w:r>
              <w:rPr>
                <w:rStyle w:val="IndexLink"/>
              </w:rPr>
              <w:t>165</w:t>
            </w:r>
          </w:hyperlink>
        </w:p>
        <w:p>
          <w:pPr>
            <w:pStyle w:val="Contents2"/>
            <w:rPr>
              <w:rFonts w:ascii="Calibri" w:hAnsi="Calibri" w:cs="Calibri"/>
              <w:sz w:val="22"/>
              <w:szCs w:val="22"/>
              <w:lang w:val="en-US" w:eastAsia="en-US"/>
            </w:rPr>
          </w:pPr>
          <w:r>
            <w:rPr/>
            <w:t>P.3.2</w:t>
          </w:r>
          <w:r>
            <w:rPr>
              <w:rFonts w:cs="Calibri" w:ascii="Calibri" w:hAnsi="Calibri"/>
              <w:sz w:val="22"/>
              <w:szCs w:val="22"/>
              <w:lang w:val="en-US" w:eastAsia="en-US"/>
            </w:rPr>
            <w:tab/>
          </w:r>
          <w:r>
            <w:rPr/>
            <w:t>Sensitivity Simulations</w:t>
            <w:tab/>
          </w:r>
          <w:hyperlink w:anchor="__RefHeading___Toc518035832">
            <w:r>
              <w:rPr>
                <w:rStyle w:val="IndexLink"/>
              </w:rPr>
              <w:t>166</w:t>
            </w:r>
          </w:hyperlink>
        </w:p>
        <w:p>
          <w:pPr>
            <w:pStyle w:val="Contents3"/>
            <w:rPr>
              <w:rFonts w:ascii="Calibri" w:hAnsi="Calibri" w:cs="Calibri"/>
              <w:sz w:val="22"/>
              <w:szCs w:val="22"/>
              <w:lang w:val="en-US" w:eastAsia="en-US"/>
            </w:rPr>
          </w:pPr>
          <w:r>
            <w:rPr/>
            <w:t>P.3.2.1</w:t>
          </w:r>
          <w:r>
            <w:rPr>
              <w:rFonts w:cs="Calibri" w:ascii="Calibri" w:hAnsi="Calibri"/>
              <w:sz w:val="22"/>
              <w:szCs w:val="22"/>
              <w:lang w:val="en-US" w:eastAsia="en-US"/>
            </w:rPr>
            <w:tab/>
          </w:r>
          <w:r>
            <w:rPr/>
            <w:t>TU50 Ideal Frequency Hopping</w:t>
            <w:tab/>
          </w:r>
          <w:hyperlink w:anchor="__RefHeading___Toc518035833">
            <w:r>
              <w:rPr>
                <w:rStyle w:val="IndexLink"/>
              </w:rPr>
              <w:t>166</w:t>
            </w:r>
          </w:hyperlink>
        </w:p>
        <w:p>
          <w:pPr>
            <w:pStyle w:val="Contents3"/>
            <w:rPr>
              <w:rFonts w:ascii="Calibri" w:hAnsi="Calibri" w:cs="Calibri"/>
              <w:sz w:val="22"/>
              <w:szCs w:val="22"/>
              <w:lang w:val="en-US" w:eastAsia="en-US"/>
            </w:rPr>
          </w:pPr>
          <w:r>
            <w:rPr/>
            <w:t>P.3.2.2</w:t>
          </w:r>
          <w:r>
            <w:rPr>
              <w:rFonts w:cs="Calibri" w:ascii="Calibri" w:hAnsi="Calibri"/>
              <w:sz w:val="22"/>
              <w:szCs w:val="22"/>
              <w:lang w:val="en-US" w:eastAsia="en-US"/>
            </w:rPr>
            <w:tab/>
          </w:r>
          <w:r>
            <w:rPr/>
            <w:t>TU50 No Frequency Hopping</w:t>
            <w:tab/>
          </w:r>
          <w:hyperlink w:anchor="__RefHeading___Toc518035834">
            <w:r>
              <w:rPr>
                <w:rStyle w:val="IndexLink"/>
              </w:rPr>
              <w:t>167</w:t>
            </w:r>
          </w:hyperlink>
        </w:p>
        <w:p>
          <w:pPr>
            <w:pStyle w:val="Contents3"/>
            <w:rPr>
              <w:rFonts w:ascii="Calibri" w:hAnsi="Calibri" w:cs="Calibri"/>
              <w:sz w:val="22"/>
              <w:szCs w:val="22"/>
              <w:lang w:val="en-US" w:eastAsia="en-US"/>
            </w:rPr>
          </w:pPr>
          <w:r>
            <w:rPr/>
            <w:t>P.3.2.3</w:t>
          </w:r>
          <w:r>
            <w:rPr>
              <w:rFonts w:cs="Calibri" w:ascii="Calibri" w:hAnsi="Calibri"/>
              <w:sz w:val="22"/>
              <w:szCs w:val="22"/>
              <w:lang w:val="en-US" w:eastAsia="en-US"/>
            </w:rPr>
            <w:tab/>
          </w:r>
          <w:r>
            <w:rPr/>
            <w:t>HT100 No Frequency Hopping</w:t>
            <w:tab/>
          </w:r>
          <w:hyperlink w:anchor="__RefHeading___Toc518035835">
            <w:r>
              <w:rPr>
                <w:rStyle w:val="IndexLink"/>
              </w:rPr>
              <w:t>168</w:t>
            </w:r>
          </w:hyperlink>
        </w:p>
        <w:p>
          <w:pPr>
            <w:pStyle w:val="Contents3"/>
            <w:rPr>
              <w:rFonts w:ascii="Calibri" w:hAnsi="Calibri" w:cs="Calibri"/>
              <w:sz w:val="22"/>
              <w:szCs w:val="22"/>
              <w:lang w:val="en-US" w:eastAsia="en-US"/>
            </w:rPr>
          </w:pPr>
          <w:r>
            <w:rPr/>
            <w:t>P.3.2.4</w:t>
          </w:r>
          <w:r>
            <w:rPr>
              <w:rFonts w:cs="Calibri" w:ascii="Calibri" w:hAnsi="Calibri"/>
              <w:sz w:val="22"/>
              <w:szCs w:val="22"/>
              <w:lang w:val="en-US" w:eastAsia="en-US"/>
            </w:rPr>
            <w:tab/>
          </w:r>
          <w:r>
            <w:rPr/>
            <w:t>RA250 No Frequency Hopping</w:t>
            <w:tab/>
          </w:r>
          <w:hyperlink w:anchor="__RefHeading___Toc518035836">
            <w:r>
              <w:rPr>
                <w:rStyle w:val="IndexLink"/>
              </w:rPr>
              <w:t>169</w:t>
            </w:r>
          </w:hyperlink>
        </w:p>
        <w:p>
          <w:pPr>
            <w:pStyle w:val="Contents3"/>
            <w:rPr>
              <w:rFonts w:ascii="Calibri" w:hAnsi="Calibri" w:cs="Calibri"/>
              <w:sz w:val="22"/>
              <w:szCs w:val="22"/>
              <w:lang w:val="en-US" w:eastAsia="en-US"/>
            </w:rPr>
          </w:pPr>
          <w:r>
            <w:rPr/>
            <w:t>P.3.2.5</w:t>
          </w:r>
          <w:r>
            <w:rPr>
              <w:rFonts w:cs="Calibri" w:ascii="Calibri" w:hAnsi="Calibri"/>
              <w:sz w:val="22"/>
              <w:szCs w:val="22"/>
              <w:lang w:val="en-US" w:eastAsia="en-US"/>
            </w:rPr>
            <w:tab/>
          </w:r>
          <w:r>
            <w:rPr/>
            <w:t>Static Channel</w:t>
            <w:tab/>
          </w:r>
          <w:hyperlink w:anchor="__RefHeading___Toc518035837">
            <w:r>
              <w:rPr>
                <w:rStyle w:val="IndexLink"/>
              </w:rPr>
              <w:t>170</w:t>
            </w:r>
          </w:hyperlink>
        </w:p>
        <w:p>
          <w:pPr>
            <w:pStyle w:val="Contents9"/>
            <w:rPr>
              <w:rFonts w:ascii="Calibri" w:hAnsi="Calibri" w:cs="Calibri"/>
              <w:b w:val="false"/>
              <w:b w:val="false"/>
              <w:szCs w:val="22"/>
              <w:lang w:val="en-US" w:eastAsia="en-US"/>
            </w:rPr>
          </w:pPr>
          <w:r>
            <w:rPr/>
            <w:t>Annex Q:</w:t>
            <w:tab/>
            <w:t>Block Error Rate and USF Error Rate for GPRS, 1800 MHz</w:t>
            <w:tab/>
          </w:r>
          <w:hyperlink w:anchor="__RefHeading___Toc518035838">
            <w:r>
              <w:rPr>
                <w:rStyle w:val="IndexLink"/>
              </w:rPr>
              <w:t>171</w:t>
            </w:r>
          </w:hyperlink>
        </w:p>
        <w:p>
          <w:pPr>
            <w:pStyle w:val="Contents1"/>
            <w:rPr>
              <w:rFonts w:ascii="Calibri" w:hAnsi="Calibri" w:cs="Calibri"/>
              <w:szCs w:val="22"/>
              <w:lang w:val="en-US" w:eastAsia="en-US"/>
            </w:rPr>
          </w:pPr>
          <w:r>
            <w:rPr/>
            <w:t>Q.1</w:t>
          </w:r>
          <w:r>
            <w:rPr>
              <w:rFonts w:cs="Calibri" w:ascii="Calibri" w:hAnsi="Calibri"/>
              <w:szCs w:val="22"/>
              <w:lang w:val="en-US" w:eastAsia="en-US"/>
            </w:rPr>
            <w:tab/>
          </w:r>
          <w:r>
            <w:rPr/>
            <w:t>Introduction</w:t>
            <w:tab/>
          </w:r>
          <w:hyperlink w:anchor="__RefHeading___Toc518035839">
            <w:r>
              <w:rPr>
                <w:rStyle w:val="IndexLink"/>
              </w:rPr>
              <w:t>171</w:t>
            </w:r>
          </w:hyperlink>
        </w:p>
        <w:p>
          <w:pPr>
            <w:pStyle w:val="Contents1"/>
            <w:rPr>
              <w:rFonts w:ascii="Calibri" w:hAnsi="Calibri" w:cs="Calibri"/>
              <w:szCs w:val="22"/>
              <w:lang w:val="en-US" w:eastAsia="en-US"/>
            </w:rPr>
          </w:pPr>
          <w:r>
            <w:rPr/>
            <w:t>Q.2</w:t>
          </w:r>
          <w:r>
            <w:rPr>
              <w:rFonts w:cs="Calibri" w:ascii="Calibri" w:hAnsi="Calibri"/>
              <w:szCs w:val="22"/>
              <w:lang w:val="en-US" w:eastAsia="en-US"/>
            </w:rPr>
            <w:tab/>
          </w:r>
          <w:r>
            <w:rPr/>
            <w:t>Simulation Assumptions</w:t>
            <w:tab/>
          </w:r>
          <w:hyperlink w:anchor="__RefHeading___Toc518035840">
            <w:r>
              <w:rPr>
                <w:rStyle w:val="IndexLink"/>
              </w:rPr>
              <w:t>171</w:t>
            </w:r>
          </w:hyperlink>
        </w:p>
        <w:p>
          <w:pPr>
            <w:pStyle w:val="Contents1"/>
            <w:rPr>
              <w:rFonts w:ascii="Calibri" w:hAnsi="Calibri" w:cs="Calibri"/>
              <w:szCs w:val="22"/>
              <w:lang w:val="en-US" w:eastAsia="en-US"/>
            </w:rPr>
          </w:pPr>
          <w:r>
            <w:rPr/>
            <w:t>Q.3</w:t>
          </w:r>
          <w:r>
            <w:rPr>
              <w:rFonts w:cs="Calibri" w:ascii="Calibri" w:hAnsi="Calibri"/>
              <w:szCs w:val="22"/>
              <w:lang w:val="en-US" w:eastAsia="en-US"/>
            </w:rPr>
            <w:tab/>
          </w:r>
          <w:r>
            <w:rPr/>
            <w:t>Simulation Results</w:t>
            <w:tab/>
          </w:r>
          <w:hyperlink w:anchor="__RefHeading___Toc518035841">
            <w:r>
              <w:rPr>
                <w:rStyle w:val="IndexLink"/>
              </w:rPr>
              <w:t>172</w:t>
            </w:r>
          </w:hyperlink>
        </w:p>
        <w:p>
          <w:pPr>
            <w:pStyle w:val="Contents2"/>
            <w:rPr>
              <w:rFonts w:ascii="Calibri" w:hAnsi="Calibri" w:cs="Calibri"/>
              <w:sz w:val="22"/>
              <w:szCs w:val="22"/>
              <w:lang w:val="en-US" w:eastAsia="en-US"/>
            </w:rPr>
          </w:pPr>
          <w:r>
            <w:rPr/>
            <w:t>Q.3.1</w:t>
          </w:r>
          <w:r>
            <w:rPr>
              <w:rFonts w:cs="Calibri" w:ascii="Calibri" w:hAnsi="Calibri"/>
              <w:sz w:val="22"/>
              <w:szCs w:val="22"/>
              <w:lang w:val="en-US" w:eastAsia="en-US"/>
            </w:rPr>
            <w:tab/>
          </w:r>
          <w:r>
            <w:rPr/>
            <w:t>Interference Simulations, 1 800 MHz</w:t>
            <w:tab/>
          </w:r>
          <w:hyperlink w:anchor="__RefHeading___Toc518035842">
            <w:r>
              <w:rPr>
                <w:rStyle w:val="IndexLink"/>
              </w:rPr>
              <w:t>172</w:t>
            </w:r>
          </w:hyperlink>
        </w:p>
        <w:p>
          <w:pPr>
            <w:pStyle w:val="Contents3"/>
            <w:rPr>
              <w:rFonts w:ascii="Calibri" w:hAnsi="Calibri" w:cs="Calibri"/>
              <w:sz w:val="22"/>
              <w:szCs w:val="22"/>
              <w:lang w:val="en-US" w:eastAsia="en-US"/>
            </w:rPr>
          </w:pPr>
          <w:r>
            <w:rPr/>
            <w:t>Q.3.1.2</w:t>
          </w:r>
          <w:r>
            <w:rPr>
              <w:rFonts w:cs="Calibri" w:ascii="Calibri" w:hAnsi="Calibri"/>
              <w:sz w:val="22"/>
              <w:szCs w:val="22"/>
              <w:lang w:val="en-US" w:eastAsia="en-US"/>
            </w:rPr>
            <w:tab/>
          </w:r>
          <w:r>
            <w:rPr/>
            <w:t>TU50, Ideal Frequency Hopping</w:t>
            <w:tab/>
          </w:r>
          <w:hyperlink w:anchor="__RefHeading___Toc518035843">
            <w:r>
              <w:rPr>
                <w:rStyle w:val="IndexLink"/>
              </w:rPr>
              <w:t>172</w:t>
            </w:r>
          </w:hyperlink>
        </w:p>
        <w:p>
          <w:pPr>
            <w:pStyle w:val="Contents3"/>
            <w:rPr>
              <w:rFonts w:ascii="Calibri" w:hAnsi="Calibri" w:cs="Calibri"/>
              <w:sz w:val="22"/>
              <w:szCs w:val="22"/>
              <w:lang w:val="en-US" w:eastAsia="en-US"/>
            </w:rPr>
          </w:pPr>
          <w:r>
            <w:rPr/>
            <w:t>Q.3.1.3</w:t>
          </w:r>
          <w:r>
            <w:rPr>
              <w:rFonts w:cs="Calibri" w:ascii="Calibri" w:hAnsi="Calibri"/>
              <w:sz w:val="22"/>
              <w:szCs w:val="22"/>
              <w:lang w:val="en-US" w:eastAsia="en-US"/>
            </w:rPr>
            <w:tab/>
          </w:r>
          <w:r>
            <w:rPr/>
            <w:t>TU50 No Frequency Hopping</w:t>
            <w:tab/>
          </w:r>
          <w:hyperlink w:anchor="__RefHeading___Toc518035844">
            <w:r>
              <w:rPr>
                <w:rStyle w:val="IndexLink"/>
              </w:rPr>
              <w:t>173</w:t>
            </w:r>
          </w:hyperlink>
        </w:p>
        <w:p>
          <w:pPr>
            <w:pStyle w:val="Contents2"/>
            <w:rPr>
              <w:rFonts w:ascii="Calibri" w:hAnsi="Calibri" w:cs="Calibri"/>
              <w:sz w:val="22"/>
              <w:szCs w:val="22"/>
              <w:lang w:val="en-US" w:eastAsia="en-US"/>
            </w:rPr>
          </w:pPr>
          <w:r>
            <w:rPr/>
            <w:t>Q.3.2</w:t>
          </w:r>
          <w:r>
            <w:rPr>
              <w:rFonts w:cs="Calibri" w:ascii="Calibri" w:hAnsi="Calibri"/>
              <w:sz w:val="22"/>
              <w:szCs w:val="22"/>
              <w:lang w:val="en-US" w:eastAsia="en-US"/>
            </w:rPr>
            <w:tab/>
          </w:r>
          <w:r>
            <w:rPr/>
            <w:t>Sensitivity Simulations, 1800 MHz</w:t>
            <w:tab/>
          </w:r>
          <w:hyperlink w:anchor="__RefHeading___Toc518035845">
            <w:r>
              <w:rPr>
                <w:rStyle w:val="IndexLink"/>
              </w:rPr>
              <w:t>174</w:t>
            </w:r>
          </w:hyperlink>
        </w:p>
        <w:p>
          <w:pPr>
            <w:pStyle w:val="Contents3"/>
            <w:rPr>
              <w:rFonts w:ascii="Calibri" w:hAnsi="Calibri" w:cs="Calibri"/>
              <w:sz w:val="22"/>
              <w:szCs w:val="22"/>
              <w:lang w:val="en-US" w:eastAsia="en-US"/>
            </w:rPr>
          </w:pPr>
          <w:r>
            <w:rPr/>
            <w:t>Q.3.2.1</w:t>
          </w:r>
          <w:r>
            <w:rPr>
              <w:rFonts w:cs="Calibri" w:ascii="Calibri" w:hAnsi="Calibri"/>
              <w:sz w:val="22"/>
              <w:szCs w:val="22"/>
              <w:lang w:val="en-US" w:eastAsia="en-US"/>
            </w:rPr>
            <w:tab/>
          </w:r>
          <w:r>
            <w:rPr/>
            <w:t>TU50 Ideal Frequency Hopping</w:t>
            <w:tab/>
          </w:r>
          <w:hyperlink w:anchor="__RefHeading___Toc518035846">
            <w:r>
              <w:rPr>
                <w:rStyle w:val="IndexLink"/>
              </w:rPr>
              <w:t>174</w:t>
            </w:r>
          </w:hyperlink>
        </w:p>
        <w:p>
          <w:pPr>
            <w:pStyle w:val="Contents3"/>
            <w:rPr>
              <w:rFonts w:ascii="Calibri" w:hAnsi="Calibri" w:cs="Calibri"/>
              <w:sz w:val="22"/>
              <w:szCs w:val="22"/>
              <w:lang w:val="en-US" w:eastAsia="en-US"/>
            </w:rPr>
          </w:pPr>
          <w:r>
            <w:rPr/>
            <w:t>Q.3.2.2</w:t>
          </w:r>
          <w:r>
            <w:rPr>
              <w:rFonts w:cs="Calibri" w:ascii="Calibri" w:hAnsi="Calibri"/>
              <w:sz w:val="22"/>
              <w:szCs w:val="22"/>
              <w:lang w:val="en-US" w:eastAsia="en-US"/>
            </w:rPr>
            <w:tab/>
          </w:r>
          <w:r>
            <w:rPr/>
            <w:t>TU50 No Frequency Hopping</w:t>
            <w:tab/>
          </w:r>
          <w:hyperlink w:anchor="__RefHeading___Toc518035847">
            <w:r>
              <w:rPr>
                <w:rStyle w:val="IndexLink"/>
              </w:rPr>
              <w:t>175</w:t>
            </w:r>
          </w:hyperlink>
        </w:p>
        <w:p>
          <w:pPr>
            <w:pStyle w:val="Contents3"/>
            <w:rPr>
              <w:rFonts w:ascii="Calibri" w:hAnsi="Calibri" w:cs="Calibri"/>
              <w:sz w:val="22"/>
              <w:szCs w:val="22"/>
              <w:lang w:val="en-US" w:eastAsia="en-US"/>
            </w:rPr>
          </w:pPr>
          <w:r>
            <w:rPr/>
            <w:t>Q.3.2.3</w:t>
          </w:r>
          <w:r>
            <w:rPr>
              <w:rFonts w:cs="Calibri" w:ascii="Calibri" w:hAnsi="Calibri"/>
              <w:sz w:val="22"/>
              <w:szCs w:val="22"/>
              <w:lang w:val="en-US" w:eastAsia="en-US"/>
            </w:rPr>
            <w:tab/>
          </w:r>
          <w:r>
            <w:rPr/>
            <w:t>HT100 No Frequency Hopping</w:t>
            <w:tab/>
          </w:r>
          <w:hyperlink w:anchor="__RefHeading___Toc518035848">
            <w:r>
              <w:rPr>
                <w:rStyle w:val="IndexLink"/>
              </w:rPr>
              <w:t>176</w:t>
            </w:r>
          </w:hyperlink>
        </w:p>
        <w:p>
          <w:pPr>
            <w:pStyle w:val="Contents9"/>
            <w:rPr>
              <w:rFonts w:ascii="Calibri" w:hAnsi="Calibri" w:cs="Calibri"/>
              <w:b w:val="false"/>
              <w:b w:val="false"/>
              <w:szCs w:val="22"/>
              <w:lang w:val="en-US" w:eastAsia="en-US"/>
            </w:rPr>
          </w:pPr>
          <w:r>
            <w:rPr/>
            <w:t>Annex R:</w:t>
            <w:tab/>
            <w:t>Pico BTS RF Scenarios</w:t>
            <w:tab/>
          </w:r>
          <w:hyperlink w:anchor="__RefHeading___Toc518035849">
            <w:r>
              <w:rPr>
                <w:rStyle w:val="IndexLink"/>
              </w:rPr>
              <w:t>177</w:t>
            </w:r>
          </w:hyperlink>
        </w:p>
        <w:p>
          <w:pPr>
            <w:pStyle w:val="Contents1"/>
            <w:rPr>
              <w:rFonts w:ascii="Calibri" w:hAnsi="Calibri" w:cs="Calibri"/>
              <w:szCs w:val="22"/>
              <w:lang w:val="en-US" w:eastAsia="en-US"/>
            </w:rPr>
          </w:pPr>
          <w:r>
            <w:rPr/>
            <w:t>R.1</w:t>
          </w:r>
          <w:r>
            <w:rPr>
              <w:rFonts w:cs="Calibri" w:ascii="Calibri" w:hAnsi="Calibri"/>
              <w:szCs w:val="22"/>
              <w:lang w:val="en-US" w:eastAsia="en-US"/>
            </w:rPr>
            <w:tab/>
          </w:r>
          <w:r>
            <w:rPr/>
            <w:t>Introduction</w:t>
            <w:tab/>
          </w:r>
          <w:hyperlink w:anchor="__RefHeading___Toc518035850">
            <w:r>
              <w:rPr>
                <w:rStyle w:val="IndexLink"/>
              </w:rPr>
              <w:t>177</w:t>
            </w:r>
          </w:hyperlink>
        </w:p>
        <w:p>
          <w:pPr>
            <w:pStyle w:val="Contents1"/>
            <w:rPr>
              <w:rFonts w:ascii="Calibri" w:hAnsi="Calibri" w:cs="Calibri"/>
              <w:szCs w:val="22"/>
              <w:lang w:val="en-US" w:eastAsia="en-US"/>
            </w:rPr>
          </w:pPr>
          <w:r>
            <w:rPr/>
            <w:t>R.2</w:t>
          </w:r>
          <w:r>
            <w:rPr>
              <w:rFonts w:cs="Calibri" w:ascii="Calibri" w:hAnsi="Calibri"/>
              <w:szCs w:val="22"/>
              <w:lang w:val="en-US" w:eastAsia="en-US"/>
            </w:rPr>
            <w:tab/>
          </w:r>
          <w:r>
            <w:rPr/>
            <w:t>Fixed parameters</w:t>
            <w:tab/>
          </w:r>
          <w:hyperlink w:anchor="__RefHeading___Toc518035851">
            <w:r>
              <w:rPr>
                <w:rStyle w:val="IndexLink"/>
              </w:rPr>
              <w:t>177</w:t>
            </w:r>
          </w:hyperlink>
        </w:p>
        <w:p>
          <w:pPr>
            <w:pStyle w:val="Contents1"/>
            <w:rPr>
              <w:rFonts w:ascii="Calibri" w:hAnsi="Calibri" w:cs="Calibri"/>
              <w:szCs w:val="22"/>
              <w:lang w:val="en-US" w:eastAsia="en-US"/>
            </w:rPr>
          </w:pPr>
          <w:r>
            <w:rPr/>
            <w:t>R.3</w:t>
          </w:r>
          <w:r>
            <w:rPr>
              <w:rFonts w:cs="Calibri" w:ascii="Calibri" w:hAnsi="Calibri"/>
              <w:szCs w:val="22"/>
              <w:lang w:val="en-US" w:eastAsia="en-US"/>
            </w:rPr>
            <w:tab/>
          </w:r>
          <w:r>
            <w:rPr/>
            <w:t>Maximum BTS Output Power</w:t>
            <w:tab/>
          </w:r>
          <w:hyperlink w:anchor="__RefHeading___Toc518035852">
            <w:r>
              <w:rPr>
                <w:rStyle w:val="IndexLink"/>
              </w:rPr>
              <w:t>178</w:t>
            </w:r>
          </w:hyperlink>
        </w:p>
        <w:p>
          <w:pPr>
            <w:pStyle w:val="Contents1"/>
            <w:rPr>
              <w:rFonts w:ascii="Calibri" w:hAnsi="Calibri" w:cs="Calibri"/>
              <w:szCs w:val="22"/>
              <w:lang w:val="en-US" w:eastAsia="en-US"/>
            </w:rPr>
          </w:pPr>
          <w:r>
            <w:rPr/>
            <w:t>R.4</w:t>
          </w:r>
          <w:r>
            <w:rPr>
              <w:rFonts w:cs="Calibri" w:ascii="Calibri" w:hAnsi="Calibri"/>
              <w:szCs w:val="22"/>
              <w:lang w:val="en-US" w:eastAsia="en-US"/>
            </w:rPr>
            <w:tab/>
          </w:r>
          <w:r>
            <w:rPr/>
            <w:t>BTS Receiver Sensitivity</w:t>
            <w:tab/>
          </w:r>
          <w:hyperlink w:anchor="__RefHeading___Toc518035853">
            <w:r>
              <w:rPr>
                <w:rStyle w:val="IndexLink"/>
              </w:rPr>
              <w:t>179</w:t>
            </w:r>
          </w:hyperlink>
        </w:p>
        <w:p>
          <w:pPr>
            <w:pStyle w:val="Contents2"/>
            <w:rPr>
              <w:rFonts w:ascii="Calibri" w:hAnsi="Calibri" w:cs="Calibri"/>
              <w:sz w:val="22"/>
              <w:szCs w:val="22"/>
              <w:lang w:val="en-US" w:eastAsia="en-US"/>
            </w:rPr>
          </w:pPr>
          <w:r>
            <w:rPr/>
            <w:t>R.4.1</w:t>
          </w:r>
          <w:r>
            <w:rPr>
              <w:rFonts w:cs="Calibri" w:ascii="Calibri" w:hAnsi="Calibri"/>
              <w:sz w:val="22"/>
              <w:szCs w:val="22"/>
              <w:lang w:val="en-US" w:eastAsia="en-US"/>
            </w:rPr>
            <w:tab/>
          </w:r>
          <w:r>
            <w:rPr/>
            <w:t>Balanced link (zero interference scenario)</w:t>
            <w:tab/>
          </w:r>
          <w:hyperlink w:anchor="__RefHeading___Toc518035854">
            <w:r>
              <w:rPr>
                <w:rStyle w:val="IndexLink"/>
              </w:rPr>
              <w:t>179</w:t>
            </w:r>
          </w:hyperlink>
        </w:p>
        <w:p>
          <w:pPr>
            <w:pStyle w:val="Contents2"/>
            <w:rPr>
              <w:rFonts w:ascii="Calibri" w:hAnsi="Calibri" w:cs="Calibri"/>
              <w:sz w:val="22"/>
              <w:szCs w:val="22"/>
              <w:lang w:val="en-US" w:eastAsia="en-US"/>
            </w:rPr>
          </w:pPr>
          <w:r>
            <w:rPr/>
            <w:t>R.4.2</w:t>
          </w:r>
          <w:r>
            <w:rPr>
              <w:rFonts w:cs="Calibri" w:ascii="Calibri" w:hAnsi="Calibri"/>
              <w:sz w:val="22"/>
              <w:szCs w:val="22"/>
              <w:lang w:val="en-US" w:eastAsia="en-US"/>
            </w:rPr>
            <w:tab/>
          </w:r>
          <w:r>
            <w:rPr/>
            <w:t>Interferer at MCL scenario</w:t>
            <w:tab/>
          </w:r>
          <w:hyperlink w:anchor="__RefHeading___Toc518035855">
            <w:r>
              <w:rPr>
                <w:rStyle w:val="IndexLink"/>
              </w:rPr>
              <w:t>179</w:t>
            </w:r>
          </w:hyperlink>
        </w:p>
        <w:p>
          <w:pPr>
            <w:pStyle w:val="Contents2"/>
            <w:rPr>
              <w:rFonts w:ascii="Calibri" w:hAnsi="Calibri" w:cs="Calibri"/>
              <w:sz w:val="22"/>
              <w:szCs w:val="22"/>
              <w:lang w:val="en-US" w:eastAsia="en-US"/>
            </w:rPr>
          </w:pPr>
          <w:r>
            <w:rPr/>
            <w:t>R.4.3</w:t>
          </w:r>
          <w:r>
            <w:rPr>
              <w:rFonts w:cs="Calibri" w:ascii="Calibri" w:hAnsi="Calibri"/>
              <w:sz w:val="22"/>
              <w:szCs w:val="22"/>
            </w:rPr>
            <w:tab/>
          </w:r>
          <w:r>
            <w:rPr>
              <w:lang w:val="it-IT" w:eastAsia="en-US"/>
            </w:rPr>
            <w:t>Power control (zero interference scenario)</w:t>
          </w:r>
          <w:r>
            <w:rPr/>
            <w:tab/>
          </w:r>
          <w:hyperlink w:anchor="__RefHeading___Toc518035856">
            <w:r>
              <w:rPr>
                <w:rStyle w:val="IndexLink"/>
              </w:rPr>
              <w:t>180</w:t>
            </w:r>
          </w:hyperlink>
        </w:p>
        <w:p>
          <w:pPr>
            <w:pStyle w:val="Contents2"/>
            <w:rPr>
              <w:rFonts w:ascii="Calibri" w:hAnsi="Calibri" w:cs="Calibri"/>
              <w:sz w:val="22"/>
              <w:szCs w:val="22"/>
              <w:lang w:val="en-US" w:eastAsia="en-US"/>
            </w:rPr>
          </w:pPr>
          <w:r>
            <w:rPr/>
            <w:t>R.4.4</w:t>
          </w:r>
          <w:r>
            <w:rPr>
              <w:rFonts w:cs="Calibri" w:ascii="Calibri" w:hAnsi="Calibri"/>
              <w:sz w:val="22"/>
              <w:szCs w:val="22"/>
              <w:lang w:val="en-US" w:eastAsia="en-US"/>
            </w:rPr>
            <w:tab/>
          </w:r>
          <w:r>
            <w:rPr/>
            <w:t>Sensitivity overview</w:t>
            <w:tab/>
          </w:r>
          <w:hyperlink w:anchor="__RefHeading___Toc518035857">
            <w:r>
              <w:rPr>
                <w:rStyle w:val="IndexLink"/>
              </w:rPr>
              <w:t>180</w:t>
            </w:r>
          </w:hyperlink>
        </w:p>
        <w:p>
          <w:pPr>
            <w:pStyle w:val="Contents1"/>
            <w:rPr>
              <w:rFonts w:ascii="Calibri" w:hAnsi="Calibri" w:cs="Calibri"/>
              <w:szCs w:val="22"/>
              <w:lang w:val="en-US" w:eastAsia="en-US"/>
            </w:rPr>
          </w:pPr>
          <w:r>
            <w:rPr/>
            <w:t>R.5</w:t>
          </w:r>
          <w:r>
            <w:rPr>
              <w:rFonts w:cs="Calibri" w:ascii="Calibri" w:hAnsi="Calibri"/>
              <w:szCs w:val="22"/>
              <w:lang w:val="en-US" w:eastAsia="en-US"/>
            </w:rPr>
            <w:tab/>
          </w:r>
          <w:r>
            <w:rPr/>
            <w:t>BTS Power Control Range</w:t>
            <w:tab/>
          </w:r>
          <w:hyperlink w:anchor="__RefHeading___Toc518035858">
            <w:r>
              <w:rPr>
                <w:rStyle w:val="IndexLink"/>
              </w:rPr>
              <w:t>180</w:t>
            </w:r>
          </w:hyperlink>
        </w:p>
        <w:p>
          <w:pPr>
            <w:pStyle w:val="Contents1"/>
            <w:rPr>
              <w:rFonts w:ascii="Calibri" w:hAnsi="Calibri" w:cs="Calibri"/>
              <w:szCs w:val="22"/>
              <w:lang w:val="en-US" w:eastAsia="en-US"/>
            </w:rPr>
          </w:pPr>
          <w:r>
            <w:rPr/>
            <w:t>R.6</w:t>
          </w:r>
          <w:r>
            <w:rPr>
              <w:rFonts w:cs="Calibri" w:ascii="Calibri" w:hAnsi="Calibri"/>
              <w:szCs w:val="22"/>
              <w:lang w:val="en-US" w:eastAsia="en-US"/>
            </w:rPr>
            <w:tab/>
          </w:r>
          <w:r>
            <w:rPr/>
            <w:t>BTS Spectrum due to modulation and wideband noise</w:t>
            <w:tab/>
          </w:r>
          <w:hyperlink w:anchor="__RefHeading___Toc518035859">
            <w:r>
              <w:rPr>
                <w:rStyle w:val="IndexLink"/>
              </w:rPr>
              <w:t>180</w:t>
            </w:r>
          </w:hyperlink>
        </w:p>
        <w:p>
          <w:pPr>
            <w:pStyle w:val="Contents1"/>
            <w:rPr>
              <w:rFonts w:ascii="Calibri" w:hAnsi="Calibri" w:cs="Calibri"/>
              <w:szCs w:val="22"/>
              <w:lang w:val="en-US" w:eastAsia="en-US"/>
            </w:rPr>
          </w:pPr>
          <w:r>
            <w:rPr/>
            <w:t>R.7</w:t>
          </w:r>
          <w:r>
            <w:rPr>
              <w:rFonts w:cs="Calibri" w:ascii="Calibri" w:hAnsi="Calibri"/>
              <w:szCs w:val="22"/>
              <w:lang w:val="en-US" w:eastAsia="en-US"/>
            </w:rPr>
            <w:tab/>
          </w:r>
          <w:r>
            <w:rPr/>
            <w:t>Spurious Emissions</w:t>
            <w:tab/>
          </w:r>
          <w:hyperlink w:anchor="__RefHeading___Toc518035860">
            <w:r>
              <w:rPr>
                <w:rStyle w:val="IndexLink"/>
              </w:rPr>
              <w:t>181</w:t>
            </w:r>
          </w:hyperlink>
        </w:p>
        <w:p>
          <w:pPr>
            <w:pStyle w:val="Contents1"/>
            <w:rPr>
              <w:rFonts w:ascii="Calibri" w:hAnsi="Calibri" w:cs="Calibri"/>
              <w:szCs w:val="22"/>
              <w:lang w:val="en-US" w:eastAsia="en-US"/>
            </w:rPr>
          </w:pPr>
          <w:r>
            <w:rPr/>
            <w:t>R.8</w:t>
          </w:r>
          <w:r>
            <w:rPr>
              <w:rFonts w:cs="Calibri" w:ascii="Calibri" w:hAnsi="Calibri"/>
              <w:szCs w:val="22"/>
              <w:lang w:val="en-US" w:eastAsia="en-US"/>
            </w:rPr>
            <w:tab/>
          </w:r>
          <w:r>
            <w:rPr/>
            <w:t>Radio Frequency Tolerance</w:t>
            <w:tab/>
          </w:r>
          <w:hyperlink w:anchor="__RefHeading___Toc518035861">
            <w:r>
              <w:rPr>
                <w:rStyle w:val="IndexLink"/>
              </w:rPr>
              <w:t>181</w:t>
            </w:r>
          </w:hyperlink>
        </w:p>
        <w:p>
          <w:pPr>
            <w:pStyle w:val="Contents1"/>
            <w:rPr>
              <w:rFonts w:ascii="Calibri" w:hAnsi="Calibri" w:cs="Calibri"/>
              <w:szCs w:val="22"/>
              <w:lang w:val="en-US" w:eastAsia="en-US"/>
            </w:rPr>
          </w:pPr>
          <w:r>
            <w:rPr/>
            <w:t>R.9</w:t>
          </w:r>
          <w:r>
            <w:rPr>
              <w:rFonts w:cs="Calibri" w:ascii="Calibri" w:hAnsi="Calibri"/>
              <w:szCs w:val="22"/>
              <w:lang w:val="en-US" w:eastAsia="en-US"/>
            </w:rPr>
            <w:tab/>
          </w:r>
          <w:r>
            <w:rPr/>
            <w:t>Blocking Characteristics</w:t>
            <w:tab/>
          </w:r>
          <w:hyperlink w:anchor="__RefHeading___Toc518035862">
            <w:r>
              <w:rPr>
                <w:rStyle w:val="IndexLink"/>
              </w:rPr>
              <w:t>182</w:t>
            </w:r>
          </w:hyperlink>
        </w:p>
        <w:p>
          <w:pPr>
            <w:pStyle w:val="Contents1"/>
            <w:rPr>
              <w:rFonts w:ascii="Calibri" w:hAnsi="Calibri" w:cs="Calibri"/>
              <w:szCs w:val="22"/>
              <w:lang w:val="en-US" w:eastAsia="en-US"/>
            </w:rPr>
          </w:pPr>
          <w:r>
            <w:rPr/>
            <w:t>R.10</w:t>
          </w:r>
          <w:r>
            <w:rPr>
              <w:rFonts w:cs="Calibri" w:ascii="Calibri" w:hAnsi="Calibri"/>
              <w:szCs w:val="22"/>
              <w:lang w:val="en-US" w:eastAsia="en-US"/>
            </w:rPr>
            <w:tab/>
          </w:r>
          <w:r>
            <w:rPr/>
            <w:t>pico- BTS AM suppression characteristics</w:t>
            <w:tab/>
          </w:r>
          <w:hyperlink w:anchor="__RefHeading___Toc518035863">
            <w:r>
              <w:rPr>
                <w:rStyle w:val="IndexLink"/>
              </w:rPr>
              <w:t>183</w:t>
            </w:r>
          </w:hyperlink>
        </w:p>
        <w:p>
          <w:pPr>
            <w:pStyle w:val="Contents2"/>
            <w:rPr>
              <w:rFonts w:ascii="Calibri" w:hAnsi="Calibri" w:cs="Calibri"/>
              <w:sz w:val="22"/>
              <w:szCs w:val="22"/>
              <w:lang w:val="en-US" w:eastAsia="en-US"/>
            </w:rPr>
          </w:pPr>
          <w:r>
            <w:rPr/>
            <w:t>R.10.1</w:t>
          </w:r>
          <w:r>
            <w:rPr>
              <w:rFonts w:cs="Calibri" w:ascii="Calibri" w:hAnsi="Calibri"/>
              <w:sz w:val="22"/>
              <w:szCs w:val="22"/>
              <w:lang w:val="en-US" w:eastAsia="en-US"/>
            </w:rPr>
            <w:tab/>
          </w:r>
          <w:r>
            <w:rPr/>
            <w:t>Modulation sidebands</w:t>
            <w:tab/>
          </w:r>
          <w:hyperlink w:anchor="__RefHeading___Toc518035864">
            <w:r>
              <w:rPr>
                <w:rStyle w:val="IndexLink"/>
              </w:rPr>
              <w:t>184</w:t>
            </w:r>
          </w:hyperlink>
        </w:p>
        <w:p>
          <w:pPr>
            <w:pStyle w:val="Contents3"/>
            <w:rPr>
              <w:rFonts w:ascii="Calibri" w:hAnsi="Calibri" w:cs="Calibri"/>
              <w:sz w:val="22"/>
              <w:szCs w:val="22"/>
              <w:lang w:val="en-US" w:eastAsia="en-US"/>
            </w:rPr>
          </w:pPr>
          <w:r>
            <w:rPr/>
            <w:t>R.10.1.1</w:t>
          </w:r>
          <w:r>
            <w:rPr>
              <w:rFonts w:cs="Calibri" w:ascii="Calibri" w:hAnsi="Calibri"/>
              <w:sz w:val="22"/>
              <w:szCs w:val="22"/>
              <w:lang w:val="en-US" w:eastAsia="en-US"/>
            </w:rPr>
            <w:tab/>
          </w:r>
          <w:r>
            <w:rPr/>
            <w:t>Uncoordinated BTS-&gt;MS</w:t>
            <w:tab/>
          </w:r>
          <w:hyperlink w:anchor="__RefHeading___Toc518035865">
            <w:r>
              <w:rPr>
                <w:rStyle w:val="IndexLink"/>
              </w:rPr>
              <w:t>184</w:t>
            </w:r>
          </w:hyperlink>
        </w:p>
        <w:p>
          <w:pPr>
            <w:pStyle w:val="Contents3"/>
            <w:rPr>
              <w:rFonts w:ascii="Calibri" w:hAnsi="Calibri" w:cs="Calibri"/>
              <w:sz w:val="22"/>
              <w:szCs w:val="22"/>
              <w:lang w:val="en-US" w:eastAsia="en-US"/>
            </w:rPr>
          </w:pPr>
          <w:r>
            <w:rPr/>
            <w:t>R.10.1.2</w:t>
          </w:r>
          <w:r>
            <w:rPr>
              <w:rFonts w:cs="Calibri" w:ascii="Calibri" w:hAnsi="Calibri"/>
              <w:sz w:val="22"/>
              <w:szCs w:val="22"/>
              <w:lang w:val="en-US" w:eastAsia="en-US"/>
            </w:rPr>
            <w:tab/>
          </w:r>
          <w:r>
            <w:rPr/>
            <w:t>Uncoordinated MS-&gt;BTS</w:t>
            <w:tab/>
          </w:r>
          <w:hyperlink w:anchor="__RefHeading___Toc518035866">
            <w:r>
              <w:rPr>
                <w:rStyle w:val="IndexLink"/>
              </w:rPr>
              <w:t>184</w:t>
            </w:r>
          </w:hyperlink>
        </w:p>
        <w:p>
          <w:pPr>
            <w:pStyle w:val="Contents2"/>
            <w:rPr>
              <w:rFonts w:ascii="Calibri" w:hAnsi="Calibri" w:cs="Calibri"/>
              <w:sz w:val="22"/>
              <w:szCs w:val="22"/>
              <w:lang w:val="en-US" w:eastAsia="en-US"/>
            </w:rPr>
          </w:pPr>
          <w:r>
            <w:rPr/>
            <w:t>R.10.2</w:t>
          </w:r>
          <w:r>
            <w:rPr>
              <w:rFonts w:cs="Calibri" w:ascii="Calibri" w:hAnsi="Calibri"/>
              <w:sz w:val="22"/>
              <w:szCs w:val="22"/>
              <w:lang w:val="en-US" w:eastAsia="en-US"/>
            </w:rPr>
            <w:tab/>
          </w:r>
          <w:r>
            <w:rPr/>
            <w:t>Switching transients</w:t>
            <w:tab/>
          </w:r>
          <w:hyperlink w:anchor="__RefHeading___Toc518035867">
            <w:r>
              <w:rPr>
                <w:rStyle w:val="IndexLink"/>
              </w:rPr>
              <w:t>184</w:t>
            </w:r>
          </w:hyperlink>
        </w:p>
        <w:p>
          <w:pPr>
            <w:pStyle w:val="Contents3"/>
            <w:rPr>
              <w:rFonts w:ascii="Calibri" w:hAnsi="Calibri" w:cs="Calibri"/>
              <w:sz w:val="22"/>
              <w:szCs w:val="22"/>
              <w:lang w:val="en-US" w:eastAsia="en-US"/>
            </w:rPr>
          </w:pPr>
          <w:r>
            <w:rPr/>
            <w:t>R.10.2.1</w:t>
          </w:r>
          <w:r>
            <w:rPr>
              <w:rFonts w:cs="Calibri" w:ascii="Calibri" w:hAnsi="Calibri"/>
              <w:sz w:val="22"/>
              <w:szCs w:val="22"/>
              <w:lang w:val="en-US" w:eastAsia="en-US"/>
            </w:rPr>
            <w:tab/>
          </w:r>
          <w:r>
            <w:rPr/>
            <w:t>Uncoordinated BTS-&gt;MS</w:t>
            <w:tab/>
          </w:r>
          <w:hyperlink w:anchor="__RefHeading___Toc518035868">
            <w:r>
              <w:rPr>
                <w:rStyle w:val="IndexLink"/>
              </w:rPr>
              <w:t>184</w:t>
            </w:r>
          </w:hyperlink>
        </w:p>
        <w:p>
          <w:pPr>
            <w:pStyle w:val="Contents3"/>
            <w:rPr>
              <w:rFonts w:ascii="Calibri" w:hAnsi="Calibri" w:cs="Calibri"/>
              <w:sz w:val="22"/>
              <w:szCs w:val="22"/>
              <w:lang w:val="en-US" w:eastAsia="en-US"/>
            </w:rPr>
          </w:pPr>
          <w:r>
            <w:rPr/>
            <w:t>R.10.2.2</w:t>
          </w:r>
          <w:r>
            <w:rPr>
              <w:rFonts w:cs="Calibri" w:ascii="Calibri" w:hAnsi="Calibri"/>
              <w:sz w:val="22"/>
              <w:szCs w:val="22"/>
              <w:lang w:val="en-US" w:eastAsia="en-US"/>
            </w:rPr>
            <w:tab/>
          </w:r>
          <w:r>
            <w:rPr/>
            <w:t>Uncoordinated MS-&gt;BTS</w:t>
            <w:tab/>
          </w:r>
          <w:hyperlink w:anchor="__RefHeading___Toc518035869">
            <w:r>
              <w:rPr>
                <w:rStyle w:val="IndexLink"/>
              </w:rPr>
              <w:t>184</w:t>
            </w:r>
          </w:hyperlink>
        </w:p>
        <w:p>
          <w:pPr>
            <w:pStyle w:val="Contents2"/>
            <w:rPr>
              <w:rFonts w:ascii="Calibri" w:hAnsi="Calibri" w:cs="Calibri"/>
              <w:sz w:val="22"/>
              <w:szCs w:val="22"/>
              <w:lang w:val="en-US" w:eastAsia="en-US"/>
            </w:rPr>
          </w:pPr>
          <w:r>
            <w:rPr/>
            <w:t>R.10.3</w:t>
          </w:r>
          <w:r>
            <w:rPr>
              <w:rFonts w:cs="Calibri" w:ascii="Calibri" w:hAnsi="Calibri"/>
              <w:sz w:val="22"/>
              <w:szCs w:val="22"/>
              <w:lang w:val="en-US" w:eastAsia="en-US"/>
            </w:rPr>
            <w:tab/>
          </w:r>
          <w:r>
            <w:rPr/>
            <w:t>Blocking</w:t>
            <w:tab/>
          </w:r>
          <w:hyperlink w:anchor="__RefHeading___Toc518035870">
            <w:r>
              <w:rPr>
                <w:rStyle w:val="IndexLink"/>
              </w:rPr>
              <w:t>185</w:t>
            </w:r>
          </w:hyperlink>
        </w:p>
        <w:p>
          <w:pPr>
            <w:pStyle w:val="Contents3"/>
            <w:rPr>
              <w:rFonts w:ascii="Calibri" w:hAnsi="Calibri" w:cs="Calibri"/>
              <w:sz w:val="22"/>
              <w:szCs w:val="22"/>
              <w:lang w:val="en-US" w:eastAsia="en-US"/>
            </w:rPr>
          </w:pPr>
          <w:r>
            <w:rPr/>
            <w:t>R.10.3.1</w:t>
          </w:r>
          <w:r>
            <w:rPr>
              <w:rFonts w:cs="Calibri" w:ascii="Calibri" w:hAnsi="Calibri"/>
              <w:sz w:val="22"/>
              <w:szCs w:val="22"/>
              <w:lang w:val="en-US" w:eastAsia="en-US"/>
            </w:rPr>
            <w:tab/>
          </w:r>
          <w:r>
            <w:rPr/>
            <w:t>Uncoordinated BTS-&gt;MS</w:t>
            <w:tab/>
          </w:r>
          <w:hyperlink w:anchor="__RefHeading___Toc518035871">
            <w:r>
              <w:rPr>
                <w:rStyle w:val="IndexLink"/>
              </w:rPr>
              <w:t>185</w:t>
            </w:r>
          </w:hyperlink>
        </w:p>
        <w:p>
          <w:pPr>
            <w:pStyle w:val="Contents3"/>
            <w:rPr>
              <w:rFonts w:ascii="Calibri" w:hAnsi="Calibri" w:cs="Calibri"/>
              <w:sz w:val="22"/>
              <w:szCs w:val="22"/>
              <w:lang w:val="en-US" w:eastAsia="en-US"/>
            </w:rPr>
          </w:pPr>
          <w:r>
            <w:rPr/>
            <w:t>R.10.3.2</w:t>
          </w:r>
          <w:r>
            <w:rPr>
              <w:rFonts w:cs="Calibri" w:ascii="Calibri" w:hAnsi="Calibri"/>
              <w:sz w:val="22"/>
              <w:szCs w:val="22"/>
              <w:lang w:val="en-US" w:eastAsia="en-US"/>
            </w:rPr>
            <w:tab/>
          </w:r>
          <w:r>
            <w:rPr/>
            <w:t>Uncoordinated MS-&gt;BTS</w:t>
            <w:tab/>
          </w:r>
          <w:hyperlink w:anchor="__RefHeading___Toc518035872">
            <w:r>
              <w:rPr>
                <w:rStyle w:val="IndexLink"/>
              </w:rPr>
              <w:t>185</w:t>
            </w:r>
          </w:hyperlink>
        </w:p>
        <w:p>
          <w:pPr>
            <w:pStyle w:val="Contents2"/>
            <w:rPr>
              <w:rFonts w:ascii="Calibri" w:hAnsi="Calibri" w:cs="Calibri"/>
              <w:sz w:val="22"/>
              <w:szCs w:val="22"/>
              <w:lang w:val="en-US" w:eastAsia="en-US"/>
            </w:rPr>
          </w:pPr>
          <w:r>
            <w:rPr/>
            <w:t>R.10.4</w:t>
          </w:r>
          <w:r>
            <w:rPr>
              <w:rFonts w:cs="Calibri" w:ascii="Calibri" w:hAnsi="Calibri"/>
              <w:sz w:val="22"/>
              <w:szCs w:val="22"/>
              <w:lang w:val="en-US" w:eastAsia="en-US"/>
            </w:rPr>
            <w:tab/>
          </w:r>
          <w:r>
            <w:rPr/>
            <w:t>The AM suppression requirement</w:t>
            <w:tab/>
          </w:r>
          <w:hyperlink w:anchor="__RefHeading___Toc518035873">
            <w:r>
              <w:rPr>
                <w:rStyle w:val="IndexLink"/>
              </w:rPr>
              <w:t>185</w:t>
            </w:r>
          </w:hyperlink>
        </w:p>
        <w:p>
          <w:pPr>
            <w:pStyle w:val="Contents3"/>
            <w:rPr>
              <w:rFonts w:ascii="Calibri" w:hAnsi="Calibri" w:cs="Calibri"/>
              <w:sz w:val="22"/>
              <w:szCs w:val="22"/>
              <w:lang w:val="en-US" w:eastAsia="en-US"/>
            </w:rPr>
          </w:pPr>
          <w:r>
            <w:rPr/>
            <w:t>R.10.4.1</w:t>
          </w:r>
          <w:r>
            <w:rPr>
              <w:rFonts w:cs="Calibri" w:ascii="Calibri" w:hAnsi="Calibri"/>
              <w:sz w:val="22"/>
              <w:szCs w:val="22"/>
              <w:lang w:val="en-US" w:eastAsia="en-US"/>
            </w:rPr>
            <w:tab/>
          </w:r>
          <w:r>
            <w:rPr/>
            <w:t>Downlink, BTS-&gt;MS</w:t>
            <w:tab/>
          </w:r>
          <w:hyperlink w:anchor="__RefHeading___Toc518035874">
            <w:r>
              <w:rPr>
                <w:rStyle w:val="IndexLink"/>
              </w:rPr>
              <w:t>185</w:t>
            </w:r>
          </w:hyperlink>
        </w:p>
        <w:p>
          <w:pPr>
            <w:pStyle w:val="Contents3"/>
            <w:rPr>
              <w:rFonts w:ascii="Calibri" w:hAnsi="Calibri" w:cs="Calibri"/>
              <w:sz w:val="22"/>
              <w:szCs w:val="22"/>
              <w:lang w:val="en-US" w:eastAsia="en-US"/>
            </w:rPr>
          </w:pPr>
          <w:r>
            <w:rPr/>
            <w:t>R.10.4.2</w:t>
          </w:r>
          <w:r>
            <w:rPr>
              <w:rFonts w:cs="Calibri" w:ascii="Calibri" w:hAnsi="Calibri"/>
              <w:sz w:val="22"/>
              <w:szCs w:val="22"/>
              <w:lang w:val="en-US" w:eastAsia="en-US"/>
            </w:rPr>
            <w:tab/>
          </w:r>
          <w:r>
            <w:rPr/>
            <w:t>Uplink, MS-&gt;BTS</w:t>
            <w:tab/>
          </w:r>
          <w:hyperlink w:anchor="__RefHeading___Toc518035875">
            <w:r>
              <w:rPr>
                <w:rStyle w:val="IndexLink"/>
              </w:rPr>
              <w:t>185</w:t>
            </w:r>
          </w:hyperlink>
        </w:p>
        <w:p>
          <w:pPr>
            <w:pStyle w:val="Contents3"/>
            <w:rPr>
              <w:rFonts w:ascii="Calibri" w:hAnsi="Calibri" w:cs="Calibri"/>
              <w:sz w:val="22"/>
              <w:szCs w:val="22"/>
              <w:lang w:val="en-US" w:eastAsia="en-US"/>
            </w:rPr>
          </w:pPr>
          <w:r>
            <w:rPr/>
            <w:t>R.10.4.3</w:t>
          </w:r>
          <w:r>
            <w:rPr>
              <w:rFonts w:cs="Calibri" w:ascii="Calibri" w:hAnsi="Calibri"/>
              <w:sz w:val="22"/>
              <w:szCs w:val="22"/>
              <w:lang w:val="en-US" w:eastAsia="en-US"/>
            </w:rPr>
            <w:tab/>
          </w:r>
          <w:r>
            <w:rPr/>
            <w:t>Interference levels</w:t>
            <w:tab/>
          </w:r>
          <w:hyperlink w:anchor="__RefHeading___Toc518035876">
            <w:r>
              <w:rPr>
                <w:rStyle w:val="IndexLink"/>
              </w:rPr>
              <w:t>186</w:t>
            </w:r>
          </w:hyperlink>
        </w:p>
        <w:p>
          <w:pPr>
            <w:pStyle w:val="Contents1"/>
            <w:rPr>
              <w:rFonts w:ascii="Calibri" w:hAnsi="Calibri" w:cs="Calibri"/>
              <w:szCs w:val="22"/>
              <w:lang w:val="en-US" w:eastAsia="en-US"/>
            </w:rPr>
          </w:pPr>
          <w:r>
            <w:rPr/>
            <w:t>R.11</w:t>
          </w:r>
          <w:r>
            <w:rPr>
              <w:rFonts w:cs="Calibri" w:ascii="Calibri" w:hAnsi="Calibri"/>
              <w:szCs w:val="22"/>
              <w:lang w:val="en-US" w:eastAsia="en-US"/>
            </w:rPr>
            <w:tab/>
          </w:r>
          <w:r>
            <w:rPr/>
            <w:t>intermodulation</w:t>
            <w:tab/>
          </w:r>
          <w:hyperlink w:anchor="__RefHeading___Toc518035877">
            <w:r>
              <w:rPr>
                <w:rStyle w:val="IndexLink"/>
              </w:rPr>
              <w:t>186</w:t>
            </w:r>
          </w:hyperlink>
        </w:p>
        <w:p>
          <w:pPr>
            <w:pStyle w:val="Contents2"/>
            <w:rPr>
              <w:rFonts w:ascii="Calibri" w:hAnsi="Calibri" w:cs="Calibri"/>
              <w:sz w:val="22"/>
              <w:szCs w:val="22"/>
              <w:lang w:val="en-US" w:eastAsia="en-US"/>
            </w:rPr>
          </w:pPr>
          <w:r>
            <w:rPr/>
            <w:t>R.11.1</w:t>
          </w:r>
          <w:r>
            <w:rPr>
              <w:rFonts w:cs="Calibri" w:ascii="Calibri" w:hAnsi="Calibri"/>
              <w:sz w:val="22"/>
              <w:szCs w:val="22"/>
              <w:lang w:val="en-US" w:eastAsia="en-US"/>
            </w:rPr>
            <w:tab/>
          </w:r>
          <w:r>
            <w:rPr/>
            <w:t>co-ordinated and uncoordinated BTS -&gt; MS (scenarios 2 &amp; 3, figure 3.2 middle)</w:t>
            <w:tab/>
          </w:r>
          <w:hyperlink w:anchor="__RefHeading___Toc518035878">
            <w:r>
              <w:rPr>
                <w:rStyle w:val="IndexLink"/>
              </w:rPr>
              <w:t>186</w:t>
            </w:r>
          </w:hyperlink>
        </w:p>
        <w:p>
          <w:pPr>
            <w:pStyle w:val="Contents2"/>
            <w:rPr>
              <w:rFonts w:ascii="Calibri" w:hAnsi="Calibri" w:cs="Calibri"/>
              <w:sz w:val="22"/>
              <w:szCs w:val="22"/>
              <w:lang w:val="en-US" w:eastAsia="en-US"/>
            </w:rPr>
          </w:pPr>
          <w:r>
            <w:rPr/>
            <w:t>R.11.2</w:t>
          </w:r>
          <w:r>
            <w:rPr>
              <w:rFonts w:cs="Calibri" w:ascii="Calibri" w:hAnsi="Calibri"/>
              <w:sz w:val="22"/>
              <w:szCs w:val="22"/>
              <w:lang w:val="en-US" w:eastAsia="en-US"/>
            </w:rPr>
            <w:tab/>
          </w:r>
          <w:r>
            <w:rPr/>
            <w:t>coordinated MS&amp;MS -&gt; BTS (scenario 4)</w:t>
            <w:tab/>
          </w:r>
          <w:hyperlink w:anchor="__RefHeading___Toc518035879">
            <w:r>
              <w:rPr>
                <w:rStyle w:val="IndexLink"/>
              </w:rPr>
              <w:t>186</w:t>
            </w:r>
          </w:hyperlink>
        </w:p>
        <w:p>
          <w:pPr>
            <w:pStyle w:val="Contents2"/>
            <w:rPr>
              <w:rFonts w:ascii="Calibri" w:hAnsi="Calibri" w:cs="Calibri"/>
              <w:sz w:val="22"/>
              <w:szCs w:val="22"/>
              <w:lang w:val="en-US" w:eastAsia="en-US"/>
            </w:rPr>
          </w:pPr>
          <w:r>
            <w:rPr/>
            <w:t>R.11.3</w:t>
          </w:r>
          <w:r>
            <w:rPr>
              <w:rFonts w:cs="Calibri" w:ascii="Calibri" w:hAnsi="Calibri"/>
              <w:sz w:val="22"/>
              <w:szCs w:val="22"/>
              <w:lang w:val="en-US" w:eastAsia="en-US"/>
            </w:rPr>
            <w:tab/>
          </w:r>
          <w:r>
            <w:rPr/>
            <w:t>uncoordinated MS&amp;MS -&gt; BTS (scenario 4, figure 3.2 lower)</w:t>
            <w:tab/>
          </w:r>
          <w:hyperlink w:anchor="__RefHeading___Toc518035880">
            <w:r>
              <w:rPr>
                <w:rStyle w:val="IndexLink"/>
              </w:rPr>
              <w:t>186</w:t>
            </w:r>
          </w:hyperlink>
        </w:p>
        <w:p>
          <w:pPr>
            <w:pStyle w:val="Contents2"/>
            <w:rPr>
              <w:rFonts w:ascii="Calibri" w:hAnsi="Calibri" w:cs="Calibri"/>
              <w:sz w:val="22"/>
              <w:szCs w:val="22"/>
              <w:lang w:val="en-US" w:eastAsia="en-US"/>
            </w:rPr>
          </w:pPr>
          <w:r>
            <w:rPr/>
            <w:t>R.11.4</w:t>
          </w:r>
          <w:r>
            <w:rPr>
              <w:rFonts w:cs="Calibri" w:ascii="Calibri" w:hAnsi="Calibri"/>
              <w:sz w:val="22"/>
              <w:szCs w:val="22"/>
              <w:lang w:val="en-US" w:eastAsia="en-US"/>
            </w:rPr>
            <w:tab/>
          </w:r>
          <w:r>
            <w:rPr/>
            <w:t>MCL relaxation</w:t>
            <w:tab/>
          </w:r>
          <w:hyperlink w:anchor="__RefHeading___Toc518035881">
            <w:r>
              <w:rPr>
                <w:rStyle w:val="IndexLink"/>
              </w:rPr>
              <w:t>187</w:t>
            </w:r>
          </w:hyperlink>
        </w:p>
        <w:p>
          <w:pPr>
            <w:pStyle w:val="Contents1"/>
            <w:rPr>
              <w:rFonts w:ascii="Calibri" w:hAnsi="Calibri" w:cs="Calibri"/>
              <w:szCs w:val="22"/>
              <w:lang w:val="en-US" w:eastAsia="en-US"/>
            </w:rPr>
          </w:pPr>
          <w:r>
            <w:rPr/>
            <w:t>R.12</w:t>
          </w:r>
          <w:r>
            <w:rPr>
              <w:rFonts w:cs="Calibri" w:ascii="Calibri" w:hAnsi="Calibri"/>
              <w:szCs w:val="22"/>
              <w:lang w:val="en-US" w:eastAsia="en-US"/>
            </w:rPr>
            <w:tab/>
          </w:r>
          <w:r>
            <w:rPr/>
            <w:t>Pico BTS TI1.5 performance requirements</w:t>
            <w:tab/>
          </w:r>
          <w:hyperlink w:anchor="__RefHeading___Toc518035882">
            <w:r>
              <w:rPr>
                <w:rStyle w:val="IndexLink"/>
              </w:rPr>
              <w:t>187</w:t>
            </w:r>
          </w:hyperlink>
        </w:p>
        <w:p>
          <w:pPr>
            <w:pStyle w:val="Contents2"/>
            <w:rPr>
              <w:rFonts w:ascii="Calibri" w:hAnsi="Calibri" w:cs="Calibri"/>
              <w:sz w:val="22"/>
              <w:szCs w:val="22"/>
              <w:lang w:val="en-US" w:eastAsia="en-US"/>
            </w:rPr>
          </w:pPr>
          <w:r>
            <w:rPr/>
            <w:t>R.12.1</w:t>
          </w:r>
          <w:r>
            <w:rPr>
              <w:rFonts w:cs="Calibri" w:ascii="Calibri" w:hAnsi="Calibri"/>
              <w:sz w:val="22"/>
              <w:szCs w:val="22"/>
              <w:lang w:val="en-US" w:eastAsia="en-US"/>
            </w:rPr>
            <w:tab/>
          </w:r>
          <w:r>
            <w:rPr/>
            <w:t>Nominal Error Rates for Pico-BTS</w:t>
            <w:tab/>
          </w:r>
          <w:hyperlink w:anchor="__RefHeading___Toc518035883">
            <w:r>
              <w:rPr>
                <w:rStyle w:val="IndexLink"/>
              </w:rPr>
              <w:t>187</w:t>
            </w:r>
          </w:hyperlink>
        </w:p>
        <w:p>
          <w:pPr>
            <w:pStyle w:val="Contents1"/>
            <w:rPr>
              <w:rFonts w:ascii="Calibri" w:hAnsi="Calibri" w:cs="Calibri"/>
              <w:szCs w:val="22"/>
              <w:lang w:val="en-US" w:eastAsia="en-US"/>
            </w:rPr>
          </w:pPr>
          <w:r>
            <w:rPr/>
            <w:t>R.13</w:t>
          </w:r>
          <w:r>
            <w:rPr>
              <w:rFonts w:cs="Calibri" w:ascii="Calibri" w:hAnsi="Calibri"/>
              <w:szCs w:val="22"/>
              <w:lang w:val="en-US" w:eastAsia="en-US"/>
            </w:rPr>
            <w:tab/>
          </w:r>
          <w:r>
            <w:rPr/>
            <w:t>timing and synchronisation</w:t>
            <w:tab/>
          </w:r>
          <w:hyperlink w:anchor="__RefHeading___Toc518035884">
            <w:r>
              <w:rPr>
                <w:rStyle w:val="IndexLink"/>
              </w:rPr>
              <w:t>188</w:t>
            </w:r>
          </w:hyperlink>
        </w:p>
        <w:p>
          <w:pPr>
            <w:pStyle w:val="Contents2"/>
            <w:rPr>
              <w:rFonts w:ascii="Calibri" w:hAnsi="Calibri" w:cs="Calibri"/>
              <w:sz w:val="22"/>
              <w:szCs w:val="22"/>
              <w:lang w:val="en-US" w:eastAsia="en-US"/>
            </w:rPr>
          </w:pPr>
          <w:r>
            <w:rPr/>
            <w:t>R.13.1</w:t>
          </w:r>
          <w:r>
            <w:rPr>
              <w:rFonts w:cs="Calibri" w:ascii="Calibri" w:hAnsi="Calibri"/>
              <w:sz w:val="22"/>
              <w:szCs w:val="22"/>
              <w:lang w:val="en-US" w:eastAsia="en-US"/>
            </w:rPr>
            <w:tab/>
          </w:r>
          <w:r>
            <w:rPr/>
            <w:t>Steady state timing advance error</w:t>
            <w:tab/>
          </w:r>
          <w:hyperlink w:anchor="__RefHeading___Toc518035885">
            <w:r>
              <w:rPr>
                <w:rStyle w:val="IndexLink"/>
              </w:rPr>
              <w:t>188</w:t>
            </w:r>
          </w:hyperlink>
        </w:p>
        <w:p>
          <w:pPr>
            <w:pStyle w:val="Contents2"/>
            <w:rPr>
              <w:rFonts w:ascii="Calibri" w:hAnsi="Calibri" w:cs="Calibri"/>
              <w:sz w:val="22"/>
              <w:szCs w:val="22"/>
              <w:lang w:val="en-US" w:eastAsia="en-US"/>
            </w:rPr>
          </w:pPr>
          <w:r>
            <w:rPr/>
            <w:t>R.13.2</w:t>
          </w:r>
          <w:r>
            <w:rPr>
              <w:rFonts w:cs="Calibri" w:ascii="Calibri" w:hAnsi="Calibri"/>
              <w:sz w:val="22"/>
              <w:szCs w:val="22"/>
              <w:lang w:val="en-US" w:eastAsia="en-US"/>
            </w:rPr>
            <w:tab/>
          </w:r>
          <w:r>
            <w:rPr/>
            <w:t>Conventional BTS</w:t>
            <w:tab/>
          </w:r>
          <w:hyperlink w:anchor="__RefHeading___Toc518035886">
            <w:r>
              <w:rPr>
                <w:rStyle w:val="IndexLink"/>
              </w:rPr>
              <w:t>189</w:t>
            </w:r>
          </w:hyperlink>
        </w:p>
        <w:p>
          <w:pPr>
            <w:pStyle w:val="Contents2"/>
            <w:rPr>
              <w:rFonts w:ascii="Calibri" w:hAnsi="Calibri" w:cs="Calibri"/>
              <w:sz w:val="22"/>
              <w:szCs w:val="22"/>
              <w:lang w:val="en-US" w:eastAsia="en-US"/>
            </w:rPr>
          </w:pPr>
          <w:r>
            <w:rPr/>
            <w:t>R.13.3</w:t>
          </w:r>
          <w:r>
            <w:rPr>
              <w:rFonts w:cs="Calibri" w:ascii="Calibri" w:hAnsi="Calibri"/>
              <w:sz w:val="22"/>
              <w:szCs w:val="22"/>
              <w:lang w:val="en-US" w:eastAsia="en-US"/>
            </w:rPr>
            <w:tab/>
          </w:r>
          <w:r>
            <w:rPr/>
            <w:t>Pico-BTS</w:t>
            <w:tab/>
          </w:r>
          <w:hyperlink w:anchor="__RefHeading___Toc518035887">
            <w:r>
              <w:rPr>
                <w:rStyle w:val="IndexLink"/>
              </w:rPr>
              <w:t>189</w:t>
            </w:r>
          </w:hyperlink>
        </w:p>
        <w:p>
          <w:pPr>
            <w:pStyle w:val="Contents3"/>
            <w:rPr>
              <w:rFonts w:ascii="Calibri" w:hAnsi="Calibri" w:cs="Calibri"/>
              <w:sz w:val="22"/>
              <w:szCs w:val="22"/>
              <w:lang w:val="en-US" w:eastAsia="en-US"/>
            </w:rPr>
          </w:pPr>
          <w:r>
            <w:rPr/>
            <w:t>R.13.3.1</w:t>
          </w:r>
          <w:r>
            <w:rPr>
              <w:rFonts w:cs="Calibri" w:ascii="Calibri" w:hAnsi="Calibri"/>
              <w:sz w:val="22"/>
              <w:szCs w:val="22"/>
              <w:lang w:val="en-US" w:eastAsia="en-US"/>
            </w:rPr>
            <w:tab/>
          </w:r>
          <w:r>
            <w:rPr/>
            <w:t>Pico-BTS relaxation</w:t>
            <w:tab/>
          </w:r>
          <w:hyperlink w:anchor="__RefHeading___Toc518035888">
            <w:r>
              <w:rPr>
                <w:rStyle w:val="IndexLink"/>
              </w:rPr>
              <w:t>189</w:t>
            </w:r>
          </w:hyperlink>
        </w:p>
        <w:p>
          <w:pPr>
            <w:pStyle w:val="Contents3"/>
            <w:rPr>
              <w:rFonts w:ascii="Calibri" w:hAnsi="Calibri" w:cs="Calibri"/>
              <w:sz w:val="22"/>
              <w:szCs w:val="22"/>
              <w:lang w:val="en-US" w:eastAsia="en-US"/>
            </w:rPr>
          </w:pPr>
          <w:r>
            <w:rPr/>
            <w:t>R.13.3.2</w:t>
          </w:r>
          <w:r>
            <w:rPr>
              <w:rFonts w:cs="Calibri" w:ascii="Calibri" w:hAnsi="Calibri"/>
              <w:sz w:val="22"/>
              <w:szCs w:val="22"/>
              <w:lang w:val="en-US" w:eastAsia="en-US"/>
            </w:rPr>
            <w:tab/>
          </w:r>
          <w:r>
            <w:rPr/>
            <w:t>MS impact of Pico-BTS relaxation</w:t>
            <w:tab/>
          </w:r>
          <w:hyperlink w:anchor="__RefHeading___Toc518035889">
            <w:r>
              <w:rPr>
                <w:rStyle w:val="IndexLink"/>
              </w:rPr>
              <w:t>189</w:t>
            </w:r>
          </w:hyperlink>
        </w:p>
        <w:p>
          <w:pPr>
            <w:pStyle w:val="Contents9"/>
            <w:rPr>
              <w:rFonts w:ascii="Calibri" w:hAnsi="Calibri" w:cs="Calibri"/>
              <w:b w:val="false"/>
              <w:b w:val="false"/>
              <w:szCs w:val="22"/>
              <w:lang w:val="en-US" w:eastAsia="en-US"/>
            </w:rPr>
          </w:pPr>
          <w:r>
            <w:rPr/>
            <w:t>Annex S:</w:t>
            <w:tab/>
            <w:t>CTS system scenarios</w:t>
            <w:tab/>
          </w:r>
          <w:hyperlink w:anchor="__RefHeading___Toc518035890">
            <w:r>
              <w:rPr>
                <w:rStyle w:val="IndexLink"/>
              </w:rPr>
              <w:t>191</w:t>
            </w:r>
          </w:hyperlink>
        </w:p>
        <w:p>
          <w:pPr>
            <w:pStyle w:val="Contents1"/>
            <w:rPr>
              <w:rFonts w:ascii="Calibri" w:hAnsi="Calibri" w:cs="Calibri"/>
              <w:szCs w:val="22"/>
              <w:lang w:val="en-US" w:eastAsia="en-US"/>
            </w:rPr>
          </w:pPr>
          <w:r>
            <w:rPr/>
            <w:t>S.1</w:t>
          </w:r>
          <w:r>
            <w:rPr>
              <w:rFonts w:cs="Calibri" w:ascii="Calibri" w:hAnsi="Calibri"/>
              <w:szCs w:val="22"/>
              <w:lang w:val="en-US" w:eastAsia="en-US"/>
            </w:rPr>
            <w:tab/>
          </w:r>
          <w:r>
            <w:rPr/>
            <w:t>Introduction</w:t>
            <w:tab/>
          </w:r>
          <w:hyperlink w:anchor="__RefHeading___Toc518035891">
            <w:r>
              <w:rPr>
                <w:rStyle w:val="IndexLink"/>
              </w:rPr>
              <w:t>191</w:t>
            </w:r>
          </w:hyperlink>
        </w:p>
        <w:p>
          <w:pPr>
            <w:pStyle w:val="Contents2"/>
            <w:rPr>
              <w:rFonts w:ascii="Calibri" w:hAnsi="Calibri" w:cs="Calibri"/>
              <w:sz w:val="22"/>
              <w:szCs w:val="22"/>
              <w:lang w:val="en-US" w:eastAsia="en-US"/>
            </w:rPr>
          </w:pPr>
          <w:r>
            <w:rPr/>
            <w:t>S.1.1</w:t>
          </w:r>
          <w:r>
            <w:rPr>
              <w:rFonts w:cs="Calibri" w:ascii="Calibri" w:hAnsi="Calibri"/>
              <w:sz w:val="22"/>
              <w:szCs w:val="22"/>
              <w:lang w:val="en-US" w:eastAsia="en-US"/>
            </w:rPr>
            <w:tab/>
          </w:r>
          <w:r>
            <w:rPr/>
            <w:t>Parameter Set</w:t>
            <w:tab/>
          </w:r>
          <w:hyperlink w:anchor="__RefHeading___Toc518035892">
            <w:r>
              <w:rPr>
                <w:rStyle w:val="IndexLink"/>
              </w:rPr>
              <w:t>191</w:t>
            </w:r>
          </w:hyperlink>
        </w:p>
        <w:p>
          <w:pPr>
            <w:pStyle w:val="Contents3"/>
            <w:rPr>
              <w:rFonts w:ascii="Calibri" w:hAnsi="Calibri" w:cs="Calibri"/>
              <w:sz w:val="22"/>
              <w:szCs w:val="22"/>
              <w:lang w:val="en-US" w:eastAsia="en-US"/>
            </w:rPr>
          </w:pPr>
          <w:r>
            <w:rPr/>
            <w:t>S.1.1.1</w:t>
          </w:r>
          <w:r>
            <w:rPr>
              <w:rFonts w:cs="Calibri" w:ascii="Calibri" w:hAnsi="Calibri"/>
              <w:sz w:val="22"/>
              <w:szCs w:val="22"/>
              <w:lang w:val="en-US" w:eastAsia="en-US"/>
            </w:rPr>
            <w:tab/>
          </w:r>
          <w:r>
            <w:rPr/>
            <w:t>Transmitter Parameter</w:t>
            <w:tab/>
          </w:r>
          <w:hyperlink w:anchor="__RefHeading___Toc518035893">
            <w:r>
              <w:rPr>
                <w:rStyle w:val="IndexLink"/>
              </w:rPr>
              <w:t>191</w:t>
            </w:r>
          </w:hyperlink>
        </w:p>
        <w:p>
          <w:pPr>
            <w:pStyle w:val="Contents3"/>
            <w:rPr>
              <w:rFonts w:ascii="Calibri" w:hAnsi="Calibri" w:cs="Calibri"/>
              <w:sz w:val="22"/>
              <w:szCs w:val="22"/>
              <w:lang w:val="en-US" w:eastAsia="en-US"/>
            </w:rPr>
          </w:pPr>
          <w:r>
            <w:rPr/>
            <w:t>S.1.1.2</w:t>
          </w:r>
          <w:r>
            <w:rPr>
              <w:rFonts w:cs="Calibri" w:ascii="Calibri" w:hAnsi="Calibri"/>
              <w:sz w:val="22"/>
              <w:szCs w:val="22"/>
              <w:lang w:val="en-US" w:eastAsia="en-US"/>
            </w:rPr>
            <w:tab/>
          </w:r>
          <w:r>
            <w:rPr/>
            <w:t>Receiver Parameter</w:t>
            <w:tab/>
          </w:r>
          <w:hyperlink w:anchor="__RefHeading___Toc518035894">
            <w:r>
              <w:rPr>
                <w:rStyle w:val="IndexLink"/>
              </w:rPr>
              <w:t>192</w:t>
            </w:r>
          </w:hyperlink>
        </w:p>
        <w:p>
          <w:pPr>
            <w:pStyle w:val="Contents3"/>
            <w:rPr>
              <w:rFonts w:ascii="Calibri" w:hAnsi="Calibri" w:cs="Calibri"/>
              <w:sz w:val="22"/>
              <w:szCs w:val="22"/>
              <w:lang w:val="en-US" w:eastAsia="en-US"/>
            </w:rPr>
          </w:pPr>
          <w:r>
            <w:rPr/>
            <w:t>S.1.1.3</w:t>
          </w:r>
          <w:r>
            <w:rPr>
              <w:rFonts w:cs="Calibri" w:ascii="Calibri" w:hAnsi="Calibri"/>
              <w:sz w:val="22"/>
              <w:szCs w:val="22"/>
              <w:lang w:val="en-US" w:eastAsia="en-US"/>
            </w:rPr>
            <w:tab/>
          </w:r>
          <w:r>
            <w:rPr/>
            <w:t>Minimum coupling loss values</w:t>
            <w:tab/>
          </w:r>
          <w:hyperlink w:anchor="__RefHeading___Toc518035895">
            <w:r>
              <w:rPr>
                <w:rStyle w:val="IndexLink"/>
              </w:rPr>
              <w:t>192</w:t>
            </w:r>
          </w:hyperlink>
        </w:p>
        <w:p>
          <w:pPr>
            <w:pStyle w:val="Contents3"/>
            <w:rPr>
              <w:rFonts w:ascii="Calibri" w:hAnsi="Calibri" w:cs="Calibri"/>
              <w:sz w:val="22"/>
              <w:szCs w:val="22"/>
              <w:lang w:val="en-US" w:eastAsia="en-US"/>
            </w:rPr>
          </w:pPr>
          <w:r>
            <w:rPr/>
            <w:t>S.1.1.4</w:t>
          </w:r>
          <w:r>
            <w:rPr>
              <w:rFonts w:cs="Calibri" w:ascii="Calibri" w:hAnsi="Calibri"/>
              <w:sz w:val="22"/>
              <w:szCs w:val="22"/>
              <w:lang w:val="en-US" w:eastAsia="en-US"/>
            </w:rPr>
            <w:tab/>
          </w:r>
          <w:r>
            <w:rPr/>
            <w:t>Path loss models</w:t>
            <w:tab/>
          </w:r>
          <w:hyperlink w:anchor="__RefHeading___Toc518035896">
            <w:r>
              <w:rPr>
                <w:rStyle w:val="IndexLink"/>
              </w:rPr>
              <w:t>192</w:t>
            </w:r>
          </w:hyperlink>
        </w:p>
        <w:p>
          <w:pPr>
            <w:pStyle w:val="Contents3"/>
            <w:rPr>
              <w:rFonts w:ascii="Calibri" w:hAnsi="Calibri" w:cs="Calibri"/>
              <w:sz w:val="22"/>
              <w:szCs w:val="22"/>
              <w:lang w:val="en-US" w:eastAsia="en-US"/>
            </w:rPr>
          </w:pPr>
          <w:r>
            <w:rPr/>
            <w:t>S.1.1.5</w:t>
          </w:r>
          <w:r>
            <w:rPr>
              <w:rFonts w:cs="Calibri" w:ascii="Calibri" w:hAnsi="Calibri"/>
              <w:sz w:val="22"/>
              <w:szCs w:val="22"/>
              <w:lang w:val="en-US" w:eastAsia="en-US"/>
            </w:rPr>
            <w:tab/>
          </w:r>
          <w:r>
            <w:rPr/>
            <w:t>Margins</w:t>
            <w:tab/>
          </w:r>
          <w:hyperlink w:anchor="__RefHeading___Toc518035897">
            <w:r>
              <w:rPr>
                <w:rStyle w:val="IndexLink"/>
              </w:rPr>
              <w:t>193</w:t>
            </w:r>
          </w:hyperlink>
        </w:p>
        <w:p>
          <w:pPr>
            <w:pStyle w:val="Contents1"/>
            <w:rPr>
              <w:rFonts w:ascii="Calibri" w:hAnsi="Calibri" w:cs="Calibri"/>
              <w:szCs w:val="22"/>
              <w:lang w:val="en-US" w:eastAsia="en-US"/>
            </w:rPr>
          </w:pPr>
          <w:r>
            <w:rPr/>
            <w:t>S.2</w:t>
          </w:r>
          <w:r>
            <w:rPr>
              <w:rFonts w:cs="Calibri" w:ascii="Calibri" w:hAnsi="Calibri"/>
              <w:szCs w:val="22"/>
              <w:lang w:val="en-US" w:eastAsia="en-US"/>
            </w:rPr>
            <w:tab/>
          </w:r>
          <w:r>
            <w:rPr/>
            <w:t>Transmitter characteristics</w:t>
            <w:tab/>
          </w:r>
          <w:hyperlink w:anchor="__RefHeading___Toc518035898">
            <w:r>
              <w:rPr>
                <w:rStyle w:val="IndexLink"/>
              </w:rPr>
              <w:t>193</w:t>
            </w:r>
          </w:hyperlink>
        </w:p>
        <w:p>
          <w:pPr>
            <w:pStyle w:val="Contents2"/>
            <w:rPr>
              <w:rFonts w:ascii="Calibri" w:hAnsi="Calibri" w:cs="Calibri"/>
              <w:sz w:val="22"/>
              <w:szCs w:val="22"/>
              <w:lang w:val="en-US" w:eastAsia="en-US"/>
            </w:rPr>
          </w:pPr>
          <w:r>
            <w:rPr/>
            <w:t>S.2.1</w:t>
          </w:r>
          <w:r>
            <w:rPr>
              <w:rFonts w:cs="Calibri" w:ascii="Calibri" w:hAnsi="Calibri"/>
              <w:sz w:val="22"/>
              <w:szCs w:val="22"/>
              <w:lang w:val="en-US" w:eastAsia="en-US"/>
            </w:rPr>
            <w:tab/>
          </w:r>
          <w:r>
            <w:rPr/>
            <w:t>Maximum CTS-FP Transmit Power limited by MS blocking</w:t>
            <w:tab/>
          </w:r>
          <w:hyperlink w:anchor="__RefHeading___Toc518035899">
            <w:r>
              <w:rPr>
                <w:rStyle w:val="IndexLink"/>
              </w:rPr>
              <w:t>193</w:t>
            </w:r>
          </w:hyperlink>
        </w:p>
        <w:p>
          <w:pPr>
            <w:pStyle w:val="Contents2"/>
            <w:rPr>
              <w:rFonts w:ascii="Calibri" w:hAnsi="Calibri" w:cs="Calibri"/>
              <w:sz w:val="22"/>
              <w:szCs w:val="22"/>
              <w:lang w:val="en-US" w:eastAsia="en-US"/>
            </w:rPr>
          </w:pPr>
          <w:r>
            <w:rPr/>
            <w:t>S.2.2</w:t>
          </w:r>
          <w:r>
            <w:rPr>
              <w:rFonts w:cs="Calibri" w:ascii="Calibri" w:hAnsi="Calibri"/>
              <w:sz w:val="22"/>
              <w:szCs w:val="22"/>
              <w:lang w:val="en-US" w:eastAsia="en-US"/>
            </w:rPr>
            <w:tab/>
          </w:r>
          <w:r>
            <w:rPr/>
            <w:t>Maximum CTS-FP Transmit Power limited by Spectrum due to Modulation and WBN</w:t>
            <w:tab/>
          </w:r>
          <w:hyperlink w:anchor="__RefHeading___Toc518035900">
            <w:r>
              <w:rPr>
                <w:rStyle w:val="IndexLink"/>
              </w:rPr>
              <w:t>194</w:t>
            </w:r>
          </w:hyperlink>
        </w:p>
        <w:p>
          <w:pPr>
            <w:pStyle w:val="Contents2"/>
            <w:rPr>
              <w:rFonts w:ascii="Calibri" w:hAnsi="Calibri" w:cs="Calibri"/>
              <w:sz w:val="22"/>
              <w:szCs w:val="22"/>
              <w:lang w:val="en-US" w:eastAsia="en-US"/>
            </w:rPr>
          </w:pPr>
          <w:r>
            <w:rPr/>
            <w:t>S.2.3</w:t>
          </w:r>
          <w:r>
            <w:rPr>
              <w:rFonts w:cs="Calibri" w:ascii="Calibri" w:hAnsi="Calibri"/>
              <w:sz w:val="22"/>
              <w:szCs w:val="22"/>
              <w:lang w:val="en-US" w:eastAsia="en-US"/>
            </w:rPr>
            <w:tab/>
          </w:r>
          <w:r>
            <w:rPr/>
            <w:t>Specification of max. CTS-FP Transmit Power and CTS-FP Spectrum due to modulation and wide band noise</w:t>
            <w:tab/>
          </w:r>
          <w:hyperlink w:anchor="__RefHeading___Toc518035901">
            <w:r>
              <w:rPr>
                <w:rStyle w:val="IndexLink"/>
              </w:rPr>
              <w:t>195</w:t>
            </w:r>
          </w:hyperlink>
        </w:p>
        <w:p>
          <w:pPr>
            <w:pStyle w:val="Contents3"/>
            <w:rPr>
              <w:rFonts w:ascii="Calibri" w:hAnsi="Calibri" w:cs="Calibri"/>
              <w:sz w:val="22"/>
              <w:szCs w:val="22"/>
              <w:lang w:val="en-US" w:eastAsia="en-US"/>
            </w:rPr>
          </w:pPr>
          <w:r>
            <w:rPr/>
            <w:t>S.2.3.1</w:t>
          </w:r>
          <w:r>
            <w:rPr>
              <w:rFonts w:cs="Calibri" w:ascii="Calibri" w:hAnsi="Calibri"/>
              <w:sz w:val="22"/>
              <w:szCs w:val="22"/>
              <w:lang w:val="en-US" w:eastAsia="en-US"/>
            </w:rPr>
            <w:tab/>
          </w:r>
          <w:r>
            <w:rPr/>
            <w:t>Maximum CTS-FP transmit power</w:t>
            <w:tab/>
          </w:r>
          <w:hyperlink w:anchor="__RefHeading___Toc518035902">
            <w:r>
              <w:rPr>
                <w:rStyle w:val="IndexLink"/>
              </w:rPr>
              <w:t>195</w:t>
            </w:r>
          </w:hyperlink>
        </w:p>
        <w:p>
          <w:pPr>
            <w:pStyle w:val="Contents3"/>
            <w:rPr>
              <w:rFonts w:ascii="Calibri" w:hAnsi="Calibri" w:cs="Calibri"/>
              <w:sz w:val="22"/>
              <w:szCs w:val="22"/>
              <w:lang w:val="en-US" w:eastAsia="en-US"/>
            </w:rPr>
          </w:pPr>
          <w:r>
            <w:rPr/>
            <w:t>S.2.3.2</w:t>
          </w:r>
          <w:r>
            <w:rPr>
              <w:rFonts w:cs="Calibri" w:ascii="Calibri" w:hAnsi="Calibri"/>
              <w:sz w:val="22"/>
              <w:szCs w:val="22"/>
              <w:lang w:val="en-US" w:eastAsia="en-US"/>
            </w:rPr>
            <w:tab/>
          </w:r>
          <w:r>
            <w:rPr/>
            <w:t>Spectrum due to modulation and wide band noise</w:t>
            <w:tab/>
          </w:r>
          <w:hyperlink w:anchor="__RefHeading___Toc518035903">
            <w:r>
              <w:rPr>
                <w:rStyle w:val="IndexLink"/>
              </w:rPr>
              <w:t>196</w:t>
            </w:r>
          </w:hyperlink>
        </w:p>
        <w:p>
          <w:pPr>
            <w:pStyle w:val="Contents2"/>
            <w:rPr>
              <w:rFonts w:ascii="Calibri" w:hAnsi="Calibri" w:cs="Calibri"/>
              <w:sz w:val="22"/>
              <w:szCs w:val="22"/>
              <w:lang w:val="en-US" w:eastAsia="en-US"/>
            </w:rPr>
          </w:pPr>
          <w:r>
            <w:rPr/>
            <w:t>S.2.4</w:t>
          </w:r>
          <w:r>
            <w:rPr>
              <w:rFonts w:cs="Calibri" w:ascii="Calibri" w:hAnsi="Calibri"/>
              <w:sz w:val="22"/>
              <w:szCs w:val="22"/>
              <w:lang w:val="en-US" w:eastAsia="en-US"/>
            </w:rPr>
            <w:tab/>
          </w:r>
          <w:r>
            <w:rPr/>
            <w:t>Balanced link for zero interference scenario (Interferer at MCL scenario)</w:t>
            <w:tab/>
          </w:r>
          <w:hyperlink w:anchor="__RefHeading___Toc518035904">
            <w:r>
              <w:rPr>
                <w:rStyle w:val="IndexLink"/>
              </w:rPr>
              <w:t>197</w:t>
            </w:r>
          </w:hyperlink>
        </w:p>
        <w:p>
          <w:pPr>
            <w:pStyle w:val="Contents2"/>
            <w:rPr>
              <w:rFonts w:ascii="Calibri" w:hAnsi="Calibri" w:cs="Calibri"/>
              <w:sz w:val="22"/>
              <w:szCs w:val="22"/>
              <w:lang w:val="en-US" w:eastAsia="en-US"/>
            </w:rPr>
          </w:pPr>
          <w:r>
            <w:rPr/>
            <w:t>S.2.5</w:t>
          </w:r>
          <w:r>
            <w:rPr>
              <w:rFonts w:cs="Calibri" w:ascii="Calibri" w:hAnsi="Calibri"/>
              <w:sz w:val="22"/>
              <w:szCs w:val="22"/>
              <w:lang w:val="en-US" w:eastAsia="en-US"/>
            </w:rPr>
            <w:tab/>
          </w:r>
          <w:r>
            <w:rPr/>
            <w:t>Range of Coverage for CTS:</w:t>
            <w:tab/>
          </w:r>
          <w:hyperlink w:anchor="__RefHeading___Toc518035905">
            <w:r>
              <w:rPr>
                <w:rStyle w:val="IndexLink"/>
              </w:rPr>
              <w:t>197</w:t>
            </w:r>
          </w:hyperlink>
        </w:p>
        <w:p>
          <w:pPr>
            <w:pStyle w:val="Contents2"/>
            <w:rPr>
              <w:rFonts w:ascii="Calibri" w:hAnsi="Calibri" w:cs="Calibri"/>
              <w:sz w:val="22"/>
              <w:szCs w:val="22"/>
              <w:lang w:val="en-US" w:eastAsia="en-US"/>
            </w:rPr>
          </w:pPr>
          <w:r>
            <w:rPr/>
            <w:t>S.2.6</w:t>
          </w:r>
          <w:r>
            <w:rPr>
              <w:rFonts w:cs="Calibri" w:ascii="Calibri" w:hAnsi="Calibri"/>
              <w:sz w:val="22"/>
              <w:szCs w:val="22"/>
              <w:lang w:val="en-US" w:eastAsia="en-US"/>
            </w:rPr>
            <w:tab/>
          </w:r>
          <w:r>
            <w:rPr/>
            <w:t>Minimum CTS-FP transmit power</w:t>
            <w:tab/>
          </w:r>
          <w:hyperlink w:anchor="__RefHeading___Toc518035906">
            <w:r>
              <w:rPr>
                <w:rStyle w:val="IndexLink"/>
              </w:rPr>
              <w:t>198</w:t>
            </w:r>
          </w:hyperlink>
        </w:p>
        <w:p>
          <w:pPr>
            <w:pStyle w:val="Contents2"/>
            <w:rPr>
              <w:rFonts w:ascii="Calibri" w:hAnsi="Calibri" w:cs="Calibri"/>
              <w:sz w:val="22"/>
              <w:szCs w:val="22"/>
              <w:lang w:val="en-US" w:eastAsia="en-US"/>
            </w:rPr>
          </w:pPr>
          <w:r>
            <w:rPr/>
            <w:t>S.2.7</w:t>
          </w:r>
          <w:r>
            <w:rPr>
              <w:rFonts w:cs="Calibri" w:ascii="Calibri" w:hAnsi="Calibri"/>
              <w:sz w:val="22"/>
              <w:szCs w:val="22"/>
              <w:lang w:val="en-US" w:eastAsia="en-US"/>
            </w:rPr>
            <w:tab/>
          </w:r>
          <w:r>
            <w:rPr/>
            <w:t>Power Level Distribution</w:t>
            <w:tab/>
          </w:r>
          <w:hyperlink w:anchor="__RefHeading___Toc518035907">
            <w:r>
              <w:rPr>
                <w:rStyle w:val="IndexLink"/>
              </w:rPr>
              <w:t>199</w:t>
            </w:r>
          </w:hyperlink>
        </w:p>
        <w:p>
          <w:pPr>
            <w:pStyle w:val="Contents2"/>
            <w:rPr>
              <w:rFonts w:ascii="Calibri" w:hAnsi="Calibri" w:cs="Calibri"/>
              <w:sz w:val="22"/>
              <w:szCs w:val="22"/>
              <w:lang w:val="en-US" w:eastAsia="en-US"/>
            </w:rPr>
          </w:pPr>
          <w:r>
            <w:rPr/>
            <w:t>S.2.8</w:t>
          </w:r>
          <w:r>
            <w:rPr>
              <w:rFonts w:cs="Calibri" w:ascii="Calibri" w:hAnsi="Calibri"/>
              <w:sz w:val="22"/>
              <w:szCs w:val="22"/>
              <w:lang w:val="en-US" w:eastAsia="en-US"/>
            </w:rPr>
            <w:tab/>
          </w:r>
          <w:r>
            <w:rPr/>
            <w:t>Spurious Emission</w:t>
            <w:tab/>
          </w:r>
          <w:hyperlink w:anchor="__RefHeading___Toc518035908">
            <w:r>
              <w:rPr>
                <w:rStyle w:val="IndexLink"/>
              </w:rPr>
              <w:t>199</w:t>
            </w:r>
          </w:hyperlink>
        </w:p>
        <w:p>
          <w:pPr>
            <w:pStyle w:val="Contents1"/>
            <w:rPr>
              <w:rFonts w:ascii="Calibri" w:hAnsi="Calibri" w:cs="Calibri"/>
              <w:szCs w:val="22"/>
              <w:lang w:val="en-US" w:eastAsia="en-US"/>
            </w:rPr>
          </w:pPr>
          <w:r>
            <w:rPr/>
            <w:t>S.3</w:t>
          </w:r>
          <w:r>
            <w:rPr>
              <w:rFonts w:cs="Calibri" w:ascii="Calibri" w:hAnsi="Calibri"/>
              <w:szCs w:val="22"/>
              <w:lang w:val="en-US" w:eastAsia="en-US"/>
            </w:rPr>
            <w:tab/>
          </w:r>
          <w:r>
            <w:rPr/>
            <w:t>Receiver characteristics</w:t>
            <w:tab/>
          </w:r>
          <w:hyperlink w:anchor="__RefHeading___Toc518035909">
            <w:r>
              <w:rPr>
                <w:rStyle w:val="IndexLink"/>
              </w:rPr>
              <w:t>200</w:t>
            </w:r>
          </w:hyperlink>
        </w:p>
        <w:p>
          <w:pPr>
            <w:pStyle w:val="Contents2"/>
            <w:rPr>
              <w:rFonts w:ascii="Calibri" w:hAnsi="Calibri" w:cs="Calibri"/>
              <w:sz w:val="22"/>
              <w:szCs w:val="22"/>
              <w:lang w:val="en-US" w:eastAsia="en-US"/>
            </w:rPr>
          </w:pPr>
          <w:r>
            <w:rPr/>
            <w:t>S.3.1</w:t>
          </w:r>
          <w:r>
            <w:rPr>
              <w:rFonts w:cs="Calibri" w:ascii="Calibri" w:hAnsi="Calibri"/>
              <w:sz w:val="22"/>
              <w:szCs w:val="22"/>
              <w:lang w:val="en-US" w:eastAsia="en-US"/>
            </w:rPr>
            <w:tab/>
          </w:r>
          <w:r>
            <w:rPr/>
            <w:t>Blocking</w:t>
            <w:tab/>
          </w:r>
          <w:hyperlink w:anchor="__RefHeading___Toc518035910">
            <w:r>
              <w:rPr>
                <w:rStyle w:val="IndexLink"/>
              </w:rPr>
              <w:t>200</w:t>
            </w:r>
          </w:hyperlink>
        </w:p>
        <w:p>
          <w:pPr>
            <w:pStyle w:val="Contents2"/>
            <w:rPr>
              <w:rFonts w:ascii="Calibri" w:hAnsi="Calibri" w:cs="Calibri"/>
              <w:sz w:val="22"/>
              <w:szCs w:val="22"/>
              <w:lang w:val="en-US" w:eastAsia="en-US"/>
            </w:rPr>
          </w:pPr>
          <w:r>
            <w:rPr/>
            <w:t>S.3.2</w:t>
          </w:r>
          <w:r>
            <w:rPr>
              <w:rFonts w:cs="Calibri" w:ascii="Calibri" w:hAnsi="Calibri"/>
              <w:sz w:val="22"/>
              <w:szCs w:val="22"/>
              <w:lang w:val="en-US" w:eastAsia="en-US"/>
            </w:rPr>
            <w:tab/>
          </w:r>
          <w:r>
            <w:rPr/>
            <w:t>AM suppression</w:t>
            <w:tab/>
          </w:r>
          <w:hyperlink w:anchor="__RefHeading___Toc518035911">
            <w:r>
              <w:rPr>
                <w:rStyle w:val="IndexLink"/>
              </w:rPr>
              <w:t>201</w:t>
            </w:r>
          </w:hyperlink>
        </w:p>
        <w:p>
          <w:pPr>
            <w:pStyle w:val="Contents3"/>
            <w:rPr>
              <w:rFonts w:ascii="Calibri" w:hAnsi="Calibri" w:cs="Calibri"/>
              <w:sz w:val="22"/>
              <w:szCs w:val="22"/>
              <w:lang w:val="en-US" w:eastAsia="en-US"/>
            </w:rPr>
          </w:pPr>
          <w:r>
            <w:rPr/>
            <w:t>S.3.2.1</w:t>
          </w:r>
          <w:r>
            <w:rPr>
              <w:rFonts w:cs="Calibri" w:ascii="Calibri" w:hAnsi="Calibri"/>
              <w:sz w:val="22"/>
              <w:szCs w:val="22"/>
              <w:lang w:val="en-US" w:eastAsia="en-US"/>
            </w:rPr>
            <w:tab/>
          </w:r>
          <w:r>
            <w:rPr/>
            <w:t>Spectrum due to modulation</w:t>
            <w:tab/>
          </w:r>
          <w:hyperlink w:anchor="__RefHeading___Toc518035912">
            <w:r>
              <w:rPr>
                <w:rStyle w:val="IndexLink"/>
              </w:rPr>
              <w:t>201</w:t>
            </w:r>
          </w:hyperlink>
        </w:p>
        <w:p>
          <w:pPr>
            <w:pStyle w:val="Contents3"/>
            <w:rPr>
              <w:rFonts w:ascii="Calibri" w:hAnsi="Calibri" w:cs="Calibri"/>
              <w:sz w:val="22"/>
              <w:szCs w:val="22"/>
              <w:lang w:val="en-US" w:eastAsia="en-US"/>
            </w:rPr>
          </w:pPr>
          <w:r>
            <w:rPr/>
            <w:t>S.3.2.2</w:t>
          </w:r>
          <w:r>
            <w:rPr>
              <w:rFonts w:cs="Calibri" w:ascii="Calibri" w:hAnsi="Calibri"/>
              <w:sz w:val="22"/>
              <w:szCs w:val="22"/>
              <w:lang w:val="en-US" w:eastAsia="en-US"/>
            </w:rPr>
            <w:tab/>
          </w:r>
          <w:r>
            <w:rPr/>
            <w:t>Switching transients</w:t>
            <w:tab/>
          </w:r>
          <w:hyperlink w:anchor="__RefHeading___Toc518035913">
            <w:r>
              <w:rPr>
                <w:rStyle w:val="IndexLink"/>
              </w:rPr>
              <w:t>202</w:t>
            </w:r>
          </w:hyperlink>
        </w:p>
        <w:p>
          <w:pPr>
            <w:pStyle w:val="Contents3"/>
            <w:rPr>
              <w:rFonts w:ascii="Calibri" w:hAnsi="Calibri" w:cs="Calibri"/>
              <w:sz w:val="22"/>
              <w:szCs w:val="22"/>
              <w:lang w:val="en-US" w:eastAsia="en-US"/>
            </w:rPr>
          </w:pPr>
          <w:r>
            <w:rPr/>
            <w:t>S.3.2.3</w:t>
          </w:r>
          <w:r>
            <w:rPr>
              <w:rFonts w:cs="Calibri" w:ascii="Calibri" w:hAnsi="Calibri"/>
              <w:sz w:val="22"/>
              <w:szCs w:val="22"/>
              <w:lang w:val="en-US" w:eastAsia="en-US"/>
            </w:rPr>
            <w:tab/>
          </w:r>
          <w:r>
            <w:rPr/>
            <w:t>Blocking</w:t>
            <w:tab/>
          </w:r>
          <w:hyperlink w:anchor="__RefHeading___Toc518035914">
            <w:r>
              <w:rPr>
                <w:rStyle w:val="IndexLink"/>
              </w:rPr>
              <w:t>203</w:t>
            </w:r>
          </w:hyperlink>
        </w:p>
        <w:p>
          <w:pPr>
            <w:pStyle w:val="Contents3"/>
            <w:rPr>
              <w:rFonts w:ascii="Calibri" w:hAnsi="Calibri" w:cs="Calibri"/>
              <w:sz w:val="22"/>
              <w:szCs w:val="22"/>
              <w:lang w:val="en-US" w:eastAsia="en-US"/>
            </w:rPr>
          </w:pPr>
          <w:r>
            <w:rPr/>
            <w:t>S.3.2.4</w:t>
          </w:r>
          <w:r>
            <w:rPr>
              <w:rFonts w:cs="Calibri" w:ascii="Calibri" w:hAnsi="Calibri"/>
              <w:sz w:val="22"/>
              <w:szCs w:val="22"/>
              <w:lang w:val="en-US" w:eastAsia="en-US"/>
            </w:rPr>
            <w:tab/>
          </w:r>
          <w:r>
            <w:rPr/>
            <w:t>Specification of AM Suppression</w:t>
            <w:tab/>
          </w:r>
          <w:hyperlink w:anchor="__RefHeading___Toc518035915">
            <w:r>
              <w:rPr>
                <w:rStyle w:val="IndexLink"/>
              </w:rPr>
              <w:t>203</w:t>
            </w:r>
          </w:hyperlink>
        </w:p>
        <w:p>
          <w:pPr>
            <w:pStyle w:val="Contents2"/>
            <w:rPr>
              <w:rFonts w:ascii="Calibri" w:hAnsi="Calibri" w:cs="Calibri"/>
              <w:sz w:val="22"/>
              <w:szCs w:val="22"/>
              <w:lang w:val="en-US" w:eastAsia="en-US"/>
            </w:rPr>
          </w:pPr>
          <w:r>
            <w:rPr/>
            <w:t>S.3.3</w:t>
          </w:r>
          <w:r>
            <w:rPr>
              <w:rFonts w:cs="Calibri" w:ascii="Calibri" w:hAnsi="Calibri"/>
              <w:sz w:val="22"/>
              <w:szCs w:val="22"/>
              <w:lang w:val="en-US" w:eastAsia="en-US"/>
            </w:rPr>
            <w:tab/>
          </w:r>
          <w:r>
            <w:rPr/>
            <w:t>Intermodulation</w:t>
            <w:tab/>
          </w:r>
          <w:hyperlink w:anchor="__RefHeading___Toc518035916">
            <w:r>
              <w:rPr>
                <w:rStyle w:val="IndexLink"/>
              </w:rPr>
              <w:t>204</w:t>
            </w:r>
          </w:hyperlink>
        </w:p>
        <w:p>
          <w:pPr>
            <w:pStyle w:val="Contents3"/>
            <w:rPr>
              <w:rFonts w:ascii="Calibri" w:hAnsi="Calibri" w:cs="Calibri"/>
              <w:sz w:val="22"/>
              <w:szCs w:val="22"/>
              <w:lang w:val="en-US" w:eastAsia="en-US"/>
            </w:rPr>
          </w:pPr>
          <w:r>
            <w:rPr/>
            <w:t>S.3.3.1</w:t>
          </w:r>
          <w:r>
            <w:rPr>
              <w:rFonts w:cs="Calibri" w:ascii="Calibri" w:hAnsi="Calibri"/>
              <w:sz w:val="22"/>
              <w:szCs w:val="22"/>
              <w:lang w:val="en-US" w:eastAsia="en-US"/>
            </w:rPr>
            <w:tab/>
          </w:r>
          <w:r>
            <w:rPr/>
            <w:t>uncoordinated CTS-MSs -&gt; GSM-BTS</w:t>
            <w:tab/>
          </w:r>
          <w:hyperlink w:anchor="__RefHeading___Toc518035917">
            <w:r>
              <w:rPr>
                <w:rStyle w:val="IndexLink"/>
              </w:rPr>
              <w:t>204</w:t>
            </w:r>
          </w:hyperlink>
        </w:p>
        <w:p>
          <w:pPr>
            <w:pStyle w:val="Contents3"/>
            <w:rPr>
              <w:rFonts w:ascii="Calibri" w:hAnsi="Calibri" w:cs="Calibri"/>
              <w:sz w:val="22"/>
              <w:szCs w:val="22"/>
              <w:lang w:val="en-US" w:eastAsia="en-US"/>
            </w:rPr>
          </w:pPr>
          <w:r>
            <w:rPr/>
            <w:t>S.3.3.2</w:t>
          </w:r>
          <w:r>
            <w:rPr>
              <w:rFonts w:cs="Calibri" w:ascii="Calibri" w:hAnsi="Calibri"/>
              <w:sz w:val="22"/>
              <w:szCs w:val="22"/>
              <w:lang w:val="en-US" w:eastAsia="en-US"/>
            </w:rPr>
            <w:tab/>
          </w:r>
          <w:r>
            <w:rPr/>
            <w:t>uncoordinated CTS-FPs -&gt; MS</w:t>
            <w:tab/>
          </w:r>
          <w:hyperlink w:anchor="__RefHeading___Toc518035918">
            <w:r>
              <w:rPr>
                <w:rStyle w:val="IndexLink"/>
              </w:rPr>
              <w:t>204</w:t>
            </w:r>
          </w:hyperlink>
        </w:p>
        <w:p>
          <w:pPr>
            <w:pStyle w:val="Contents3"/>
            <w:rPr>
              <w:rFonts w:ascii="Calibri" w:hAnsi="Calibri" w:cs="Calibri"/>
              <w:sz w:val="22"/>
              <w:szCs w:val="22"/>
              <w:lang w:val="en-US" w:eastAsia="en-US"/>
            </w:rPr>
          </w:pPr>
          <w:r>
            <w:rPr/>
            <w:t>S.3.3.3</w:t>
          </w:r>
          <w:r>
            <w:rPr>
              <w:rFonts w:cs="Calibri" w:ascii="Calibri" w:hAnsi="Calibri"/>
              <w:sz w:val="22"/>
              <w:szCs w:val="22"/>
              <w:lang w:val="en-US" w:eastAsia="en-US"/>
            </w:rPr>
            <w:tab/>
          </w:r>
          <w:r>
            <w:rPr/>
            <w:t>uncoordinated GSM-MSs -&gt; CTS-FP</w:t>
            <w:tab/>
          </w:r>
          <w:hyperlink w:anchor="__RefHeading___Toc518035919">
            <w:r>
              <w:rPr>
                <w:rStyle w:val="IndexLink"/>
              </w:rPr>
              <w:t>205</w:t>
            </w:r>
          </w:hyperlink>
        </w:p>
        <w:p>
          <w:pPr>
            <w:pStyle w:val="Contents1"/>
            <w:rPr>
              <w:rFonts w:ascii="Calibri" w:hAnsi="Calibri" w:cs="Calibri"/>
              <w:szCs w:val="22"/>
              <w:lang w:val="en-US" w:eastAsia="en-US"/>
            </w:rPr>
          </w:pPr>
          <w:r>
            <w:rPr/>
            <w:t>S.4</w:t>
          </w:r>
          <w:r>
            <w:rPr>
              <w:rFonts w:cs="Calibri" w:ascii="Calibri" w:hAnsi="Calibri"/>
              <w:szCs w:val="22"/>
              <w:lang w:val="en-US" w:eastAsia="en-US"/>
            </w:rPr>
            <w:tab/>
          </w:r>
          <w:r>
            <w:rPr/>
            <w:t>CTS-FP TI5 performance requirements</w:t>
            <w:tab/>
          </w:r>
          <w:hyperlink w:anchor="__RefHeading___Toc518035920">
            <w:r>
              <w:rPr>
                <w:rStyle w:val="IndexLink"/>
              </w:rPr>
              <w:t>205</w:t>
            </w:r>
          </w:hyperlink>
        </w:p>
        <w:p>
          <w:pPr>
            <w:pStyle w:val="Contents2"/>
            <w:rPr>
              <w:rFonts w:ascii="Calibri" w:hAnsi="Calibri" w:cs="Calibri"/>
              <w:sz w:val="22"/>
              <w:szCs w:val="22"/>
              <w:lang w:val="en-US" w:eastAsia="en-US"/>
            </w:rPr>
          </w:pPr>
          <w:r>
            <w:rPr/>
            <w:t>S.4.1</w:t>
          </w:r>
          <w:r>
            <w:rPr>
              <w:rFonts w:cs="Calibri" w:ascii="Calibri" w:hAnsi="Calibri"/>
              <w:sz w:val="22"/>
              <w:szCs w:val="22"/>
              <w:lang w:val="en-US" w:eastAsia="en-US"/>
            </w:rPr>
            <w:tab/>
          </w:r>
          <w:r>
            <w:rPr/>
            <w:t>Nominal Error Rates for the CTS-FP</w:t>
            <w:tab/>
          </w:r>
          <w:hyperlink w:anchor="__RefHeading___Toc518035921">
            <w:r>
              <w:rPr>
                <w:rStyle w:val="IndexLink"/>
              </w:rPr>
              <w:t>205</w:t>
            </w:r>
          </w:hyperlink>
        </w:p>
        <w:p>
          <w:pPr>
            <w:pStyle w:val="Contents1"/>
            <w:rPr>
              <w:rFonts w:ascii="Calibri" w:hAnsi="Calibri" w:cs="Calibri"/>
              <w:szCs w:val="22"/>
              <w:lang w:val="en-US" w:eastAsia="en-US"/>
            </w:rPr>
          </w:pPr>
          <w:r>
            <w:rPr/>
            <w:t>S.5</w:t>
          </w:r>
          <w:r>
            <w:rPr>
              <w:rFonts w:cs="Calibri" w:ascii="Calibri" w:hAnsi="Calibri"/>
              <w:szCs w:val="22"/>
              <w:lang w:val="en-US" w:eastAsia="en-US"/>
            </w:rPr>
            <w:tab/>
          </w:r>
          <w:r>
            <w:rPr/>
            <w:t>Conclusion</w:t>
            <w:tab/>
          </w:r>
          <w:hyperlink w:anchor="__RefHeading___Toc518035922">
            <w:r>
              <w:rPr>
                <w:rStyle w:val="IndexLink"/>
              </w:rPr>
              <w:t>206</w:t>
            </w:r>
          </w:hyperlink>
        </w:p>
        <w:p>
          <w:pPr>
            <w:pStyle w:val="Contents9"/>
            <w:rPr>
              <w:rFonts w:ascii="Calibri" w:hAnsi="Calibri" w:cs="Calibri"/>
              <w:b w:val="false"/>
              <w:b w:val="false"/>
              <w:szCs w:val="22"/>
              <w:lang w:val="en-US" w:eastAsia="en-US"/>
            </w:rPr>
          </w:pPr>
          <w:r>
            <w:rPr/>
            <w:t>Annex T:</w:t>
            <w:tab/>
            <w:t>GSM400 system scenarios</w:t>
            <w:tab/>
          </w:r>
          <w:hyperlink w:anchor="__RefHeading___Toc518035923">
            <w:r>
              <w:rPr>
                <w:rStyle w:val="IndexLink"/>
              </w:rPr>
              <w:t>207</w:t>
            </w:r>
          </w:hyperlink>
        </w:p>
        <w:p>
          <w:pPr>
            <w:pStyle w:val="Contents1"/>
            <w:rPr>
              <w:rFonts w:ascii="Calibri" w:hAnsi="Calibri" w:cs="Calibri"/>
              <w:szCs w:val="22"/>
              <w:lang w:val="en-US" w:eastAsia="en-US"/>
            </w:rPr>
          </w:pPr>
          <w:r>
            <w:rPr/>
            <w:t>T.0</w:t>
          </w:r>
          <w:r>
            <w:rPr>
              <w:rFonts w:cs="Calibri" w:ascii="Calibri" w:hAnsi="Calibri"/>
              <w:szCs w:val="22"/>
              <w:lang w:val="en-US" w:eastAsia="en-US"/>
            </w:rPr>
            <w:tab/>
          </w:r>
          <w:r>
            <w:rPr/>
            <w:t>Introduction</w:t>
            <w:tab/>
          </w:r>
          <w:hyperlink w:anchor="__RefHeading___Toc518035924">
            <w:r>
              <w:rPr>
                <w:rStyle w:val="IndexLink"/>
              </w:rPr>
              <w:t>207</w:t>
            </w:r>
          </w:hyperlink>
        </w:p>
        <w:p>
          <w:pPr>
            <w:pStyle w:val="Contents1"/>
            <w:rPr>
              <w:rFonts w:ascii="Calibri" w:hAnsi="Calibri" w:cs="Calibri"/>
              <w:szCs w:val="22"/>
              <w:lang w:val="en-US" w:eastAsia="en-US"/>
            </w:rPr>
          </w:pPr>
          <w:r>
            <w:rPr/>
            <w:t>T.1</w:t>
          </w:r>
          <w:r>
            <w:rPr>
              <w:rFonts w:cs="Calibri" w:ascii="Calibri" w:hAnsi="Calibri"/>
              <w:szCs w:val="22"/>
              <w:lang w:val="en-US" w:eastAsia="en-US"/>
            </w:rPr>
            <w:tab/>
          </w:r>
          <w:r>
            <w:rPr/>
            <w:t>Frequency bands and channel arrangement</w:t>
            <w:tab/>
          </w:r>
          <w:hyperlink w:anchor="__RefHeading___Toc518035925">
            <w:r>
              <w:rPr>
                <w:rStyle w:val="IndexLink"/>
              </w:rPr>
              <w:t>207</w:t>
            </w:r>
          </w:hyperlink>
        </w:p>
        <w:p>
          <w:pPr>
            <w:pStyle w:val="Contents1"/>
            <w:rPr>
              <w:rFonts w:ascii="Calibri" w:hAnsi="Calibri" w:cs="Calibri"/>
              <w:szCs w:val="22"/>
              <w:lang w:val="en-US" w:eastAsia="en-US"/>
            </w:rPr>
          </w:pPr>
          <w:r>
            <w:rPr/>
            <w:t>T.2</w:t>
          </w:r>
          <w:r>
            <w:rPr>
              <w:rFonts w:cs="Calibri" w:ascii="Calibri" w:hAnsi="Calibri"/>
              <w:szCs w:val="22"/>
              <w:lang w:val="en-US" w:eastAsia="en-US"/>
            </w:rPr>
            <w:tab/>
          </w:r>
          <w:r>
            <w:rPr/>
            <w:t>System Scenario Calculations for GSM400 systems</w:t>
            <w:tab/>
          </w:r>
          <w:hyperlink w:anchor="__RefHeading___Toc518035926">
            <w:r>
              <w:rPr>
                <w:rStyle w:val="IndexLink"/>
              </w:rPr>
              <w:t>208</w:t>
            </w:r>
          </w:hyperlink>
        </w:p>
        <w:p>
          <w:pPr>
            <w:pStyle w:val="Contents2"/>
            <w:rPr>
              <w:rFonts w:ascii="Calibri" w:hAnsi="Calibri" w:cs="Calibri"/>
              <w:sz w:val="22"/>
              <w:szCs w:val="22"/>
              <w:lang w:val="en-US" w:eastAsia="en-US"/>
            </w:rPr>
          </w:pPr>
          <w:r>
            <w:rPr/>
            <w:t>T.2.1</w:t>
          </w:r>
          <w:r>
            <w:rPr>
              <w:rFonts w:cs="Calibri" w:ascii="Calibri" w:hAnsi="Calibri"/>
              <w:sz w:val="22"/>
              <w:szCs w:val="22"/>
              <w:lang w:val="en-US" w:eastAsia="en-US"/>
            </w:rPr>
            <w:tab/>
          </w:r>
          <w:r>
            <w:rPr/>
            <w:t>Worst case proximity scenarios</w:t>
            <w:tab/>
          </w:r>
          <w:hyperlink w:anchor="__RefHeading___Toc518035927">
            <w:r>
              <w:rPr>
                <w:rStyle w:val="IndexLink"/>
              </w:rPr>
              <w:t>208</w:t>
            </w:r>
          </w:hyperlink>
        </w:p>
        <w:p>
          <w:pPr>
            <w:pStyle w:val="Contents1"/>
            <w:rPr>
              <w:rFonts w:ascii="Calibri" w:hAnsi="Calibri" w:cs="Calibri"/>
              <w:szCs w:val="22"/>
              <w:lang w:val="en-US" w:eastAsia="en-US"/>
            </w:rPr>
          </w:pPr>
          <w:r>
            <w:rPr/>
            <w:t>T.3</w:t>
          </w:r>
          <w:r>
            <w:rPr>
              <w:rFonts w:cs="Calibri" w:ascii="Calibri" w:hAnsi="Calibri"/>
              <w:szCs w:val="22"/>
              <w:lang w:val="en-US" w:eastAsia="en-US"/>
            </w:rPr>
            <w:tab/>
          </w:r>
          <w:r>
            <w:rPr/>
            <w:t>Worst Case Scenario Requirements</w:t>
            <w:tab/>
          </w:r>
          <w:hyperlink w:anchor="__RefHeading___Toc518035928">
            <w:r>
              <w:rPr>
                <w:rStyle w:val="IndexLink"/>
              </w:rPr>
              <w:t>210</w:t>
            </w:r>
          </w:hyperlink>
        </w:p>
        <w:p>
          <w:pPr>
            <w:pStyle w:val="Contents2"/>
            <w:rPr>
              <w:rFonts w:ascii="Calibri" w:hAnsi="Calibri" w:cs="Calibri"/>
              <w:sz w:val="22"/>
              <w:szCs w:val="22"/>
              <w:lang w:val="en-US" w:eastAsia="en-US"/>
            </w:rPr>
          </w:pPr>
          <w:r>
            <w:rPr/>
            <w:t>T.3.1</w:t>
          </w:r>
          <w:r>
            <w:rPr>
              <w:rFonts w:cs="Calibri" w:ascii="Calibri" w:hAnsi="Calibri"/>
              <w:sz w:val="22"/>
              <w:szCs w:val="22"/>
              <w:lang w:val="en-US" w:eastAsia="en-US"/>
            </w:rPr>
            <w:tab/>
          </w:r>
          <w:r>
            <w:rPr/>
            <w:t>Transmitter</w:t>
            <w:tab/>
          </w:r>
          <w:hyperlink w:anchor="__RefHeading___Toc518035929">
            <w:r>
              <w:rPr>
                <w:rStyle w:val="IndexLink"/>
              </w:rPr>
              <w:t>210</w:t>
            </w:r>
          </w:hyperlink>
        </w:p>
        <w:p>
          <w:pPr>
            <w:pStyle w:val="Contents3"/>
            <w:rPr>
              <w:rFonts w:ascii="Calibri" w:hAnsi="Calibri" w:cs="Calibri"/>
              <w:sz w:val="22"/>
              <w:szCs w:val="22"/>
              <w:lang w:val="en-US" w:eastAsia="en-US"/>
            </w:rPr>
          </w:pPr>
          <w:r>
            <w:rPr/>
            <w:t>T.3.1.1</w:t>
          </w:r>
          <w:r>
            <w:rPr>
              <w:rFonts w:cs="Calibri" w:ascii="Calibri" w:hAnsi="Calibri"/>
              <w:sz w:val="22"/>
              <w:szCs w:val="22"/>
              <w:lang w:val="en-US" w:eastAsia="en-US"/>
            </w:rPr>
            <w:tab/>
          </w:r>
          <w:r>
            <w:rPr/>
            <w:t>Modulation, Spurs and noise</w:t>
            <w:tab/>
          </w:r>
          <w:hyperlink w:anchor="__RefHeading___Toc518035930">
            <w:r>
              <w:rPr>
                <w:rStyle w:val="IndexLink"/>
              </w:rPr>
              <w:t>210</w:t>
            </w:r>
          </w:hyperlink>
        </w:p>
        <w:p>
          <w:pPr>
            <w:pStyle w:val="Contents4"/>
            <w:rPr>
              <w:rFonts w:ascii="Calibri" w:hAnsi="Calibri" w:cs="Calibri"/>
              <w:sz w:val="22"/>
              <w:szCs w:val="22"/>
              <w:lang w:val="en-US" w:eastAsia="en-US"/>
            </w:rPr>
          </w:pPr>
          <w:r>
            <w:rPr/>
            <w:t>T.3.1.1.1</w:t>
          </w:r>
          <w:r>
            <w:rPr>
              <w:rFonts w:cs="Calibri" w:ascii="Calibri" w:hAnsi="Calibri"/>
              <w:sz w:val="22"/>
              <w:szCs w:val="22"/>
              <w:lang w:val="en-US" w:eastAsia="en-US"/>
            </w:rPr>
            <w:tab/>
          </w:r>
          <w:r>
            <w:rPr/>
            <w:t>Co-ordinated BTS -&gt; MS</w:t>
            <w:tab/>
          </w:r>
          <w:hyperlink w:anchor="__RefHeading___Toc518035931">
            <w:r>
              <w:rPr>
                <w:rStyle w:val="IndexLink"/>
              </w:rPr>
              <w:t>210</w:t>
            </w:r>
          </w:hyperlink>
        </w:p>
        <w:p>
          <w:pPr>
            <w:pStyle w:val="Contents4"/>
            <w:rPr>
              <w:rFonts w:ascii="Calibri" w:hAnsi="Calibri" w:cs="Calibri"/>
              <w:sz w:val="22"/>
              <w:szCs w:val="22"/>
              <w:lang w:val="en-US" w:eastAsia="en-US"/>
            </w:rPr>
          </w:pPr>
          <w:r>
            <w:rPr/>
            <w:t>T.3.1.1.2</w:t>
          </w:r>
          <w:r>
            <w:rPr>
              <w:rFonts w:cs="Calibri" w:ascii="Calibri" w:hAnsi="Calibri"/>
              <w:sz w:val="22"/>
              <w:szCs w:val="22"/>
              <w:lang w:val="en-US" w:eastAsia="en-US"/>
            </w:rPr>
            <w:tab/>
          </w:r>
          <w:r>
            <w:rPr/>
            <w:t>Uncoordinated BTS -&gt; MS</w:t>
            <w:tab/>
          </w:r>
          <w:hyperlink w:anchor="__RefHeading___Toc518035932">
            <w:r>
              <w:rPr>
                <w:rStyle w:val="IndexLink"/>
              </w:rPr>
              <w:t>210</w:t>
            </w:r>
          </w:hyperlink>
        </w:p>
        <w:p>
          <w:pPr>
            <w:pStyle w:val="Contents4"/>
            <w:rPr>
              <w:rFonts w:ascii="Calibri" w:hAnsi="Calibri" w:cs="Calibri"/>
              <w:sz w:val="22"/>
              <w:szCs w:val="22"/>
              <w:lang w:val="en-US" w:eastAsia="en-US"/>
            </w:rPr>
          </w:pPr>
          <w:r>
            <w:rPr/>
            <w:t>T.3.1.1.3</w:t>
          </w:r>
          <w:r>
            <w:rPr>
              <w:rFonts w:cs="Calibri" w:ascii="Calibri" w:hAnsi="Calibri"/>
              <w:sz w:val="22"/>
              <w:szCs w:val="22"/>
              <w:lang w:val="en-US" w:eastAsia="en-US"/>
            </w:rPr>
            <w:tab/>
          </w:r>
          <w:r>
            <w:rPr/>
            <w:t>Coordinated &amp; Uncoordinated MS -&gt; BTS</w:t>
            <w:tab/>
          </w:r>
          <w:hyperlink w:anchor="__RefHeading___Toc518035933">
            <w:r>
              <w:rPr>
                <w:rStyle w:val="IndexLink"/>
              </w:rPr>
              <w:t>210</w:t>
            </w:r>
          </w:hyperlink>
        </w:p>
        <w:p>
          <w:pPr>
            <w:pStyle w:val="Contents4"/>
            <w:rPr>
              <w:rFonts w:ascii="Calibri" w:hAnsi="Calibri" w:cs="Calibri"/>
              <w:sz w:val="22"/>
              <w:szCs w:val="22"/>
              <w:lang w:val="en-US" w:eastAsia="en-US"/>
            </w:rPr>
          </w:pPr>
          <w:r>
            <w:rPr/>
            <w:t>T.3.1.1.4</w:t>
          </w:r>
          <w:r>
            <w:rPr>
              <w:rFonts w:cs="Calibri" w:ascii="Calibri" w:hAnsi="Calibri"/>
              <w:sz w:val="22"/>
              <w:szCs w:val="22"/>
              <w:lang w:val="en-US" w:eastAsia="en-US"/>
            </w:rPr>
            <w:tab/>
          </w:r>
          <w:r>
            <w:rPr/>
            <w:t>Coordinated &amp; Uncoordinated MS -&gt; MS</w:t>
            <w:tab/>
          </w:r>
          <w:hyperlink w:anchor="__RefHeading___Toc518035934">
            <w:r>
              <w:rPr>
                <w:rStyle w:val="IndexLink"/>
              </w:rPr>
              <w:t>210</w:t>
            </w:r>
          </w:hyperlink>
        </w:p>
        <w:p>
          <w:pPr>
            <w:pStyle w:val="Contents4"/>
            <w:rPr>
              <w:rFonts w:ascii="Calibri" w:hAnsi="Calibri" w:cs="Calibri"/>
              <w:sz w:val="22"/>
              <w:szCs w:val="22"/>
              <w:lang w:val="en-US" w:eastAsia="en-US"/>
            </w:rPr>
          </w:pPr>
          <w:r>
            <w:rPr/>
            <w:t>T.3.1.1.5</w:t>
          </w:r>
          <w:r>
            <w:rPr>
              <w:rFonts w:cs="Calibri" w:ascii="Calibri" w:hAnsi="Calibri"/>
              <w:sz w:val="22"/>
              <w:szCs w:val="22"/>
              <w:lang w:val="en-US" w:eastAsia="en-US"/>
            </w:rPr>
            <w:tab/>
          </w:r>
          <w:r>
            <w:rPr/>
            <w:t>Coordinated &amp; Uncoordinated  BTS -&gt; BTS</w:t>
            <w:tab/>
          </w:r>
          <w:hyperlink w:anchor="__RefHeading___Toc518035935">
            <w:r>
              <w:rPr>
                <w:rStyle w:val="IndexLink"/>
              </w:rPr>
              <w:t>210</w:t>
            </w:r>
          </w:hyperlink>
        </w:p>
        <w:p>
          <w:pPr>
            <w:pStyle w:val="Contents3"/>
            <w:rPr>
              <w:rFonts w:ascii="Calibri" w:hAnsi="Calibri" w:cs="Calibri"/>
              <w:sz w:val="22"/>
              <w:szCs w:val="22"/>
              <w:lang w:val="en-US" w:eastAsia="en-US"/>
            </w:rPr>
          </w:pPr>
          <w:r>
            <w:rPr/>
            <w:t>T.3.1.2</w:t>
          </w:r>
          <w:r>
            <w:rPr>
              <w:rFonts w:cs="Calibri" w:ascii="Calibri" w:hAnsi="Calibri"/>
              <w:sz w:val="22"/>
              <w:szCs w:val="22"/>
              <w:lang w:val="en-US" w:eastAsia="en-US"/>
            </w:rPr>
            <w:tab/>
          </w:r>
          <w:r>
            <w:rPr/>
            <w:t>Switching transients</w:t>
            <w:tab/>
          </w:r>
          <w:hyperlink w:anchor="__RefHeading___Toc518035936">
            <w:r>
              <w:rPr>
                <w:rStyle w:val="IndexLink"/>
              </w:rPr>
              <w:t>210</w:t>
            </w:r>
          </w:hyperlink>
        </w:p>
        <w:p>
          <w:pPr>
            <w:pStyle w:val="Contents4"/>
            <w:rPr>
              <w:rFonts w:ascii="Calibri" w:hAnsi="Calibri" w:cs="Calibri"/>
              <w:sz w:val="22"/>
              <w:szCs w:val="22"/>
              <w:lang w:val="en-US" w:eastAsia="en-US"/>
            </w:rPr>
          </w:pPr>
          <w:r>
            <w:rPr/>
            <w:t>T.3.1.2.1</w:t>
          </w:r>
          <w:r>
            <w:rPr>
              <w:rFonts w:cs="Calibri" w:ascii="Calibri" w:hAnsi="Calibri"/>
              <w:sz w:val="22"/>
              <w:szCs w:val="22"/>
              <w:lang w:val="en-US" w:eastAsia="en-US"/>
            </w:rPr>
            <w:tab/>
          </w:r>
          <w:r>
            <w:rPr/>
            <w:t>Uncoordinated MS -&gt; BTS</w:t>
            <w:tab/>
          </w:r>
          <w:hyperlink w:anchor="__RefHeading___Toc518035937">
            <w:r>
              <w:rPr>
                <w:rStyle w:val="IndexLink"/>
              </w:rPr>
              <w:t>210</w:t>
            </w:r>
          </w:hyperlink>
        </w:p>
        <w:p>
          <w:pPr>
            <w:pStyle w:val="Contents4"/>
            <w:rPr>
              <w:rFonts w:ascii="Calibri" w:hAnsi="Calibri" w:cs="Calibri"/>
              <w:sz w:val="22"/>
              <w:szCs w:val="22"/>
              <w:lang w:val="en-US" w:eastAsia="en-US"/>
            </w:rPr>
          </w:pPr>
          <w:r>
            <w:rPr/>
            <w:t>T.3.1.2.2</w:t>
          </w:r>
          <w:r>
            <w:rPr>
              <w:rFonts w:cs="Calibri" w:ascii="Calibri" w:hAnsi="Calibri"/>
              <w:sz w:val="22"/>
              <w:szCs w:val="22"/>
              <w:lang w:val="en-US" w:eastAsia="en-US"/>
            </w:rPr>
            <w:tab/>
          </w:r>
          <w:r>
            <w:rPr/>
            <w:t>Uncoordinated BTS -&gt; MS</w:t>
            <w:tab/>
          </w:r>
          <w:hyperlink w:anchor="__RefHeading___Toc518035938">
            <w:r>
              <w:rPr>
                <w:rStyle w:val="IndexLink"/>
              </w:rPr>
              <w:t>210</w:t>
            </w:r>
          </w:hyperlink>
        </w:p>
        <w:p>
          <w:pPr>
            <w:pStyle w:val="Contents3"/>
            <w:rPr>
              <w:rFonts w:ascii="Calibri" w:hAnsi="Calibri" w:cs="Calibri"/>
              <w:sz w:val="22"/>
              <w:szCs w:val="22"/>
              <w:lang w:val="en-US" w:eastAsia="en-US"/>
            </w:rPr>
          </w:pPr>
          <w:r>
            <w:rPr/>
            <w:t>T.3.1.3</w:t>
          </w:r>
          <w:r>
            <w:rPr>
              <w:rFonts w:cs="Calibri" w:ascii="Calibri" w:hAnsi="Calibri"/>
              <w:sz w:val="22"/>
              <w:szCs w:val="22"/>
              <w:lang w:val="en-US" w:eastAsia="en-US"/>
            </w:rPr>
            <w:tab/>
          </w:r>
          <w:r>
            <w:rPr/>
            <w:t>Intermodulation</w:t>
            <w:tab/>
          </w:r>
          <w:hyperlink w:anchor="__RefHeading___Toc518035939">
            <w:r>
              <w:rPr>
                <w:rStyle w:val="IndexLink"/>
              </w:rPr>
              <w:t>211</w:t>
            </w:r>
          </w:hyperlink>
        </w:p>
        <w:p>
          <w:pPr>
            <w:pStyle w:val="Contents4"/>
            <w:rPr>
              <w:rFonts w:ascii="Calibri" w:hAnsi="Calibri" w:cs="Calibri"/>
              <w:sz w:val="22"/>
              <w:szCs w:val="22"/>
              <w:lang w:val="en-US" w:eastAsia="en-US"/>
            </w:rPr>
          </w:pPr>
          <w:r>
            <w:rPr/>
            <w:t>T.3.1.3.1</w:t>
          </w:r>
          <w:r>
            <w:rPr>
              <w:rFonts w:cs="Calibri" w:ascii="Calibri" w:hAnsi="Calibri"/>
              <w:sz w:val="22"/>
              <w:szCs w:val="22"/>
              <w:lang w:val="en-US" w:eastAsia="en-US"/>
            </w:rPr>
            <w:tab/>
          </w:r>
          <w:r>
            <w:rPr/>
            <w:t>Coordinated BTS -&gt; MS</w:t>
            <w:tab/>
          </w:r>
          <w:hyperlink w:anchor="__RefHeading___Toc518035940">
            <w:r>
              <w:rPr>
                <w:rStyle w:val="IndexLink"/>
              </w:rPr>
              <w:t>211</w:t>
            </w:r>
          </w:hyperlink>
        </w:p>
        <w:p>
          <w:pPr>
            <w:pStyle w:val="Contents4"/>
            <w:rPr>
              <w:rFonts w:ascii="Calibri" w:hAnsi="Calibri" w:cs="Calibri"/>
              <w:sz w:val="22"/>
              <w:szCs w:val="22"/>
              <w:lang w:val="en-US" w:eastAsia="en-US"/>
            </w:rPr>
          </w:pPr>
          <w:r>
            <w:rPr/>
            <w:t>T.3.1.3.2</w:t>
          </w:r>
          <w:r>
            <w:rPr>
              <w:rFonts w:cs="Calibri" w:ascii="Calibri" w:hAnsi="Calibri"/>
              <w:sz w:val="22"/>
              <w:szCs w:val="22"/>
              <w:lang w:val="en-US" w:eastAsia="en-US"/>
            </w:rPr>
            <w:tab/>
          </w:r>
          <w:r>
            <w:rPr/>
            <w:t>Uncoordinated BTS -&gt; MS</w:t>
            <w:tab/>
          </w:r>
          <w:hyperlink w:anchor="__RefHeading___Toc518035941">
            <w:r>
              <w:rPr>
                <w:rStyle w:val="IndexLink"/>
              </w:rPr>
              <w:t>211</w:t>
            </w:r>
          </w:hyperlink>
        </w:p>
        <w:p>
          <w:pPr>
            <w:pStyle w:val="Contents4"/>
            <w:rPr>
              <w:rFonts w:ascii="Calibri" w:hAnsi="Calibri" w:cs="Calibri"/>
              <w:sz w:val="22"/>
              <w:szCs w:val="22"/>
              <w:lang w:val="en-US" w:eastAsia="en-US"/>
            </w:rPr>
          </w:pPr>
          <w:r>
            <w:rPr/>
            <w:t>T.3.1.3.3</w:t>
          </w:r>
          <w:r>
            <w:rPr>
              <w:rFonts w:cs="Calibri" w:ascii="Calibri" w:hAnsi="Calibri"/>
              <w:sz w:val="22"/>
              <w:szCs w:val="22"/>
              <w:lang w:val="en-US" w:eastAsia="en-US"/>
            </w:rPr>
            <w:tab/>
          </w:r>
          <w:r>
            <w:rPr/>
            <w:t>Uncoordinated MSs -&gt; BTS</w:t>
            <w:tab/>
          </w:r>
          <w:hyperlink w:anchor="__RefHeading___Toc518035942">
            <w:r>
              <w:rPr>
                <w:rStyle w:val="IndexLink"/>
              </w:rPr>
              <w:t>211</w:t>
            </w:r>
          </w:hyperlink>
        </w:p>
        <w:p>
          <w:pPr>
            <w:pStyle w:val="Contents4"/>
            <w:rPr>
              <w:rFonts w:ascii="Calibri" w:hAnsi="Calibri" w:cs="Calibri"/>
              <w:sz w:val="22"/>
              <w:szCs w:val="22"/>
              <w:lang w:val="en-US" w:eastAsia="en-US"/>
            </w:rPr>
          </w:pPr>
          <w:r>
            <w:rPr/>
            <w:t>T.3.1.3.4</w:t>
          </w:r>
          <w:r>
            <w:rPr>
              <w:rFonts w:cs="Calibri" w:ascii="Calibri" w:hAnsi="Calibri"/>
              <w:sz w:val="22"/>
              <w:szCs w:val="22"/>
              <w:lang w:val="en-US" w:eastAsia="en-US"/>
            </w:rPr>
            <w:tab/>
          </w:r>
          <w:r>
            <w:rPr/>
            <w:t>Uncoordinated MS &amp; MS -&gt; MS</w:t>
            <w:tab/>
          </w:r>
          <w:hyperlink w:anchor="__RefHeading___Toc518035943">
            <w:r>
              <w:rPr>
                <w:rStyle w:val="IndexLink"/>
              </w:rPr>
              <w:t>211</w:t>
            </w:r>
          </w:hyperlink>
        </w:p>
        <w:p>
          <w:pPr>
            <w:pStyle w:val="Contents2"/>
            <w:rPr>
              <w:rFonts w:ascii="Calibri" w:hAnsi="Calibri" w:cs="Calibri"/>
              <w:sz w:val="22"/>
              <w:szCs w:val="22"/>
              <w:lang w:val="en-US" w:eastAsia="en-US"/>
            </w:rPr>
          </w:pPr>
          <w:r>
            <w:rPr/>
            <w:t>T.3.2</w:t>
          </w:r>
          <w:r>
            <w:rPr>
              <w:rFonts w:cs="Calibri" w:ascii="Calibri" w:hAnsi="Calibri"/>
              <w:sz w:val="22"/>
              <w:szCs w:val="22"/>
              <w:lang w:val="en-US" w:eastAsia="en-US"/>
            </w:rPr>
            <w:tab/>
          </w:r>
          <w:r>
            <w:rPr/>
            <w:t>Receiver</w:t>
            <w:tab/>
          </w:r>
          <w:hyperlink w:anchor="__RefHeading___Toc518035944">
            <w:r>
              <w:rPr>
                <w:rStyle w:val="IndexLink"/>
              </w:rPr>
              <w:t>211</w:t>
            </w:r>
          </w:hyperlink>
        </w:p>
        <w:p>
          <w:pPr>
            <w:pStyle w:val="Contents3"/>
            <w:rPr>
              <w:rFonts w:ascii="Calibri" w:hAnsi="Calibri" w:cs="Calibri"/>
              <w:sz w:val="22"/>
              <w:szCs w:val="22"/>
              <w:lang w:val="en-US" w:eastAsia="en-US"/>
            </w:rPr>
          </w:pPr>
          <w:r>
            <w:rPr/>
            <w:t>T.3.2.1</w:t>
          </w:r>
          <w:r>
            <w:rPr>
              <w:rFonts w:cs="Calibri" w:ascii="Calibri" w:hAnsi="Calibri"/>
              <w:sz w:val="22"/>
              <w:szCs w:val="22"/>
              <w:lang w:val="en-US" w:eastAsia="en-US"/>
            </w:rPr>
            <w:tab/>
          </w:r>
          <w:r>
            <w:rPr/>
            <w:t>Blocking</w:t>
            <w:tab/>
          </w:r>
          <w:hyperlink w:anchor="__RefHeading___Toc518035945">
            <w:r>
              <w:rPr>
                <w:rStyle w:val="IndexLink"/>
              </w:rPr>
              <w:t>211</w:t>
            </w:r>
          </w:hyperlink>
        </w:p>
        <w:p>
          <w:pPr>
            <w:pStyle w:val="Contents4"/>
            <w:rPr>
              <w:rFonts w:ascii="Calibri" w:hAnsi="Calibri" w:cs="Calibri"/>
              <w:sz w:val="22"/>
              <w:szCs w:val="22"/>
              <w:lang w:val="en-US" w:eastAsia="en-US"/>
            </w:rPr>
          </w:pPr>
          <w:r>
            <w:rPr/>
            <w:t>T.3.2.1.1</w:t>
          </w:r>
          <w:r>
            <w:rPr>
              <w:rFonts w:cs="Calibri" w:ascii="Calibri" w:hAnsi="Calibri"/>
              <w:sz w:val="22"/>
              <w:szCs w:val="22"/>
              <w:lang w:val="en-US" w:eastAsia="en-US"/>
            </w:rPr>
            <w:tab/>
          </w:r>
          <w:r>
            <w:rPr/>
            <w:t>Coordinated &amp; Uncoordinated  BTS -&gt; MS</w:t>
            <w:tab/>
          </w:r>
          <w:hyperlink w:anchor="__RefHeading___Toc518035946">
            <w:r>
              <w:rPr>
                <w:rStyle w:val="IndexLink"/>
              </w:rPr>
              <w:t>211</w:t>
            </w:r>
          </w:hyperlink>
        </w:p>
        <w:p>
          <w:pPr>
            <w:pStyle w:val="Contents4"/>
            <w:rPr>
              <w:rFonts w:ascii="Calibri" w:hAnsi="Calibri" w:cs="Calibri"/>
              <w:sz w:val="22"/>
              <w:szCs w:val="22"/>
              <w:lang w:val="en-US" w:eastAsia="en-US"/>
            </w:rPr>
          </w:pPr>
          <w:r>
            <w:rPr/>
            <w:t>T.3.2.1.2</w:t>
          </w:r>
          <w:r>
            <w:rPr>
              <w:rFonts w:cs="Calibri" w:ascii="Calibri" w:hAnsi="Calibri"/>
              <w:sz w:val="22"/>
              <w:szCs w:val="22"/>
              <w:lang w:val="en-US" w:eastAsia="en-US"/>
            </w:rPr>
            <w:tab/>
          </w:r>
          <w:r>
            <w:rPr/>
            <w:t>Coordinated MS -&gt; BTS</w:t>
            <w:tab/>
          </w:r>
          <w:hyperlink w:anchor="__RefHeading___Toc518035947">
            <w:r>
              <w:rPr>
                <w:rStyle w:val="IndexLink"/>
              </w:rPr>
              <w:t>211</w:t>
            </w:r>
          </w:hyperlink>
        </w:p>
        <w:p>
          <w:pPr>
            <w:pStyle w:val="Contents4"/>
            <w:rPr>
              <w:rFonts w:ascii="Calibri" w:hAnsi="Calibri" w:cs="Calibri"/>
              <w:sz w:val="22"/>
              <w:szCs w:val="22"/>
              <w:lang w:val="en-US" w:eastAsia="en-US"/>
            </w:rPr>
          </w:pPr>
          <w:r>
            <w:rPr/>
            <w:t>T.3.2.1.3</w:t>
          </w:r>
          <w:r>
            <w:rPr>
              <w:rFonts w:cs="Calibri" w:ascii="Calibri" w:hAnsi="Calibri"/>
              <w:sz w:val="22"/>
              <w:szCs w:val="22"/>
              <w:lang w:val="en-US" w:eastAsia="en-US"/>
            </w:rPr>
            <w:tab/>
          </w:r>
          <w:r>
            <w:rPr/>
            <w:t>Uncoordinated MS -&gt; BTS</w:t>
            <w:tab/>
          </w:r>
          <w:hyperlink w:anchor="__RefHeading___Toc518035948">
            <w:r>
              <w:rPr>
                <w:rStyle w:val="IndexLink"/>
              </w:rPr>
              <w:t>211</w:t>
            </w:r>
          </w:hyperlink>
        </w:p>
        <w:p>
          <w:pPr>
            <w:pStyle w:val="Contents4"/>
            <w:rPr>
              <w:rFonts w:ascii="Calibri" w:hAnsi="Calibri" w:cs="Calibri"/>
              <w:sz w:val="22"/>
              <w:szCs w:val="22"/>
              <w:lang w:val="en-US" w:eastAsia="en-US"/>
            </w:rPr>
          </w:pPr>
          <w:r>
            <w:rPr/>
            <w:t>T.3.2.1.4</w:t>
          </w:r>
          <w:r>
            <w:rPr>
              <w:rFonts w:cs="Calibri" w:ascii="Calibri" w:hAnsi="Calibri"/>
              <w:sz w:val="22"/>
              <w:szCs w:val="22"/>
              <w:lang w:val="en-US" w:eastAsia="en-US"/>
            </w:rPr>
            <w:tab/>
          </w:r>
          <w:r>
            <w:rPr/>
            <w:t>Coordinated &amp; Uncoordinated  MS -&gt; MS</w:t>
            <w:tab/>
          </w:r>
          <w:hyperlink w:anchor="__RefHeading___Toc518035949">
            <w:r>
              <w:rPr>
                <w:rStyle w:val="IndexLink"/>
              </w:rPr>
              <w:t>211</w:t>
            </w:r>
          </w:hyperlink>
        </w:p>
        <w:p>
          <w:pPr>
            <w:pStyle w:val="Contents4"/>
            <w:rPr>
              <w:rFonts w:ascii="Calibri" w:hAnsi="Calibri" w:cs="Calibri"/>
              <w:sz w:val="22"/>
              <w:szCs w:val="22"/>
              <w:lang w:val="en-US" w:eastAsia="en-US"/>
            </w:rPr>
          </w:pPr>
          <w:r>
            <w:rPr/>
            <w:t>T.3.2.1.5</w:t>
          </w:r>
          <w:r>
            <w:rPr>
              <w:rFonts w:cs="Calibri" w:ascii="Calibri" w:hAnsi="Calibri"/>
              <w:sz w:val="22"/>
              <w:szCs w:val="22"/>
              <w:lang w:val="en-US" w:eastAsia="en-US"/>
            </w:rPr>
            <w:tab/>
          </w:r>
          <w:r>
            <w:rPr/>
            <w:t>Coordinated &amp; Uncoordinated  BTS -&gt; BTS</w:t>
            <w:tab/>
          </w:r>
          <w:hyperlink w:anchor="__RefHeading___Toc518035950">
            <w:r>
              <w:rPr>
                <w:rStyle w:val="IndexLink"/>
              </w:rPr>
              <w:t>211</w:t>
            </w:r>
          </w:hyperlink>
        </w:p>
        <w:p>
          <w:pPr>
            <w:pStyle w:val="Contents3"/>
            <w:rPr>
              <w:rFonts w:ascii="Calibri" w:hAnsi="Calibri" w:cs="Calibri"/>
              <w:sz w:val="22"/>
              <w:szCs w:val="22"/>
              <w:lang w:val="en-US" w:eastAsia="en-US"/>
            </w:rPr>
          </w:pPr>
          <w:r>
            <w:rPr/>
            <w:t>T.3.2.2</w:t>
          </w:r>
          <w:r>
            <w:rPr>
              <w:rFonts w:cs="Calibri" w:ascii="Calibri" w:hAnsi="Calibri"/>
              <w:sz w:val="22"/>
              <w:szCs w:val="22"/>
              <w:lang w:val="en-US" w:eastAsia="en-US"/>
            </w:rPr>
            <w:tab/>
          </w:r>
          <w:r>
            <w:rPr/>
            <w:t>Intermodulation</w:t>
            <w:tab/>
          </w:r>
          <w:hyperlink w:anchor="__RefHeading___Toc518035951">
            <w:r>
              <w:rPr>
                <w:rStyle w:val="IndexLink"/>
              </w:rPr>
              <w:t>211</w:t>
            </w:r>
          </w:hyperlink>
        </w:p>
        <w:p>
          <w:pPr>
            <w:pStyle w:val="Contents4"/>
            <w:rPr>
              <w:rFonts w:ascii="Calibri" w:hAnsi="Calibri" w:cs="Calibri"/>
              <w:sz w:val="22"/>
              <w:szCs w:val="22"/>
              <w:lang w:val="en-US" w:eastAsia="en-US"/>
            </w:rPr>
          </w:pPr>
          <w:r>
            <w:rPr/>
            <w:t>T.3.2.2.1</w:t>
          </w:r>
          <w:r>
            <w:rPr>
              <w:rFonts w:cs="Calibri" w:ascii="Calibri" w:hAnsi="Calibri"/>
              <w:sz w:val="22"/>
              <w:szCs w:val="22"/>
              <w:lang w:val="en-US" w:eastAsia="en-US"/>
            </w:rPr>
            <w:tab/>
          </w:r>
          <w:r>
            <w:rPr/>
            <w:t>Coordinated &amp; Uncoordinated  BTS -&gt; MS</w:t>
            <w:tab/>
          </w:r>
          <w:hyperlink w:anchor="__RefHeading___Toc518035952">
            <w:r>
              <w:rPr>
                <w:rStyle w:val="IndexLink"/>
              </w:rPr>
              <w:t>211</w:t>
            </w:r>
          </w:hyperlink>
        </w:p>
        <w:p>
          <w:pPr>
            <w:pStyle w:val="Contents4"/>
            <w:rPr>
              <w:rFonts w:ascii="Calibri" w:hAnsi="Calibri" w:cs="Calibri"/>
              <w:sz w:val="22"/>
              <w:szCs w:val="22"/>
              <w:lang w:val="en-US" w:eastAsia="en-US"/>
            </w:rPr>
          </w:pPr>
          <w:r>
            <w:rPr/>
            <w:t>T.3.2.2.2</w:t>
          </w:r>
          <w:r>
            <w:rPr>
              <w:rFonts w:cs="Calibri" w:ascii="Calibri" w:hAnsi="Calibri"/>
              <w:sz w:val="22"/>
              <w:szCs w:val="22"/>
              <w:lang w:val="en-US" w:eastAsia="en-US"/>
            </w:rPr>
            <w:tab/>
          </w:r>
          <w:r>
            <w:rPr/>
            <w:t>Coordinated MS -&gt; BTS</w:t>
            <w:tab/>
          </w:r>
          <w:hyperlink w:anchor="__RefHeading___Toc518035953">
            <w:r>
              <w:rPr>
                <w:rStyle w:val="IndexLink"/>
              </w:rPr>
              <w:t>211</w:t>
            </w:r>
          </w:hyperlink>
        </w:p>
        <w:p>
          <w:pPr>
            <w:pStyle w:val="Contents4"/>
            <w:rPr>
              <w:rFonts w:ascii="Calibri" w:hAnsi="Calibri" w:cs="Calibri"/>
              <w:sz w:val="22"/>
              <w:szCs w:val="22"/>
              <w:lang w:val="en-US" w:eastAsia="en-US"/>
            </w:rPr>
          </w:pPr>
          <w:r>
            <w:rPr/>
            <w:t>T.3.2.2.3</w:t>
          </w:r>
          <w:r>
            <w:rPr>
              <w:rFonts w:cs="Calibri" w:ascii="Calibri" w:hAnsi="Calibri"/>
              <w:sz w:val="22"/>
              <w:szCs w:val="22"/>
              <w:lang w:val="en-US" w:eastAsia="en-US"/>
            </w:rPr>
            <w:tab/>
          </w:r>
          <w:r>
            <w:rPr/>
            <w:t>Uncoordinated MS -&gt; BTS</w:t>
            <w:tab/>
          </w:r>
          <w:hyperlink w:anchor="__RefHeading___Toc518035954">
            <w:r>
              <w:rPr>
                <w:rStyle w:val="IndexLink"/>
              </w:rPr>
              <w:t>212</w:t>
            </w:r>
          </w:hyperlink>
        </w:p>
        <w:p>
          <w:pPr>
            <w:pStyle w:val="Contents3"/>
            <w:rPr>
              <w:rFonts w:ascii="Calibri" w:hAnsi="Calibri" w:cs="Calibri"/>
              <w:sz w:val="22"/>
              <w:szCs w:val="22"/>
              <w:lang w:val="en-US" w:eastAsia="en-US"/>
            </w:rPr>
          </w:pPr>
          <w:r>
            <w:rPr/>
            <w:t>T.3.2.3</w:t>
          </w:r>
          <w:r>
            <w:rPr>
              <w:rFonts w:cs="Calibri" w:ascii="Calibri" w:hAnsi="Calibri"/>
              <w:sz w:val="22"/>
              <w:szCs w:val="22"/>
              <w:lang w:val="en-US" w:eastAsia="en-US"/>
            </w:rPr>
            <w:tab/>
          </w:r>
          <w:r>
            <w:rPr/>
            <w:t>Maximum level</w:t>
            <w:tab/>
          </w:r>
          <w:hyperlink w:anchor="__RefHeading___Toc518035955">
            <w:r>
              <w:rPr>
                <w:rStyle w:val="IndexLink"/>
              </w:rPr>
              <w:t>212</w:t>
            </w:r>
          </w:hyperlink>
        </w:p>
        <w:p>
          <w:pPr>
            <w:pStyle w:val="Contents4"/>
            <w:rPr>
              <w:rFonts w:ascii="Calibri" w:hAnsi="Calibri" w:cs="Calibri"/>
              <w:sz w:val="22"/>
              <w:szCs w:val="22"/>
              <w:lang w:val="en-US" w:eastAsia="en-US"/>
            </w:rPr>
          </w:pPr>
          <w:r>
            <w:rPr/>
            <w:t>T.3.2.3.1</w:t>
          </w:r>
          <w:r>
            <w:rPr>
              <w:rFonts w:cs="Calibri" w:ascii="Calibri" w:hAnsi="Calibri"/>
              <w:sz w:val="22"/>
              <w:szCs w:val="22"/>
              <w:lang w:val="en-US" w:eastAsia="en-US"/>
            </w:rPr>
            <w:tab/>
          </w:r>
          <w:r>
            <w:rPr/>
            <w:t>Coordinated MS -&gt; BTS</w:t>
            <w:tab/>
          </w:r>
          <w:hyperlink w:anchor="__RefHeading___Toc518035956">
            <w:r>
              <w:rPr>
                <w:rStyle w:val="IndexLink"/>
              </w:rPr>
              <w:t>212</w:t>
            </w:r>
          </w:hyperlink>
        </w:p>
        <w:p>
          <w:pPr>
            <w:pStyle w:val="Contents4"/>
            <w:rPr>
              <w:rFonts w:ascii="Calibri" w:hAnsi="Calibri" w:cs="Calibri"/>
              <w:sz w:val="22"/>
              <w:szCs w:val="22"/>
              <w:lang w:val="en-US" w:eastAsia="en-US"/>
            </w:rPr>
          </w:pPr>
          <w:r>
            <w:rPr/>
            <w:t>T.3.2.3.2</w:t>
          </w:r>
          <w:r>
            <w:rPr>
              <w:rFonts w:cs="Calibri" w:ascii="Calibri" w:hAnsi="Calibri"/>
              <w:sz w:val="22"/>
              <w:szCs w:val="22"/>
              <w:lang w:val="en-US" w:eastAsia="en-US"/>
            </w:rPr>
            <w:tab/>
          </w:r>
          <w:r>
            <w:rPr/>
            <w:t>Coordinated  BTS -&gt; MS</w:t>
            <w:tab/>
          </w:r>
          <w:hyperlink w:anchor="__RefHeading___Toc518035957">
            <w:r>
              <w:rPr>
                <w:rStyle w:val="IndexLink"/>
              </w:rPr>
              <w:t>212</w:t>
            </w:r>
          </w:hyperlink>
        </w:p>
        <w:p>
          <w:pPr>
            <w:pStyle w:val="Contents1"/>
            <w:rPr>
              <w:rFonts w:ascii="Calibri" w:hAnsi="Calibri" w:cs="Calibri"/>
              <w:szCs w:val="22"/>
              <w:lang w:val="en-US" w:eastAsia="en-US"/>
            </w:rPr>
          </w:pPr>
          <w:r>
            <w:rPr/>
            <w:t>T.4</w:t>
          </w:r>
          <w:r>
            <w:rPr>
              <w:rFonts w:cs="Calibri" w:ascii="Calibri" w:hAnsi="Calibri"/>
              <w:szCs w:val="22"/>
              <w:lang w:val="en-US" w:eastAsia="en-US"/>
            </w:rPr>
            <w:tab/>
          </w:r>
          <w:r>
            <w:rPr/>
            <w:t>Transmitter characteristics</w:t>
            <w:tab/>
          </w:r>
          <w:hyperlink w:anchor="__RefHeading___Toc518035958">
            <w:r>
              <w:rPr>
                <w:rStyle w:val="IndexLink"/>
              </w:rPr>
              <w:t>212</w:t>
            </w:r>
          </w:hyperlink>
        </w:p>
        <w:p>
          <w:pPr>
            <w:pStyle w:val="Contents2"/>
            <w:rPr>
              <w:rFonts w:ascii="Calibri" w:hAnsi="Calibri" w:cs="Calibri"/>
              <w:sz w:val="22"/>
              <w:szCs w:val="22"/>
              <w:lang w:val="en-US" w:eastAsia="en-US"/>
            </w:rPr>
          </w:pPr>
          <w:r>
            <w:rPr/>
            <w:t>T.4.1</w:t>
          </w:r>
          <w:r>
            <w:rPr>
              <w:rFonts w:cs="Calibri" w:ascii="Calibri" w:hAnsi="Calibri"/>
              <w:sz w:val="22"/>
              <w:szCs w:val="22"/>
              <w:lang w:val="en-US" w:eastAsia="en-US"/>
            </w:rPr>
            <w:tab/>
          </w:r>
          <w:r>
            <w:rPr/>
            <w:t>Output power</w:t>
            <w:tab/>
          </w:r>
          <w:hyperlink w:anchor="__RefHeading___Toc518035959">
            <w:r>
              <w:rPr>
                <w:rStyle w:val="IndexLink"/>
              </w:rPr>
              <w:t>212</w:t>
            </w:r>
          </w:hyperlink>
        </w:p>
        <w:p>
          <w:pPr>
            <w:pStyle w:val="Contents3"/>
            <w:rPr>
              <w:rFonts w:ascii="Calibri" w:hAnsi="Calibri" w:cs="Calibri"/>
              <w:sz w:val="22"/>
              <w:szCs w:val="22"/>
              <w:lang w:val="en-US" w:eastAsia="en-US"/>
            </w:rPr>
          </w:pPr>
          <w:r>
            <w:rPr/>
            <w:t>T.4.1.1</w:t>
          </w:r>
          <w:r>
            <w:rPr>
              <w:rFonts w:cs="Calibri" w:ascii="Calibri" w:hAnsi="Calibri"/>
              <w:sz w:val="22"/>
              <w:szCs w:val="22"/>
              <w:lang w:val="en-US" w:eastAsia="en-US"/>
            </w:rPr>
            <w:tab/>
          </w:r>
          <w:r>
            <w:rPr/>
            <w:t>Mobile Station</w:t>
            <w:tab/>
          </w:r>
          <w:hyperlink w:anchor="__RefHeading___Toc518035960">
            <w:r>
              <w:rPr>
                <w:rStyle w:val="IndexLink"/>
              </w:rPr>
              <w:t>212</w:t>
            </w:r>
          </w:hyperlink>
        </w:p>
        <w:p>
          <w:pPr>
            <w:pStyle w:val="Contents3"/>
            <w:rPr>
              <w:rFonts w:ascii="Calibri" w:hAnsi="Calibri" w:cs="Calibri"/>
              <w:sz w:val="22"/>
              <w:szCs w:val="22"/>
              <w:lang w:val="en-US" w:eastAsia="en-US"/>
            </w:rPr>
          </w:pPr>
          <w:r>
            <w:rPr/>
            <w:t>T.4.1.2</w:t>
          </w:r>
          <w:r>
            <w:rPr>
              <w:rFonts w:cs="Calibri" w:ascii="Calibri" w:hAnsi="Calibri"/>
              <w:sz w:val="22"/>
              <w:szCs w:val="22"/>
              <w:lang w:val="en-US" w:eastAsia="en-US"/>
            </w:rPr>
            <w:tab/>
          </w:r>
          <w:r>
            <w:rPr/>
            <w:t>Base Station</w:t>
            <w:tab/>
          </w:r>
          <w:hyperlink w:anchor="__RefHeading___Toc518035961">
            <w:r>
              <w:rPr>
                <w:rStyle w:val="IndexLink"/>
              </w:rPr>
              <w:t>212</w:t>
            </w:r>
          </w:hyperlink>
        </w:p>
        <w:p>
          <w:pPr>
            <w:pStyle w:val="Contents2"/>
            <w:rPr>
              <w:rFonts w:ascii="Calibri" w:hAnsi="Calibri" w:cs="Calibri"/>
              <w:sz w:val="22"/>
              <w:szCs w:val="22"/>
              <w:lang w:val="en-US" w:eastAsia="en-US"/>
            </w:rPr>
          </w:pPr>
          <w:r>
            <w:rPr/>
            <w:t>T.4.2</w:t>
          </w:r>
          <w:r>
            <w:rPr>
              <w:rFonts w:cs="Calibri" w:ascii="Calibri" w:hAnsi="Calibri"/>
              <w:sz w:val="22"/>
              <w:szCs w:val="22"/>
              <w:lang w:val="en-US" w:eastAsia="en-US"/>
            </w:rPr>
            <w:tab/>
          </w:r>
          <w:r>
            <w:rPr/>
            <w:t>Output RF Spectrum</w:t>
            <w:tab/>
          </w:r>
          <w:hyperlink w:anchor="__RefHeading___Toc518035962">
            <w:r>
              <w:rPr>
                <w:rStyle w:val="IndexLink"/>
              </w:rPr>
              <w:t>212</w:t>
            </w:r>
          </w:hyperlink>
        </w:p>
        <w:p>
          <w:pPr>
            <w:pStyle w:val="Contents3"/>
            <w:rPr>
              <w:rFonts w:ascii="Calibri" w:hAnsi="Calibri" w:cs="Calibri"/>
              <w:sz w:val="22"/>
              <w:szCs w:val="22"/>
              <w:lang w:val="en-US" w:eastAsia="en-US"/>
            </w:rPr>
          </w:pPr>
          <w:r>
            <w:rPr/>
            <w:t>T.4.2.1</w:t>
          </w:r>
          <w:r>
            <w:rPr>
              <w:rFonts w:cs="Calibri" w:ascii="Calibri" w:hAnsi="Calibri"/>
              <w:sz w:val="22"/>
              <w:szCs w:val="22"/>
              <w:lang w:val="en-US" w:eastAsia="en-US"/>
            </w:rPr>
            <w:tab/>
          </w:r>
          <w:r>
            <w:rPr/>
            <w:t>Spectrum due to the modulation and wideband noise</w:t>
            <w:tab/>
          </w:r>
          <w:hyperlink w:anchor="__RefHeading___Toc518035963">
            <w:r>
              <w:rPr>
                <w:rStyle w:val="IndexLink"/>
              </w:rPr>
              <w:t>212</w:t>
            </w:r>
          </w:hyperlink>
        </w:p>
        <w:p>
          <w:pPr>
            <w:pStyle w:val="Contents3"/>
            <w:rPr>
              <w:rFonts w:ascii="Calibri" w:hAnsi="Calibri" w:cs="Calibri"/>
              <w:sz w:val="22"/>
              <w:szCs w:val="22"/>
              <w:lang w:val="en-US" w:eastAsia="en-US"/>
            </w:rPr>
          </w:pPr>
          <w:r>
            <w:rPr/>
            <w:t>T.4.2.2</w:t>
          </w:r>
          <w:r>
            <w:rPr>
              <w:rFonts w:cs="Calibri" w:ascii="Calibri" w:hAnsi="Calibri"/>
              <w:sz w:val="22"/>
              <w:szCs w:val="22"/>
              <w:lang w:val="en-US" w:eastAsia="en-US"/>
            </w:rPr>
            <w:tab/>
          </w:r>
          <w:r>
            <w:rPr/>
            <w:t>Spectrum due to switching transients</w:t>
            <w:tab/>
          </w:r>
          <w:hyperlink w:anchor="__RefHeading___Toc518035964">
            <w:r>
              <w:rPr>
                <w:rStyle w:val="IndexLink"/>
              </w:rPr>
              <w:t>213</w:t>
            </w:r>
          </w:hyperlink>
        </w:p>
        <w:p>
          <w:pPr>
            <w:pStyle w:val="Contents2"/>
            <w:rPr>
              <w:rFonts w:ascii="Calibri" w:hAnsi="Calibri" w:cs="Calibri"/>
              <w:sz w:val="22"/>
              <w:szCs w:val="22"/>
              <w:lang w:val="en-US" w:eastAsia="en-US"/>
            </w:rPr>
          </w:pPr>
          <w:r>
            <w:rPr/>
            <w:t>T.4.3</w:t>
          </w:r>
          <w:r>
            <w:rPr>
              <w:rFonts w:cs="Calibri" w:ascii="Calibri" w:hAnsi="Calibri"/>
              <w:sz w:val="22"/>
              <w:szCs w:val="22"/>
              <w:lang w:val="en-US" w:eastAsia="en-US"/>
            </w:rPr>
            <w:tab/>
          </w:r>
          <w:r>
            <w:rPr/>
            <w:t>Spurious emissions</w:t>
            <w:tab/>
          </w:r>
          <w:hyperlink w:anchor="__RefHeading___Toc518035965">
            <w:r>
              <w:rPr>
                <w:rStyle w:val="IndexLink"/>
              </w:rPr>
              <w:t>213</w:t>
            </w:r>
          </w:hyperlink>
        </w:p>
        <w:p>
          <w:pPr>
            <w:pStyle w:val="Contents3"/>
            <w:rPr>
              <w:rFonts w:ascii="Calibri" w:hAnsi="Calibri" w:cs="Calibri"/>
              <w:sz w:val="22"/>
              <w:szCs w:val="22"/>
              <w:lang w:val="en-US" w:eastAsia="en-US"/>
            </w:rPr>
          </w:pPr>
          <w:r>
            <w:rPr/>
            <w:t>T.4.3.1</w:t>
          </w:r>
          <w:r>
            <w:rPr>
              <w:rFonts w:cs="Calibri" w:ascii="Calibri" w:hAnsi="Calibri"/>
              <w:sz w:val="22"/>
              <w:szCs w:val="22"/>
              <w:lang w:val="en-US" w:eastAsia="en-US"/>
            </w:rPr>
            <w:tab/>
          </w:r>
          <w:r>
            <w:rPr/>
            <w:t>Principle of the specification</w:t>
            <w:tab/>
          </w:r>
          <w:hyperlink w:anchor="__RefHeading___Toc518035966">
            <w:r>
              <w:rPr>
                <w:rStyle w:val="IndexLink"/>
              </w:rPr>
              <w:t>213</w:t>
            </w:r>
          </w:hyperlink>
        </w:p>
        <w:p>
          <w:pPr>
            <w:pStyle w:val="Contents3"/>
            <w:rPr>
              <w:rFonts w:ascii="Calibri" w:hAnsi="Calibri" w:cs="Calibri"/>
              <w:sz w:val="22"/>
              <w:szCs w:val="22"/>
              <w:lang w:val="en-US" w:eastAsia="en-US"/>
            </w:rPr>
          </w:pPr>
          <w:r>
            <w:rPr/>
            <w:t>T.4.3.2</w:t>
          </w:r>
          <w:r>
            <w:rPr>
              <w:rFonts w:cs="Calibri" w:ascii="Calibri" w:hAnsi="Calibri"/>
              <w:sz w:val="22"/>
              <w:szCs w:val="22"/>
              <w:lang w:val="en-US" w:eastAsia="en-US"/>
            </w:rPr>
            <w:tab/>
          </w:r>
          <w:r>
            <w:rPr/>
            <w:t>Base transceiver station</w:t>
            <w:tab/>
          </w:r>
          <w:hyperlink w:anchor="__RefHeading___Toc518035967">
            <w:r>
              <w:rPr>
                <w:rStyle w:val="IndexLink"/>
              </w:rPr>
              <w:t>214</w:t>
            </w:r>
          </w:hyperlink>
        </w:p>
        <w:p>
          <w:pPr>
            <w:pStyle w:val="Contents3"/>
            <w:rPr>
              <w:rFonts w:ascii="Calibri" w:hAnsi="Calibri" w:cs="Calibri"/>
              <w:sz w:val="22"/>
              <w:szCs w:val="22"/>
              <w:lang w:val="en-US" w:eastAsia="en-US"/>
            </w:rPr>
          </w:pPr>
          <w:r>
            <w:rPr/>
            <w:t>T.4.3.3</w:t>
          </w:r>
          <w:r>
            <w:rPr>
              <w:rFonts w:cs="Calibri" w:ascii="Calibri" w:hAnsi="Calibri"/>
              <w:sz w:val="22"/>
              <w:szCs w:val="22"/>
              <w:lang w:val="en-US" w:eastAsia="en-US"/>
            </w:rPr>
            <w:tab/>
          </w:r>
          <w:r>
            <w:rPr/>
            <w:t>Mobile station</w:t>
            <w:tab/>
          </w:r>
          <w:hyperlink w:anchor="__RefHeading___Toc518035968">
            <w:r>
              <w:rPr>
                <w:rStyle w:val="IndexLink"/>
              </w:rPr>
              <w:t>214</w:t>
            </w:r>
          </w:hyperlink>
        </w:p>
        <w:p>
          <w:pPr>
            <w:pStyle w:val="Contents2"/>
            <w:rPr>
              <w:rFonts w:ascii="Calibri" w:hAnsi="Calibri" w:cs="Calibri"/>
              <w:sz w:val="22"/>
              <w:szCs w:val="22"/>
              <w:lang w:val="en-US" w:eastAsia="en-US"/>
            </w:rPr>
          </w:pPr>
          <w:r>
            <w:rPr/>
            <w:t>T.4.4</w:t>
          </w:r>
          <w:r>
            <w:rPr>
              <w:rFonts w:cs="Calibri" w:ascii="Calibri" w:hAnsi="Calibri"/>
              <w:sz w:val="22"/>
              <w:szCs w:val="22"/>
              <w:lang w:val="en-US" w:eastAsia="en-US"/>
            </w:rPr>
            <w:tab/>
          </w:r>
          <w:r>
            <w:rPr/>
            <w:t>Radio frequency tolerance</w:t>
            <w:tab/>
          </w:r>
          <w:hyperlink w:anchor="__RefHeading___Toc518035969">
            <w:r>
              <w:rPr>
                <w:rStyle w:val="IndexLink"/>
              </w:rPr>
              <w:t>214</w:t>
            </w:r>
          </w:hyperlink>
        </w:p>
        <w:p>
          <w:pPr>
            <w:pStyle w:val="Contents2"/>
            <w:rPr>
              <w:rFonts w:ascii="Calibri" w:hAnsi="Calibri" w:cs="Calibri"/>
              <w:sz w:val="22"/>
              <w:szCs w:val="22"/>
              <w:lang w:val="en-US" w:eastAsia="en-US"/>
            </w:rPr>
          </w:pPr>
          <w:r>
            <w:rPr/>
            <w:t>T.4.5</w:t>
          </w:r>
          <w:r>
            <w:rPr>
              <w:rFonts w:cs="Calibri" w:ascii="Calibri" w:hAnsi="Calibri"/>
              <w:sz w:val="22"/>
              <w:szCs w:val="22"/>
              <w:lang w:val="en-US" w:eastAsia="en-US"/>
            </w:rPr>
            <w:tab/>
          </w:r>
          <w:r>
            <w:rPr/>
            <w:t>Output level dynamic operation</w:t>
            <w:tab/>
          </w:r>
          <w:hyperlink w:anchor="__RefHeading___Toc518035970">
            <w:r>
              <w:rPr>
                <w:rStyle w:val="IndexLink"/>
              </w:rPr>
              <w:t>214</w:t>
            </w:r>
          </w:hyperlink>
        </w:p>
        <w:p>
          <w:pPr>
            <w:pStyle w:val="Contents3"/>
            <w:rPr>
              <w:rFonts w:ascii="Calibri" w:hAnsi="Calibri" w:cs="Calibri"/>
              <w:sz w:val="22"/>
              <w:szCs w:val="22"/>
              <w:lang w:val="en-US" w:eastAsia="en-US"/>
            </w:rPr>
          </w:pPr>
          <w:r>
            <w:rPr/>
            <w:t>T.4.5.1</w:t>
          </w:r>
          <w:r>
            <w:rPr>
              <w:rFonts w:cs="Calibri" w:ascii="Calibri" w:hAnsi="Calibri"/>
              <w:sz w:val="22"/>
              <w:szCs w:val="22"/>
              <w:lang w:val="en-US" w:eastAsia="en-US"/>
            </w:rPr>
            <w:tab/>
          </w:r>
          <w:r>
            <w:rPr/>
            <w:t>Base station</w:t>
            <w:tab/>
          </w:r>
          <w:hyperlink w:anchor="__RefHeading___Toc518035971">
            <w:r>
              <w:rPr>
                <w:rStyle w:val="IndexLink"/>
              </w:rPr>
              <w:t>214</w:t>
            </w:r>
          </w:hyperlink>
        </w:p>
        <w:p>
          <w:pPr>
            <w:pStyle w:val="Contents3"/>
            <w:rPr>
              <w:rFonts w:ascii="Calibri" w:hAnsi="Calibri" w:cs="Calibri"/>
              <w:sz w:val="22"/>
              <w:szCs w:val="22"/>
              <w:lang w:val="en-US" w:eastAsia="en-US"/>
            </w:rPr>
          </w:pPr>
          <w:r>
            <w:rPr/>
            <w:t>T.4.5.2</w:t>
          </w:r>
          <w:r>
            <w:rPr>
              <w:rFonts w:cs="Calibri" w:ascii="Calibri" w:hAnsi="Calibri"/>
              <w:sz w:val="22"/>
              <w:szCs w:val="22"/>
              <w:lang w:val="en-US" w:eastAsia="en-US"/>
            </w:rPr>
            <w:tab/>
          </w:r>
          <w:r>
            <w:rPr/>
            <w:t>Mobile station</w:t>
            <w:tab/>
          </w:r>
          <w:hyperlink w:anchor="__RefHeading___Toc518035972">
            <w:r>
              <w:rPr>
                <w:rStyle w:val="IndexLink"/>
              </w:rPr>
              <w:t>214</w:t>
            </w:r>
          </w:hyperlink>
        </w:p>
        <w:p>
          <w:pPr>
            <w:pStyle w:val="Contents2"/>
            <w:rPr>
              <w:rFonts w:ascii="Calibri" w:hAnsi="Calibri" w:cs="Calibri"/>
              <w:sz w:val="22"/>
              <w:szCs w:val="22"/>
              <w:lang w:val="en-US" w:eastAsia="en-US"/>
            </w:rPr>
          </w:pPr>
          <w:r>
            <w:rPr/>
            <w:t>T.4.6</w:t>
          </w:r>
          <w:r>
            <w:rPr>
              <w:rFonts w:cs="Calibri" w:ascii="Calibri" w:hAnsi="Calibri"/>
              <w:sz w:val="22"/>
              <w:szCs w:val="22"/>
              <w:lang w:val="en-US" w:eastAsia="en-US"/>
            </w:rPr>
            <w:tab/>
          </w:r>
          <w:r>
            <w:rPr/>
            <w:t>Phase accuracy</w:t>
            <w:tab/>
          </w:r>
          <w:hyperlink w:anchor="__RefHeading___Toc518035973">
            <w:r>
              <w:rPr>
                <w:rStyle w:val="IndexLink"/>
              </w:rPr>
              <w:t>215</w:t>
            </w:r>
          </w:hyperlink>
        </w:p>
        <w:p>
          <w:pPr>
            <w:pStyle w:val="Contents2"/>
            <w:rPr>
              <w:rFonts w:ascii="Calibri" w:hAnsi="Calibri" w:cs="Calibri"/>
              <w:sz w:val="22"/>
              <w:szCs w:val="22"/>
              <w:lang w:val="en-US" w:eastAsia="en-US"/>
            </w:rPr>
          </w:pPr>
          <w:r>
            <w:rPr/>
            <w:t>T.4.7</w:t>
          </w:r>
          <w:r>
            <w:rPr>
              <w:rFonts w:cs="Calibri" w:ascii="Calibri" w:hAnsi="Calibri"/>
              <w:sz w:val="22"/>
              <w:szCs w:val="22"/>
              <w:lang w:val="en-US" w:eastAsia="en-US"/>
            </w:rPr>
            <w:tab/>
          </w:r>
          <w:r>
            <w:rPr/>
            <w:t>Intermodulation attenuation</w:t>
            <w:tab/>
          </w:r>
          <w:hyperlink w:anchor="__RefHeading___Toc518035974">
            <w:r>
              <w:rPr>
                <w:rStyle w:val="IndexLink"/>
              </w:rPr>
              <w:t>215</w:t>
            </w:r>
          </w:hyperlink>
        </w:p>
        <w:p>
          <w:pPr>
            <w:pStyle w:val="Contents1"/>
            <w:rPr>
              <w:rFonts w:ascii="Calibri" w:hAnsi="Calibri" w:cs="Calibri"/>
              <w:szCs w:val="22"/>
              <w:lang w:val="en-US" w:eastAsia="en-US"/>
            </w:rPr>
          </w:pPr>
          <w:r>
            <w:rPr/>
            <w:t>T.5</w:t>
          </w:r>
          <w:r>
            <w:rPr>
              <w:rFonts w:cs="Calibri" w:ascii="Calibri" w:hAnsi="Calibri"/>
              <w:szCs w:val="22"/>
              <w:lang w:val="en-US" w:eastAsia="en-US"/>
            </w:rPr>
            <w:tab/>
          </w:r>
          <w:r>
            <w:rPr/>
            <w:t>Receiver characteristics</w:t>
            <w:tab/>
          </w:r>
          <w:hyperlink w:anchor="__RefHeading___Toc518035975">
            <w:r>
              <w:rPr>
                <w:rStyle w:val="IndexLink"/>
              </w:rPr>
              <w:t>215</w:t>
            </w:r>
          </w:hyperlink>
        </w:p>
        <w:p>
          <w:pPr>
            <w:pStyle w:val="Contents2"/>
            <w:rPr>
              <w:rFonts w:ascii="Calibri" w:hAnsi="Calibri" w:cs="Calibri"/>
              <w:sz w:val="22"/>
              <w:szCs w:val="22"/>
              <w:lang w:val="en-US" w:eastAsia="en-US"/>
            </w:rPr>
          </w:pPr>
          <w:r>
            <w:rPr/>
            <w:t>T.5.1</w:t>
          </w:r>
          <w:r>
            <w:rPr>
              <w:rFonts w:cs="Calibri" w:ascii="Calibri" w:hAnsi="Calibri"/>
              <w:sz w:val="22"/>
              <w:szCs w:val="22"/>
              <w:lang w:val="en-US" w:eastAsia="en-US"/>
            </w:rPr>
            <w:tab/>
          </w:r>
          <w:r>
            <w:rPr/>
            <w:t>Blocking characteristics</w:t>
            <w:tab/>
          </w:r>
          <w:hyperlink w:anchor="__RefHeading___Toc518035976">
            <w:r>
              <w:rPr>
                <w:rStyle w:val="IndexLink"/>
              </w:rPr>
              <w:t>215</w:t>
            </w:r>
          </w:hyperlink>
        </w:p>
        <w:p>
          <w:pPr>
            <w:pStyle w:val="Contents2"/>
            <w:rPr>
              <w:rFonts w:ascii="Calibri" w:hAnsi="Calibri" w:cs="Calibri"/>
              <w:sz w:val="22"/>
              <w:szCs w:val="22"/>
              <w:lang w:val="en-US" w:eastAsia="en-US"/>
            </w:rPr>
          </w:pPr>
          <w:r>
            <w:rPr/>
            <w:t>T.5.2</w:t>
          </w:r>
          <w:r>
            <w:rPr>
              <w:rFonts w:cs="Calibri" w:ascii="Calibri" w:hAnsi="Calibri"/>
              <w:sz w:val="22"/>
              <w:szCs w:val="22"/>
              <w:lang w:val="en-US" w:eastAsia="en-US"/>
            </w:rPr>
            <w:tab/>
          </w:r>
          <w:r>
            <w:rPr/>
            <w:t>AM suppression characteristics</w:t>
            <w:tab/>
          </w:r>
          <w:hyperlink w:anchor="__RefHeading___Toc518035977">
            <w:r>
              <w:rPr>
                <w:rStyle w:val="IndexLink"/>
              </w:rPr>
              <w:t>217</w:t>
            </w:r>
          </w:hyperlink>
        </w:p>
        <w:p>
          <w:pPr>
            <w:pStyle w:val="Contents2"/>
            <w:rPr>
              <w:rFonts w:ascii="Calibri" w:hAnsi="Calibri" w:cs="Calibri"/>
              <w:sz w:val="22"/>
              <w:szCs w:val="22"/>
              <w:lang w:val="en-US" w:eastAsia="en-US"/>
            </w:rPr>
          </w:pPr>
          <w:r>
            <w:rPr/>
            <w:t>T.5.3</w:t>
          </w:r>
          <w:r>
            <w:rPr>
              <w:rFonts w:cs="Calibri" w:ascii="Calibri" w:hAnsi="Calibri"/>
              <w:sz w:val="22"/>
              <w:szCs w:val="22"/>
              <w:lang w:val="en-US" w:eastAsia="en-US"/>
            </w:rPr>
            <w:tab/>
          </w:r>
          <w:r>
            <w:rPr/>
            <w:t>Intermodulation Characteristics</w:t>
            <w:tab/>
          </w:r>
          <w:hyperlink w:anchor="__RefHeading___Toc518035978">
            <w:r>
              <w:rPr>
                <w:rStyle w:val="IndexLink"/>
              </w:rPr>
              <w:t>218</w:t>
            </w:r>
          </w:hyperlink>
        </w:p>
        <w:p>
          <w:pPr>
            <w:pStyle w:val="Contents2"/>
            <w:rPr>
              <w:rFonts w:ascii="Calibri" w:hAnsi="Calibri" w:cs="Calibri"/>
              <w:sz w:val="22"/>
              <w:szCs w:val="22"/>
              <w:lang w:val="en-US" w:eastAsia="en-US"/>
            </w:rPr>
          </w:pPr>
          <w:r>
            <w:rPr/>
            <w:t>T.5.4</w:t>
          </w:r>
          <w:r>
            <w:rPr>
              <w:rFonts w:cs="Calibri" w:ascii="Calibri" w:hAnsi="Calibri"/>
              <w:sz w:val="22"/>
              <w:szCs w:val="22"/>
              <w:lang w:val="en-US" w:eastAsia="en-US"/>
            </w:rPr>
            <w:tab/>
          </w:r>
          <w:r>
            <w:rPr/>
            <w:t>Spurious emissions</w:t>
            <w:tab/>
          </w:r>
          <w:hyperlink w:anchor="__RefHeading___Toc518035979">
            <w:r>
              <w:rPr>
                <w:rStyle w:val="IndexLink"/>
              </w:rPr>
              <w:t>218</w:t>
            </w:r>
          </w:hyperlink>
        </w:p>
        <w:p>
          <w:pPr>
            <w:pStyle w:val="Contents1"/>
            <w:rPr>
              <w:rFonts w:ascii="Calibri" w:hAnsi="Calibri" w:cs="Calibri"/>
              <w:szCs w:val="22"/>
              <w:lang w:val="en-US" w:eastAsia="en-US"/>
            </w:rPr>
          </w:pPr>
          <w:r>
            <w:rPr/>
            <w:t>T.6</w:t>
          </w:r>
          <w:r>
            <w:rPr>
              <w:rFonts w:cs="Calibri" w:ascii="Calibri" w:hAnsi="Calibri"/>
              <w:szCs w:val="22"/>
              <w:lang w:val="en-US" w:eastAsia="en-US"/>
            </w:rPr>
            <w:tab/>
          </w:r>
          <w:r>
            <w:rPr/>
            <w:t>Receiver performance</w:t>
            <w:tab/>
          </w:r>
          <w:hyperlink w:anchor="__RefHeading___Toc518035980">
            <w:r>
              <w:rPr>
                <w:rStyle w:val="IndexLink"/>
              </w:rPr>
              <w:t>218</w:t>
            </w:r>
          </w:hyperlink>
        </w:p>
        <w:p>
          <w:pPr>
            <w:pStyle w:val="Contents9"/>
            <w:rPr>
              <w:rFonts w:ascii="Calibri" w:hAnsi="Calibri" w:cs="Calibri"/>
              <w:b w:val="false"/>
              <w:b w:val="false"/>
              <w:szCs w:val="22"/>
              <w:lang w:val="en-US" w:eastAsia="en-US"/>
            </w:rPr>
          </w:pPr>
          <w:r>
            <w:rPr/>
            <w:t>Annex U:</w:t>
            <w:tab/>
            <w:t>850 MHz and 1 900 MHz Mixed-Mode Scenarios</w:t>
            <w:tab/>
          </w:r>
          <w:hyperlink w:anchor="__RefHeading___Toc518035981">
            <w:r>
              <w:rPr>
                <w:rStyle w:val="IndexLink"/>
              </w:rPr>
              <w:t>219</w:t>
            </w:r>
          </w:hyperlink>
        </w:p>
        <w:p>
          <w:pPr>
            <w:pStyle w:val="Contents1"/>
            <w:rPr>
              <w:rFonts w:ascii="Calibri" w:hAnsi="Calibri" w:cs="Calibri"/>
              <w:szCs w:val="22"/>
              <w:lang w:val="en-US" w:eastAsia="en-US"/>
            </w:rPr>
          </w:pPr>
          <w:r>
            <w:rPr/>
            <w:t>U.1</w:t>
          </w:r>
          <w:r>
            <w:rPr>
              <w:rFonts w:cs="Calibri" w:ascii="Calibri" w:hAnsi="Calibri"/>
              <w:szCs w:val="22"/>
              <w:lang w:val="en-US" w:eastAsia="en-US"/>
            </w:rPr>
            <w:tab/>
          </w:r>
          <w:r>
            <w:rPr/>
            <w:t>Introduction</w:t>
            <w:tab/>
          </w:r>
          <w:hyperlink w:anchor="__RefHeading___Toc518035982">
            <w:r>
              <w:rPr>
                <w:rStyle w:val="IndexLink"/>
              </w:rPr>
              <w:t>219</w:t>
            </w:r>
          </w:hyperlink>
        </w:p>
        <w:p>
          <w:pPr>
            <w:pStyle w:val="Contents1"/>
            <w:rPr>
              <w:rFonts w:ascii="Calibri" w:hAnsi="Calibri" w:cs="Calibri"/>
              <w:szCs w:val="22"/>
              <w:lang w:val="en-US" w:eastAsia="en-US"/>
            </w:rPr>
          </w:pPr>
          <w:r>
            <w:rPr/>
            <w:t>U.2</w:t>
          </w:r>
          <w:r>
            <w:rPr>
              <w:rFonts w:cs="Calibri" w:ascii="Calibri" w:hAnsi="Calibri"/>
              <w:szCs w:val="22"/>
              <w:lang w:val="en-US" w:eastAsia="en-US"/>
            </w:rPr>
            <w:tab/>
          </w:r>
          <w:r>
            <w:rPr/>
            <w:t>BTS Wide Band Noise and Intra BTS Intermodulation Attenuation</w:t>
            <w:tab/>
          </w:r>
          <w:hyperlink w:anchor="__RefHeading___Toc518035983">
            <w:r>
              <w:rPr>
                <w:rStyle w:val="IndexLink"/>
              </w:rPr>
              <w:t>219</w:t>
            </w:r>
          </w:hyperlink>
        </w:p>
        <w:p>
          <w:pPr>
            <w:pStyle w:val="Contents2"/>
            <w:rPr>
              <w:rFonts w:ascii="Calibri" w:hAnsi="Calibri" w:cs="Calibri"/>
              <w:sz w:val="22"/>
              <w:szCs w:val="22"/>
              <w:lang w:val="en-US" w:eastAsia="en-US"/>
            </w:rPr>
          </w:pPr>
          <w:r>
            <w:rPr/>
            <w:t>U.2.1</w:t>
          </w:r>
          <w:r>
            <w:rPr>
              <w:rFonts w:cs="Calibri" w:ascii="Calibri" w:hAnsi="Calibri"/>
              <w:sz w:val="22"/>
              <w:szCs w:val="22"/>
              <w:lang w:val="en-US" w:eastAsia="en-US"/>
            </w:rPr>
            <w:tab/>
          </w:r>
          <w:r>
            <w:rPr/>
            <w:t>Overview</w:t>
            <w:tab/>
          </w:r>
          <w:hyperlink w:anchor="__RefHeading___Toc518035984">
            <w:r>
              <w:rPr>
                <w:rStyle w:val="IndexLink"/>
              </w:rPr>
              <w:t>219</w:t>
            </w:r>
          </w:hyperlink>
        </w:p>
        <w:p>
          <w:pPr>
            <w:pStyle w:val="Contents3"/>
            <w:rPr>
              <w:rFonts w:ascii="Calibri" w:hAnsi="Calibri" w:cs="Calibri"/>
              <w:sz w:val="22"/>
              <w:szCs w:val="22"/>
              <w:lang w:val="en-US" w:eastAsia="en-US"/>
            </w:rPr>
          </w:pPr>
          <w:r>
            <w:rPr/>
            <w:t>U.2.1.1</w:t>
          </w:r>
          <w:r>
            <w:rPr>
              <w:rFonts w:cs="Calibri" w:ascii="Calibri" w:hAnsi="Calibri"/>
              <w:sz w:val="22"/>
              <w:szCs w:val="22"/>
              <w:lang w:val="en-US" w:eastAsia="en-US"/>
            </w:rPr>
            <w:tab/>
          </w:r>
          <w:r>
            <w:rPr/>
            <w:t>TIA/EIA-136</w:t>
            <w:tab/>
          </w:r>
          <w:hyperlink w:anchor="__RefHeading___Toc518035985">
            <w:r>
              <w:rPr>
                <w:rStyle w:val="IndexLink"/>
              </w:rPr>
              <w:t>219</w:t>
            </w:r>
          </w:hyperlink>
        </w:p>
        <w:p>
          <w:pPr>
            <w:pStyle w:val="Contents3"/>
            <w:rPr>
              <w:rFonts w:ascii="Calibri" w:hAnsi="Calibri" w:cs="Calibri"/>
              <w:sz w:val="22"/>
              <w:szCs w:val="22"/>
              <w:lang w:val="en-US" w:eastAsia="en-US"/>
            </w:rPr>
          </w:pPr>
          <w:r>
            <w:rPr/>
            <w:t>U.2.1.2</w:t>
          </w:r>
          <w:r>
            <w:rPr>
              <w:rFonts w:cs="Calibri" w:ascii="Calibri" w:hAnsi="Calibri"/>
              <w:sz w:val="22"/>
              <w:szCs w:val="22"/>
              <w:lang w:val="en-US" w:eastAsia="en-US"/>
            </w:rPr>
            <w:tab/>
          </w:r>
          <w:r>
            <w:rPr/>
            <w:t>ETSI GSM</w:t>
            <w:tab/>
          </w:r>
          <w:hyperlink w:anchor="__RefHeading___Toc518035986">
            <w:r>
              <w:rPr>
                <w:rStyle w:val="IndexLink"/>
              </w:rPr>
              <w:t>220</w:t>
            </w:r>
          </w:hyperlink>
        </w:p>
        <w:p>
          <w:pPr>
            <w:pStyle w:val="Contents2"/>
            <w:rPr>
              <w:rFonts w:ascii="Calibri" w:hAnsi="Calibri" w:cs="Calibri"/>
              <w:sz w:val="22"/>
              <w:szCs w:val="22"/>
              <w:lang w:val="en-US" w:eastAsia="en-US"/>
            </w:rPr>
          </w:pPr>
          <w:r>
            <w:rPr/>
            <w:t>U.2.2</w:t>
          </w:r>
          <w:r>
            <w:rPr>
              <w:rFonts w:cs="Calibri" w:ascii="Calibri" w:hAnsi="Calibri"/>
              <w:sz w:val="22"/>
              <w:szCs w:val="22"/>
              <w:lang w:val="en-US" w:eastAsia="en-US"/>
            </w:rPr>
            <w:tab/>
          </w:r>
          <w:r>
            <w:rPr/>
            <w:t>Scenario - Mixed-Mode Multi-Carrier BTS in FCC Regulated Environment</w:t>
            <w:tab/>
          </w:r>
          <w:hyperlink w:anchor="__RefHeading___Toc518035987">
            <w:r>
              <w:rPr>
                <w:rStyle w:val="IndexLink"/>
              </w:rPr>
              <w:t>220</w:t>
            </w:r>
          </w:hyperlink>
        </w:p>
        <w:p>
          <w:pPr>
            <w:pStyle w:val="Contents2"/>
            <w:rPr>
              <w:rFonts w:ascii="Calibri" w:hAnsi="Calibri" w:cs="Calibri"/>
              <w:sz w:val="22"/>
              <w:szCs w:val="22"/>
              <w:lang w:val="en-US" w:eastAsia="en-US"/>
            </w:rPr>
          </w:pPr>
          <w:r>
            <w:rPr/>
            <w:t>U.2.3</w:t>
          </w:r>
          <w:r>
            <w:rPr>
              <w:rFonts w:cs="Calibri" w:ascii="Calibri" w:hAnsi="Calibri"/>
              <w:sz w:val="22"/>
              <w:szCs w:val="22"/>
              <w:lang w:val="en-US" w:eastAsia="en-US"/>
            </w:rPr>
            <w:tab/>
          </w:r>
          <w:r>
            <w:rPr/>
            <w:t>BTS Wide Band Noise and Intra BTS Intermodulation Attenuation Analysis</w:t>
            <w:tab/>
          </w:r>
          <w:hyperlink w:anchor="__RefHeading___Toc518035988">
            <w:r>
              <w:rPr>
                <w:rStyle w:val="IndexLink"/>
              </w:rPr>
              <w:t>221</w:t>
            </w:r>
          </w:hyperlink>
        </w:p>
        <w:p>
          <w:pPr>
            <w:pStyle w:val="Contents1"/>
            <w:rPr>
              <w:rFonts w:ascii="Calibri" w:hAnsi="Calibri" w:cs="Calibri"/>
              <w:szCs w:val="22"/>
              <w:lang w:val="en-US" w:eastAsia="en-US"/>
            </w:rPr>
          </w:pPr>
          <w:r>
            <w:rPr/>
            <w:t>U.3</w:t>
          </w:r>
          <w:r>
            <w:rPr>
              <w:rFonts w:cs="Calibri" w:ascii="Calibri" w:hAnsi="Calibri"/>
              <w:szCs w:val="22"/>
              <w:lang w:val="en-US" w:eastAsia="en-US"/>
            </w:rPr>
            <w:tab/>
          </w:r>
          <w:r>
            <w:rPr/>
            <w:t>BTS Blocking and AM Suppression Characteristics</w:t>
            <w:tab/>
          </w:r>
          <w:hyperlink w:anchor="__RefHeading___Toc518035989">
            <w:r>
              <w:rPr>
                <w:rStyle w:val="IndexLink"/>
              </w:rPr>
              <w:t>223</w:t>
            </w:r>
          </w:hyperlink>
        </w:p>
        <w:p>
          <w:pPr>
            <w:pStyle w:val="Contents2"/>
            <w:rPr>
              <w:rFonts w:ascii="Calibri" w:hAnsi="Calibri" w:cs="Calibri"/>
              <w:sz w:val="22"/>
              <w:szCs w:val="22"/>
              <w:lang w:val="en-US" w:eastAsia="en-US"/>
            </w:rPr>
          </w:pPr>
          <w:r>
            <w:rPr/>
            <w:t>U.3.1</w:t>
          </w:r>
          <w:r>
            <w:rPr>
              <w:rFonts w:cs="Calibri" w:ascii="Calibri" w:hAnsi="Calibri"/>
              <w:sz w:val="22"/>
              <w:szCs w:val="22"/>
              <w:lang w:val="en-US" w:eastAsia="en-US"/>
            </w:rPr>
            <w:tab/>
          </w:r>
          <w:r>
            <w:rPr/>
            <w:t>Overview</w:t>
            <w:tab/>
          </w:r>
          <w:hyperlink w:anchor="__RefHeading___Toc518035990">
            <w:r>
              <w:rPr>
                <w:rStyle w:val="IndexLink"/>
              </w:rPr>
              <w:t>223</w:t>
            </w:r>
          </w:hyperlink>
        </w:p>
        <w:p>
          <w:pPr>
            <w:pStyle w:val="Contents3"/>
            <w:rPr>
              <w:rFonts w:ascii="Calibri" w:hAnsi="Calibri" w:cs="Calibri"/>
              <w:sz w:val="22"/>
              <w:szCs w:val="22"/>
              <w:lang w:val="en-US" w:eastAsia="en-US"/>
            </w:rPr>
          </w:pPr>
          <w:r>
            <w:rPr/>
            <w:t>U.3.1.1</w:t>
          </w:r>
          <w:r>
            <w:rPr>
              <w:rFonts w:cs="Calibri" w:ascii="Calibri" w:hAnsi="Calibri"/>
              <w:sz w:val="22"/>
              <w:szCs w:val="22"/>
              <w:lang w:val="en-US" w:eastAsia="en-US"/>
            </w:rPr>
            <w:tab/>
          </w:r>
          <w:r>
            <w:rPr/>
            <w:t>TIA/EIA-136</w:t>
            <w:tab/>
          </w:r>
          <w:hyperlink w:anchor="__RefHeading___Toc518035991">
            <w:r>
              <w:rPr>
                <w:rStyle w:val="IndexLink"/>
              </w:rPr>
              <w:t>223</w:t>
            </w:r>
          </w:hyperlink>
        </w:p>
        <w:p>
          <w:pPr>
            <w:pStyle w:val="Contents3"/>
            <w:rPr>
              <w:rFonts w:ascii="Calibri" w:hAnsi="Calibri" w:cs="Calibri"/>
              <w:sz w:val="22"/>
              <w:szCs w:val="22"/>
              <w:lang w:val="en-US" w:eastAsia="en-US"/>
            </w:rPr>
          </w:pPr>
          <w:r>
            <w:rPr/>
            <w:t>U.3.1.2</w:t>
          </w:r>
          <w:r>
            <w:rPr>
              <w:rFonts w:cs="Calibri" w:ascii="Calibri" w:hAnsi="Calibri"/>
              <w:sz w:val="22"/>
              <w:szCs w:val="22"/>
              <w:lang w:val="en-US" w:eastAsia="en-US"/>
            </w:rPr>
            <w:tab/>
          </w:r>
          <w:r>
            <w:rPr/>
            <w:t>ETSI GSM</w:t>
            <w:tab/>
          </w:r>
          <w:hyperlink w:anchor="__RefHeading___Toc518035992">
            <w:r>
              <w:rPr>
                <w:rStyle w:val="IndexLink"/>
              </w:rPr>
              <w:t>223</w:t>
            </w:r>
          </w:hyperlink>
        </w:p>
        <w:p>
          <w:pPr>
            <w:pStyle w:val="Contents2"/>
            <w:rPr>
              <w:rFonts w:ascii="Calibri" w:hAnsi="Calibri" w:cs="Calibri"/>
              <w:sz w:val="22"/>
              <w:szCs w:val="22"/>
              <w:lang w:val="en-US" w:eastAsia="en-US"/>
            </w:rPr>
          </w:pPr>
          <w:r>
            <w:rPr/>
            <w:t>U.3.2</w:t>
          </w:r>
          <w:r>
            <w:rPr>
              <w:rFonts w:cs="Calibri" w:ascii="Calibri" w:hAnsi="Calibri"/>
              <w:sz w:val="22"/>
              <w:szCs w:val="22"/>
              <w:lang w:val="en-US" w:eastAsia="en-US"/>
            </w:rPr>
            <w:tab/>
          </w:r>
          <w:r>
            <w:rPr/>
            <w:t>Scenario - Mixed-Mode Multiple MS and BTS, Uncoordinated Close Proximity</w:t>
            <w:tab/>
          </w:r>
          <w:hyperlink w:anchor="__RefHeading___Toc518035993">
            <w:r>
              <w:rPr>
                <w:rStyle w:val="IndexLink"/>
              </w:rPr>
              <w:t>223</w:t>
            </w:r>
          </w:hyperlink>
        </w:p>
        <w:p>
          <w:pPr>
            <w:pStyle w:val="Contents2"/>
            <w:rPr>
              <w:rFonts w:ascii="Calibri" w:hAnsi="Calibri" w:cs="Calibri"/>
              <w:sz w:val="22"/>
              <w:szCs w:val="22"/>
              <w:lang w:val="en-US" w:eastAsia="en-US"/>
            </w:rPr>
          </w:pPr>
          <w:r>
            <w:rPr/>
            <w:t>U.3.3</w:t>
          </w:r>
          <w:r>
            <w:rPr>
              <w:rFonts w:cs="Calibri" w:ascii="Calibri" w:hAnsi="Calibri"/>
              <w:sz w:val="22"/>
              <w:szCs w:val="22"/>
              <w:lang w:val="en-US" w:eastAsia="en-US"/>
            </w:rPr>
            <w:tab/>
          </w:r>
          <w:r>
            <w:rPr/>
            <w:t>Blocking Analysis</w:t>
            <w:tab/>
          </w:r>
          <w:hyperlink w:anchor="__RefHeading___Toc518035994">
            <w:r>
              <w:rPr>
                <w:rStyle w:val="IndexLink"/>
              </w:rPr>
              <w:t>224</w:t>
            </w:r>
          </w:hyperlink>
        </w:p>
        <w:p>
          <w:pPr>
            <w:pStyle w:val="Contents3"/>
            <w:rPr>
              <w:rFonts w:ascii="Calibri" w:hAnsi="Calibri" w:cs="Calibri"/>
              <w:sz w:val="22"/>
              <w:szCs w:val="22"/>
              <w:lang w:val="en-US" w:eastAsia="en-US"/>
            </w:rPr>
          </w:pPr>
          <w:r>
            <w:rPr/>
            <w:t>U.3.3.1</w:t>
          </w:r>
          <w:r>
            <w:rPr>
              <w:rFonts w:cs="Calibri" w:ascii="Calibri" w:hAnsi="Calibri"/>
              <w:sz w:val="22"/>
              <w:szCs w:val="22"/>
              <w:lang w:val="en-US" w:eastAsia="en-US"/>
            </w:rPr>
            <w:tab/>
          </w:r>
          <w:r>
            <w:rPr/>
            <w:t>Definition</w:t>
            <w:tab/>
          </w:r>
          <w:hyperlink w:anchor="__RefHeading___Toc518035995">
            <w:r>
              <w:rPr>
                <w:rStyle w:val="IndexLink"/>
              </w:rPr>
              <w:t>224</w:t>
            </w:r>
          </w:hyperlink>
        </w:p>
        <w:p>
          <w:pPr>
            <w:pStyle w:val="Contents3"/>
            <w:rPr>
              <w:rFonts w:ascii="Calibri" w:hAnsi="Calibri" w:cs="Calibri"/>
              <w:sz w:val="22"/>
              <w:szCs w:val="22"/>
              <w:lang w:val="en-US" w:eastAsia="en-US"/>
            </w:rPr>
          </w:pPr>
          <w:r>
            <w:rPr/>
            <w:t>U.3.3.2</w:t>
          </w:r>
          <w:r>
            <w:rPr>
              <w:rFonts w:cs="Calibri" w:ascii="Calibri" w:hAnsi="Calibri"/>
              <w:sz w:val="22"/>
              <w:szCs w:val="22"/>
              <w:lang w:val="en-US" w:eastAsia="en-US"/>
            </w:rPr>
            <w:tab/>
          </w:r>
          <w:r>
            <w:rPr/>
            <w:t>Calculation</w:t>
            <w:tab/>
          </w:r>
          <w:hyperlink w:anchor="__RefHeading___Toc518035996">
            <w:r>
              <w:rPr>
                <w:rStyle w:val="IndexLink"/>
              </w:rPr>
              <w:t>224</w:t>
            </w:r>
          </w:hyperlink>
        </w:p>
        <w:p>
          <w:pPr>
            <w:pStyle w:val="Contents2"/>
            <w:rPr>
              <w:rFonts w:ascii="Calibri" w:hAnsi="Calibri" w:cs="Calibri"/>
              <w:sz w:val="22"/>
              <w:szCs w:val="22"/>
              <w:lang w:val="en-US" w:eastAsia="en-US"/>
            </w:rPr>
          </w:pPr>
          <w:r>
            <w:rPr/>
            <w:t>U.3.4</w:t>
          </w:r>
          <w:r>
            <w:rPr>
              <w:rFonts w:cs="Calibri" w:ascii="Calibri" w:hAnsi="Calibri"/>
              <w:sz w:val="22"/>
              <w:szCs w:val="22"/>
              <w:lang w:val="en-US" w:eastAsia="en-US"/>
            </w:rPr>
            <w:tab/>
          </w:r>
          <w:r>
            <w:rPr/>
            <w:t>AM Suppression Analysis</w:t>
            <w:tab/>
          </w:r>
          <w:hyperlink w:anchor="__RefHeading___Toc518035997">
            <w:r>
              <w:rPr>
                <w:rStyle w:val="IndexLink"/>
              </w:rPr>
              <w:t>225</w:t>
            </w:r>
          </w:hyperlink>
        </w:p>
        <w:p>
          <w:pPr>
            <w:pStyle w:val="Contents9"/>
            <w:rPr>
              <w:rFonts w:ascii="Calibri" w:hAnsi="Calibri" w:cs="Calibri"/>
              <w:b w:val="false"/>
              <w:b w:val="false"/>
              <w:szCs w:val="22"/>
              <w:lang w:val="en-US" w:eastAsia="en-US"/>
            </w:rPr>
          </w:pPr>
          <w:r>
            <w:rPr/>
            <w:t>Annex V:</w:t>
            <w:tab/>
            <w:t>LCS scenarios</w:t>
            <w:tab/>
          </w:r>
          <w:hyperlink w:anchor="__RefHeading___Toc518035998">
            <w:r>
              <w:rPr>
                <w:rStyle w:val="IndexLink"/>
              </w:rPr>
              <w:t>226</w:t>
            </w:r>
          </w:hyperlink>
        </w:p>
        <w:p>
          <w:pPr>
            <w:pStyle w:val="Contents1"/>
            <w:rPr>
              <w:rFonts w:ascii="Calibri" w:hAnsi="Calibri" w:cs="Calibri"/>
              <w:szCs w:val="22"/>
              <w:lang w:val="en-US" w:eastAsia="en-US"/>
            </w:rPr>
          </w:pPr>
          <w:r>
            <w:rPr/>
            <w:t>V.1</w:t>
          </w:r>
          <w:r>
            <w:rPr>
              <w:rFonts w:cs="Calibri" w:ascii="Calibri" w:hAnsi="Calibri"/>
              <w:szCs w:val="22"/>
            </w:rPr>
            <w:tab/>
          </w:r>
          <w:r>
            <w:rPr>
              <w:lang w:val="fr-FR" w:eastAsia="en-US"/>
            </w:rPr>
            <w:t>Introduction</w:t>
          </w:r>
          <w:r>
            <w:rPr/>
            <w:tab/>
          </w:r>
          <w:hyperlink w:anchor="__RefHeading___Toc518035999">
            <w:r>
              <w:rPr>
                <w:rStyle w:val="IndexLink"/>
              </w:rPr>
              <w:t>226</w:t>
            </w:r>
          </w:hyperlink>
        </w:p>
        <w:p>
          <w:pPr>
            <w:pStyle w:val="Contents1"/>
            <w:rPr>
              <w:rFonts w:ascii="Calibri" w:hAnsi="Calibri" w:cs="Calibri"/>
              <w:szCs w:val="22"/>
              <w:lang w:val="en-US" w:eastAsia="en-US"/>
            </w:rPr>
          </w:pPr>
          <w:r>
            <w:rPr/>
            <w:t>V.2</w:t>
          </w:r>
          <w:r>
            <w:rPr>
              <w:rFonts w:cs="Calibri" w:ascii="Calibri" w:hAnsi="Calibri"/>
              <w:szCs w:val="22"/>
              <w:lang w:val="en-US" w:eastAsia="en-US"/>
            </w:rPr>
            <w:tab/>
          </w:r>
          <w:r>
            <w:rPr/>
            <w:t>TOA Type A LMU in a Co-Located Deployment</w:t>
            <w:tab/>
          </w:r>
          <w:hyperlink w:anchor="__RefHeading___Toc518036000">
            <w:r>
              <w:rPr>
                <w:rStyle w:val="IndexLink"/>
              </w:rPr>
              <w:t>226</w:t>
            </w:r>
          </w:hyperlink>
        </w:p>
        <w:p>
          <w:pPr>
            <w:pStyle w:val="Contents2"/>
            <w:rPr>
              <w:rFonts w:ascii="Calibri" w:hAnsi="Calibri" w:cs="Calibri"/>
              <w:sz w:val="22"/>
              <w:szCs w:val="22"/>
              <w:lang w:val="en-US" w:eastAsia="en-US"/>
            </w:rPr>
          </w:pPr>
          <w:r>
            <w:rPr/>
            <w:t>V.2.1</w:t>
          </w:r>
          <w:r>
            <w:rPr>
              <w:rFonts w:cs="Calibri" w:ascii="Calibri" w:hAnsi="Calibri"/>
              <w:sz w:val="22"/>
              <w:szCs w:val="22"/>
              <w:lang w:val="en-US" w:eastAsia="en-US"/>
            </w:rPr>
            <w:tab/>
          </w:r>
          <w:r>
            <w:rPr/>
            <w:t>Constraints</w:t>
            <w:tab/>
          </w:r>
          <w:hyperlink w:anchor="__RefHeading___Toc518036001">
            <w:r>
              <w:rPr>
                <w:rStyle w:val="IndexLink"/>
              </w:rPr>
              <w:t>226</w:t>
            </w:r>
          </w:hyperlink>
        </w:p>
        <w:p>
          <w:pPr>
            <w:pStyle w:val="Contents2"/>
            <w:rPr>
              <w:rFonts w:ascii="Calibri" w:hAnsi="Calibri" w:cs="Calibri"/>
              <w:sz w:val="22"/>
              <w:szCs w:val="22"/>
              <w:lang w:val="en-US" w:eastAsia="en-US"/>
            </w:rPr>
          </w:pPr>
          <w:r>
            <w:rPr/>
            <w:t>V.2.2</w:t>
          </w:r>
          <w:r>
            <w:rPr>
              <w:rFonts w:cs="Calibri" w:ascii="Calibri" w:hAnsi="Calibri"/>
              <w:sz w:val="22"/>
              <w:szCs w:val="22"/>
              <w:lang w:val="en-US" w:eastAsia="en-US"/>
            </w:rPr>
            <w:tab/>
          </w:r>
          <w:r>
            <w:rPr/>
            <w:t>Frequency Bands and Channel Arrangement (clause 2 of GSM 05.05)</w:t>
            <w:tab/>
          </w:r>
          <w:hyperlink w:anchor="__RefHeading___Toc518036002">
            <w:r>
              <w:rPr>
                <w:rStyle w:val="IndexLink"/>
              </w:rPr>
              <w:t>226</w:t>
            </w:r>
          </w:hyperlink>
        </w:p>
        <w:p>
          <w:pPr>
            <w:pStyle w:val="Contents2"/>
            <w:rPr>
              <w:rFonts w:ascii="Calibri" w:hAnsi="Calibri" w:cs="Calibri"/>
              <w:sz w:val="22"/>
              <w:szCs w:val="22"/>
              <w:lang w:val="en-US" w:eastAsia="en-US"/>
            </w:rPr>
          </w:pPr>
          <w:r>
            <w:rPr/>
            <w:t>V.2.3</w:t>
          </w:r>
          <w:r>
            <w:rPr>
              <w:rFonts w:cs="Calibri" w:ascii="Calibri" w:hAnsi="Calibri"/>
              <w:sz w:val="22"/>
              <w:szCs w:val="22"/>
              <w:lang w:val="en-US" w:eastAsia="en-US"/>
            </w:rPr>
            <w:tab/>
          </w:r>
          <w:r>
            <w:rPr/>
            <w:t>Proximity for DCS1800/PCS1900</w:t>
            <w:tab/>
          </w:r>
          <w:hyperlink w:anchor="__RefHeading___Toc518036003">
            <w:r>
              <w:rPr>
                <w:rStyle w:val="IndexLink"/>
              </w:rPr>
              <w:t>226</w:t>
            </w:r>
          </w:hyperlink>
        </w:p>
        <w:p>
          <w:pPr>
            <w:pStyle w:val="Contents2"/>
            <w:rPr>
              <w:rFonts w:ascii="Calibri" w:hAnsi="Calibri" w:cs="Calibri"/>
              <w:sz w:val="22"/>
              <w:szCs w:val="22"/>
              <w:lang w:val="en-US" w:eastAsia="en-US"/>
            </w:rPr>
          </w:pPr>
          <w:r>
            <w:rPr/>
            <w:t>V.2.4</w:t>
          </w:r>
          <w:r>
            <w:rPr>
              <w:rFonts w:cs="Calibri" w:ascii="Calibri" w:hAnsi="Calibri"/>
              <w:sz w:val="22"/>
              <w:szCs w:val="22"/>
              <w:lang w:val="en-US" w:eastAsia="en-US"/>
            </w:rPr>
            <w:tab/>
          </w:r>
          <w:r>
            <w:rPr/>
            <w:t>Inputs needed</w:t>
            <w:tab/>
          </w:r>
          <w:hyperlink w:anchor="__RefHeading___Toc518036004">
            <w:r>
              <w:rPr>
                <w:rStyle w:val="IndexLink"/>
              </w:rPr>
              <w:t>227</w:t>
            </w:r>
          </w:hyperlink>
        </w:p>
        <w:p>
          <w:pPr>
            <w:pStyle w:val="Contents2"/>
            <w:rPr>
              <w:rFonts w:ascii="Calibri" w:hAnsi="Calibri" w:cs="Calibri"/>
              <w:sz w:val="22"/>
              <w:szCs w:val="22"/>
              <w:lang w:val="en-US" w:eastAsia="en-US"/>
            </w:rPr>
          </w:pPr>
          <w:r>
            <w:rPr/>
            <w:t>V.2.5</w:t>
          </w:r>
          <w:r>
            <w:rPr>
              <w:rFonts w:cs="Calibri" w:ascii="Calibri" w:hAnsi="Calibri"/>
              <w:sz w:val="22"/>
              <w:szCs w:val="22"/>
              <w:lang w:val="en-US" w:eastAsia="en-US"/>
            </w:rPr>
            <w:tab/>
          </w:r>
          <w:r>
            <w:rPr/>
            <w:t>Conclusion</w:t>
            <w:tab/>
          </w:r>
          <w:hyperlink w:anchor="__RefHeading___Toc518036005">
            <w:r>
              <w:rPr>
                <w:rStyle w:val="IndexLink"/>
              </w:rPr>
              <w:t>227</w:t>
            </w:r>
          </w:hyperlink>
        </w:p>
        <w:p>
          <w:pPr>
            <w:pStyle w:val="Contents1"/>
            <w:rPr>
              <w:rFonts w:ascii="Calibri" w:hAnsi="Calibri" w:cs="Calibri"/>
              <w:szCs w:val="22"/>
              <w:lang w:val="en-US" w:eastAsia="en-US"/>
            </w:rPr>
          </w:pPr>
          <w:r>
            <w:rPr/>
            <w:t>V.3</w:t>
          </w:r>
          <w:r>
            <w:rPr>
              <w:rFonts w:cs="Calibri" w:ascii="Calibri" w:hAnsi="Calibri"/>
              <w:szCs w:val="22"/>
              <w:lang w:val="en-US" w:eastAsia="en-US"/>
            </w:rPr>
            <w:tab/>
          </w:r>
          <w:r>
            <w:rPr/>
            <w:t>Discussion of TOA LMU RF Specification</w:t>
            <w:tab/>
          </w:r>
          <w:hyperlink w:anchor="__RefHeading___Toc518036006">
            <w:r>
              <w:rPr>
                <w:rStyle w:val="IndexLink"/>
              </w:rPr>
              <w:t>227</w:t>
            </w:r>
          </w:hyperlink>
        </w:p>
        <w:p>
          <w:pPr>
            <w:pStyle w:val="Contents2"/>
            <w:rPr>
              <w:rFonts w:ascii="Calibri" w:hAnsi="Calibri" w:cs="Calibri"/>
              <w:sz w:val="22"/>
              <w:szCs w:val="22"/>
              <w:lang w:val="en-US" w:eastAsia="en-US"/>
            </w:rPr>
          </w:pPr>
          <w:r>
            <w:rPr/>
            <w:t>V.3.1</w:t>
          </w:r>
          <w:r>
            <w:rPr>
              <w:rFonts w:cs="Calibri" w:ascii="Calibri" w:hAnsi="Calibri"/>
              <w:sz w:val="22"/>
              <w:szCs w:val="22"/>
              <w:lang w:val="en-US" w:eastAsia="en-US"/>
            </w:rPr>
            <w:tab/>
          </w:r>
          <w:r>
            <w:rPr/>
            <w:t>Introduction</w:t>
            <w:tab/>
          </w:r>
          <w:hyperlink w:anchor="__RefHeading___Toc518036007">
            <w:r>
              <w:rPr>
                <w:rStyle w:val="IndexLink"/>
              </w:rPr>
              <w:t>227</w:t>
            </w:r>
          </w:hyperlink>
        </w:p>
        <w:p>
          <w:pPr>
            <w:pStyle w:val="Contents2"/>
            <w:rPr>
              <w:rFonts w:ascii="Calibri" w:hAnsi="Calibri" w:cs="Calibri"/>
              <w:sz w:val="22"/>
              <w:szCs w:val="22"/>
              <w:lang w:val="en-US" w:eastAsia="en-US"/>
            </w:rPr>
          </w:pPr>
          <w:r>
            <w:rPr/>
            <w:t>V.3.2</w:t>
          </w:r>
          <w:r>
            <w:rPr>
              <w:rFonts w:cs="Calibri" w:ascii="Calibri" w:hAnsi="Calibri"/>
              <w:sz w:val="22"/>
              <w:szCs w:val="22"/>
              <w:lang w:val="en-US" w:eastAsia="en-US"/>
            </w:rPr>
            <w:tab/>
          </w:r>
          <w:r>
            <w:rPr/>
            <w:t>Analysis Model</w:t>
            <w:tab/>
          </w:r>
          <w:hyperlink w:anchor="__RefHeading___Toc518036008">
            <w:r>
              <w:rPr>
                <w:rStyle w:val="IndexLink"/>
              </w:rPr>
              <w:t>228</w:t>
            </w:r>
          </w:hyperlink>
        </w:p>
        <w:p>
          <w:pPr>
            <w:pStyle w:val="Contents2"/>
            <w:rPr>
              <w:rFonts w:ascii="Calibri" w:hAnsi="Calibri" w:cs="Calibri"/>
              <w:sz w:val="22"/>
              <w:szCs w:val="22"/>
              <w:lang w:val="en-US" w:eastAsia="en-US"/>
            </w:rPr>
          </w:pPr>
          <w:r>
            <w:rPr/>
            <w:t>V.3.3</w:t>
          </w:r>
          <w:r>
            <w:rPr>
              <w:rFonts w:cs="Calibri" w:ascii="Calibri" w:hAnsi="Calibri"/>
              <w:sz w:val="22"/>
              <w:szCs w:val="22"/>
              <w:lang w:val="en-US" w:eastAsia="en-US"/>
            </w:rPr>
            <w:tab/>
          </w:r>
          <w:r>
            <w:rPr/>
            <w:t>Results</w:t>
            <w:tab/>
          </w:r>
          <w:hyperlink w:anchor="__RefHeading___Toc518036009">
            <w:r>
              <w:rPr>
                <w:rStyle w:val="IndexLink"/>
              </w:rPr>
              <w:t>228</w:t>
            </w:r>
          </w:hyperlink>
        </w:p>
        <w:p>
          <w:pPr>
            <w:pStyle w:val="Contents2"/>
            <w:rPr>
              <w:rFonts w:ascii="Calibri" w:hAnsi="Calibri" w:cs="Calibri"/>
              <w:sz w:val="22"/>
              <w:szCs w:val="22"/>
              <w:lang w:val="en-US" w:eastAsia="en-US"/>
            </w:rPr>
          </w:pPr>
          <w:r>
            <w:rPr/>
            <w:t>V.3.4</w:t>
          </w:r>
          <w:r>
            <w:rPr>
              <w:rFonts w:cs="Calibri" w:ascii="Calibri" w:hAnsi="Calibri"/>
              <w:sz w:val="22"/>
              <w:szCs w:val="22"/>
              <w:lang w:val="en-US" w:eastAsia="en-US"/>
            </w:rPr>
            <w:tab/>
          </w:r>
          <w:r>
            <w:rPr/>
            <w:t>Conclusions</w:t>
            <w:tab/>
          </w:r>
          <w:hyperlink w:anchor="__RefHeading___Toc518036010">
            <w:r>
              <w:rPr>
                <w:rStyle w:val="IndexLink"/>
              </w:rPr>
              <w:t>229</w:t>
            </w:r>
          </w:hyperlink>
        </w:p>
        <w:p>
          <w:pPr>
            <w:pStyle w:val="Contents1"/>
            <w:rPr>
              <w:rFonts w:ascii="Calibri" w:hAnsi="Calibri" w:cs="Calibri"/>
              <w:szCs w:val="22"/>
              <w:lang w:val="en-US" w:eastAsia="en-US"/>
            </w:rPr>
          </w:pPr>
          <w:r>
            <w:rPr/>
            <w:t>V.4</w:t>
          </w:r>
          <w:r>
            <w:rPr>
              <w:rFonts w:cs="Calibri" w:ascii="Calibri" w:hAnsi="Calibri"/>
              <w:szCs w:val="22"/>
              <w:lang w:val="en-US" w:eastAsia="en-US"/>
            </w:rPr>
            <w:tab/>
          </w:r>
          <w:r>
            <w:rPr/>
            <w:t>Simulation results for TOA</w:t>
          </w:r>
          <w:r>
            <w:rPr>
              <w:rFonts w:cs="Symbol" w:ascii="Symbol" w:hAnsi="Symbol"/>
            </w:rPr>
            <w:t></w:t>
          </w:r>
          <w:r>
            <w:rPr/>
            <w:t>LMU performance</w:t>
            <w:tab/>
          </w:r>
          <w:hyperlink w:anchor="__RefHeading___Toc518036011">
            <w:r>
              <w:rPr>
                <w:rStyle w:val="IndexLink"/>
              </w:rPr>
              <w:t>229</w:t>
            </w:r>
          </w:hyperlink>
        </w:p>
        <w:p>
          <w:pPr>
            <w:pStyle w:val="Contents2"/>
            <w:rPr>
              <w:rFonts w:ascii="Calibri" w:hAnsi="Calibri" w:cs="Calibri"/>
              <w:sz w:val="22"/>
              <w:szCs w:val="22"/>
              <w:lang w:val="en-US" w:eastAsia="en-US"/>
            </w:rPr>
          </w:pPr>
          <w:r>
            <w:rPr/>
            <w:t>V.4.1</w:t>
          </w:r>
          <w:r>
            <w:rPr>
              <w:rFonts w:cs="Calibri" w:ascii="Calibri" w:hAnsi="Calibri"/>
              <w:sz w:val="22"/>
              <w:szCs w:val="22"/>
              <w:lang w:val="en-US" w:eastAsia="en-US"/>
            </w:rPr>
            <w:tab/>
          </w:r>
          <w:r>
            <w:rPr/>
            <w:t>Introduction and requirements</w:t>
            <w:tab/>
          </w:r>
          <w:hyperlink w:anchor="__RefHeading___Toc518036012">
            <w:r>
              <w:rPr>
                <w:rStyle w:val="IndexLink"/>
              </w:rPr>
              <w:t>229</w:t>
            </w:r>
          </w:hyperlink>
        </w:p>
        <w:p>
          <w:pPr>
            <w:pStyle w:val="Contents2"/>
            <w:rPr>
              <w:rFonts w:ascii="Calibri" w:hAnsi="Calibri" w:cs="Calibri"/>
              <w:sz w:val="22"/>
              <w:szCs w:val="22"/>
              <w:lang w:val="en-US" w:eastAsia="en-US"/>
            </w:rPr>
          </w:pPr>
          <w:r>
            <w:rPr/>
            <w:t>V.4.2</w:t>
          </w:r>
          <w:r>
            <w:rPr>
              <w:rFonts w:cs="Calibri" w:ascii="Calibri" w:hAnsi="Calibri"/>
              <w:sz w:val="22"/>
              <w:szCs w:val="22"/>
              <w:lang w:val="en-US" w:eastAsia="en-US"/>
            </w:rPr>
            <w:tab/>
          </w:r>
          <w:r>
            <w:rPr/>
            <w:t>Simulation model</w:t>
            <w:tab/>
          </w:r>
          <w:hyperlink w:anchor="__RefHeading___Toc518036013">
            <w:r>
              <w:rPr>
                <w:rStyle w:val="IndexLink"/>
              </w:rPr>
              <w:t>232</w:t>
            </w:r>
          </w:hyperlink>
        </w:p>
        <w:p>
          <w:pPr>
            <w:pStyle w:val="Contents2"/>
            <w:rPr>
              <w:rFonts w:ascii="Calibri" w:hAnsi="Calibri" w:cs="Calibri"/>
              <w:sz w:val="22"/>
              <w:szCs w:val="22"/>
              <w:lang w:val="en-US" w:eastAsia="en-US"/>
            </w:rPr>
          </w:pPr>
          <w:r>
            <w:rPr/>
            <w:t>V.4.3</w:t>
          </w:r>
          <w:r>
            <w:rPr>
              <w:rFonts w:cs="Calibri" w:ascii="Calibri" w:hAnsi="Calibri"/>
              <w:sz w:val="22"/>
              <w:szCs w:val="22"/>
              <w:lang w:val="en-US" w:eastAsia="en-US"/>
            </w:rPr>
            <w:tab/>
          </w:r>
          <w:r>
            <w:rPr/>
            <w:t>Assumed TOA estimation algorithm</w:t>
            <w:tab/>
          </w:r>
          <w:hyperlink w:anchor="__RefHeading___Toc518036014">
            <w:r>
              <w:rPr>
                <w:rStyle w:val="IndexLink"/>
              </w:rPr>
              <w:t>232</w:t>
            </w:r>
          </w:hyperlink>
        </w:p>
        <w:p>
          <w:pPr>
            <w:pStyle w:val="Contents2"/>
            <w:rPr>
              <w:rFonts w:ascii="Calibri" w:hAnsi="Calibri" w:cs="Calibri"/>
              <w:sz w:val="22"/>
              <w:szCs w:val="22"/>
              <w:lang w:val="en-US" w:eastAsia="en-US"/>
            </w:rPr>
          </w:pPr>
          <w:r>
            <w:rPr/>
            <w:t>V.4.4</w:t>
          </w:r>
          <w:r>
            <w:rPr>
              <w:rFonts w:cs="Calibri" w:ascii="Calibri" w:hAnsi="Calibri"/>
              <w:sz w:val="22"/>
              <w:szCs w:val="22"/>
              <w:lang w:val="en-US" w:eastAsia="en-US"/>
            </w:rPr>
            <w:tab/>
          </w:r>
          <w:r>
            <w:rPr/>
            <w:t>Simulation results</w:t>
            <w:tab/>
          </w:r>
          <w:hyperlink w:anchor="__RefHeading___Toc518036015">
            <w:r>
              <w:rPr>
                <w:rStyle w:val="IndexLink"/>
              </w:rPr>
              <w:t>233</w:t>
            </w:r>
          </w:hyperlink>
        </w:p>
        <w:p>
          <w:pPr>
            <w:pStyle w:val="Contents3"/>
            <w:rPr>
              <w:rFonts w:ascii="Calibri" w:hAnsi="Calibri" w:cs="Calibri"/>
              <w:sz w:val="22"/>
              <w:szCs w:val="22"/>
              <w:lang w:val="en-US" w:eastAsia="en-US"/>
            </w:rPr>
          </w:pPr>
          <w:r>
            <w:rPr/>
            <w:t>V.4.4.1</w:t>
          </w:r>
          <w:r>
            <w:rPr>
              <w:rFonts w:cs="Calibri" w:ascii="Calibri" w:hAnsi="Calibri"/>
              <w:sz w:val="22"/>
              <w:szCs w:val="22"/>
              <w:lang w:val="en-US" w:eastAsia="en-US"/>
            </w:rPr>
            <w:tab/>
          </w:r>
          <w:r>
            <w:rPr/>
            <w:t>Sensitivity performance</w:t>
            <w:tab/>
          </w:r>
          <w:hyperlink w:anchor="__RefHeading___Toc518036016">
            <w:r>
              <w:rPr>
                <w:rStyle w:val="IndexLink"/>
              </w:rPr>
              <w:t>233</w:t>
            </w:r>
          </w:hyperlink>
        </w:p>
        <w:p>
          <w:pPr>
            <w:pStyle w:val="Contents3"/>
            <w:rPr>
              <w:rFonts w:ascii="Calibri" w:hAnsi="Calibri" w:cs="Calibri"/>
              <w:sz w:val="22"/>
              <w:szCs w:val="22"/>
              <w:lang w:val="en-US" w:eastAsia="en-US"/>
            </w:rPr>
          </w:pPr>
          <w:r>
            <w:rPr/>
            <w:t>V.4.4.2</w:t>
          </w:r>
          <w:r>
            <w:rPr>
              <w:rFonts w:cs="Calibri" w:ascii="Calibri" w:hAnsi="Calibri"/>
              <w:sz w:val="22"/>
              <w:szCs w:val="22"/>
              <w:lang w:val="en-US" w:eastAsia="en-US"/>
            </w:rPr>
            <w:tab/>
          </w:r>
          <w:r>
            <w:rPr/>
            <w:t>Interference performance</w:t>
            <w:tab/>
          </w:r>
          <w:hyperlink w:anchor="__RefHeading___Toc518036017">
            <w:r>
              <w:rPr>
                <w:rStyle w:val="IndexLink"/>
              </w:rPr>
              <w:t>233</w:t>
            </w:r>
          </w:hyperlink>
        </w:p>
        <w:p>
          <w:pPr>
            <w:pStyle w:val="Contents3"/>
            <w:rPr>
              <w:rFonts w:ascii="Calibri" w:hAnsi="Calibri" w:cs="Calibri"/>
              <w:sz w:val="22"/>
              <w:szCs w:val="22"/>
              <w:lang w:val="en-US" w:eastAsia="en-US"/>
            </w:rPr>
          </w:pPr>
          <w:r>
            <w:rPr/>
            <w:t>V.4.4.3</w:t>
          </w:r>
          <w:r>
            <w:rPr>
              <w:rFonts w:cs="Calibri" w:ascii="Calibri" w:hAnsi="Calibri"/>
              <w:sz w:val="22"/>
              <w:szCs w:val="22"/>
              <w:lang w:val="en-US" w:eastAsia="en-US"/>
            </w:rPr>
            <w:tab/>
          </w:r>
          <w:r>
            <w:rPr/>
            <w:t>Multipath performance</w:t>
            <w:tab/>
          </w:r>
          <w:hyperlink w:anchor="__RefHeading___Toc518036018">
            <w:r>
              <w:rPr>
                <w:rStyle w:val="IndexLink"/>
              </w:rPr>
              <w:t>234</w:t>
            </w:r>
          </w:hyperlink>
        </w:p>
        <w:p>
          <w:pPr>
            <w:pStyle w:val="Contents3"/>
            <w:rPr>
              <w:rFonts w:ascii="Calibri" w:hAnsi="Calibri" w:cs="Calibri"/>
              <w:sz w:val="22"/>
              <w:szCs w:val="22"/>
              <w:lang w:val="en-US" w:eastAsia="en-US"/>
            </w:rPr>
          </w:pPr>
          <w:r>
            <w:rPr/>
            <w:t>V.4.4.4</w:t>
          </w:r>
          <w:r>
            <w:rPr>
              <w:rFonts w:cs="Calibri" w:ascii="Calibri" w:hAnsi="Calibri"/>
              <w:sz w:val="22"/>
              <w:szCs w:val="22"/>
              <w:lang w:val="en-US" w:eastAsia="en-US"/>
            </w:rPr>
            <w:tab/>
          </w:r>
          <w:r>
            <w:rPr/>
            <w:t>Positioning Performance</w:t>
            <w:tab/>
          </w:r>
          <w:hyperlink w:anchor="__RefHeading___Toc518036019">
            <w:r>
              <w:rPr>
                <w:rStyle w:val="IndexLink"/>
              </w:rPr>
              <w:t>235</w:t>
            </w:r>
          </w:hyperlink>
        </w:p>
        <w:p>
          <w:pPr>
            <w:pStyle w:val="Contents1"/>
            <w:rPr>
              <w:rFonts w:ascii="Calibri" w:hAnsi="Calibri" w:cs="Calibri"/>
              <w:szCs w:val="22"/>
              <w:lang w:val="en-US" w:eastAsia="en-US"/>
            </w:rPr>
          </w:pPr>
          <w:r>
            <w:rPr/>
            <w:t>V.5</w:t>
          </w:r>
          <w:r>
            <w:rPr>
              <w:rFonts w:cs="Calibri" w:ascii="Calibri" w:hAnsi="Calibri"/>
              <w:szCs w:val="22"/>
              <w:lang w:val="en-US" w:eastAsia="en-US"/>
            </w:rPr>
            <w:tab/>
          </w:r>
          <w:r>
            <w:rPr/>
            <w:t>Discussion of RIT measurement performance of TOA LMU</w:t>
            <w:tab/>
          </w:r>
          <w:hyperlink w:anchor="__RefHeading___Toc518036020">
            <w:r>
              <w:rPr>
                <w:rStyle w:val="IndexLink"/>
              </w:rPr>
              <w:t>236</w:t>
            </w:r>
          </w:hyperlink>
        </w:p>
        <w:p>
          <w:pPr>
            <w:pStyle w:val="Contents1"/>
            <w:rPr>
              <w:rFonts w:ascii="Calibri" w:hAnsi="Calibri" w:cs="Calibri"/>
              <w:szCs w:val="22"/>
              <w:lang w:val="en-US" w:eastAsia="en-US"/>
            </w:rPr>
          </w:pPr>
          <w:r>
            <w:rPr/>
            <w:t>V.6</w:t>
          </w:r>
          <w:r>
            <w:rPr>
              <w:rFonts w:cs="Calibri" w:ascii="Calibri" w:hAnsi="Calibri"/>
              <w:szCs w:val="22"/>
              <w:lang w:val="en-US" w:eastAsia="en-US"/>
            </w:rPr>
            <w:tab/>
          </w:r>
          <w:r>
            <w:rPr/>
            <w:t>Simulations Results for E-OTD LMUs and E-OTD Capable MSs</w:t>
            <w:tab/>
          </w:r>
          <w:hyperlink w:anchor="__RefHeading___Toc518036021">
            <w:r>
              <w:rPr>
                <w:rStyle w:val="IndexLink"/>
              </w:rPr>
              <w:t>237</w:t>
            </w:r>
          </w:hyperlink>
        </w:p>
        <w:p>
          <w:pPr>
            <w:pStyle w:val="Contents2"/>
            <w:rPr>
              <w:rFonts w:ascii="Calibri" w:hAnsi="Calibri" w:cs="Calibri"/>
              <w:sz w:val="22"/>
              <w:szCs w:val="22"/>
              <w:lang w:val="en-US" w:eastAsia="en-US"/>
            </w:rPr>
          </w:pPr>
          <w:r>
            <w:rPr/>
            <w:t>V.6.1</w:t>
          </w:r>
          <w:r>
            <w:rPr>
              <w:rFonts w:cs="Calibri" w:ascii="Calibri" w:hAnsi="Calibri"/>
              <w:sz w:val="22"/>
              <w:szCs w:val="22"/>
              <w:lang w:val="en-US" w:eastAsia="en-US"/>
            </w:rPr>
            <w:tab/>
          </w:r>
          <w:r>
            <w:rPr/>
            <w:t>Introduction</w:t>
            <w:tab/>
          </w:r>
          <w:hyperlink w:anchor="__RefHeading___Toc518036022">
            <w:r>
              <w:rPr>
                <w:rStyle w:val="IndexLink"/>
              </w:rPr>
              <w:t>237</w:t>
            </w:r>
          </w:hyperlink>
        </w:p>
        <w:p>
          <w:pPr>
            <w:pStyle w:val="Contents2"/>
            <w:rPr>
              <w:rFonts w:ascii="Calibri" w:hAnsi="Calibri" w:cs="Calibri"/>
              <w:sz w:val="22"/>
              <w:szCs w:val="22"/>
              <w:lang w:val="en-US" w:eastAsia="en-US"/>
            </w:rPr>
          </w:pPr>
          <w:r>
            <w:rPr/>
            <w:t>V.6.2</w:t>
          </w:r>
          <w:r>
            <w:rPr>
              <w:rFonts w:cs="Calibri" w:ascii="Calibri" w:hAnsi="Calibri"/>
              <w:sz w:val="22"/>
              <w:szCs w:val="22"/>
              <w:lang w:val="en-US" w:eastAsia="en-US"/>
            </w:rPr>
            <w:tab/>
          </w:r>
          <w:r>
            <w:rPr/>
            <w:t>E-OTD Measurement Accuracy</w:t>
            <w:tab/>
          </w:r>
          <w:hyperlink w:anchor="__RefHeading___Toc518036023">
            <w:r>
              <w:rPr>
                <w:rStyle w:val="IndexLink"/>
              </w:rPr>
              <w:t>237</w:t>
            </w:r>
          </w:hyperlink>
        </w:p>
        <w:p>
          <w:pPr>
            <w:pStyle w:val="Contents3"/>
            <w:rPr>
              <w:rFonts w:ascii="Calibri" w:hAnsi="Calibri" w:cs="Calibri"/>
              <w:sz w:val="22"/>
              <w:szCs w:val="22"/>
              <w:lang w:val="en-US" w:eastAsia="en-US"/>
            </w:rPr>
          </w:pPr>
          <w:r>
            <w:rPr/>
            <w:t>V.6.2.1</w:t>
          </w:r>
          <w:r>
            <w:rPr>
              <w:rFonts w:cs="Calibri" w:ascii="Calibri" w:hAnsi="Calibri"/>
              <w:sz w:val="22"/>
              <w:szCs w:val="22"/>
              <w:lang w:val="en-US" w:eastAsia="en-US"/>
            </w:rPr>
            <w:tab/>
          </w:r>
          <w:r>
            <w:rPr/>
            <w:t>Sensitivity Performance</w:t>
            <w:tab/>
          </w:r>
          <w:hyperlink w:anchor="__RefHeading___Toc518036024">
            <w:r>
              <w:rPr>
                <w:rStyle w:val="IndexLink"/>
              </w:rPr>
              <w:t>237</w:t>
            </w:r>
          </w:hyperlink>
        </w:p>
        <w:p>
          <w:pPr>
            <w:pStyle w:val="Contents3"/>
            <w:rPr>
              <w:rFonts w:ascii="Calibri" w:hAnsi="Calibri" w:cs="Calibri"/>
              <w:sz w:val="22"/>
              <w:szCs w:val="22"/>
              <w:lang w:val="en-US" w:eastAsia="en-US"/>
            </w:rPr>
          </w:pPr>
          <w:r>
            <w:rPr/>
            <w:t>V.6.2.2</w:t>
          </w:r>
          <w:r>
            <w:rPr>
              <w:rFonts w:cs="Calibri" w:ascii="Calibri" w:hAnsi="Calibri"/>
              <w:sz w:val="22"/>
              <w:szCs w:val="22"/>
              <w:lang w:val="en-US" w:eastAsia="en-US"/>
            </w:rPr>
            <w:tab/>
          </w:r>
          <w:r>
            <w:rPr/>
            <w:t>Interference Performance</w:t>
            <w:tab/>
          </w:r>
          <w:hyperlink w:anchor="__RefHeading___Toc518036025">
            <w:r>
              <w:rPr>
                <w:rStyle w:val="IndexLink"/>
              </w:rPr>
              <w:t>238</w:t>
            </w:r>
          </w:hyperlink>
        </w:p>
        <w:p>
          <w:pPr>
            <w:pStyle w:val="Contents3"/>
            <w:rPr>
              <w:rFonts w:ascii="Calibri" w:hAnsi="Calibri" w:cs="Calibri"/>
              <w:sz w:val="22"/>
              <w:szCs w:val="22"/>
              <w:lang w:val="en-US" w:eastAsia="en-US"/>
            </w:rPr>
          </w:pPr>
          <w:r>
            <w:rPr/>
            <w:t>V.6.2.3</w:t>
          </w:r>
          <w:r>
            <w:rPr>
              <w:rFonts w:cs="Calibri" w:ascii="Calibri" w:hAnsi="Calibri"/>
              <w:sz w:val="22"/>
              <w:szCs w:val="22"/>
              <w:lang w:val="en-US" w:eastAsia="en-US"/>
            </w:rPr>
            <w:tab/>
          </w:r>
          <w:r>
            <w:rPr/>
            <w:t>Multipath performance</w:t>
            <w:tab/>
          </w:r>
          <w:hyperlink w:anchor="__RefHeading___Toc518036026">
            <w:r>
              <w:rPr>
                <w:rStyle w:val="IndexLink"/>
              </w:rPr>
              <w:t>240</w:t>
            </w:r>
          </w:hyperlink>
        </w:p>
        <w:p>
          <w:pPr>
            <w:pStyle w:val="Contents2"/>
            <w:rPr>
              <w:rFonts w:ascii="Calibri" w:hAnsi="Calibri" w:cs="Calibri"/>
              <w:sz w:val="22"/>
              <w:szCs w:val="22"/>
              <w:lang w:val="en-US" w:eastAsia="en-US"/>
            </w:rPr>
          </w:pPr>
          <w:r>
            <w:rPr/>
            <w:t>V.6.3</w:t>
          </w:r>
          <w:r>
            <w:rPr>
              <w:rFonts w:cs="Calibri" w:ascii="Calibri" w:hAnsi="Calibri"/>
              <w:sz w:val="22"/>
              <w:szCs w:val="22"/>
              <w:lang w:val="en-US" w:eastAsia="en-US"/>
            </w:rPr>
            <w:tab/>
          </w:r>
          <w:r>
            <w:rPr/>
            <w:t>Location accuracy</w:t>
            <w:tab/>
          </w:r>
          <w:hyperlink w:anchor="__RefHeading___Toc518036027">
            <w:r>
              <w:rPr>
                <w:rStyle w:val="IndexLink"/>
              </w:rPr>
              <w:t>241</w:t>
            </w:r>
          </w:hyperlink>
        </w:p>
        <w:p>
          <w:pPr>
            <w:pStyle w:val="Contents3"/>
            <w:rPr>
              <w:rFonts w:ascii="Calibri" w:hAnsi="Calibri" w:cs="Calibri"/>
              <w:sz w:val="22"/>
              <w:szCs w:val="22"/>
              <w:lang w:val="en-US" w:eastAsia="en-US"/>
            </w:rPr>
          </w:pPr>
          <w:r>
            <w:rPr/>
            <w:t>V.6.3.1</w:t>
          </w:r>
          <w:r>
            <w:rPr>
              <w:rFonts w:cs="Calibri" w:ascii="Calibri" w:hAnsi="Calibri"/>
              <w:sz w:val="22"/>
              <w:szCs w:val="22"/>
              <w:lang w:val="en-US" w:eastAsia="en-US"/>
            </w:rPr>
            <w:tab/>
          </w:r>
          <w:r>
            <w:rPr/>
            <w:t>Network parameters</w:t>
            <w:tab/>
          </w:r>
          <w:hyperlink w:anchor="__RefHeading___Toc518036028">
            <w:r>
              <w:rPr>
                <w:rStyle w:val="IndexLink"/>
              </w:rPr>
              <w:t>241</w:t>
            </w:r>
          </w:hyperlink>
        </w:p>
        <w:p>
          <w:pPr>
            <w:pStyle w:val="Contents3"/>
            <w:rPr>
              <w:rFonts w:ascii="Calibri" w:hAnsi="Calibri" w:cs="Calibri"/>
              <w:sz w:val="22"/>
              <w:szCs w:val="22"/>
              <w:lang w:val="en-US" w:eastAsia="en-US"/>
            </w:rPr>
          </w:pPr>
          <w:r>
            <w:rPr/>
            <w:t>V.6.3.2</w:t>
          </w:r>
          <w:r>
            <w:rPr>
              <w:rFonts w:cs="Calibri" w:ascii="Calibri" w:hAnsi="Calibri"/>
              <w:sz w:val="22"/>
              <w:szCs w:val="22"/>
              <w:lang w:val="en-US" w:eastAsia="en-US"/>
            </w:rPr>
            <w:tab/>
          </w:r>
          <w:r>
            <w:rPr/>
            <w:t>Simulation results</w:t>
            <w:tab/>
          </w:r>
          <w:hyperlink w:anchor="__RefHeading___Toc518036029">
            <w:r>
              <w:rPr>
                <w:rStyle w:val="IndexLink"/>
              </w:rPr>
              <w:t>241</w:t>
            </w:r>
          </w:hyperlink>
        </w:p>
        <w:p>
          <w:pPr>
            <w:pStyle w:val="Contents1"/>
            <w:rPr>
              <w:rFonts w:ascii="Calibri" w:hAnsi="Calibri" w:cs="Calibri"/>
              <w:szCs w:val="22"/>
              <w:lang w:val="en-US" w:eastAsia="en-US"/>
            </w:rPr>
          </w:pPr>
          <w:r>
            <w:rPr/>
            <w:t>V.7</w:t>
          </w:r>
          <w:r>
            <w:rPr>
              <w:rFonts w:cs="Calibri" w:ascii="Calibri" w:hAnsi="Calibri"/>
              <w:szCs w:val="22"/>
              <w:lang w:val="en-US" w:eastAsia="en-US"/>
            </w:rPr>
            <w:tab/>
          </w:r>
          <w:r>
            <w:rPr/>
            <w:t>BTS Frequency Source Stability, E-OTD reporting periods and E-OTD Location Accuracy</w:t>
            <w:tab/>
          </w:r>
          <w:hyperlink w:anchor="__RefHeading___Toc518036030">
            <w:r>
              <w:rPr>
                <w:rStyle w:val="IndexLink"/>
              </w:rPr>
              <w:t>242</w:t>
            </w:r>
          </w:hyperlink>
        </w:p>
        <w:p>
          <w:pPr>
            <w:pStyle w:val="Contents2"/>
            <w:rPr>
              <w:rFonts w:ascii="Calibri" w:hAnsi="Calibri" w:cs="Calibri"/>
              <w:sz w:val="22"/>
              <w:szCs w:val="22"/>
              <w:lang w:val="en-US" w:eastAsia="en-US"/>
            </w:rPr>
          </w:pPr>
          <w:r>
            <w:rPr/>
            <w:t>V.7.1</w:t>
          </w:r>
          <w:r>
            <w:rPr>
              <w:rFonts w:cs="Calibri" w:ascii="Calibri" w:hAnsi="Calibri"/>
              <w:sz w:val="22"/>
              <w:szCs w:val="22"/>
              <w:lang w:val="en-US" w:eastAsia="en-US"/>
            </w:rPr>
            <w:tab/>
          </w:r>
          <w:r>
            <w:rPr/>
            <w:t>Factors determining E-OTD stability</w:t>
            <w:tab/>
          </w:r>
          <w:hyperlink w:anchor="__RefHeading___Toc518036031">
            <w:r>
              <w:rPr>
                <w:rStyle w:val="IndexLink"/>
              </w:rPr>
              <w:t>242</w:t>
            </w:r>
          </w:hyperlink>
        </w:p>
        <w:p>
          <w:pPr>
            <w:pStyle w:val="Contents2"/>
            <w:rPr>
              <w:rFonts w:ascii="Calibri" w:hAnsi="Calibri" w:cs="Calibri"/>
              <w:sz w:val="22"/>
              <w:szCs w:val="22"/>
              <w:lang w:val="en-US" w:eastAsia="en-US"/>
            </w:rPr>
          </w:pPr>
          <w:r>
            <w:rPr/>
            <w:t>V.7.2</w:t>
          </w:r>
          <w:r>
            <w:rPr>
              <w:rFonts w:cs="Calibri" w:ascii="Calibri" w:hAnsi="Calibri"/>
              <w:sz w:val="22"/>
              <w:szCs w:val="22"/>
              <w:lang w:val="en-US" w:eastAsia="en-US"/>
            </w:rPr>
            <w:tab/>
          </w:r>
          <w:r>
            <w:rPr/>
            <w:t>Relationship between range errors and location error</w:t>
            <w:tab/>
          </w:r>
          <w:hyperlink w:anchor="__RefHeading___Toc518036032">
            <w:r>
              <w:rPr>
                <w:rStyle w:val="IndexLink"/>
              </w:rPr>
              <w:t>243</w:t>
            </w:r>
          </w:hyperlink>
        </w:p>
        <w:p>
          <w:pPr>
            <w:pStyle w:val="Contents9"/>
            <w:rPr>
              <w:rFonts w:ascii="Calibri" w:hAnsi="Calibri" w:cs="Calibri"/>
              <w:b w:val="false"/>
              <w:b w:val="false"/>
              <w:szCs w:val="22"/>
              <w:lang w:val="en-US" w:eastAsia="en-US"/>
            </w:rPr>
          </w:pPr>
          <w:r>
            <w:rPr/>
            <w:t>Annex V.A:</w:t>
            <w:tab/>
            <w:t>Evaluation of Positioning Measurement Systems</w:t>
            <w:tab/>
          </w:r>
          <w:hyperlink w:anchor="__RefHeading___Toc518036033">
            <w:r>
              <w:rPr>
                <w:rStyle w:val="IndexLink"/>
              </w:rPr>
              <w:t>244</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Introduction</w:t>
            <w:tab/>
          </w:r>
          <w:hyperlink w:anchor="__RefHeading___Toc518036034">
            <w:r>
              <w:rPr>
                <w:rStyle w:val="IndexLink"/>
              </w:rPr>
              <w:t>244</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Positioning Simulator</w:t>
            <w:tab/>
          </w:r>
          <w:hyperlink w:anchor="__RefHeading___Toc518036035">
            <w:r>
              <w:rPr>
                <w:rStyle w:val="IndexLink"/>
              </w:rPr>
              <w:t>244</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System Simulator</w:t>
            <w:tab/>
          </w:r>
          <w:hyperlink w:anchor="__RefHeading___Toc518036036">
            <w:r>
              <w:rPr>
                <w:rStyle w:val="IndexLink"/>
              </w:rPr>
              <w:t>245</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Initiation</w:t>
            <w:tab/>
          </w:r>
          <w:hyperlink w:anchor="__RefHeading___Toc518036037">
            <w:r>
              <w:rPr>
                <w:rStyle w:val="IndexLink"/>
              </w:rPr>
              <w:t>246</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Path loss calculations</w:t>
            <w:tab/>
          </w:r>
          <w:hyperlink w:anchor="__RefHeading___Toc518036038">
            <w:r>
              <w:rPr>
                <w:rStyle w:val="IndexLink"/>
              </w:rPr>
              <w:t>246</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Channel allocation</w:t>
            <w:tab/>
          </w:r>
          <w:hyperlink w:anchor="__RefHeading___Toc518036039">
            <w:r>
              <w:rPr>
                <w:rStyle w:val="IndexLink"/>
              </w:rPr>
              <w:t>246</w:t>
            </w:r>
          </w:hyperlink>
        </w:p>
        <w:p>
          <w:pPr>
            <w:pStyle w:val="Contents2"/>
            <w:rPr>
              <w:rFonts w:ascii="Calibri" w:hAnsi="Calibri" w:cs="Calibri"/>
              <w:sz w:val="22"/>
              <w:szCs w:val="22"/>
              <w:lang w:val="en-US" w:eastAsia="en-US"/>
            </w:rPr>
          </w:pPr>
          <w:r>
            <w:rPr/>
            <w:t>3.4</w:t>
          </w:r>
          <w:r>
            <w:rPr>
              <w:rFonts w:cs="Calibri" w:ascii="Calibri" w:hAnsi="Calibri"/>
              <w:sz w:val="22"/>
              <w:szCs w:val="22"/>
              <w:lang w:val="en-US" w:eastAsia="en-US"/>
            </w:rPr>
            <w:tab/>
          </w:r>
          <w:r>
            <w:rPr/>
            <w:t>C and I calculations</w:t>
            <w:tab/>
          </w:r>
          <w:hyperlink w:anchor="__RefHeading___Toc518036040">
            <w:r>
              <w:rPr>
                <w:rStyle w:val="IndexLink"/>
              </w:rPr>
              <w:t>246</w:t>
            </w:r>
          </w:hyperlink>
        </w:p>
        <w:p>
          <w:pPr>
            <w:pStyle w:val="Contents2"/>
            <w:rPr>
              <w:rFonts w:ascii="Calibri" w:hAnsi="Calibri" w:cs="Calibri"/>
              <w:sz w:val="22"/>
              <w:szCs w:val="22"/>
              <w:lang w:val="en-US" w:eastAsia="en-US"/>
            </w:rPr>
          </w:pPr>
          <w:r>
            <w:rPr/>
            <w:t>3.5</w:t>
          </w:r>
          <w:r>
            <w:rPr>
              <w:rFonts w:cs="Calibri" w:ascii="Calibri" w:hAnsi="Calibri"/>
              <w:sz w:val="22"/>
              <w:szCs w:val="22"/>
              <w:lang w:val="en-US" w:eastAsia="en-US"/>
            </w:rPr>
            <w:tab/>
          </w:r>
          <w:r>
            <w:rPr/>
            <w:t>Dropping calls with too low C/I</w:t>
            <w:tab/>
          </w:r>
          <w:hyperlink w:anchor="__RefHeading___Toc518036041">
            <w:r>
              <w:rPr>
                <w:rStyle w:val="IndexLink"/>
              </w:rPr>
              <w:t>247</w:t>
            </w:r>
          </w:hyperlink>
        </w:p>
        <w:p>
          <w:pPr>
            <w:pStyle w:val="Contents2"/>
            <w:rPr>
              <w:rFonts w:ascii="Calibri" w:hAnsi="Calibri" w:cs="Calibri"/>
              <w:sz w:val="22"/>
              <w:szCs w:val="22"/>
              <w:lang w:val="en-US" w:eastAsia="en-US"/>
            </w:rPr>
          </w:pPr>
          <w:r>
            <w:rPr/>
            <w:t>3.6</w:t>
          </w:r>
          <w:r>
            <w:rPr>
              <w:rFonts w:cs="Calibri" w:ascii="Calibri" w:hAnsi="Calibri"/>
              <w:sz w:val="22"/>
              <w:szCs w:val="22"/>
              <w:lang w:val="en-US" w:eastAsia="en-US"/>
            </w:rPr>
            <w:tab/>
          </w:r>
          <w:r>
            <w:rPr/>
            <w:t>System simulator parameters</w:t>
            <w:tab/>
          </w:r>
          <w:hyperlink w:anchor="__RefHeading___Toc518036042">
            <w:r>
              <w:rPr>
                <w:rStyle w:val="IndexLink"/>
              </w:rPr>
              <w:t>247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Radio Link Level Simulator</w:t>
            <w:tab/>
          </w:r>
          <w:hyperlink w:anchor="__RefHeading___Toc518036043">
            <w:r>
              <w:rPr>
                <w:rStyle w:val="IndexLink"/>
              </w:rPr>
              <w:t>248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Channel Model</w:t>
            <w:tab/>
          </w:r>
          <w:hyperlink w:anchor="__RefHeading___Toc518036044">
            <w:r>
              <w:rPr>
                <w:rStyle w:val="IndexLink"/>
              </w:rPr>
              <w:t>248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Channel model requirements</w:t>
            <w:tab/>
          </w:r>
          <w:hyperlink w:anchor="__RefHeading___Toc518036045">
            <w:r>
              <w:rPr>
                <w:rStyle w:val="IndexLink"/>
              </w:rPr>
              <w:t>248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Channel model</w:t>
            <w:tab/>
          </w:r>
          <w:hyperlink w:anchor="__RefHeading___Toc518036046">
            <w:r>
              <w:rPr>
                <w:rStyle w:val="IndexLink"/>
              </w:rPr>
              <w:t>248</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Delay spread</w:t>
            <w:tab/>
          </w:r>
          <w:hyperlink w:anchor="__RefHeading___Toc518036047">
            <w:r>
              <w:rPr>
                <w:rStyle w:val="IndexLink"/>
              </w:rPr>
              <w:t>249</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Average power delay profile</w:t>
            <w:tab/>
          </w:r>
          <w:hyperlink w:anchor="__RefHeading___Toc518036048">
            <w:r>
              <w:rPr>
                <w:rStyle w:val="IndexLink"/>
              </w:rPr>
              <w:t>250</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Matching the delay spread of the channel model to the delay spread model</w:t>
            <w:tab/>
          </w:r>
          <w:hyperlink w:anchor="__RefHeading___Toc518036049">
            <w:r>
              <w:rPr>
                <w:rStyle w:val="IndexLink"/>
              </w:rPr>
              <w:t>250</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Short-term fading</w:t>
            <w:tab/>
          </w:r>
          <w:hyperlink w:anchor="__RefHeading___Toc518036050">
            <w:r>
              <w:rPr>
                <w:rStyle w:val="IndexLink"/>
              </w:rPr>
              <w:t>250</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Diversity</w:t>
            <w:tab/>
          </w:r>
          <w:hyperlink w:anchor="__RefHeading___Toc518036051">
            <w:r>
              <w:rPr>
                <w:rStyle w:val="IndexLink"/>
              </w:rPr>
              <w:t>251</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t>Limitations</w:t>
            <w:tab/>
          </w:r>
          <w:hyperlink w:anchor="__RefHeading___Toc518036052">
            <w:r>
              <w:rPr>
                <w:rStyle w:val="IndexLink"/>
              </w:rPr>
              <w:t>251</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Summary of the channel model</w:t>
            <w:tab/>
          </w:r>
          <w:hyperlink w:anchor="__RefHeading___Toc518036053">
            <w:r>
              <w:rPr>
                <w:rStyle w:val="IndexLink"/>
              </w:rPr>
              <w:t>251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GSM Adaptation</w:t>
            <w:tab/>
          </w:r>
          <w:hyperlink w:anchor="__RefHeading___Toc518036054">
            <w:r>
              <w:rPr>
                <w:rStyle w:val="IndexLink"/>
              </w:rPr>
              <w:t>252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FIR Filter Implementation</w:t>
            <w:tab/>
          </w:r>
          <w:hyperlink w:anchor="__RefHeading___Toc518036055">
            <w:r>
              <w:rPr>
                <w:rStyle w:val="IndexLink"/>
              </w:rPr>
              <w:t>252</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Sampling in Time Domain</w:t>
            <w:tab/>
          </w:r>
          <w:hyperlink w:anchor="__RefHeading___Toc518036056">
            <w:r>
              <w:rPr>
                <w:rStyle w:val="IndexLink"/>
              </w:rPr>
              <w:t>253</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Frequency Hopping</w:t>
            <w:tab/>
          </w:r>
          <w:hyperlink w:anchor="__RefHeading___Toc518036057">
            <w:r>
              <w:rPr>
                <w:rStyle w:val="IndexLink"/>
              </w:rPr>
              <w:t>253</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Position Calculation and Statistical Evaluation</w:t>
            <w:tab/>
          </w:r>
          <w:hyperlink w:anchor="__RefHeading___Toc518036058">
            <w:r>
              <w:rPr>
                <w:rStyle w:val="IndexLink"/>
              </w:rPr>
              <w:t>253</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References</w:t>
            <w:tab/>
          </w:r>
          <w:hyperlink w:anchor="__RefHeading___Toc518036059">
            <w:r>
              <w:rPr>
                <w:rStyle w:val="IndexLink"/>
              </w:rPr>
              <w:t>254</w:t>
            </w:r>
          </w:hyperlink>
        </w:p>
        <w:p>
          <w:pPr>
            <w:pStyle w:val="Contents9"/>
            <w:rPr>
              <w:rFonts w:ascii="Calibri" w:hAnsi="Calibri" w:cs="Calibri"/>
              <w:b w:val="false"/>
              <w:b w:val="false"/>
              <w:szCs w:val="22"/>
              <w:lang w:val="en-US" w:eastAsia="en-US"/>
            </w:rPr>
          </w:pPr>
          <w:r>
            <w:rPr/>
            <w:t>Annex V.B:</w:t>
            <w:tab/>
            <w:t>Simulations on Co-Existence of EDGE and GSM Modulated Signals</w:t>
            <w:tab/>
          </w:r>
          <w:hyperlink w:anchor="__RefHeading___Toc518036060">
            <w:r>
              <w:rPr>
                <w:rStyle w:val="IndexLink"/>
              </w:rPr>
              <w:t>255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Introduction</w:t>
            <w:tab/>
          </w:r>
          <w:hyperlink w:anchor="__RefHeading___Toc518036061">
            <w:r>
              <w:rPr>
                <w:rStyle w:val="IndexLink"/>
              </w:rPr>
              <w:t>255</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Simulations</w:t>
            <w:tab/>
          </w:r>
          <w:hyperlink w:anchor="__RefHeading___Toc518036062">
            <w:r>
              <w:rPr>
                <w:rStyle w:val="IndexLink"/>
              </w:rPr>
              <w:t>256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Simulation Results</w:t>
            <w:tab/>
          </w:r>
          <w:hyperlink w:anchor="__RefHeading___Toc518036063">
            <w:r>
              <w:rPr>
                <w:rStyle w:val="IndexLink"/>
              </w:rPr>
              <w:t>257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Conclusions</w:t>
            <w:tab/>
          </w:r>
          <w:hyperlink w:anchor="__RefHeading___Toc518036064">
            <w:r>
              <w:rPr>
                <w:rStyle w:val="IndexLink"/>
              </w:rPr>
              <w:t>259</w:t>
            </w:r>
          </w:hyperlink>
        </w:p>
        <w:p>
          <w:pPr>
            <w:pStyle w:val="Contents9"/>
            <w:rPr>
              <w:rFonts w:ascii="Calibri" w:hAnsi="Calibri" w:cs="Calibri"/>
              <w:b w:val="false"/>
              <w:b w:val="false"/>
              <w:szCs w:val="22"/>
              <w:lang w:val="en-US" w:eastAsia="en-US"/>
            </w:rPr>
          </w:pPr>
          <w:r>
            <w:rPr/>
            <w:t>Annex W:</w:t>
            <w:tab/>
            <w:t>Update of GPRS background information</w:t>
            <w:tab/>
          </w:r>
          <w:hyperlink w:anchor="__RefHeading___Toc518036065">
            <w:r>
              <w:rPr>
                <w:rStyle w:val="IndexLink"/>
              </w:rPr>
              <w:t>260</w:t>
            </w:r>
          </w:hyperlink>
        </w:p>
        <w:p>
          <w:pPr>
            <w:pStyle w:val="Contents1"/>
            <w:rPr>
              <w:rFonts w:ascii="Calibri" w:hAnsi="Calibri" w:cs="Calibri"/>
              <w:szCs w:val="22"/>
              <w:lang w:val="en-US" w:eastAsia="en-US"/>
            </w:rPr>
          </w:pPr>
          <w:r>
            <w:rPr/>
            <w:t>W.1</w:t>
          </w:r>
          <w:r>
            <w:rPr>
              <w:rFonts w:cs="Calibri" w:ascii="Calibri" w:hAnsi="Calibri"/>
              <w:szCs w:val="22"/>
              <w:lang w:val="en-US" w:eastAsia="en-US"/>
            </w:rPr>
            <w:tab/>
          </w:r>
          <w:r>
            <w:rPr/>
            <w:t>Introduction</w:t>
            <w:tab/>
          </w:r>
          <w:hyperlink w:anchor="__RefHeading___Toc518036066">
            <w:r>
              <w:rPr>
                <w:rStyle w:val="IndexLink"/>
              </w:rPr>
              <w:t>260</w:t>
            </w:r>
          </w:hyperlink>
        </w:p>
        <w:p>
          <w:pPr>
            <w:pStyle w:val="Contents1"/>
            <w:rPr>
              <w:rFonts w:ascii="Calibri" w:hAnsi="Calibri" w:cs="Calibri"/>
              <w:szCs w:val="22"/>
              <w:lang w:val="en-US" w:eastAsia="en-US"/>
            </w:rPr>
          </w:pPr>
          <w:r>
            <w:rPr/>
            <w:t>W.2</w:t>
          </w:r>
          <w:r>
            <w:rPr>
              <w:rFonts w:cs="Calibri" w:ascii="Calibri" w:hAnsi="Calibri"/>
              <w:szCs w:val="22"/>
              <w:lang w:val="en-US" w:eastAsia="en-US"/>
            </w:rPr>
            <w:tab/>
          </w:r>
          <w:r>
            <w:rPr/>
            <w:t>References</w:t>
            <w:tab/>
          </w:r>
          <w:hyperlink w:anchor="__RefHeading___Toc518036067">
            <w:r>
              <w:rPr>
                <w:rStyle w:val="IndexLink"/>
              </w:rPr>
              <w:t>260</w:t>
            </w:r>
          </w:hyperlink>
        </w:p>
        <w:p>
          <w:pPr>
            <w:pStyle w:val="Contents1"/>
            <w:rPr>
              <w:rFonts w:ascii="Calibri" w:hAnsi="Calibri" w:cs="Calibri"/>
              <w:szCs w:val="22"/>
              <w:lang w:val="en-US" w:eastAsia="en-US"/>
            </w:rPr>
          </w:pPr>
          <w:r>
            <w:rPr/>
            <w:t>W.3</w:t>
          </w:r>
          <w:r>
            <w:rPr>
              <w:rFonts w:cs="Calibri" w:ascii="Calibri" w:hAnsi="Calibri"/>
              <w:szCs w:val="22"/>
              <w:lang w:val="en-US" w:eastAsia="en-US"/>
            </w:rPr>
            <w:tab/>
          </w:r>
          <w:r>
            <w:rPr/>
            <w:t>Simulation assumptions</w:t>
            <w:tab/>
          </w:r>
          <w:hyperlink w:anchor="__RefHeading___Toc518036068">
            <w:r>
              <w:rPr>
                <w:rStyle w:val="IndexLink"/>
              </w:rPr>
              <w:t>260</w:t>
            </w:r>
          </w:hyperlink>
        </w:p>
        <w:p>
          <w:pPr>
            <w:pStyle w:val="Contents1"/>
            <w:rPr>
              <w:rFonts w:ascii="Calibri" w:hAnsi="Calibri" w:cs="Calibri"/>
              <w:szCs w:val="22"/>
              <w:lang w:val="en-US" w:eastAsia="en-US"/>
            </w:rPr>
          </w:pPr>
          <w:r>
            <w:rPr/>
            <w:t>W.4</w:t>
          </w:r>
          <w:r>
            <w:rPr>
              <w:rFonts w:cs="Calibri" w:ascii="Calibri" w:hAnsi="Calibri"/>
              <w:szCs w:val="22"/>
              <w:lang w:val="en-US" w:eastAsia="en-US"/>
            </w:rPr>
            <w:tab/>
          </w:r>
          <w:r>
            <w:rPr/>
            <w:t>Co-channel interference simulations with varying C/I</w:t>
            <w:tab/>
          </w:r>
          <w:hyperlink w:anchor="__RefHeading___Toc518036069">
            <w:r>
              <w:rPr>
                <w:rStyle w:val="IndexLink"/>
              </w:rPr>
              <w:t>261</w:t>
            </w:r>
          </w:hyperlink>
        </w:p>
        <w:p>
          <w:pPr>
            <w:pStyle w:val="Contents1"/>
            <w:rPr>
              <w:rFonts w:ascii="Calibri" w:hAnsi="Calibri" w:cs="Calibri"/>
              <w:szCs w:val="22"/>
              <w:lang w:val="en-US" w:eastAsia="en-US"/>
            </w:rPr>
          </w:pPr>
          <w:r>
            <w:rPr/>
            <w:t>W.5</w:t>
          </w:r>
          <w:r>
            <w:rPr>
              <w:rFonts w:cs="Calibri" w:ascii="Calibri" w:hAnsi="Calibri"/>
              <w:szCs w:val="22"/>
              <w:lang w:val="en-US" w:eastAsia="en-US"/>
            </w:rPr>
            <w:tab/>
          </w:r>
          <w:r>
            <w:rPr/>
            <w:t>Co-channel interference simulations with varying Eb/N0</w:t>
            <w:tab/>
          </w:r>
          <w:hyperlink w:anchor="__RefHeading___Toc518036070">
            <w:r>
              <w:rPr>
                <w:rStyle w:val="IndexLink"/>
              </w:rPr>
              <w:t>262</w:t>
            </w:r>
          </w:hyperlink>
        </w:p>
        <w:p>
          <w:pPr>
            <w:pStyle w:val="Contents1"/>
            <w:rPr>
              <w:rFonts w:ascii="Calibri" w:hAnsi="Calibri" w:cs="Calibri"/>
              <w:szCs w:val="22"/>
              <w:lang w:val="en-US" w:eastAsia="en-US"/>
            </w:rPr>
          </w:pPr>
          <w:r>
            <w:rPr/>
            <w:t>W.6</w:t>
          </w:r>
          <w:r>
            <w:rPr>
              <w:rFonts w:cs="Calibri" w:ascii="Calibri" w:hAnsi="Calibri"/>
              <w:szCs w:val="22"/>
              <w:lang w:val="en-US" w:eastAsia="en-US"/>
            </w:rPr>
            <w:tab/>
          </w:r>
          <w:r>
            <w:rPr/>
            <w:t>Effect on the MS receiver Noise Factor</w:t>
            <w:tab/>
          </w:r>
          <w:hyperlink w:anchor="__RefHeading___Toc518036071">
            <w:r>
              <w:rPr>
                <w:rStyle w:val="IndexLink"/>
              </w:rPr>
              <w:t>264</w:t>
            </w:r>
          </w:hyperlink>
        </w:p>
        <w:p>
          <w:pPr>
            <w:pStyle w:val="Contents1"/>
            <w:rPr>
              <w:rFonts w:ascii="Calibri" w:hAnsi="Calibri" w:cs="Calibri"/>
              <w:szCs w:val="22"/>
              <w:lang w:val="en-US" w:eastAsia="en-US"/>
            </w:rPr>
          </w:pPr>
          <w:r>
            <w:rPr/>
            <w:t>W.7</w:t>
          </w:r>
          <w:r>
            <w:rPr>
              <w:rFonts w:cs="Calibri" w:ascii="Calibri" w:hAnsi="Calibri"/>
              <w:szCs w:val="22"/>
              <w:lang w:val="en-US" w:eastAsia="en-US"/>
            </w:rPr>
            <w:tab/>
          </w:r>
          <w:r>
            <w:rPr/>
            <w:t>Conclusion</w:t>
            <w:tab/>
          </w:r>
          <w:hyperlink w:anchor="__RefHeading___Toc518036072">
            <w:r>
              <w:rPr>
                <w:rStyle w:val="IndexLink"/>
              </w:rPr>
              <w:t>265</w:t>
            </w:r>
          </w:hyperlink>
        </w:p>
        <w:p>
          <w:pPr>
            <w:pStyle w:val="Contents9"/>
            <w:rPr>
              <w:rFonts w:ascii="Calibri" w:hAnsi="Calibri" w:cs="Calibri"/>
              <w:b w:val="false"/>
              <w:b w:val="false"/>
              <w:szCs w:val="22"/>
              <w:lang w:val="en-US" w:eastAsia="en-US"/>
            </w:rPr>
          </w:pPr>
          <w:r>
            <w:rPr/>
            <w:t>Annex X:</w:t>
            <w:tab/>
            <w:t>8-PSK Scenarios</w:t>
            <w:tab/>
          </w:r>
          <w:hyperlink w:anchor="__RefHeading___Toc518036073">
            <w:r>
              <w:rPr>
                <w:rStyle w:val="IndexLink"/>
              </w:rPr>
              <w:t>266</w:t>
            </w:r>
          </w:hyperlink>
        </w:p>
        <w:p>
          <w:pPr>
            <w:pStyle w:val="Contents1"/>
            <w:rPr>
              <w:rFonts w:ascii="Calibri" w:hAnsi="Calibri" w:cs="Calibri"/>
              <w:szCs w:val="22"/>
              <w:lang w:val="en-US" w:eastAsia="en-US"/>
            </w:rPr>
          </w:pPr>
          <w:r>
            <w:rPr/>
            <w:t>X.1</w:t>
          </w:r>
          <w:r>
            <w:rPr>
              <w:rFonts w:cs="Calibri" w:ascii="Calibri" w:hAnsi="Calibri"/>
              <w:szCs w:val="22"/>
              <w:lang w:val="en-US" w:eastAsia="en-US"/>
            </w:rPr>
            <w:tab/>
          </w:r>
          <w:r>
            <w:rPr/>
            <w:t>Assumptions</w:t>
            <w:tab/>
          </w:r>
          <w:hyperlink w:anchor="__RefHeading___Toc518036074">
            <w:r>
              <w:rPr>
                <w:rStyle w:val="IndexLink"/>
              </w:rPr>
              <w:t>266</w:t>
            </w:r>
          </w:hyperlink>
        </w:p>
        <w:p>
          <w:pPr>
            <w:pStyle w:val="Contents1"/>
            <w:rPr>
              <w:rFonts w:ascii="Calibri" w:hAnsi="Calibri" w:cs="Calibri"/>
              <w:szCs w:val="22"/>
              <w:lang w:val="en-US" w:eastAsia="en-US"/>
            </w:rPr>
          </w:pPr>
          <w:r>
            <w:rPr/>
            <w:t>X.2</w:t>
          </w:r>
          <w:r>
            <w:rPr>
              <w:rFonts w:cs="Calibri" w:ascii="Calibri" w:hAnsi="Calibri"/>
              <w:szCs w:val="22"/>
              <w:lang w:val="en-US" w:eastAsia="en-US"/>
            </w:rPr>
            <w:tab/>
          </w:r>
          <w:r>
            <w:rPr/>
            <w:t>Closest Approach</w:t>
            <w:tab/>
          </w:r>
          <w:hyperlink w:anchor="__RefHeading___Toc518036075">
            <w:r>
              <w:rPr>
                <w:rStyle w:val="IndexLink"/>
              </w:rPr>
              <w:t>266</w:t>
            </w:r>
          </w:hyperlink>
        </w:p>
        <w:p>
          <w:pPr>
            <w:pStyle w:val="Contents2"/>
            <w:rPr>
              <w:rFonts w:ascii="Calibri" w:hAnsi="Calibri" w:cs="Calibri"/>
              <w:sz w:val="22"/>
              <w:szCs w:val="22"/>
              <w:lang w:val="en-US" w:eastAsia="en-US"/>
            </w:rPr>
          </w:pPr>
          <w:r>
            <w:rPr/>
            <w:t>X.2.1</w:t>
          </w:r>
          <w:r>
            <w:rPr>
              <w:rFonts w:cs="Calibri" w:ascii="Calibri" w:hAnsi="Calibri"/>
              <w:sz w:val="22"/>
              <w:szCs w:val="22"/>
              <w:lang w:val="en-US" w:eastAsia="en-US"/>
            </w:rPr>
            <w:tab/>
          </w:r>
          <w:r>
            <w:rPr/>
            <w:t>Closest Approach, Coordinated</w:t>
            <w:tab/>
          </w:r>
          <w:hyperlink w:anchor="__RefHeading___Toc518036076">
            <w:r>
              <w:rPr>
                <w:rStyle w:val="IndexLink"/>
              </w:rPr>
              <w:t>266</w:t>
            </w:r>
          </w:hyperlink>
        </w:p>
        <w:p>
          <w:pPr>
            <w:pStyle w:val="Contents3"/>
            <w:rPr>
              <w:rFonts w:ascii="Calibri" w:hAnsi="Calibri" w:cs="Calibri"/>
              <w:sz w:val="22"/>
              <w:szCs w:val="22"/>
              <w:lang w:val="en-US" w:eastAsia="en-US"/>
            </w:rPr>
          </w:pPr>
          <w:r>
            <w:rPr/>
            <w:t>X.2.1.1</w:t>
          </w:r>
          <w:r>
            <w:rPr>
              <w:rFonts w:cs="Calibri" w:ascii="Calibri" w:hAnsi="Calibri"/>
              <w:sz w:val="22"/>
              <w:szCs w:val="22"/>
              <w:lang w:val="en-US" w:eastAsia="en-US"/>
            </w:rPr>
            <w:tab/>
          </w:r>
          <w:r>
            <w:rPr/>
            <w:t>Closest Approach BTS Transmitting, Coordinated</w:t>
            <w:tab/>
          </w:r>
          <w:hyperlink w:anchor="__RefHeading___Toc518036077">
            <w:r>
              <w:rPr>
                <w:rStyle w:val="IndexLink"/>
              </w:rPr>
              <w:t>266</w:t>
            </w:r>
          </w:hyperlink>
        </w:p>
        <w:p>
          <w:pPr>
            <w:pStyle w:val="Contents4"/>
            <w:rPr>
              <w:rFonts w:ascii="Calibri" w:hAnsi="Calibri" w:cs="Calibri"/>
              <w:sz w:val="22"/>
              <w:szCs w:val="22"/>
              <w:lang w:val="en-US" w:eastAsia="en-US"/>
            </w:rPr>
          </w:pPr>
          <w:r>
            <w:rPr/>
            <w:t>X.2.1.1.1</w:t>
          </w:r>
          <w:r>
            <w:rPr>
              <w:rFonts w:cs="Calibri" w:ascii="Calibri" w:hAnsi="Calibri"/>
              <w:sz w:val="22"/>
              <w:szCs w:val="22"/>
              <w:lang w:val="en-US" w:eastAsia="en-US"/>
            </w:rPr>
            <w:tab/>
          </w:r>
          <w:r>
            <w:rPr/>
            <w:t>Nominal Error Rate Requirement at High Input Levels</w:t>
            <w:tab/>
          </w:r>
          <w:hyperlink w:anchor="__RefHeading___Toc518036078">
            <w:r>
              <w:rPr>
                <w:rStyle w:val="IndexLink"/>
              </w:rPr>
              <w:t>266</w:t>
            </w:r>
          </w:hyperlink>
        </w:p>
        <w:p>
          <w:pPr>
            <w:pStyle w:val="Contents4"/>
            <w:rPr>
              <w:rFonts w:ascii="Calibri" w:hAnsi="Calibri" w:cs="Calibri"/>
              <w:sz w:val="22"/>
              <w:szCs w:val="22"/>
              <w:lang w:val="en-US" w:eastAsia="en-US"/>
            </w:rPr>
          </w:pPr>
          <w:r>
            <w:rPr/>
            <w:t>X.2.1.1.2</w:t>
          </w:r>
          <w:r>
            <w:rPr>
              <w:rFonts w:cs="Calibri" w:ascii="Calibri" w:hAnsi="Calibri"/>
              <w:sz w:val="22"/>
              <w:szCs w:val="22"/>
              <w:lang w:val="en-US" w:eastAsia="en-US"/>
            </w:rPr>
            <w:tab/>
          </w:r>
          <w:r>
            <w:rPr/>
            <w:t>MS Receiver Intermodulation Characteristics</w:t>
            <w:tab/>
          </w:r>
          <w:hyperlink w:anchor="__RefHeading___Toc518036079">
            <w:r>
              <w:rPr>
                <w:rStyle w:val="IndexLink"/>
              </w:rPr>
              <w:t>266</w:t>
            </w:r>
          </w:hyperlink>
        </w:p>
        <w:p>
          <w:pPr>
            <w:pStyle w:val="Contents3"/>
            <w:rPr>
              <w:rFonts w:ascii="Calibri" w:hAnsi="Calibri" w:cs="Calibri"/>
              <w:sz w:val="22"/>
              <w:szCs w:val="22"/>
              <w:lang w:val="en-US" w:eastAsia="en-US"/>
            </w:rPr>
          </w:pPr>
          <w:r>
            <w:rPr/>
            <w:t>X.2.1.2</w:t>
          </w:r>
          <w:r>
            <w:rPr>
              <w:rFonts w:cs="Calibri" w:ascii="Calibri" w:hAnsi="Calibri"/>
              <w:sz w:val="22"/>
              <w:szCs w:val="22"/>
              <w:lang w:val="en-US" w:eastAsia="en-US"/>
            </w:rPr>
            <w:tab/>
          </w:r>
          <w:r>
            <w:rPr/>
            <w:t>Closest Approach MS Transmitting, Coordinated</w:t>
            <w:tab/>
          </w:r>
          <w:hyperlink w:anchor="__RefHeading___Toc518036080">
            <w:r>
              <w:rPr>
                <w:rStyle w:val="IndexLink"/>
              </w:rPr>
              <w:t>267</w:t>
            </w:r>
          </w:hyperlink>
        </w:p>
        <w:p>
          <w:pPr>
            <w:pStyle w:val="Contents4"/>
            <w:rPr>
              <w:rFonts w:ascii="Calibri" w:hAnsi="Calibri" w:cs="Calibri"/>
              <w:sz w:val="22"/>
              <w:szCs w:val="22"/>
              <w:lang w:val="en-US" w:eastAsia="en-US"/>
            </w:rPr>
          </w:pPr>
          <w:r>
            <w:rPr/>
            <w:t>X.2.1.2.1</w:t>
          </w:r>
          <w:r>
            <w:rPr>
              <w:rFonts w:cs="Calibri" w:ascii="Calibri" w:hAnsi="Calibri"/>
              <w:sz w:val="22"/>
              <w:szCs w:val="22"/>
              <w:lang w:val="en-US" w:eastAsia="en-US"/>
            </w:rPr>
            <w:tab/>
          </w:r>
          <w:r>
            <w:rPr/>
            <w:t>Nominal Error Rate at High Input Levels</w:t>
            <w:tab/>
          </w:r>
          <w:hyperlink w:anchor="__RefHeading___Toc518036081">
            <w:r>
              <w:rPr>
                <w:rStyle w:val="IndexLink"/>
              </w:rPr>
              <w:t>267</w:t>
            </w:r>
          </w:hyperlink>
        </w:p>
        <w:p>
          <w:pPr>
            <w:pStyle w:val="Contents5"/>
            <w:rPr>
              <w:rFonts w:ascii="Calibri" w:hAnsi="Calibri" w:cs="Calibri"/>
              <w:sz w:val="22"/>
              <w:szCs w:val="22"/>
              <w:lang w:val="en-US" w:eastAsia="en-US"/>
            </w:rPr>
          </w:pPr>
          <w:r>
            <w:rPr/>
            <w:t>X.2.1.2.1.1</w:t>
          </w:r>
          <w:r>
            <w:rPr>
              <w:rFonts w:cs="Calibri" w:ascii="Calibri" w:hAnsi="Calibri"/>
              <w:sz w:val="22"/>
              <w:szCs w:val="22"/>
              <w:lang w:val="en-US" w:eastAsia="en-US"/>
            </w:rPr>
            <w:tab/>
          </w:r>
          <w:r>
            <w:rPr/>
            <w:t>GSM900 BTS</w:t>
            <w:tab/>
          </w:r>
          <w:hyperlink w:anchor="__RefHeading___Toc518036082">
            <w:r>
              <w:rPr>
                <w:rStyle w:val="IndexLink"/>
              </w:rPr>
              <w:t>267</w:t>
            </w:r>
          </w:hyperlink>
        </w:p>
        <w:p>
          <w:pPr>
            <w:pStyle w:val="Contents5"/>
            <w:rPr>
              <w:rFonts w:ascii="Calibri" w:hAnsi="Calibri" w:cs="Calibri"/>
              <w:sz w:val="22"/>
              <w:szCs w:val="22"/>
              <w:lang w:val="en-US" w:eastAsia="en-US"/>
            </w:rPr>
          </w:pPr>
          <w:r>
            <w:rPr/>
            <w:t>X.2.1.2.1.2</w:t>
          </w:r>
          <w:r>
            <w:rPr>
              <w:rFonts w:cs="Calibri" w:ascii="Calibri" w:hAnsi="Calibri"/>
              <w:sz w:val="22"/>
              <w:szCs w:val="22"/>
              <w:lang w:val="en-US" w:eastAsia="en-US"/>
            </w:rPr>
            <w:tab/>
          </w:r>
          <w:r>
            <w:rPr/>
            <w:t>DCS1800 BTS</w:t>
            <w:tab/>
          </w:r>
          <w:hyperlink w:anchor="__RefHeading___Toc518036083">
            <w:r>
              <w:rPr>
                <w:rStyle w:val="IndexLink"/>
              </w:rPr>
              <w:t>268</w:t>
            </w:r>
          </w:hyperlink>
        </w:p>
        <w:p>
          <w:pPr>
            <w:pStyle w:val="Contents4"/>
            <w:rPr>
              <w:rFonts w:ascii="Calibri" w:hAnsi="Calibri" w:cs="Calibri"/>
              <w:sz w:val="22"/>
              <w:szCs w:val="22"/>
              <w:lang w:val="en-US" w:eastAsia="en-US"/>
            </w:rPr>
          </w:pPr>
          <w:r>
            <w:rPr/>
            <w:t>X.2.1.2.2</w:t>
          </w:r>
          <w:r>
            <w:rPr>
              <w:rFonts w:cs="Calibri" w:ascii="Calibri" w:hAnsi="Calibri"/>
              <w:sz w:val="22"/>
              <w:szCs w:val="22"/>
              <w:lang w:val="en-US" w:eastAsia="en-US"/>
            </w:rPr>
            <w:tab/>
          </w:r>
          <w:r>
            <w:rPr/>
            <w:t>BTS Receiver Intermodulation Characteristics</w:t>
            <w:tab/>
          </w:r>
          <w:hyperlink w:anchor="__RefHeading___Toc518036084">
            <w:r>
              <w:rPr>
                <w:rStyle w:val="IndexLink"/>
              </w:rPr>
              <w:t>268</w:t>
            </w:r>
          </w:hyperlink>
        </w:p>
        <w:p>
          <w:pPr>
            <w:pStyle w:val="Contents3"/>
            <w:rPr>
              <w:rFonts w:ascii="Calibri" w:hAnsi="Calibri" w:cs="Calibri"/>
              <w:sz w:val="22"/>
              <w:szCs w:val="22"/>
              <w:lang w:val="en-US" w:eastAsia="en-US"/>
            </w:rPr>
          </w:pPr>
          <w:r>
            <w:rPr/>
            <w:t>X.2.1.3</w:t>
          </w:r>
          <w:r>
            <w:rPr>
              <w:rFonts w:cs="Calibri" w:ascii="Calibri" w:hAnsi="Calibri"/>
              <w:sz w:val="22"/>
              <w:szCs w:val="22"/>
              <w:lang w:val="en-US" w:eastAsia="en-US"/>
            </w:rPr>
            <w:tab/>
          </w:r>
          <w:r>
            <w:rPr/>
            <w:t>Minimum Coupling for Coordinated Case</w:t>
            <w:tab/>
          </w:r>
          <w:hyperlink w:anchor="__RefHeading___Toc518036085">
            <w:r>
              <w:rPr>
                <w:rStyle w:val="IndexLink"/>
              </w:rPr>
              <w:t>269</w:t>
            </w:r>
          </w:hyperlink>
        </w:p>
        <w:p>
          <w:pPr>
            <w:pStyle w:val="Contents4"/>
            <w:rPr>
              <w:rFonts w:ascii="Calibri" w:hAnsi="Calibri" w:cs="Calibri"/>
              <w:sz w:val="22"/>
              <w:szCs w:val="22"/>
              <w:lang w:val="en-US" w:eastAsia="en-US"/>
            </w:rPr>
          </w:pPr>
          <w:r>
            <w:rPr/>
            <w:t>X.2.1.3.1</w:t>
          </w:r>
          <w:r>
            <w:rPr>
              <w:rFonts w:cs="Calibri" w:ascii="Calibri" w:hAnsi="Calibri"/>
              <w:sz w:val="22"/>
              <w:szCs w:val="22"/>
              <w:lang w:val="en-US" w:eastAsia="en-US"/>
            </w:rPr>
            <w:tab/>
          </w:r>
          <w:r>
            <w:rPr/>
            <w:t>Downlink Power Control Enabled</w:t>
            <w:tab/>
          </w:r>
          <w:hyperlink w:anchor="__RefHeading___Toc518036086">
            <w:r>
              <w:rPr>
                <w:rStyle w:val="IndexLink"/>
              </w:rPr>
              <w:t>269</w:t>
            </w:r>
          </w:hyperlink>
        </w:p>
        <w:p>
          <w:pPr>
            <w:pStyle w:val="Contents4"/>
            <w:rPr>
              <w:rFonts w:ascii="Calibri" w:hAnsi="Calibri" w:cs="Calibri"/>
              <w:sz w:val="22"/>
              <w:szCs w:val="22"/>
              <w:lang w:val="en-US" w:eastAsia="en-US"/>
            </w:rPr>
          </w:pPr>
          <w:r>
            <w:rPr/>
            <w:t>X.2.1.3.2</w:t>
          </w:r>
          <w:r>
            <w:rPr>
              <w:rFonts w:cs="Calibri" w:ascii="Calibri" w:hAnsi="Calibri"/>
              <w:sz w:val="22"/>
              <w:szCs w:val="22"/>
              <w:lang w:val="en-US" w:eastAsia="en-US"/>
            </w:rPr>
            <w:tab/>
          </w:r>
          <w:r>
            <w:rPr/>
            <w:t>No Downlink Power Control</w:t>
            <w:tab/>
          </w:r>
          <w:hyperlink w:anchor="__RefHeading___Toc518036087">
            <w:r>
              <w:rPr>
                <w:rStyle w:val="IndexLink"/>
              </w:rPr>
              <w:t>269</w:t>
            </w:r>
          </w:hyperlink>
        </w:p>
        <w:p>
          <w:pPr>
            <w:pStyle w:val="Contents2"/>
            <w:rPr>
              <w:rFonts w:ascii="Calibri" w:hAnsi="Calibri" w:cs="Calibri"/>
              <w:sz w:val="22"/>
              <w:szCs w:val="22"/>
              <w:lang w:val="en-US" w:eastAsia="en-US"/>
            </w:rPr>
          </w:pPr>
          <w:r>
            <w:rPr/>
            <w:t>X.2.2</w:t>
          </w:r>
          <w:r>
            <w:rPr>
              <w:rFonts w:cs="Calibri" w:ascii="Calibri" w:hAnsi="Calibri"/>
              <w:sz w:val="22"/>
              <w:szCs w:val="22"/>
              <w:lang w:val="en-US" w:eastAsia="en-US"/>
            </w:rPr>
            <w:tab/>
          </w:r>
          <w:r>
            <w:rPr/>
            <w:t>Closest Approach, Uncoordinated</w:t>
            <w:tab/>
          </w:r>
          <w:hyperlink w:anchor="__RefHeading___Toc518036088">
            <w:r>
              <w:rPr>
                <w:rStyle w:val="IndexLink"/>
              </w:rPr>
              <w:t>269</w:t>
            </w:r>
          </w:hyperlink>
        </w:p>
        <w:p>
          <w:pPr>
            <w:pStyle w:val="Contents3"/>
            <w:rPr>
              <w:rFonts w:ascii="Calibri" w:hAnsi="Calibri" w:cs="Calibri"/>
              <w:sz w:val="22"/>
              <w:szCs w:val="22"/>
              <w:lang w:val="en-US" w:eastAsia="en-US"/>
            </w:rPr>
          </w:pPr>
          <w:r>
            <w:rPr/>
            <w:t>X.2.2.1</w:t>
          </w:r>
          <w:r>
            <w:rPr>
              <w:rFonts w:cs="Calibri" w:ascii="Calibri" w:hAnsi="Calibri"/>
              <w:sz w:val="22"/>
              <w:szCs w:val="22"/>
              <w:lang w:val="en-US" w:eastAsia="en-US"/>
            </w:rPr>
            <w:tab/>
          </w:r>
          <w:r>
            <w:rPr/>
            <w:t>Closest Approach BTS Transmitting, Uncoordinated</w:t>
            <w:tab/>
          </w:r>
          <w:hyperlink w:anchor="__RefHeading___Toc518036089">
            <w:r>
              <w:rPr>
                <w:rStyle w:val="IndexLink"/>
              </w:rPr>
              <w:t>269</w:t>
            </w:r>
          </w:hyperlink>
        </w:p>
        <w:p>
          <w:pPr>
            <w:pStyle w:val="Contents4"/>
            <w:rPr>
              <w:rFonts w:ascii="Calibri" w:hAnsi="Calibri" w:cs="Calibri"/>
              <w:sz w:val="22"/>
              <w:szCs w:val="22"/>
              <w:lang w:val="en-US" w:eastAsia="en-US"/>
            </w:rPr>
          </w:pPr>
          <w:r>
            <w:rPr/>
            <w:t>X.2.2.1.1</w:t>
          </w:r>
          <w:r>
            <w:rPr>
              <w:rFonts w:cs="Calibri" w:ascii="Calibri" w:hAnsi="Calibri"/>
              <w:sz w:val="22"/>
              <w:szCs w:val="22"/>
              <w:lang w:val="en-US" w:eastAsia="en-US"/>
            </w:rPr>
            <w:tab/>
          </w:r>
          <w:r>
            <w:rPr/>
            <w:t>Noise Masking</w:t>
            <w:tab/>
          </w:r>
          <w:hyperlink w:anchor="__RefHeading___Toc518036090">
            <w:r>
              <w:rPr>
                <w:rStyle w:val="IndexLink"/>
              </w:rPr>
              <w:t>269</w:t>
            </w:r>
          </w:hyperlink>
        </w:p>
        <w:p>
          <w:pPr>
            <w:pStyle w:val="Contents4"/>
            <w:rPr>
              <w:rFonts w:ascii="Calibri" w:hAnsi="Calibri" w:cs="Calibri"/>
              <w:sz w:val="22"/>
              <w:szCs w:val="22"/>
              <w:lang w:val="en-US" w:eastAsia="en-US"/>
            </w:rPr>
          </w:pPr>
          <w:r>
            <w:rPr/>
            <w:t>X.2.2.1.2</w:t>
          </w:r>
          <w:r>
            <w:rPr>
              <w:rFonts w:cs="Calibri" w:ascii="Calibri" w:hAnsi="Calibri"/>
              <w:sz w:val="22"/>
              <w:szCs w:val="22"/>
              <w:lang w:val="en-US" w:eastAsia="en-US"/>
            </w:rPr>
            <w:tab/>
          </w:r>
          <w:r>
            <w:rPr/>
            <w:t>MS Receiver Intermodulation Characteristics</w:t>
            <w:tab/>
          </w:r>
          <w:hyperlink w:anchor="__RefHeading___Toc518036091">
            <w:r>
              <w:rPr>
                <w:rStyle w:val="IndexLink"/>
              </w:rPr>
              <w:t>269</w:t>
            </w:r>
          </w:hyperlink>
        </w:p>
        <w:p>
          <w:pPr>
            <w:pStyle w:val="Contents4"/>
            <w:rPr>
              <w:rFonts w:ascii="Calibri" w:hAnsi="Calibri" w:cs="Calibri"/>
              <w:sz w:val="22"/>
              <w:szCs w:val="22"/>
              <w:lang w:val="en-US" w:eastAsia="en-US"/>
            </w:rPr>
          </w:pPr>
          <w:r>
            <w:rPr/>
            <w:t>X.2.2.1.3</w:t>
          </w:r>
          <w:r>
            <w:rPr>
              <w:rFonts w:cs="Calibri" w:ascii="Calibri" w:hAnsi="Calibri"/>
              <w:sz w:val="22"/>
              <w:szCs w:val="22"/>
            </w:rPr>
            <w:tab/>
          </w:r>
          <w:r>
            <w:rPr>
              <w:lang w:val="sv-SE" w:eastAsia="en-US"/>
            </w:rPr>
            <w:t>BTS Tx Inter/Intra Modulation Masking</w:t>
          </w:r>
          <w:r>
            <w:rPr/>
            <w:tab/>
          </w:r>
          <w:hyperlink w:anchor="__RefHeading___Toc518036092">
            <w:r>
              <w:rPr>
                <w:rStyle w:val="IndexLink"/>
              </w:rPr>
              <w:t>270</w:t>
            </w:r>
          </w:hyperlink>
        </w:p>
        <w:p>
          <w:pPr>
            <w:pStyle w:val="Contents3"/>
            <w:rPr>
              <w:rFonts w:ascii="Calibri" w:hAnsi="Calibri" w:cs="Calibri"/>
              <w:sz w:val="22"/>
              <w:szCs w:val="22"/>
              <w:lang w:val="en-US" w:eastAsia="en-US"/>
            </w:rPr>
          </w:pPr>
          <w:r>
            <w:rPr/>
            <w:t>X.2.2.2</w:t>
          </w:r>
          <w:r>
            <w:rPr>
              <w:rFonts w:cs="Calibri" w:ascii="Calibri" w:hAnsi="Calibri"/>
              <w:sz w:val="22"/>
              <w:szCs w:val="22"/>
              <w:lang w:val="en-US" w:eastAsia="en-US"/>
            </w:rPr>
            <w:tab/>
          </w:r>
          <w:r>
            <w:rPr/>
            <w:t>Minimum Coupling for Uncoordinated Case</w:t>
            <w:tab/>
          </w:r>
          <w:hyperlink w:anchor="__RefHeading___Toc518036093">
            <w:r>
              <w:rPr>
                <w:rStyle w:val="IndexLink"/>
              </w:rPr>
              <w:t>270</w:t>
            </w:r>
          </w:hyperlink>
        </w:p>
        <w:p>
          <w:pPr>
            <w:pStyle w:val="Contents1"/>
            <w:rPr>
              <w:rFonts w:ascii="Calibri" w:hAnsi="Calibri" w:cs="Calibri"/>
              <w:szCs w:val="22"/>
              <w:lang w:val="en-US" w:eastAsia="en-US"/>
            </w:rPr>
          </w:pPr>
          <w:r>
            <w:rPr/>
            <w:t>X.3</w:t>
          </w:r>
          <w:r>
            <w:rPr>
              <w:rFonts w:cs="Calibri" w:ascii="Calibri" w:hAnsi="Calibri"/>
              <w:szCs w:val="22"/>
              <w:lang w:val="en-US" w:eastAsia="en-US"/>
            </w:rPr>
            <w:tab/>
          </w:r>
          <w:r>
            <w:rPr/>
            <w:t>Analysis of Specifications</w:t>
            <w:tab/>
          </w:r>
          <w:hyperlink w:anchor="__RefHeading___Toc518036094">
            <w:r>
              <w:rPr>
                <w:rStyle w:val="IndexLink"/>
              </w:rPr>
              <w:t>270</w:t>
            </w:r>
          </w:hyperlink>
        </w:p>
        <w:p>
          <w:pPr>
            <w:pStyle w:val="Contents2"/>
            <w:rPr>
              <w:rFonts w:ascii="Calibri" w:hAnsi="Calibri" w:cs="Calibri"/>
              <w:sz w:val="22"/>
              <w:szCs w:val="22"/>
              <w:lang w:val="en-US" w:eastAsia="en-US"/>
            </w:rPr>
          </w:pPr>
          <w:r>
            <w:rPr/>
            <w:t>X.3.1</w:t>
          </w:r>
          <w:r>
            <w:rPr>
              <w:rFonts w:cs="Calibri" w:ascii="Calibri" w:hAnsi="Calibri"/>
              <w:sz w:val="22"/>
              <w:szCs w:val="22"/>
              <w:lang w:val="en-US" w:eastAsia="en-US"/>
            </w:rPr>
            <w:tab/>
          </w:r>
          <w:r>
            <w:rPr/>
            <w:t>Scenario 1: Single BTS and MS</w:t>
            <w:tab/>
          </w:r>
          <w:hyperlink w:anchor="__RefHeading___Toc518036095">
            <w:r>
              <w:rPr>
                <w:rStyle w:val="IndexLink"/>
              </w:rPr>
              <w:t>270</w:t>
            </w:r>
          </w:hyperlink>
        </w:p>
        <w:p>
          <w:pPr>
            <w:pStyle w:val="Contents3"/>
            <w:rPr>
              <w:rFonts w:ascii="Calibri" w:hAnsi="Calibri" w:cs="Calibri"/>
              <w:sz w:val="22"/>
              <w:szCs w:val="22"/>
              <w:lang w:val="en-US" w:eastAsia="en-US"/>
            </w:rPr>
          </w:pPr>
          <w:r>
            <w:rPr/>
            <w:t>X.3.1.1</w:t>
          </w:r>
          <w:r>
            <w:rPr>
              <w:rFonts w:cs="Calibri" w:ascii="Calibri" w:hAnsi="Calibri"/>
              <w:sz w:val="22"/>
              <w:szCs w:val="22"/>
              <w:lang w:val="en-US" w:eastAsia="en-US"/>
            </w:rPr>
            <w:tab/>
          </w:r>
          <w:r>
            <w:rPr/>
            <w:t>Specifications Affected (GSM 05.05)</w:t>
            <w:tab/>
          </w:r>
          <w:hyperlink w:anchor="__RefHeading___Toc518036096">
            <w:r>
              <w:rPr>
                <w:rStyle w:val="IndexLink"/>
              </w:rPr>
              <w:t>270</w:t>
            </w:r>
          </w:hyperlink>
        </w:p>
        <w:p>
          <w:pPr>
            <w:pStyle w:val="Contents3"/>
            <w:rPr>
              <w:rFonts w:ascii="Calibri" w:hAnsi="Calibri" w:cs="Calibri"/>
              <w:sz w:val="22"/>
              <w:szCs w:val="22"/>
              <w:lang w:val="en-US" w:eastAsia="en-US"/>
            </w:rPr>
          </w:pPr>
          <w:r>
            <w:rPr/>
            <w:t>X.3.1.2</w:t>
          </w:r>
          <w:r>
            <w:rPr>
              <w:rFonts w:cs="Calibri" w:ascii="Calibri" w:hAnsi="Calibri"/>
              <w:sz w:val="22"/>
              <w:szCs w:val="22"/>
              <w:lang w:val="en-US" w:eastAsia="en-US"/>
            </w:rPr>
            <w:tab/>
          </w:r>
          <w:r>
            <w:rPr/>
            <w:t>Maximum Receiver Levels</w:t>
            <w:tab/>
          </w:r>
          <w:hyperlink w:anchor="__RefHeading___Toc518036097">
            <w:r>
              <w:rPr>
                <w:rStyle w:val="IndexLink"/>
              </w:rPr>
              <w:t>270</w:t>
            </w:r>
          </w:hyperlink>
        </w:p>
        <w:p>
          <w:pPr>
            <w:pStyle w:val="Contents3"/>
            <w:rPr>
              <w:rFonts w:ascii="Calibri" w:hAnsi="Calibri" w:cs="Calibri"/>
              <w:sz w:val="22"/>
              <w:szCs w:val="22"/>
              <w:lang w:val="en-US" w:eastAsia="en-US"/>
            </w:rPr>
          </w:pPr>
          <w:r>
            <w:rPr/>
            <w:t>X.3.1.3</w:t>
          </w:r>
          <w:r>
            <w:rPr>
              <w:rFonts w:cs="Calibri" w:ascii="Calibri" w:hAnsi="Calibri"/>
              <w:sz w:val="22"/>
              <w:szCs w:val="22"/>
              <w:lang w:val="en-US" w:eastAsia="en-US"/>
            </w:rPr>
            <w:tab/>
          </w:r>
          <w:r>
            <w:rPr/>
            <w:t>Reference Sensitivity Level</w:t>
            <w:tab/>
          </w:r>
          <w:hyperlink w:anchor="__RefHeading___Toc518036098">
            <w:r>
              <w:rPr>
                <w:rStyle w:val="IndexLink"/>
              </w:rPr>
              <w:t>270</w:t>
            </w:r>
          </w:hyperlink>
        </w:p>
        <w:p>
          <w:pPr>
            <w:pStyle w:val="Contents4"/>
            <w:rPr>
              <w:rFonts w:ascii="Calibri" w:hAnsi="Calibri" w:cs="Calibri"/>
              <w:sz w:val="22"/>
              <w:szCs w:val="22"/>
              <w:lang w:val="en-US" w:eastAsia="en-US"/>
            </w:rPr>
          </w:pPr>
          <w:r>
            <w:rPr/>
            <w:t>X.3.1.3.1</w:t>
          </w:r>
          <w:r>
            <w:rPr>
              <w:rFonts w:cs="Calibri" w:ascii="Calibri" w:hAnsi="Calibri"/>
              <w:sz w:val="22"/>
              <w:szCs w:val="22"/>
              <w:lang w:val="en-US" w:eastAsia="en-US"/>
            </w:rPr>
            <w:tab/>
          </w:r>
          <w:r>
            <w:rPr/>
            <w:t>Coverage Limit</w:t>
            <w:tab/>
          </w:r>
          <w:hyperlink w:anchor="__RefHeading___Toc518036099">
            <w:r>
              <w:rPr>
                <w:rStyle w:val="IndexLink"/>
              </w:rPr>
              <w:t>270</w:t>
            </w:r>
          </w:hyperlink>
        </w:p>
        <w:p>
          <w:pPr>
            <w:pStyle w:val="Contents4"/>
            <w:rPr>
              <w:rFonts w:ascii="Calibri" w:hAnsi="Calibri" w:cs="Calibri"/>
              <w:sz w:val="22"/>
              <w:szCs w:val="22"/>
              <w:lang w:val="en-US" w:eastAsia="en-US"/>
            </w:rPr>
          </w:pPr>
          <w:r>
            <w:rPr/>
            <w:t>X.3.1.3.2</w:t>
          </w:r>
          <w:r>
            <w:rPr>
              <w:rFonts w:cs="Calibri" w:ascii="Calibri" w:hAnsi="Calibri"/>
              <w:sz w:val="22"/>
              <w:szCs w:val="22"/>
              <w:lang w:val="en-US" w:eastAsia="en-US"/>
            </w:rPr>
            <w:tab/>
          </w:r>
          <w:r>
            <w:rPr/>
            <w:t>Link Balance</w:t>
            <w:tab/>
          </w:r>
          <w:hyperlink w:anchor="__RefHeading___Toc518036100">
            <w:r>
              <w:rPr>
                <w:rStyle w:val="IndexLink"/>
              </w:rPr>
              <w:t>271</w:t>
            </w:r>
          </w:hyperlink>
        </w:p>
        <w:p>
          <w:pPr>
            <w:pStyle w:val="Contents2"/>
            <w:rPr>
              <w:rFonts w:ascii="Calibri" w:hAnsi="Calibri" w:cs="Calibri"/>
              <w:sz w:val="22"/>
              <w:szCs w:val="22"/>
              <w:lang w:val="en-US" w:eastAsia="en-US"/>
            </w:rPr>
          </w:pPr>
          <w:r>
            <w:rPr/>
            <w:t>X.3.2</w:t>
          </w:r>
          <w:r>
            <w:rPr>
              <w:rFonts w:cs="Calibri" w:ascii="Calibri" w:hAnsi="Calibri"/>
              <w:sz w:val="22"/>
              <w:szCs w:val="22"/>
              <w:lang w:val="en-US" w:eastAsia="en-US"/>
            </w:rPr>
            <w:tab/>
          </w:r>
          <w:r>
            <w:rPr/>
            <w:t>Scenario 2: Multiple MS and BTS, Coordinated</w:t>
            <w:tab/>
          </w:r>
          <w:hyperlink w:anchor="__RefHeading___Toc518036101">
            <w:r>
              <w:rPr>
                <w:rStyle w:val="IndexLink"/>
              </w:rPr>
              <w:t>271</w:t>
            </w:r>
          </w:hyperlink>
        </w:p>
        <w:p>
          <w:pPr>
            <w:pStyle w:val="Contents3"/>
            <w:rPr>
              <w:rFonts w:ascii="Calibri" w:hAnsi="Calibri" w:cs="Calibri"/>
              <w:sz w:val="22"/>
              <w:szCs w:val="22"/>
              <w:lang w:val="en-US" w:eastAsia="en-US"/>
            </w:rPr>
          </w:pPr>
          <w:r>
            <w:rPr/>
            <w:t>X.3.2.1</w:t>
          </w:r>
          <w:r>
            <w:rPr>
              <w:rFonts w:cs="Calibri" w:ascii="Calibri" w:hAnsi="Calibri"/>
              <w:sz w:val="22"/>
              <w:szCs w:val="22"/>
              <w:lang w:val="en-US" w:eastAsia="en-US"/>
            </w:rPr>
            <w:tab/>
          </w:r>
          <w:r>
            <w:rPr/>
            <w:t>Specifications Affected (GSM 05.05)</w:t>
            <w:tab/>
          </w:r>
          <w:hyperlink w:anchor="__RefHeading___Toc518036102">
            <w:r>
              <w:rPr>
                <w:rStyle w:val="IndexLink"/>
              </w:rPr>
              <w:t>272</w:t>
            </w:r>
          </w:hyperlink>
        </w:p>
        <w:p>
          <w:pPr>
            <w:pStyle w:val="Contents3"/>
            <w:rPr>
              <w:rFonts w:ascii="Calibri" w:hAnsi="Calibri" w:cs="Calibri"/>
              <w:sz w:val="22"/>
              <w:szCs w:val="22"/>
              <w:lang w:val="en-US" w:eastAsia="en-US"/>
            </w:rPr>
          </w:pPr>
          <w:r>
            <w:rPr/>
            <w:t>X.3.2.2</w:t>
          </w:r>
          <w:r>
            <w:rPr>
              <w:rFonts w:cs="Calibri" w:ascii="Calibri" w:hAnsi="Calibri"/>
              <w:sz w:val="22"/>
              <w:szCs w:val="22"/>
              <w:lang w:val="en-US" w:eastAsia="en-US"/>
            </w:rPr>
            <w:tab/>
          </w:r>
          <w:r>
            <w:rPr/>
            <w:t>Adaptive Power Control (GSM 05.05, subclause 4.1)</w:t>
            <w:tab/>
          </w:r>
          <w:hyperlink w:anchor="__RefHeading___Toc518036103">
            <w:r>
              <w:rPr>
                <w:rStyle w:val="IndexLink"/>
              </w:rPr>
              <w:t>272</w:t>
            </w:r>
          </w:hyperlink>
        </w:p>
        <w:p>
          <w:pPr>
            <w:pStyle w:val="Contents3"/>
            <w:rPr>
              <w:rFonts w:ascii="Calibri" w:hAnsi="Calibri" w:cs="Calibri"/>
              <w:sz w:val="22"/>
              <w:szCs w:val="22"/>
              <w:lang w:val="en-US" w:eastAsia="en-US"/>
            </w:rPr>
          </w:pPr>
          <w:r>
            <w:rPr/>
            <w:t>X.3.2.3</w:t>
          </w:r>
          <w:r>
            <w:rPr>
              <w:rFonts w:cs="Calibri" w:ascii="Calibri" w:hAnsi="Calibri"/>
              <w:sz w:val="22"/>
              <w:szCs w:val="22"/>
              <w:lang w:val="en-US" w:eastAsia="en-US"/>
            </w:rPr>
            <w:tab/>
          </w:r>
          <w:r>
            <w:rPr/>
            <w:t>Output RF Spectrum (GSM 05.05, subclause 4.1)</w:t>
            <w:tab/>
          </w:r>
          <w:hyperlink w:anchor="__RefHeading___Toc518036104">
            <w:r>
              <w:rPr>
                <w:rStyle w:val="IndexLink"/>
              </w:rPr>
              <w:t>272</w:t>
            </w:r>
          </w:hyperlink>
        </w:p>
        <w:p>
          <w:pPr>
            <w:pStyle w:val="Contents3"/>
            <w:rPr>
              <w:rFonts w:ascii="Calibri" w:hAnsi="Calibri" w:cs="Calibri"/>
              <w:sz w:val="22"/>
              <w:szCs w:val="22"/>
              <w:lang w:val="en-US" w:eastAsia="en-US"/>
            </w:rPr>
          </w:pPr>
          <w:r>
            <w:rPr/>
            <w:t>X.3.2.4</w:t>
          </w:r>
          <w:r>
            <w:rPr>
              <w:rFonts w:cs="Calibri" w:ascii="Calibri" w:hAnsi="Calibri"/>
              <w:sz w:val="22"/>
              <w:szCs w:val="22"/>
              <w:lang w:val="en-US" w:eastAsia="en-US"/>
            </w:rPr>
            <w:tab/>
          </w:r>
          <w:r>
            <w:rPr/>
            <w:t>Inter/Intra Modulation Attenuation, BTS (GSM 05.05, subclauses 4.7.1 and 4.7.2)</w:t>
            <w:tab/>
          </w:r>
          <w:hyperlink w:anchor="__RefHeading___Toc518036105">
            <w:r>
              <w:rPr>
                <w:rStyle w:val="IndexLink"/>
              </w:rPr>
              <w:t>273</w:t>
            </w:r>
          </w:hyperlink>
        </w:p>
        <w:p>
          <w:pPr>
            <w:pStyle w:val="Contents3"/>
            <w:rPr>
              <w:rFonts w:ascii="Calibri" w:hAnsi="Calibri" w:cs="Calibri"/>
              <w:sz w:val="22"/>
              <w:szCs w:val="22"/>
              <w:lang w:val="en-US" w:eastAsia="en-US"/>
            </w:rPr>
          </w:pPr>
          <w:r>
            <w:rPr/>
            <w:t>X.3.2.5</w:t>
          </w:r>
          <w:r>
            <w:rPr>
              <w:rFonts w:cs="Calibri" w:ascii="Calibri" w:hAnsi="Calibri"/>
              <w:sz w:val="22"/>
              <w:szCs w:val="22"/>
              <w:lang w:val="en-US" w:eastAsia="en-US"/>
            </w:rPr>
            <w:tab/>
          </w:r>
          <w:r>
            <w:rPr/>
            <w:t>Blocking (GSM 05.05, subclause 5.1)</w:t>
            <w:tab/>
          </w:r>
          <w:hyperlink w:anchor="__RefHeading___Toc518036106">
            <w:r>
              <w:rPr>
                <w:rStyle w:val="IndexLink"/>
              </w:rPr>
              <w:t>273</w:t>
            </w:r>
          </w:hyperlink>
        </w:p>
        <w:p>
          <w:pPr>
            <w:pStyle w:val="Contents3"/>
            <w:rPr>
              <w:rFonts w:ascii="Calibri" w:hAnsi="Calibri" w:cs="Calibri"/>
              <w:sz w:val="22"/>
              <w:szCs w:val="22"/>
              <w:lang w:val="en-US" w:eastAsia="en-US"/>
            </w:rPr>
          </w:pPr>
          <w:r>
            <w:rPr/>
            <w:t>X.3.2.6</w:t>
          </w:r>
          <w:r>
            <w:rPr>
              <w:rFonts w:cs="Calibri" w:ascii="Calibri" w:hAnsi="Calibri"/>
              <w:sz w:val="22"/>
              <w:szCs w:val="22"/>
              <w:lang w:val="en-US" w:eastAsia="en-US"/>
            </w:rPr>
            <w:tab/>
          </w:r>
          <w:r>
            <w:rPr/>
            <w:t>Reference Interference Level</w:t>
            <w:tab/>
          </w:r>
          <w:hyperlink w:anchor="__RefHeading___Toc518036107">
            <w:r>
              <w:rPr>
                <w:rStyle w:val="IndexLink"/>
              </w:rPr>
              <w:t>273</w:t>
            </w:r>
          </w:hyperlink>
        </w:p>
        <w:p>
          <w:pPr>
            <w:pStyle w:val="Contents2"/>
            <w:rPr>
              <w:rFonts w:ascii="Calibri" w:hAnsi="Calibri" w:cs="Calibri"/>
              <w:sz w:val="22"/>
              <w:szCs w:val="22"/>
              <w:lang w:val="en-US" w:eastAsia="en-US"/>
            </w:rPr>
          </w:pPr>
          <w:r>
            <w:rPr/>
            <w:t>X.3.3</w:t>
          </w:r>
          <w:r>
            <w:rPr>
              <w:rFonts w:cs="Calibri" w:ascii="Calibri" w:hAnsi="Calibri"/>
              <w:sz w:val="22"/>
              <w:szCs w:val="22"/>
              <w:lang w:val="en-US" w:eastAsia="en-US"/>
            </w:rPr>
            <w:tab/>
          </w:r>
          <w:r>
            <w:rPr/>
            <w:t>Scenario 3: Multiple MS and BTS, Uncoordinated</w:t>
            <w:tab/>
          </w:r>
          <w:hyperlink w:anchor="__RefHeading___Toc518036108">
            <w:r>
              <w:rPr>
                <w:rStyle w:val="IndexLink"/>
              </w:rPr>
              <w:t>274</w:t>
            </w:r>
          </w:hyperlink>
        </w:p>
        <w:p>
          <w:pPr>
            <w:pStyle w:val="Contents3"/>
            <w:rPr>
              <w:rFonts w:ascii="Calibri" w:hAnsi="Calibri" w:cs="Calibri"/>
              <w:sz w:val="22"/>
              <w:szCs w:val="22"/>
              <w:lang w:val="en-US" w:eastAsia="en-US"/>
            </w:rPr>
          </w:pPr>
          <w:r>
            <w:rPr/>
            <w:t>X.3.3.1</w:t>
          </w:r>
          <w:r>
            <w:rPr>
              <w:rFonts w:cs="Calibri" w:ascii="Calibri" w:hAnsi="Calibri"/>
              <w:sz w:val="22"/>
              <w:szCs w:val="22"/>
              <w:lang w:val="en-US" w:eastAsia="en-US"/>
            </w:rPr>
            <w:tab/>
          </w:r>
          <w:r>
            <w:rPr/>
            <w:t>Specifications Affected (GSM 05.05)</w:t>
            <w:tab/>
          </w:r>
          <w:hyperlink w:anchor="__RefHeading___Toc518036109">
            <w:r>
              <w:rPr>
                <w:rStyle w:val="IndexLink"/>
              </w:rPr>
              <w:t>274</w:t>
            </w:r>
          </w:hyperlink>
        </w:p>
        <w:p>
          <w:pPr>
            <w:pStyle w:val="Contents3"/>
            <w:rPr>
              <w:rFonts w:ascii="Calibri" w:hAnsi="Calibri" w:cs="Calibri"/>
              <w:sz w:val="22"/>
              <w:szCs w:val="22"/>
              <w:lang w:val="en-US" w:eastAsia="en-US"/>
            </w:rPr>
          </w:pPr>
          <w:r>
            <w:rPr/>
            <w:t>X.3.3.2</w:t>
          </w:r>
          <w:r>
            <w:rPr>
              <w:rFonts w:cs="Calibri" w:ascii="Calibri" w:hAnsi="Calibri"/>
              <w:sz w:val="22"/>
              <w:szCs w:val="22"/>
              <w:lang w:val="en-US" w:eastAsia="en-US"/>
            </w:rPr>
            <w:tab/>
          </w:r>
          <w:r>
            <w:rPr/>
            <w:t>Output RF Spectrum (GSM 05.05, subclause 4.2)</w:t>
            <w:tab/>
          </w:r>
          <w:hyperlink w:anchor="__RefHeading___Toc518036110">
            <w:r>
              <w:rPr>
                <w:rStyle w:val="IndexLink"/>
              </w:rPr>
              <w:t>274</w:t>
            </w:r>
          </w:hyperlink>
        </w:p>
        <w:p>
          <w:pPr>
            <w:pStyle w:val="Contents3"/>
            <w:rPr>
              <w:rFonts w:ascii="Calibri" w:hAnsi="Calibri" w:cs="Calibri"/>
              <w:sz w:val="22"/>
              <w:szCs w:val="22"/>
              <w:lang w:val="en-US" w:eastAsia="en-US"/>
            </w:rPr>
          </w:pPr>
          <w:r>
            <w:rPr/>
            <w:t>X.3.3.3</w:t>
          </w:r>
          <w:r>
            <w:rPr>
              <w:rFonts w:cs="Calibri" w:ascii="Calibri" w:hAnsi="Calibri"/>
              <w:sz w:val="22"/>
              <w:szCs w:val="22"/>
              <w:lang w:val="en-US" w:eastAsia="en-US"/>
            </w:rPr>
            <w:tab/>
          </w:r>
          <w:r>
            <w:rPr/>
            <w:t>Transmit Intermodulation (GSM 05.05, subclause 4.7)</w:t>
            <w:tab/>
          </w:r>
          <w:hyperlink w:anchor="__RefHeading___Toc518036111">
            <w:r>
              <w:rPr>
                <w:rStyle w:val="IndexLink"/>
              </w:rPr>
              <w:t>275</w:t>
            </w:r>
          </w:hyperlink>
        </w:p>
        <w:p>
          <w:pPr>
            <w:pStyle w:val="Contents3"/>
            <w:rPr>
              <w:rFonts w:ascii="Calibri" w:hAnsi="Calibri" w:cs="Calibri"/>
              <w:sz w:val="22"/>
              <w:szCs w:val="22"/>
              <w:lang w:val="en-US" w:eastAsia="en-US"/>
            </w:rPr>
          </w:pPr>
          <w:r>
            <w:rPr/>
            <w:t>X.3.3.4</w:t>
          </w:r>
          <w:r>
            <w:rPr>
              <w:rFonts w:cs="Calibri" w:ascii="Calibri" w:hAnsi="Calibri"/>
              <w:sz w:val="22"/>
              <w:szCs w:val="22"/>
              <w:lang w:val="en-US" w:eastAsia="en-US"/>
            </w:rPr>
            <w:tab/>
          </w:r>
          <w:r>
            <w:rPr/>
            <w:t>Blocking, In-Band Up and Down Links (GSM 05.05, subclause 5.1)</w:t>
            <w:tab/>
          </w:r>
          <w:hyperlink w:anchor="__RefHeading___Toc518036112">
            <w:r>
              <w:rPr>
                <w:rStyle w:val="IndexLink"/>
              </w:rPr>
              <w:t>275</w:t>
            </w:r>
          </w:hyperlink>
        </w:p>
        <w:p>
          <w:pPr>
            <w:pStyle w:val="Contents3"/>
            <w:rPr>
              <w:rFonts w:ascii="Calibri" w:hAnsi="Calibri" w:cs="Calibri"/>
              <w:sz w:val="22"/>
              <w:szCs w:val="22"/>
              <w:lang w:val="en-US" w:eastAsia="en-US"/>
            </w:rPr>
          </w:pPr>
          <w:r>
            <w:rPr/>
            <w:t>X.3.3.5</w:t>
          </w:r>
          <w:r>
            <w:rPr>
              <w:rFonts w:cs="Calibri" w:ascii="Calibri" w:hAnsi="Calibri"/>
              <w:sz w:val="22"/>
              <w:szCs w:val="22"/>
              <w:lang w:val="en-US" w:eastAsia="en-US"/>
            </w:rPr>
            <w:tab/>
          </w:r>
          <w:r>
            <w:rPr/>
            <w:t>BTS Receiver Intermodulation (GSM 05.05, subclause 5.3)</w:t>
            <w:tab/>
          </w:r>
          <w:hyperlink w:anchor="__RefHeading___Toc518036113">
            <w:r>
              <w:rPr>
                <w:rStyle w:val="IndexLink"/>
              </w:rPr>
              <w:t>276</w:t>
            </w:r>
          </w:hyperlink>
        </w:p>
        <w:p>
          <w:pPr>
            <w:pStyle w:val="Contents1"/>
            <w:rPr>
              <w:rFonts w:ascii="Calibri" w:hAnsi="Calibri" w:cs="Calibri"/>
              <w:szCs w:val="22"/>
              <w:lang w:val="en-US" w:eastAsia="en-US"/>
            </w:rPr>
          </w:pPr>
          <w:r>
            <w:rPr/>
            <w:t>X.4</w:t>
          </w:r>
          <w:r>
            <w:rPr>
              <w:rFonts w:cs="Calibri" w:ascii="Calibri" w:hAnsi="Calibri"/>
              <w:szCs w:val="22"/>
              <w:lang w:val="en-US" w:eastAsia="en-US"/>
            </w:rPr>
            <w:tab/>
          </w:r>
          <w:r>
            <w:rPr/>
            <w:t>C/I Limited Coordinated MS and BTS</w:t>
            <w:tab/>
          </w:r>
          <w:hyperlink w:anchor="__RefHeading___Toc518036114">
            <w:r>
              <w:rPr>
                <w:rStyle w:val="IndexLink"/>
              </w:rPr>
              <w:t>276</w:t>
            </w:r>
          </w:hyperlink>
        </w:p>
        <w:p>
          <w:pPr>
            <w:pStyle w:val="Contents2"/>
            <w:rPr>
              <w:rFonts w:ascii="Calibri" w:hAnsi="Calibri" w:cs="Calibri"/>
              <w:sz w:val="22"/>
              <w:szCs w:val="22"/>
              <w:lang w:val="en-US" w:eastAsia="en-US"/>
            </w:rPr>
          </w:pPr>
          <w:r>
            <w:rPr/>
            <w:t>X.4.1</w:t>
          </w:r>
          <w:r>
            <w:rPr>
              <w:rFonts w:cs="Calibri" w:ascii="Calibri" w:hAnsi="Calibri"/>
              <w:sz w:val="22"/>
              <w:szCs w:val="22"/>
            </w:rPr>
            <w:tab/>
          </w:r>
          <w:r>
            <w:rPr>
              <w:lang w:val="it-IT" w:eastAsia="en-US"/>
            </w:rPr>
            <w:t>N=4/12 Reuse Pattern, Geometric C/I</w:t>
          </w:r>
          <w:r>
            <w:rPr/>
            <w:tab/>
          </w:r>
          <w:hyperlink w:anchor="__RefHeading___Toc518036115">
            <w:r>
              <w:rPr>
                <w:rStyle w:val="IndexLink"/>
              </w:rPr>
              <w:t>276</w:t>
            </w:r>
          </w:hyperlink>
        </w:p>
        <w:p>
          <w:pPr>
            <w:pStyle w:val="Contents2"/>
            <w:rPr>
              <w:rFonts w:ascii="Calibri" w:hAnsi="Calibri" w:cs="Calibri"/>
              <w:sz w:val="22"/>
              <w:szCs w:val="22"/>
              <w:lang w:val="en-US" w:eastAsia="en-US"/>
            </w:rPr>
          </w:pPr>
          <w:r>
            <w:rPr/>
            <w:t>X.4.2</w:t>
          </w:r>
          <w:r>
            <w:rPr>
              <w:rFonts w:cs="Calibri" w:ascii="Calibri" w:hAnsi="Calibri"/>
              <w:sz w:val="22"/>
              <w:szCs w:val="22"/>
            </w:rPr>
            <w:tab/>
          </w:r>
          <w:r>
            <w:rPr>
              <w:lang w:val="en-US" w:eastAsia="en-US"/>
            </w:rPr>
            <w:t>N=4/12 Reuse Pattern, C/I CDF</w:t>
          </w:r>
          <w:r>
            <w:rPr/>
            <w:tab/>
          </w:r>
          <w:hyperlink w:anchor="__RefHeading___Toc518036116">
            <w:r>
              <w:rPr>
                <w:rStyle w:val="IndexLink"/>
              </w:rPr>
              <w:t>277</w:t>
            </w:r>
          </w:hyperlink>
        </w:p>
        <w:p>
          <w:pPr>
            <w:pStyle w:val="Contents2"/>
            <w:rPr>
              <w:rFonts w:ascii="Calibri" w:hAnsi="Calibri" w:cs="Calibri"/>
              <w:sz w:val="22"/>
              <w:szCs w:val="22"/>
              <w:lang w:val="en-US" w:eastAsia="en-US"/>
            </w:rPr>
          </w:pPr>
          <w:r>
            <w:rPr/>
            <w:t>X.4.3</w:t>
          </w:r>
          <w:r>
            <w:rPr>
              <w:rFonts w:cs="Calibri" w:ascii="Calibri" w:hAnsi="Calibri"/>
              <w:sz w:val="22"/>
              <w:szCs w:val="22"/>
              <w:lang w:val="en-US" w:eastAsia="en-US"/>
            </w:rPr>
            <w:tab/>
          </w:r>
          <w:r>
            <w:rPr/>
            <w:t>Adjacent Channel Interference</w:t>
            <w:tab/>
          </w:r>
          <w:hyperlink w:anchor="__RefHeading___Toc518036117">
            <w:r>
              <w:rPr>
                <w:rStyle w:val="IndexLink"/>
              </w:rPr>
              <w:t>278</w:t>
            </w:r>
          </w:hyperlink>
        </w:p>
        <w:p>
          <w:pPr>
            <w:pStyle w:val="Contents1"/>
            <w:rPr>
              <w:rFonts w:ascii="Calibri" w:hAnsi="Calibri" w:cs="Calibri"/>
              <w:szCs w:val="22"/>
              <w:lang w:val="en-US" w:eastAsia="en-US"/>
            </w:rPr>
          </w:pPr>
          <w:r>
            <w:rPr/>
            <w:t>X.5</w:t>
          </w:r>
          <w:r>
            <w:rPr>
              <w:rFonts w:cs="Calibri" w:ascii="Calibri" w:hAnsi="Calibri"/>
              <w:szCs w:val="22"/>
              <w:lang w:val="en-US" w:eastAsia="en-US"/>
            </w:rPr>
            <w:tab/>
          </w:r>
          <w:r>
            <w:rPr/>
            <w:t>BTS Inter and Intra Modulation</w:t>
            <w:tab/>
          </w:r>
          <w:hyperlink w:anchor="__RefHeading___Toc518036118">
            <w:r>
              <w:rPr>
                <w:rStyle w:val="IndexLink"/>
              </w:rPr>
              <w:t>278</w:t>
            </w:r>
          </w:hyperlink>
        </w:p>
        <w:p>
          <w:pPr>
            <w:pStyle w:val="Contents2"/>
            <w:rPr>
              <w:rFonts w:ascii="Calibri" w:hAnsi="Calibri" w:cs="Calibri"/>
              <w:sz w:val="22"/>
              <w:szCs w:val="22"/>
              <w:lang w:val="en-US" w:eastAsia="en-US"/>
            </w:rPr>
          </w:pPr>
          <w:r>
            <w:rPr/>
            <w:t>X.5.1</w:t>
          </w:r>
          <w:r>
            <w:rPr>
              <w:rFonts w:cs="Calibri" w:ascii="Calibri" w:hAnsi="Calibri"/>
              <w:sz w:val="22"/>
              <w:szCs w:val="22"/>
              <w:lang w:val="en-US" w:eastAsia="en-US"/>
            </w:rPr>
            <w:tab/>
          </w:r>
          <w:r>
            <w:rPr/>
            <w:t>Simplified Analysis</w:t>
            <w:tab/>
          </w:r>
          <w:hyperlink w:anchor="__RefHeading___Toc518036119">
            <w:r>
              <w:rPr>
                <w:rStyle w:val="IndexLink"/>
              </w:rPr>
              <w:t>278</w:t>
            </w:r>
          </w:hyperlink>
        </w:p>
        <w:p>
          <w:pPr>
            <w:pStyle w:val="Contents2"/>
            <w:rPr>
              <w:rFonts w:ascii="Calibri" w:hAnsi="Calibri" w:cs="Calibri"/>
              <w:sz w:val="22"/>
              <w:szCs w:val="22"/>
              <w:lang w:val="en-US" w:eastAsia="en-US"/>
            </w:rPr>
          </w:pPr>
          <w:r>
            <w:rPr/>
            <w:t>X.5.2</w:t>
          </w:r>
          <w:r>
            <w:rPr>
              <w:rFonts w:cs="Calibri" w:ascii="Calibri" w:hAnsi="Calibri"/>
              <w:sz w:val="22"/>
              <w:szCs w:val="22"/>
              <w:lang w:val="en-US" w:eastAsia="en-US"/>
            </w:rPr>
            <w:tab/>
          </w:r>
          <w:r>
            <w:rPr/>
            <w:t>Normal BTS to Normal BTS (Same EIRP)</w:t>
            <w:tab/>
          </w:r>
          <w:hyperlink w:anchor="__RefHeading___Toc518036120">
            <w:r>
              <w:rPr>
                <w:rStyle w:val="IndexLink"/>
              </w:rPr>
              <w:t>280</w:t>
            </w:r>
          </w:hyperlink>
        </w:p>
        <w:p>
          <w:pPr>
            <w:pStyle w:val="Contents2"/>
            <w:rPr>
              <w:rFonts w:ascii="Calibri" w:hAnsi="Calibri" w:cs="Calibri"/>
              <w:sz w:val="22"/>
              <w:szCs w:val="22"/>
              <w:lang w:val="en-US" w:eastAsia="en-US"/>
            </w:rPr>
          </w:pPr>
          <w:r>
            <w:rPr/>
            <w:t>X.5.3</w:t>
          </w:r>
          <w:r>
            <w:rPr>
              <w:rFonts w:cs="Calibri" w:ascii="Calibri" w:hAnsi="Calibri"/>
              <w:sz w:val="22"/>
              <w:szCs w:val="22"/>
              <w:lang w:val="en-US" w:eastAsia="en-US"/>
            </w:rPr>
            <w:tab/>
          </w:r>
          <w:r>
            <w:rPr/>
            <w:t>Normal to Micro (Micro BTS EIRP is 20 dB less than Normal BTS)</w:t>
            <w:tab/>
          </w:r>
          <w:hyperlink w:anchor="__RefHeading___Toc518036121">
            <w:r>
              <w:rPr>
                <w:rStyle w:val="IndexLink"/>
              </w:rPr>
              <w:t>282</w:t>
            </w:r>
          </w:hyperlink>
        </w:p>
        <w:p>
          <w:pPr>
            <w:pStyle w:val="Contents9"/>
            <w:rPr>
              <w:rFonts w:ascii="Calibri" w:hAnsi="Calibri" w:cs="Calibri"/>
              <w:b w:val="false"/>
              <w:b w:val="false"/>
              <w:szCs w:val="22"/>
              <w:lang w:val="en-US" w:eastAsia="en-US"/>
            </w:rPr>
          </w:pPr>
          <w:r>
            <w:rPr/>
            <w:t>Annex Y:</w:t>
            <w:tab/>
            <w:t>T-GSM 900 system scenarios</w:t>
            <w:tab/>
          </w:r>
          <w:hyperlink w:anchor="__RefHeading___Toc518036122">
            <w:r>
              <w:rPr>
                <w:rStyle w:val="IndexLink"/>
              </w:rPr>
              <w:t>285</w:t>
            </w:r>
          </w:hyperlink>
        </w:p>
        <w:p>
          <w:pPr>
            <w:pStyle w:val="Contents1"/>
            <w:rPr>
              <w:rFonts w:ascii="Calibri" w:hAnsi="Calibri" w:cs="Calibri"/>
              <w:szCs w:val="22"/>
              <w:lang w:val="en-US" w:eastAsia="en-US"/>
            </w:rPr>
          </w:pPr>
          <w:r>
            <w:rPr/>
            <w:t>Y.0</w:t>
          </w:r>
          <w:r>
            <w:rPr>
              <w:rFonts w:cs="Calibri" w:ascii="Calibri" w:hAnsi="Calibri"/>
              <w:szCs w:val="22"/>
            </w:rPr>
            <w:tab/>
          </w:r>
          <w:r>
            <w:rPr>
              <w:lang w:val="en-US" w:eastAsia="en-US"/>
            </w:rPr>
            <w:t>Introduction</w:t>
          </w:r>
          <w:r>
            <w:rPr/>
            <w:tab/>
          </w:r>
          <w:hyperlink w:anchor="__RefHeading___Toc518036123">
            <w:r>
              <w:rPr>
                <w:rStyle w:val="IndexLink"/>
              </w:rPr>
              <w:t>285</w:t>
            </w:r>
          </w:hyperlink>
        </w:p>
        <w:p>
          <w:pPr>
            <w:pStyle w:val="Contents1"/>
            <w:rPr>
              <w:rFonts w:ascii="Calibri" w:hAnsi="Calibri" w:cs="Calibri"/>
              <w:szCs w:val="22"/>
              <w:lang w:val="en-US" w:eastAsia="en-US"/>
            </w:rPr>
          </w:pPr>
          <w:r>
            <w:rPr/>
            <w:t>Y.1</w:t>
          </w:r>
          <w:r>
            <w:rPr>
              <w:rFonts w:cs="Calibri" w:ascii="Calibri" w:hAnsi="Calibri"/>
              <w:szCs w:val="22"/>
              <w:lang w:val="en-US" w:eastAsia="en-US"/>
            </w:rPr>
            <w:tab/>
          </w:r>
          <w:r>
            <w:rPr/>
            <w:t>Frequency bands and channel arrangement</w:t>
            <w:tab/>
          </w:r>
          <w:hyperlink w:anchor="__RefHeading___Toc518036124">
            <w:r>
              <w:rPr>
                <w:rStyle w:val="IndexLink"/>
              </w:rPr>
              <w:t>285</w:t>
            </w:r>
          </w:hyperlink>
        </w:p>
        <w:p>
          <w:pPr>
            <w:pStyle w:val="Contents1"/>
            <w:rPr>
              <w:rFonts w:ascii="Calibri" w:hAnsi="Calibri" w:cs="Calibri"/>
              <w:szCs w:val="22"/>
              <w:lang w:val="en-US" w:eastAsia="en-US"/>
            </w:rPr>
          </w:pPr>
          <w:r>
            <w:rPr/>
            <w:t>Y.2</w:t>
          </w:r>
          <w:r>
            <w:rPr>
              <w:rFonts w:cs="Calibri" w:ascii="Calibri" w:hAnsi="Calibri"/>
              <w:szCs w:val="22"/>
              <w:lang w:val="en-US" w:eastAsia="en-US"/>
            </w:rPr>
            <w:tab/>
          </w:r>
          <w:r>
            <w:rPr/>
            <w:t>System Scenario Calculations for T-GSM 900 systems</w:t>
            <w:tab/>
          </w:r>
          <w:hyperlink w:anchor="__RefHeading___Toc518036125">
            <w:r>
              <w:rPr>
                <w:rStyle w:val="IndexLink"/>
              </w:rPr>
              <w:t>285</w:t>
            </w:r>
          </w:hyperlink>
        </w:p>
        <w:p>
          <w:pPr>
            <w:pStyle w:val="Contents2"/>
            <w:rPr>
              <w:rFonts w:ascii="Calibri" w:hAnsi="Calibri" w:cs="Calibri"/>
              <w:sz w:val="22"/>
              <w:szCs w:val="22"/>
              <w:lang w:val="en-US" w:eastAsia="en-US"/>
            </w:rPr>
          </w:pPr>
          <w:r>
            <w:rPr/>
            <w:t>Y.2.1</w:t>
          </w:r>
          <w:r>
            <w:rPr>
              <w:rFonts w:cs="Calibri" w:ascii="Calibri" w:hAnsi="Calibri"/>
              <w:sz w:val="22"/>
              <w:szCs w:val="22"/>
              <w:lang w:val="en-US" w:eastAsia="en-US"/>
            </w:rPr>
            <w:tab/>
          </w:r>
          <w:r>
            <w:rPr/>
            <w:t>Worst case proximity scenarios</w:t>
            <w:tab/>
          </w:r>
          <w:hyperlink w:anchor="__RefHeading___Toc518036126">
            <w:r>
              <w:rPr>
                <w:rStyle w:val="IndexLink"/>
              </w:rPr>
              <w:t>285</w:t>
            </w:r>
          </w:hyperlink>
        </w:p>
        <w:p>
          <w:pPr>
            <w:pStyle w:val="Contents1"/>
            <w:rPr>
              <w:rFonts w:ascii="Calibri" w:hAnsi="Calibri" w:cs="Calibri"/>
              <w:szCs w:val="22"/>
              <w:lang w:val="en-US" w:eastAsia="en-US"/>
            </w:rPr>
          </w:pPr>
          <w:r>
            <w:rPr/>
            <w:t>Y.3</w:t>
          </w:r>
          <w:r>
            <w:rPr>
              <w:rFonts w:cs="Calibri" w:ascii="Calibri" w:hAnsi="Calibri"/>
              <w:szCs w:val="22"/>
              <w:lang w:val="en-US" w:eastAsia="en-US"/>
            </w:rPr>
            <w:tab/>
          </w:r>
          <w:r>
            <w:rPr/>
            <w:t>Worst Case Scenario Requirements</w:t>
            <w:tab/>
          </w:r>
          <w:hyperlink w:anchor="__RefHeading___Toc518036127">
            <w:r>
              <w:rPr>
                <w:rStyle w:val="IndexLink"/>
              </w:rPr>
              <w:t>287</w:t>
            </w:r>
          </w:hyperlink>
        </w:p>
        <w:p>
          <w:pPr>
            <w:pStyle w:val="Contents2"/>
            <w:rPr>
              <w:rFonts w:ascii="Calibri" w:hAnsi="Calibri" w:cs="Calibri"/>
              <w:sz w:val="22"/>
              <w:szCs w:val="22"/>
              <w:lang w:val="en-US" w:eastAsia="en-US"/>
            </w:rPr>
          </w:pPr>
          <w:r>
            <w:rPr/>
            <w:t>Y.3.1</w:t>
          </w:r>
          <w:r>
            <w:rPr>
              <w:rFonts w:cs="Calibri" w:ascii="Calibri" w:hAnsi="Calibri"/>
              <w:sz w:val="22"/>
              <w:szCs w:val="22"/>
              <w:lang w:val="en-US" w:eastAsia="en-US"/>
            </w:rPr>
            <w:tab/>
          </w:r>
          <w:r>
            <w:rPr/>
            <w:t>Transmitter</w:t>
            <w:tab/>
          </w:r>
          <w:hyperlink w:anchor="__RefHeading___Toc518036128">
            <w:r>
              <w:rPr>
                <w:rStyle w:val="IndexLink"/>
              </w:rPr>
              <w:t>287</w:t>
            </w:r>
          </w:hyperlink>
        </w:p>
        <w:p>
          <w:pPr>
            <w:pStyle w:val="Contents3"/>
            <w:rPr>
              <w:rFonts w:ascii="Calibri" w:hAnsi="Calibri" w:cs="Calibri"/>
              <w:sz w:val="22"/>
              <w:szCs w:val="22"/>
              <w:lang w:val="en-US" w:eastAsia="en-US"/>
            </w:rPr>
          </w:pPr>
          <w:r>
            <w:rPr/>
            <w:t>Y.3.1.1</w:t>
          </w:r>
          <w:r>
            <w:rPr>
              <w:rFonts w:cs="Calibri" w:ascii="Calibri" w:hAnsi="Calibri"/>
              <w:sz w:val="22"/>
              <w:szCs w:val="22"/>
              <w:lang w:val="en-US" w:eastAsia="en-US"/>
            </w:rPr>
            <w:tab/>
          </w:r>
          <w:r>
            <w:rPr/>
            <w:t>Modulation, Spurs and noise</w:t>
            <w:tab/>
          </w:r>
          <w:hyperlink w:anchor="__RefHeading___Toc518036129">
            <w:r>
              <w:rPr>
                <w:rStyle w:val="IndexLink"/>
              </w:rPr>
              <w:t>287</w:t>
            </w:r>
          </w:hyperlink>
        </w:p>
        <w:p>
          <w:pPr>
            <w:pStyle w:val="Contents4"/>
            <w:rPr>
              <w:rFonts w:ascii="Calibri" w:hAnsi="Calibri" w:cs="Calibri"/>
              <w:sz w:val="22"/>
              <w:szCs w:val="22"/>
              <w:lang w:val="en-US" w:eastAsia="en-US"/>
            </w:rPr>
          </w:pPr>
          <w:r>
            <w:rPr/>
            <w:t>Y.3.1.1.1</w:t>
          </w:r>
          <w:r>
            <w:rPr>
              <w:rFonts w:cs="Calibri" w:ascii="Calibri" w:hAnsi="Calibri"/>
              <w:sz w:val="22"/>
              <w:szCs w:val="22"/>
              <w:lang w:val="en-US" w:eastAsia="en-US"/>
            </w:rPr>
            <w:tab/>
          </w:r>
          <w:r>
            <w:rPr/>
            <w:t>Co-ordinated BTS -&gt; MS</w:t>
            <w:tab/>
          </w:r>
          <w:hyperlink w:anchor="__RefHeading___Toc518036130">
            <w:r>
              <w:rPr>
                <w:rStyle w:val="IndexLink"/>
              </w:rPr>
              <w:t>287</w:t>
            </w:r>
          </w:hyperlink>
        </w:p>
        <w:p>
          <w:pPr>
            <w:pStyle w:val="Contents4"/>
            <w:rPr>
              <w:rFonts w:ascii="Calibri" w:hAnsi="Calibri" w:cs="Calibri"/>
              <w:sz w:val="22"/>
              <w:szCs w:val="22"/>
              <w:lang w:val="en-US" w:eastAsia="en-US"/>
            </w:rPr>
          </w:pPr>
          <w:r>
            <w:rPr/>
            <w:t>Y.3.1.1.2</w:t>
          </w:r>
          <w:r>
            <w:rPr>
              <w:rFonts w:cs="Calibri" w:ascii="Calibri" w:hAnsi="Calibri"/>
              <w:sz w:val="22"/>
              <w:szCs w:val="22"/>
              <w:lang w:val="en-US" w:eastAsia="en-US"/>
            </w:rPr>
            <w:tab/>
          </w:r>
          <w:r>
            <w:rPr/>
            <w:t>Uncoordinated BTS -&gt; MS</w:t>
            <w:tab/>
          </w:r>
          <w:hyperlink w:anchor="__RefHeading___Toc518036131">
            <w:r>
              <w:rPr>
                <w:rStyle w:val="IndexLink"/>
              </w:rPr>
              <w:t>287</w:t>
            </w:r>
          </w:hyperlink>
        </w:p>
        <w:p>
          <w:pPr>
            <w:pStyle w:val="Contents4"/>
            <w:rPr>
              <w:rFonts w:ascii="Calibri" w:hAnsi="Calibri" w:cs="Calibri"/>
              <w:sz w:val="22"/>
              <w:szCs w:val="22"/>
              <w:lang w:val="en-US" w:eastAsia="en-US"/>
            </w:rPr>
          </w:pPr>
          <w:r>
            <w:rPr/>
            <w:t>Y.3.1.1.3</w:t>
          </w:r>
          <w:r>
            <w:rPr>
              <w:rFonts w:cs="Calibri" w:ascii="Calibri" w:hAnsi="Calibri"/>
              <w:sz w:val="22"/>
              <w:szCs w:val="22"/>
              <w:lang w:val="en-US" w:eastAsia="en-US"/>
            </w:rPr>
            <w:tab/>
          </w:r>
          <w:r>
            <w:rPr/>
            <w:t>Coordinated &amp; Uncoordinated MS -&gt; BTS</w:t>
            <w:tab/>
          </w:r>
          <w:hyperlink w:anchor="__RefHeading___Toc518036132">
            <w:r>
              <w:rPr>
                <w:rStyle w:val="IndexLink"/>
              </w:rPr>
              <w:t>288</w:t>
            </w:r>
          </w:hyperlink>
        </w:p>
        <w:p>
          <w:pPr>
            <w:pStyle w:val="Contents4"/>
            <w:rPr>
              <w:rFonts w:ascii="Calibri" w:hAnsi="Calibri" w:cs="Calibri"/>
              <w:sz w:val="22"/>
              <w:szCs w:val="22"/>
              <w:lang w:val="en-US" w:eastAsia="en-US"/>
            </w:rPr>
          </w:pPr>
          <w:r>
            <w:rPr/>
            <w:t>Y.3.1.1.4</w:t>
          </w:r>
          <w:r>
            <w:rPr>
              <w:rFonts w:cs="Calibri" w:ascii="Calibri" w:hAnsi="Calibri"/>
              <w:sz w:val="22"/>
              <w:szCs w:val="22"/>
              <w:lang w:val="en-US" w:eastAsia="en-US"/>
            </w:rPr>
            <w:tab/>
          </w:r>
          <w:r>
            <w:rPr/>
            <w:t>Coordinated &amp; Uncoordinated MS -&gt; MS</w:t>
            <w:tab/>
          </w:r>
          <w:hyperlink w:anchor="__RefHeading___Toc518036133">
            <w:r>
              <w:rPr>
                <w:rStyle w:val="IndexLink"/>
              </w:rPr>
              <w:t>288</w:t>
            </w:r>
          </w:hyperlink>
        </w:p>
        <w:p>
          <w:pPr>
            <w:pStyle w:val="Contents4"/>
            <w:rPr>
              <w:rFonts w:ascii="Calibri" w:hAnsi="Calibri" w:cs="Calibri"/>
              <w:sz w:val="22"/>
              <w:szCs w:val="22"/>
              <w:lang w:val="en-US" w:eastAsia="en-US"/>
            </w:rPr>
          </w:pPr>
          <w:r>
            <w:rPr/>
            <w:t>Y.3.1.1.5</w:t>
          </w:r>
          <w:r>
            <w:rPr>
              <w:rFonts w:cs="Calibri" w:ascii="Calibri" w:hAnsi="Calibri"/>
              <w:sz w:val="22"/>
              <w:szCs w:val="22"/>
              <w:lang w:val="en-US" w:eastAsia="en-US"/>
            </w:rPr>
            <w:tab/>
          </w:r>
          <w:r>
            <w:rPr/>
            <w:t>Coordinated &amp; Uncoordinated  BTS -&gt; BTS</w:t>
            <w:tab/>
          </w:r>
          <w:hyperlink w:anchor="__RefHeading___Toc518036134">
            <w:r>
              <w:rPr>
                <w:rStyle w:val="IndexLink"/>
              </w:rPr>
              <w:t>288</w:t>
            </w:r>
          </w:hyperlink>
        </w:p>
        <w:p>
          <w:pPr>
            <w:pStyle w:val="Contents3"/>
            <w:rPr>
              <w:rFonts w:ascii="Calibri" w:hAnsi="Calibri" w:cs="Calibri"/>
              <w:sz w:val="22"/>
              <w:szCs w:val="22"/>
              <w:lang w:val="en-US" w:eastAsia="en-US"/>
            </w:rPr>
          </w:pPr>
          <w:r>
            <w:rPr/>
            <w:t>Y.3.1.2</w:t>
          </w:r>
          <w:r>
            <w:rPr>
              <w:rFonts w:cs="Calibri" w:ascii="Calibri" w:hAnsi="Calibri"/>
              <w:sz w:val="22"/>
              <w:szCs w:val="22"/>
              <w:lang w:val="en-US" w:eastAsia="en-US"/>
            </w:rPr>
            <w:tab/>
          </w:r>
          <w:r>
            <w:rPr/>
            <w:t>Switching transients</w:t>
            <w:tab/>
          </w:r>
          <w:hyperlink w:anchor="__RefHeading___Toc518036135">
            <w:r>
              <w:rPr>
                <w:rStyle w:val="IndexLink"/>
              </w:rPr>
              <w:t>288</w:t>
            </w:r>
          </w:hyperlink>
        </w:p>
        <w:p>
          <w:pPr>
            <w:pStyle w:val="Contents4"/>
            <w:rPr>
              <w:rFonts w:ascii="Calibri" w:hAnsi="Calibri" w:cs="Calibri"/>
              <w:sz w:val="22"/>
              <w:szCs w:val="22"/>
              <w:lang w:val="en-US" w:eastAsia="en-US"/>
            </w:rPr>
          </w:pPr>
          <w:r>
            <w:rPr/>
            <w:t>Y.3.1.2.1</w:t>
          </w:r>
          <w:r>
            <w:rPr>
              <w:rFonts w:cs="Calibri" w:ascii="Calibri" w:hAnsi="Calibri"/>
              <w:sz w:val="22"/>
              <w:szCs w:val="22"/>
              <w:lang w:val="en-US" w:eastAsia="en-US"/>
            </w:rPr>
            <w:tab/>
          </w:r>
          <w:r>
            <w:rPr/>
            <w:t>Uncoordinated MS -&gt; BTS</w:t>
            <w:tab/>
          </w:r>
          <w:hyperlink w:anchor="__RefHeading___Toc518036136">
            <w:r>
              <w:rPr>
                <w:rStyle w:val="IndexLink"/>
              </w:rPr>
              <w:t>288</w:t>
            </w:r>
          </w:hyperlink>
        </w:p>
        <w:p>
          <w:pPr>
            <w:pStyle w:val="Contents4"/>
            <w:rPr>
              <w:rFonts w:ascii="Calibri" w:hAnsi="Calibri" w:cs="Calibri"/>
              <w:sz w:val="22"/>
              <w:szCs w:val="22"/>
              <w:lang w:val="en-US" w:eastAsia="en-US"/>
            </w:rPr>
          </w:pPr>
          <w:r>
            <w:rPr/>
            <w:t>Y.3.1.2.2</w:t>
          </w:r>
          <w:r>
            <w:rPr>
              <w:rFonts w:cs="Calibri" w:ascii="Calibri" w:hAnsi="Calibri"/>
              <w:sz w:val="22"/>
              <w:szCs w:val="22"/>
              <w:lang w:val="en-US" w:eastAsia="en-US"/>
            </w:rPr>
            <w:tab/>
          </w:r>
          <w:r>
            <w:rPr/>
            <w:t>Uncoordinated BTS -&gt; MS</w:t>
            <w:tab/>
          </w:r>
          <w:hyperlink w:anchor="__RefHeading___Toc518036137">
            <w:r>
              <w:rPr>
                <w:rStyle w:val="IndexLink"/>
              </w:rPr>
              <w:t>288</w:t>
            </w:r>
          </w:hyperlink>
        </w:p>
        <w:p>
          <w:pPr>
            <w:pStyle w:val="Contents3"/>
            <w:rPr>
              <w:rFonts w:ascii="Calibri" w:hAnsi="Calibri" w:cs="Calibri"/>
              <w:sz w:val="22"/>
              <w:szCs w:val="22"/>
              <w:lang w:val="en-US" w:eastAsia="en-US"/>
            </w:rPr>
          </w:pPr>
          <w:r>
            <w:rPr/>
            <w:t>Y.3.1.3</w:t>
          </w:r>
          <w:r>
            <w:rPr>
              <w:rFonts w:cs="Calibri" w:ascii="Calibri" w:hAnsi="Calibri"/>
              <w:sz w:val="22"/>
              <w:szCs w:val="22"/>
              <w:lang w:val="en-US" w:eastAsia="en-US"/>
            </w:rPr>
            <w:tab/>
          </w:r>
          <w:r>
            <w:rPr/>
            <w:t>Intermodulation</w:t>
            <w:tab/>
          </w:r>
          <w:hyperlink w:anchor="__RefHeading___Toc518036138">
            <w:r>
              <w:rPr>
                <w:rStyle w:val="IndexLink"/>
              </w:rPr>
              <w:t>288</w:t>
            </w:r>
          </w:hyperlink>
        </w:p>
        <w:p>
          <w:pPr>
            <w:pStyle w:val="Contents4"/>
            <w:rPr>
              <w:rFonts w:ascii="Calibri" w:hAnsi="Calibri" w:cs="Calibri"/>
              <w:sz w:val="22"/>
              <w:szCs w:val="22"/>
              <w:lang w:val="en-US" w:eastAsia="en-US"/>
            </w:rPr>
          </w:pPr>
          <w:r>
            <w:rPr/>
            <w:t>Y.3.1.3.1</w:t>
          </w:r>
          <w:r>
            <w:rPr>
              <w:rFonts w:cs="Calibri" w:ascii="Calibri" w:hAnsi="Calibri"/>
              <w:sz w:val="22"/>
              <w:szCs w:val="22"/>
              <w:lang w:val="en-US" w:eastAsia="en-US"/>
            </w:rPr>
            <w:tab/>
          </w:r>
          <w:r>
            <w:rPr/>
            <w:t>Coordinated BTS -&gt; MS</w:t>
            <w:tab/>
          </w:r>
          <w:hyperlink w:anchor="__RefHeading___Toc518036139">
            <w:r>
              <w:rPr>
                <w:rStyle w:val="IndexLink"/>
              </w:rPr>
              <w:t>288</w:t>
            </w:r>
          </w:hyperlink>
        </w:p>
        <w:p>
          <w:pPr>
            <w:pStyle w:val="Contents4"/>
            <w:rPr>
              <w:rFonts w:ascii="Calibri" w:hAnsi="Calibri" w:cs="Calibri"/>
              <w:sz w:val="22"/>
              <w:szCs w:val="22"/>
              <w:lang w:val="en-US" w:eastAsia="en-US"/>
            </w:rPr>
          </w:pPr>
          <w:r>
            <w:rPr/>
            <w:t>Y.3.1.3.2</w:t>
          </w:r>
          <w:r>
            <w:rPr>
              <w:rFonts w:cs="Calibri" w:ascii="Calibri" w:hAnsi="Calibri"/>
              <w:sz w:val="22"/>
              <w:szCs w:val="22"/>
              <w:lang w:val="en-US" w:eastAsia="en-US"/>
            </w:rPr>
            <w:tab/>
          </w:r>
          <w:r>
            <w:rPr/>
            <w:t>Uncoordinated BTS -&gt; MS</w:t>
            <w:tab/>
          </w:r>
          <w:hyperlink w:anchor="__RefHeading___Toc518036140">
            <w:r>
              <w:rPr>
                <w:rStyle w:val="IndexLink"/>
              </w:rPr>
              <w:t>288</w:t>
            </w:r>
          </w:hyperlink>
        </w:p>
        <w:p>
          <w:pPr>
            <w:pStyle w:val="Contents4"/>
            <w:rPr>
              <w:rFonts w:ascii="Calibri" w:hAnsi="Calibri" w:cs="Calibri"/>
              <w:sz w:val="22"/>
              <w:szCs w:val="22"/>
              <w:lang w:val="en-US" w:eastAsia="en-US"/>
            </w:rPr>
          </w:pPr>
          <w:r>
            <w:rPr/>
            <w:t>Y.3.1.3.3</w:t>
          </w:r>
          <w:r>
            <w:rPr>
              <w:rFonts w:cs="Calibri" w:ascii="Calibri" w:hAnsi="Calibri"/>
              <w:sz w:val="22"/>
              <w:szCs w:val="22"/>
              <w:lang w:val="en-US" w:eastAsia="en-US"/>
            </w:rPr>
            <w:tab/>
          </w:r>
          <w:r>
            <w:rPr/>
            <w:t>Uncoordinated MSs -&gt; BTS</w:t>
            <w:tab/>
          </w:r>
          <w:hyperlink w:anchor="__RefHeading___Toc518036141">
            <w:r>
              <w:rPr>
                <w:rStyle w:val="IndexLink"/>
              </w:rPr>
              <w:t>288</w:t>
            </w:r>
          </w:hyperlink>
        </w:p>
        <w:p>
          <w:pPr>
            <w:pStyle w:val="Contents4"/>
            <w:rPr>
              <w:rFonts w:ascii="Calibri" w:hAnsi="Calibri" w:cs="Calibri"/>
              <w:sz w:val="22"/>
              <w:szCs w:val="22"/>
              <w:lang w:val="en-US" w:eastAsia="en-US"/>
            </w:rPr>
          </w:pPr>
          <w:r>
            <w:rPr/>
            <w:t>Y.3.1.3.4</w:t>
          </w:r>
          <w:r>
            <w:rPr>
              <w:rFonts w:cs="Calibri" w:ascii="Calibri" w:hAnsi="Calibri"/>
              <w:sz w:val="22"/>
              <w:szCs w:val="22"/>
              <w:lang w:val="en-US" w:eastAsia="en-US"/>
            </w:rPr>
            <w:tab/>
          </w:r>
          <w:r>
            <w:rPr/>
            <w:t>Uncoordinated MS &amp; MS -&gt; MS</w:t>
            <w:tab/>
          </w:r>
          <w:hyperlink w:anchor="__RefHeading___Toc518036142">
            <w:r>
              <w:rPr>
                <w:rStyle w:val="IndexLink"/>
              </w:rPr>
              <w:t>288</w:t>
            </w:r>
          </w:hyperlink>
        </w:p>
        <w:p>
          <w:pPr>
            <w:pStyle w:val="Contents2"/>
            <w:rPr>
              <w:rFonts w:ascii="Calibri" w:hAnsi="Calibri" w:cs="Calibri"/>
              <w:sz w:val="22"/>
              <w:szCs w:val="22"/>
              <w:lang w:val="en-US" w:eastAsia="en-US"/>
            </w:rPr>
          </w:pPr>
          <w:r>
            <w:rPr/>
            <w:t>Y.3.2</w:t>
          </w:r>
          <w:r>
            <w:rPr>
              <w:rFonts w:cs="Calibri" w:ascii="Calibri" w:hAnsi="Calibri"/>
              <w:sz w:val="22"/>
              <w:szCs w:val="22"/>
              <w:lang w:val="en-US" w:eastAsia="en-US"/>
            </w:rPr>
            <w:tab/>
          </w:r>
          <w:r>
            <w:rPr/>
            <w:t>Receiver</w:t>
            <w:tab/>
          </w:r>
          <w:hyperlink w:anchor="__RefHeading___Toc518036143">
            <w:r>
              <w:rPr>
                <w:rStyle w:val="IndexLink"/>
              </w:rPr>
              <w:t>289</w:t>
            </w:r>
          </w:hyperlink>
        </w:p>
        <w:p>
          <w:pPr>
            <w:pStyle w:val="Contents3"/>
            <w:rPr>
              <w:rFonts w:ascii="Calibri" w:hAnsi="Calibri" w:cs="Calibri"/>
              <w:sz w:val="22"/>
              <w:szCs w:val="22"/>
              <w:lang w:val="en-US" w:eastAsia="en-US"/>
            </w:rPr>
          </w:pPr>
          <w:r>
            <w:rPr/>
            <w:t>Y.3.2.1</w:t>
          </w:r>
          <w:r>
            <w:rPr>
              <w:rFonts w:cs="Calibri" w:ascii="Calibri" w:hAnsi="Calibri"/>
              <w:sz w:val="22"/>
              <w:szCs w:val="22"/>
              <w:lang w:val="en-US" w:eastAsia="en-US"/>
            </w:rPr>
            <w:tab/>
          </w:r>
          <w:r>
            <w:rPr/>
            <w:t>Blocking</w:t>
            <w:tab/>
          </w:r>
          <w:hyperlink w:anchor="__RefHeading___Toc518036144">
            <w:r>
              <w:rPr>
                <w:rStyle w:val="IndexLink"/>
              </w:rPr>
              <w:t>289</w:t>
            </w:r>
          </w:hyperlink>
        </w:p>
        <w:p>
          <w:pPr>
            <w:pStyle w:val="Contents4"/>
            <w:rPr>
              <w:rFonts w:ascii="Calibri" w:hAnsi="Calibri" w:cs="Calibri"/>
              <w:sz w:val="22"/>
              <w:szCs w:val="22"/>
              <w:lang w:val="en-US" w:eastAsia="en-US"/>
            </w:rPr>
          </w:pPr>
          <w:r>
            <w:rPr/>
            <w:t>Y.3.2.1.1</w:t>
          </w:r>
          <w:r>
            <w:rPr>
              <w:rFonts w:cs="Calibri" w:ascii="Calibri" w:hAnsi="Calibri"/>
              <w:sz w:val="22"/>
              <w:szCs w:val="22"/>
              <w:lang w:val="en-US" w:eastAsia="en-US"/>
            </w:rPr>
            <w:tab/>
          </w:r>
          <w:r>
            <w:rPr/>
            <w:t>Coordinated &amp; Uncoordinated  BTS -&gt; MS</w:t>
            <w:tab/>
          </w:r>
          <w:hyperlink w:anchor="__RefHeading___Toc518036145">
            <w:r>
              <w:rPr>
                <w:rStyle w:val="IndexLink"/>
              </w:rPr>
              <w:t>289</w:t>
            </w:r>
          </w:hyperlink>
        </w:p>
        <w:p>
          <w:pPr>
            <w:pStyle w:val="Contents4"/>
            <w:rPr>
              <w:rFonts w:ascii="Calibri" w:hAnsi="Calibri" w:cs="Calibri"/>
              <w:sz w:val="22"/>
              <w:szCs w:val="22"/>
              <w:lang w:val="en-US" w:eastAsia="en-US"/>
            </w:rPr>
          </w:pPr>
          <w:r>
            <w:rPr/>
            <w:t>Y.3.2.1.2</w:t>
          </w:r>
          <w:r>
            <w:rPr>
              <w:rFonts w:cs="Calibri" w:ascii="Calibri" w:hAnsi="Calibri"/>
              <w:sz w:val="22"/>
              <w:szCs w:val="22"/>
              <w:lang w:val="en-US" w:eastAsia="en-US"/>
            </w:rPr>
            <w:tab/>
          </w:r>
          <w:r>
            <w:rPr/>
            <w:t>Coordinated MS -&gt; BTS</w:t>
            <w:tab/>
          </w:r>
          <w:hyperlink w:anchor="__RefHeading___Toc518036146">
            <w:r>
              <w:rPr>
                <w:rStyle w:val="IndexLink"/>
              </w:rPr>
              <w:t>289</w:t>
            </w:r>
          </w:hyperlink>
        </w:p>
        <w:p>
          <w:pPr>
            <w:pStyle w:val="Contents4"/>
            <w:rPr>
              <w:rFonts w:ascii="Calibri" w:hAnsi="Calibri" w:cs="Calibri"/>
              <w:sz w:val="22"/>
              <w:szCs w:val="22"/>
              <w:lang w:val="en-US" w:eastAsia="en-US"/>
            </w:rPr>
          </w:pPr>
          <w:r>
            <w:rPr/>
            <w:t>Y.3.2.1.3</w:t>
          </w:r>
          <w:r>
            <w:rPr>
              <w:rFonts w:cs="Calibri" w:ascii="Calibri" w:hAnsi="Calibri"/>
              <w:sz w:val="22"/>
              <w:szCs w:val="22"/>
              <w:lang w:val="en-US" w:eastAsia="en-US"/>
            </w:rPr>
            <w:tab/>
          </w:r>
          <w:r>
            <w:rPr/>
            <w:t>Uncoordinated MS -&gt; BTS</w:t>
            <w:tab/>
          </w:r>
          <w:hyperlink w:anchor="__RefHeading___Toc518036147">
            <w:r>
              <w:rPr>
                <w:rStyle w:val="IndexLink"/>
              </w:rPr>
              <w:t>289</w:t>
            </w:r>
          </w:hyperlink>
        </w:p>
        <w:p>
          <w:pPr>
            <w:pStyle w:val="Contents4"/>
            <w:rPr>
              <w:rFonts w:ascii="Calibri" w:hAnsi="Calibri" w:cs="Calibri"/>
              <w:sz w:val="22"/>
              <w:szCs w:val="22"/>
              <w:lang w:val="en-US" w:eastAsia="en-US"/>
            </w:rPr>
          </w:pPr>
          <w:r>
            <w:rPr/>
            <w:t>Y.3.2.1.4</w:t>
          </w:r>
          <w:r>
            <w:rPr>
              <w:rFonts w:cs="Calibri" w:ascii="Calibri" w:hAnsi="Calibri"/>
              <w:sz w:val="22"/>
              <w:szCs w:val="22"/>
              <w:lang w:val="en-US" w:eastAsia="en-US"/>
            </w:rPr>
            <w:tab/>
          </w:r>
          <w:r>
            <w:rPr/>
            <w:t>Coordinated &amp; Uncoordinated  MS -&gt; MS</w:t>
            <w:tab/>
          </w:r>
          <w:hyperlink w:anchor="__RefHeading___Toc518036148">
            <w:r>
              <w:rPr>
                <w:rStyle w:val="IndexLink"/>
              </w:rPr>
              <w:t>289</w:t>
            </w:r>
          </w:hyperlink>
        </w:p>
        <w:p>
          <w:pPr>
            <w:pStyle w:val="Contents4"/>
            <w:rPr>
              <w:rFonts w:ascii="Calibri" w:hAnsi="Calibri" w:cs="Calibri"/>
              <w:sz w:val="22"/>
              <w:szCs w:val="22"/>
              <w:lang w:val="en-US" w:eastAsia="en-US"/>
            </w:rPr>
          </w:pPr>
          <w:r>
            <w:rPr/>
            <w:t>Y.3.2.1.5</w:t>
          </w:r>
          <w:r>
            <w:rPr>
              <w:rFonts w:cs="Calibri" w:ascii="Calibri" w:hAnsi="Calibri"/>
              <w:sz w:val="22"/>
              <w:szCs w:val="22"/>
              <w:lang w:val="en-US" w:eastAsia="en-US"/>
            </w:rPr>
            <w:tab/>
          </w:r>
          <w:r>
            <w:rPr/>
            <w:t>Coordinated &amp; Uncoordinated  BTS -&gt; BTS</w:t>
            <w:tab/>
          </w:r>
          <w:hyperlink w:anchor="__RefHeading___Toc518036149">
            <w:r>
              <w:rPr>
                <w:rStyle w:val="IndexLink"/>
              </w:rPr>
              <w:t>289</w:t>
            </w:r>
          </w:hyperlink>
        </w:p>
        <w:p>
          <w:pPr>
            <w:pStyle w:val="Contents3"/>
            <w:rPr>
              <w:rFonts w:ascii="Calibri" w:hAnsi="Calibri" w:cs="Calibri"/>
              <w:sz w:val="22"/>
              <w:szCs w:val="22"/>
              <w:lang w:val="en-US" w:eastAsia="en-US"/>
            </w:rPr>
          </w:pPr>
          <w:r>
            <w:rPr/>
            <w:t>Y.3.2.2</w:t>
          </w:r>
          <w:r>
            <w:rPr>
              <w:rFonts w:cs="Calibri" w:ascii="Calibri" w:hAnsi="Calibri"/>
              <w:sz w:val="22"/>
              <w:szCs w:val="22"/>
              <w:lang w:val="en-US" w:eastAsia="en-US"/>
            </w:rPr>
            <w:tab/>
          </w:r>
          <w:r>
            <w:rPr/>
            <w:t>Intermodulation</w:t>
            <w:tab/>
          </w:r>
          <w:hyperlink w:anchor="__RefHeading___Toc518036150">
            <w:r>
              <w:rPr>
                <w:rStyle w:val="IndexLink"/>
              </w:rPr>
              <w:t>289</w:t>
            </w:r>
          </w:hyperlink>
        </w:p>
        <w:p>
          <w:pPr>
            <w:pStyle w:val="Contents4"/>
            <w:rPr>
              <w:rFonts w:ascii="Calibri" w:hAnsi="Calibri" w:cs="Calibri"/>
              <w:sz w:val="22"/>
              <w:szCs w:val="22"/>
              <w:lang w:val="en-US" w:eastAsia="en-US"/>
            </w:rPr>
          </w:pPr>
          <w:r>
            <w:rPr/>
            <w:t>Y.3.2.2.1</w:t>
          </w:r>
          <w:r>
            <w:rPr>
              <w:rFonts w:cs="Calibri" w:ascii="Calibri" w:hAnsi="Calibri"/>
              <w:sz w:val="22"/>
              <w:szCs w:val="22"/>
              <w:lang w:val="en-US" w:eastAsia="en-US"/>
            </w:rPr>
            <w:tab/>
          </w:r>
          <w:r>
            <w:rPr/>
            <w:t>Coordinated &amp; Uncoordinated  BTS -&gt; MS</w:t>
            <w:tab/>
          </w:r>
          <w:hyperlink w:anchor="__RefHeading___Toc518036151">
            <w:r>
              <w:rPr>
                <w:rStyle w:val="IndexLink"/>
              </w:rPr>
              <w:t>289</w:t>
            </w:r>
          </w:hyperlink>
        </w:p>
        <w:p>
          <w:pPr>
            <w:pStyle w:val="Contents4"/>
            <w:rPr>
              <w:rFonts w:ascii="Calibri" w:hAnsi="Calibri" w:cs="Calibri"/>
              <w:sz w:val="22"/>
              <w:szCs w:val="22"/>
              <w:lang w:val="en-US" w:eastAsia="en-US"/>
            </w:rPr>
          </w:pPr>
          <w:r>
            <w:rPr/>
            <w:t>Y.3.2.2.2</w:t>
          </w:r>
          <w:r>
            <w:rPr>
              <w:rFonts w:cs="Calibri" w:ascii="Calibri" w:hAnsi="Calibri"/>
              <w:sz w:val="22"/>
              <w:szCs w:val="22"/>
              <w:lang w:val="en-US" w:eastAsia="en-US"/>
            </w:rPr>
            <w:tab/>
          </w:r>
          <w:r>
            <w:rPr/>
            <w:t>Coordinated MS -&gt; BTS</w:t>
            <w:tab/>
          </w:r>
          <w:hyperlink w:anchor="__RefHeading___Toc518036152">
            <w:r>
              <w:rPr>
                <w:rStyle w:val="IndexLink"/>
              </w:rPr>
              <w:t>289</w:t>
            </w:r>
          </w:hyperlink>
        </w:p>
        <w:p>
          <w:pPr>
            <w:pStyle w:val="Contents4"/>
            <w:rPr>
              <w:rFonts w:ascii="Calibri" w:hAnsi="Calibri" w:cs="Calibri"/>
              <w:sz w:val="22"/>
              <w:szCs w:val="22"/>
              <w:lang w:val="en-US" w:eastAsia="en-US"/>
            </w:rPr>
          </w:pPr>
          <w:r>
            <w:rPr/>
            <w:t>Y.3.2.2.3</w:t>
          </w:r>
          <w:r>
            <w:rPr>
              <w:rFonts w:cs="Calibri" w:ascii="Calibri" w:hAnsi="Calibri"/>
              <w:sz w:val="22"/>
              <w:szCs w:val="22"/>
              <w:lang w:val="en-US" w:eastAsia="en-US"/>
            </w:rPr>
            <w:tab/>
          </w:r>
          <w:r>
            <w:rPr/>
            <w:t>Uncoordinated MS -&gt; BTS</w:t>
            <w:tab/>
          </w:r>
          <w:hyperlink w:anchor="__RefHeading___Toc518036153">
            <w:r>
              <w:rPr>
                <w:rStyle w:val="IndexLink"/>
              </w:rPr>
              <w:t>289</w:t>
            </w:r>
          </w:hyperlink>
        </w:p>
        <w:p>
          <w:pPr>
            <w:pStyle w:val="Contents3"/>
            <w:rPr>
              <w:rFonts w:ascii="Calibri" w:hAnsi="Calibri" w:cs="Calibri"/>
              <w:sz w:val="22"/>
              <w:szCs w:val="22"/>
              <w:lang w:val="en-US" w:eastAsia="en-US"/>
            </w:rPr>
          </w:pPr>
          <w:r>
            <w:rPr/>
            <w:t>Y.3.2.3</w:t>
          </w:r>
          <w:r>
            <w:rPr>
              <w:rFonts w:cs="Calibri" w:ascii="Calibri" w:hAnsi="Calibri"/>
              <w:sz w:val="22"/>
              <w:szCs w:val="22"/>
              <w:lang w:val="en-US" w:eastAsia="en-US"/>
            </w:rPr>
            <w:tab/>
          </w:r>
          <w:r>
            <w:rPr/>
            <w:t>Maximum level</w:t>
            <w:tab/>
          </w:r>
          <w:hyperlink w:anchor="__RefHeading___Toc518036154">
            <w:r>
              <w:rPr>
                <w:rStyle w:val="IndexLink"/>
              </w:rPr>
              <w:t>290</w:t>
            </w:r>
          </w:hyperlink>
        </w:p>
        <w:p>
          <w:pPr>
            <w:pStyle w:val="Contents4"/>
            <w:rPr>
              <w:rFonts w:ascii="Calibri" w:hAnsi="Calibri" w:cs="Calibri"/>
              <w:sz w:val="22"/>
              <w:szCs w:val="22"/>
              <w:lang w:val="en-US" w:eastAsia="en-US"/>
            </w:rPr>
          </w:pPr>
          <w:r>
            <w:rPr/>
            <w:t>Y.3.2.3.1</w:t>
          </w:r>
          <w:r>
            <w:rPr>
              <w:rFonts w:cs="Calibri" w:ascii="Calibri" w:hAnsi="Calibri"/>
              <w:sz w:val="22"/>
              <w:szCs w:val="22"/>
              <w:lang w:val="en-US" w:eastAsia="en-US"/>
            </w:rPr>
            <w:tab/>
          </w:r>
          <w:r>
            <w:rPr/>
            <w:t>Coordinated MS -&gt; BTS</w:t>
            <w:tab/>
          </w:r>
          <w:hyperlink w:anchor="__RefHeading___Toc518036155">
            <w:r>
              <w:rPr>
                <w:rStyle w:val="IndexLink"/>
              </w:rPr>
              <w:t>290</w:t>
            </w:r>
          </w:hyperlink>
        </w:p>
        <w:p>
          <w:pPr>
            <w:pStyle w:val="Contents4"/>
            <w:rPr>
              <w:rFonts w:ascii="Calibri" w:hAnsi="Calibri" w:cs="Calibri"/>
              <w:sz w:val="22"/>
              <w:szCs w:val="22"/>
              <w:lang w:val="en-US" w:eastAsia="en-US"/>
            </w:rPr>
          </w:pPr>
          <w:r>
            <w:rPr/>
            <w:t>Y.3.2.3.2</w:t>
          </w:r>
          <w:r>
            <w:rPr>
              <w:rFonts w:cs="Calibri" w:ascii="Calibri" w:hAnsi="Calibri"/>
              <w:sz w:val="22"/>
              <w:szCs w:val="22"/>
              <w:lang w:val="en-US" w:eastAsia="en-US"/>
            </w:rPr>
            <w:tab/>
          </w:r>
          <w:r>
            <w:rPr/>
            <w:t>Coordinated  BTS -&gt; MS</w:t>
            <w:tab/>
          </w:r>
          <w:hyperlink w:anchor="__RefHeading___Toc518036156">
            <w:r>
              <w:rPr>
                <w:rStyle w:val="IndexLink"/>
              </w:rPr>
              <w:t>290</w:t>
            </w:r>
          </w:hyperlink>
        </w:p>
        <w:p>
          <w:pPr>
            <w:pStyle w:val="Contents1"/>
            <w:rPr>
              <w:rFonts w:ascii="Calibri" w:hAnsi="Calibri" w:cs="Calibri"/>
              <w:szCs w:val="22"/>
              <w:lang w:val="en-US" w:eastAsia="en-US"/>
            </w:rPr>
          </w:pPr>
          <w:r>
            <w:rPr/>
            <w:t>Y.4</w:t>
          </w:r>
          <w:r>
            <w:rPr>
              <w:rFonts w:cs="Calibri" w:ascii="Calibri" w:hAnsi="Calibri"/>
              <w:szCs w:val="22"/>
              <w:lang w:val="en-US" w:eastAsia="en-US"/>
            </w:rPr>
            <w:tab/>
          </w:r>
          <w:r>
            <w:rPr/>
            <w:t>Transmitter characteristics</w:t>
            <w:tab/>
          </w:r>
          <w:hyperlink w:anchor="__RefHeading___Toc518036157">
            <w:r>
              <w:rPr>
                <w:rStyle w:val="IndexLink"/>
              </w:rPr>
              <w:t>290</w:t>
            </w:r>
          </w:hyperlink>
        </w:p>
        <w:p>
          <w:pPr>
            <w:pStyle w:val="Contents2"/>
            <w:rPr>
              <w:rFonts w:ascii="Calibri" w:hAnsi="Calibri" w:cs="Calibri"/>
              <w:sz w:val="22"/>
              <w:szCs w:val="22"/>
              <w:lang w:val="en-US" w:eastAsia="en-US"/>
            </w:rPr>
          </w:pPr>
          <w:r>
            <w:rPr/>
            <w:t>Y.4.1</w:t>
          </w:r>
          <w:r>
            <w:rPr>
              <w:rFonts w:cs="Calibri" w:ascii="Calibri" w:hAnsi="Calibri"/>
              <w:sz w:val="22"/>
              <w:szCs w:val="22"/>
              <w:lang w:val="en-US" w:eastAsia="en-US"/>
            </w:rPr>
            <w:tab/>
          </w:r>
          <w:r>
            <w:rPr/>
            <w:t>Output power</w:t>
            <w:tab/>
          </w:r>
          <w:hyperlink w:anchor="__RefHeading___Toc518036158">
            <w:r>
              <w:rPr>
                <w:rStyle w:val="IndexLink"/>
              </w:rPr>
              <w:t>290</w:t>
            </w:r>
          </w:hyperlink>
        </w:p>
        <w:p>
          <w:pPr>
            <w:pStyle w:val="Contents3"/>
            <w:rPr>
              <w:rFonts w:ascii="Calibri" w:hAnsi="Calibri" w:cs="Calibri"/>
              <w:sz w:val="22"/>
              <w:szCs w:val="22"/>
              <w:lang w:val="en-US" w:eastAsia="en-US"/>
            </w:rPr>
          </w:pPr>
          <w:r>
            <w:rPr/>
            <w:t>Y.4.1.1</w:t>
          </w:r>
          <w:r>
            <w:rPr>
              <w:rFonts w:cs="Calibri" w:ascii="Calibri" w:hAnsi="Calibri"/>
              <w:sz w:val="22"/>
              <w:szCs w:val="22"/>
              <w:lang w:val="en-US" w:eastAsia="en-US"/>
            </w:rPr>
            <w:tab/>
          </w:r>
          <w:r>
            <w:rPr/>
            <w:t>Mobile Station</w:t>
            <w:tab/>
          </w:r>
          <w:hyperlink w:anchor="__RefHeading___Toc518036159">
            <w:r>
              <w:rPr>
                <w:rStyle w:val="IndexLink"/>
              </w:rPr>
              <w:t>290</w:t>
            </w:r>
          </w:hyperlink>
        </w:p>
        <w:p>
          <w:pPr>
            <w:pStyle w:val="Contents3"/>
            <w:rPr>
              <w:rFonts w:ascii="Calibri" w:hAnsi="Calibri" w:cs="Calibri"/>
              <w:sz w:val="22"/>
              <w:szCs w:val="22"/>
              <w:lang w:val="en-US" w:eastAsia="en-US"/>
            </w:rPr>
          </w:pPr>
          <w:r>
            <w:rPr/>
            <w:t>Y.4.1.2</w:t>
          </w:r>
          <w:r>
            <w:rPr>
              <w:rFonts w:cs="Calibri" w:ascii="Calibri" w:hAnsi="Calibri"/>
              <w:sz w:val="22"/>
              <w:szCs w:val="22"/>
              <w:lang w:val="en-US" w:eastAsia="en-US"/>
            </w:rPr>
            <w:tab/>
          </w:r>
          <w:r>
            <w:rPr/>
            <w:t>Base Station</w:t>
            <w:tab/>
          </w:r>
          <w:hyperlink w:anchor="__RefHeading___Toc518036160">
            <w:r>
              <w:rPr>
                <w:rStyle w:val="IndexLink"/>
              </w:rPr>
              <w:t>290</w:t>
            </w:r>
          </w:hyperlink>
        </w:p>
        <w:p>
          <w:pPr>
            <w:pStyle w:val="Contents2"/>
            <w:rPr>
              <w:rFonts w:ascii="Calibri" w:hAnsi="Calibri" w:cs="Calibri"/>
              <w:sz w:val="22"/>
              <w:szCs w:val="22"/>
              <w:lang w:val="en-US" w:eastAsia="en-US"/>
            </w:rPr>
          </w:pPr>
          <w:r>
            <w:rPr/>
            <w:t>Y.4.2</w:t>
          </w:r>
          <w:r>
            <w:rPr>
              <w:rFonts w:cs="Calibri" w:ascii="Calibri" w:hAnsi="Calibri"/>
              <w:sz w:val="22"/>
              <w:szCs w:val="22"/>
              <w:lang w:val="en-US" w:eastAsia="en-US"/>
            </w:rPr>
            <w:tab/>
          </w:r>
          <w:r>
            <w:rPr/>
            <w:t>Output RF Spectrum</w:t>
            <w:tab/>
          </w:r>
          <w:hyperlink w:anchor="__RefHeading___Toc518036161">
            <w:r>
              <w:rPr>
                <w:rStyle w:val="IndexLink"/>
              </w:rPr>
              <w:t>290</w:t>
            </w:r>
          </w:hyperlink>
        </w:p>
        <w:p>
          <w:pPr>
            <w:pStyle w:val="Contents3"/>
            <w:rPr>
              <w:rFonts w:ascii="Calibri" w:hAnsi="Calibri" w:cs="Calibri"/>
              <w:sz w:val="22"/>
              <w:szCs w:val="22"/>
              <w:lang w:val="en-US" w:eastAsia="en-US"/>
            </w:rPr>
          </w:pPr>
          <w:r>
            <w:rPr/>
            <w:t>Y.4.2.1</w:t>
          </w:r>
          <w:r>
            <w:rPr>
              <w:rFonts w:cs="Calibri" w:ascii="Calibri" w:hAnsi="Calibri"/>
              <w:sz w:val="22"/>
              <w:szCs w:val="22"/>
              <w:lang w:val="en-US" w:eastAsia="en-US"/>
            </w:rPr>
            <w:tab/>
          </w:r>
          <w:r>
            <w:rPr/>
            <w:t>Spectrum due to the modulation and wideband noise</w:t>
            <w:tab/>
          </w:r>
          <w:hyperlink w:anchor="__RefHeading___Toc518036162">
            <w:r>
              <w:rPr>
                <w:rStyle w:val="IndexLink"/>
              </w:rPr>
              <w:t>290</w:t>
            </w:r>
          </w:hyperlink>
        </w:p>
        <w:p>
          <w:pPr>
            <w:pStyle w:val="Contents3"/>
            <w:rPr>
              <w:rFonts w:ascii="Calibri" w:hAnsi="Calibri" w:cs="Calibri"/>
              <w:sz w:val="22"/>
              <w:szCs w:val="22"/>
              <w:lang w:val="en-US" w:eastAsia="en-US"/>
            </w:rPr>
          </w:pPr>
          <w:r>
            <w:rPr/>
            <w:t>Y.4.2.2</w:t>
          </w:r>
          <w:r>
            <w:rPr>
              <w:rFonts w:cs="Calibri" w:ascii="Calibri" w:hAnsi="Calibri"/>
              <w:sz w:val="22"/>
              <w:szCs w:val="22"/>
              <w:lang w:val="en-US" w:eastAsia="en-US"/>
            </w:rPr>
            <w:tab/>
          </w:r>
          <w:r>
            <w:rPr/>
            <w:t>Spectrum due to switching transients</w:t>
            <w:tab/>
          </w:r>
          <w:hyperlink w:anchor="__RefHeading___Toc518036163">
            <w:r>
              <w:rPr>
                <w:rStyle w:val="IndexLink"/>
              </w:rPr>
              <w:t>291</w:t>
            </w:r>
          </w:hyperlink>
        </w:p>
        <w:p>
          <w:pPr>
            <w:pStyle w:val="Contents2"/>
            <w:rPr>
              <w:rFonts w:ascii="Calibri" w:hAnsi="Calibri" w:cs="Calibri"/>
              <w:sz w:val="22"/>
              <w:szCs w:val="22"/>
              <w:lang w:val="en-US" w:eastAsia="en-US"/>
            </w:rPr>
          </w:pPr>
          <w:r>
            <w:rPr/>
            <w:t>Y.4.3</w:t>
          </w:r>
          <w:r>
            <w:rPr>
              <w:rFonts w:cs="Calibri" w:ascii="Calibri" w:hAnsi="Calibri"/>
              <w:sz w:val="22"/>
              <w:szCs w:val="22"/>
              <w:lang w:val="en-US" w:eastAsia="en-US"/>
            </w:rPr>
            <w:tab/>
          </w:r>
          <w:r>
            <w:rPr/>
            <w:t>Spurious emissions</w:t>
            <w:tab/>
          </w:r>
          <w:hyperlink w:anchor="__RefHeading___Toc518036164">
            <w:r>
              <w:rPr>
                <w:rStyle w:val="IndexLink"/>
              </w:rPr>
              <w:t>291</w:t>
            </w:r>
          </w:hyperlink>
        </w:p>
        <w:p>
          <w:pPr>
            <w:pStyle w:val="Contents3"/>
            <w:rPr>
              <w:rFonts w:ascii="Calibri" w:hAnsi="Calibri" w:cs="Calibri"/>
              <w:sz w:val="22"/>
              <w:szCs w:val="22"/>
              <w:lang w:val="en-US" w:eastAsia="en-US"/>
            </w:rPr>
          </w:pPr>
          <w:r>
            <w:rPr/>
            <w:t>Y.4.3.1</w:t>
          </w:r>
          <w:r>
            <w:rPr>
              <w:rFonts w:cs="Calibri" w:ascii="Calibri" w:hAnsi="Calibri"/>
              <w:sz w:val="22"/>
              <w:szCs w:val="22"/>
              <w:lang w:val="en-US" w:eastAsia="en-US"/>
            </w:rPr>
            <w:tab/>
          </w:r>
          <w:r>
            <w:rPr/>
            <w:t>Principle of the specification</w:t>
            <w:tab/>
          </w:r>
          <w:hyperlink w:anchor="__RefHeading___Toc518036165">
            <w:r>
              <w:rPr>
                <w:rStyle w:val="IndexLink"/>
              </w:rPr>
              <w:t>291</w:t>
            </w:r>
          </w:hyperlink>
        </w:p>
        <w:p>
          <w:pPr>
            <w:pStyle w:val="Contents3"/>
            <w:rPr>
              <w:rFonts w:ascii="Calibri" w:hAnsi="Calibri" w:cs="Calibri"/>
              <w:sz w:val="22"/>
              <w:szCs w:val="22"/>
              <w:lang w:val="en-US" w:eastAsia="en-US"/>
            </w:rPr>
          </w:pPr>
          <w:r>
            <w:rPr/>
            <w:t>Y.4.3.2</w:t>
          </w:r>
          <w:r>
            <w:rPr>
              <w:rFonts w:cs="Calibri" w:ascii="Calibri" w:hAnsi="Calibri"/>
              <w:sz w:val="22"/>
              <w:szCs w:val="22"/>
              <w:lang w:val="en-US" w:eastAsia="en-US"/>
            </w:rPr>
            <w:tab/>
          </w:r>
          <w:r>
            <w:rPr/>
            <w:t>Base transceiver station</w:t>
            <w:tab/>
          </w:r>
          <w:hyperlink w:anchor="__RefHeading___Toc518036166">
            <w:r>
              <w:rPr>
                <w:rStyle w:val="IndexLink"/>
              </w:rPr>
              <w:t>291</w:t>
            </w:r>
          </w:hyperlink>
        </w:p>
        <w:p>
          <w:pPr>
            <w:pStyle w:val="Contents3"/>
            <w:rPr>
              <w:rFonts w:ascii="Calibri" w:hAnsi="Calibri" w:cs="Calibri"/>
              <w:sz w:val="22"/>
              <w:szCs w:val="22"/>
              <w:lang w:val="en-US" w:eastAsia="en-US"/>
            </w:rPr>
          </w:pPr>
          <w:r>
            <w:rPr/>
            <w:t>Y.4.3.3</w:t>
          </w:r>
          <w:r>
            <w:rPr>
              <w:rFonts w:cs="Calibri" w:ascii="Calibri" w:hAnsi="Calibri"/>
              <w:sz w:val="22"/>
              <w:szCs w:val="22"/>
              <w:lang w:val="en-US" w:eastAsia="en-US"/>
            </w:rPr>
            <w:tab/>
          </w:r>
          <w:r>
            <w:rPr/>
            <w:t>Mobile station</w:t>
            <w:tab/>
          </w:r>
          <w:hyperlink w:anchor="__RefHeading___Toc518036167">
            <w:r>
              <w:rPr>
                <w:rStyle w:val="IndexLink"/>
              </w:rPr>
              <w:t>292</w:t>
            </w:r>
          </w:hyperlink>
        </w:p>
        <w:p>
          <w:pPr>
            <w:pStyle w:val="Contents2"/>
            <w:rPr>
              <w:rFonts w:ascii="Calibri" w:hAnsi="Calibri" w:cs="Calibri"/>
              <w:sz w:val="22"/>
              <w:szCs w:val="22"/>
              <w:lang w:val="en-US" w:eastAsia="en-US"/>
            </w:rPr>
          </w:pPr>
          <w:r>
            <w:rPr/>
            <w:t>Y.4.4</w:t>
          </w:r>
          <w:r>
            <w:rPr>
              <w:rFonts w:cs="Calibri" w:ascii="Calibri" w:hAnsi="Calibri"/>
              <w:sz w:val="22"/>
              <w:szCs w:val="22"/>
              <w:lang w:val="en-US" w:eastAsia="en-US"/>
            </w:rPr>
            <w:tab/>
          </w:r>
          <w:r>
            <w:rPr/>
            <w:t>Radio frequency tolerance</w:t>
            <w:tab/>
          </w:r>
          <w:hyperlink w:anchor="__RefHeading___Toc518036168">
            <w:r>
              <w:rPr>
                <w:rStyle w:val="IndexLink"/>
              </w:rPr>
              <w:t>292</w:t>
            </w:r>
          </w:hyperlink>
        </w:p>
        <w:p>
          <w:pPr>
            <w:pStyle w:val="Contents2"/>
            <w:rPr>
              <w:rFonts w:ascii="Calibri" w:hAnsi="Calibri" w:cs="Calibri"/>
              <w:sz w:val="22"/>
              <w:szCs w:val="22"/>
              <w:lang w:val="en-US" w:eastAsia="en-US"/>
            </w:rPr>
          </w:pPr>
          <w:r>
            <w:rPr/>
            <w:t>Y.4.5</w:t>
          </w:r>
          <w:r>
            <w:rPr>
              <w:rFonts w:cs="Calibri" w:ascii="Calibri" w:hAnsi="Calibri"/>
              <w:sz w:val="22"/>
              <w:szCs w:val="22"/>
              <w:lang w:val="en-US" w:eastAsia="en-US"/>
            </w:rPr>
            <w:tab/>
          </w:r>
          <w:r>
            <w:rPr/>
            <w:t>Output level dynamic operation</w:t>
            <w:tab/>
          </w:r>
          <w:hyperlink w:anchor="__RefHeading___Toc518036169">
            <w:r>
              <w:rPr>
                <w:rStyle w:val="IndexLink"/>
              </w:rPr>
              <w:t>292</w:t>
            </w:r>
          </w:hyperlink>
        </w:p>
        <w:p>
          <w:pPr>
            <w:pStyle w:val="Contents3"/>
            <w:rPr>
              <w:rFonts w:ascii="Calibri" w:hAnsi="Calibri" w:cs="Calibri"/>
              <w:sz w:val="22"/>
              <w:szCs w:val="22"/>
              <w:lang w:val="en-US" w:eastAsia="en-US"/>
            </w:rPr>
          </w:pPr>
          <w:r>
            <w:rPr/>
            <w:t>Y.4.5.1</w:t>
          </w:r>
          <w:r>
            <w:rPr>
              <w:rFonts w:cs="Calibri" w:ascii="Calibri" w:hAnsi="Calibri"/>
              <w:sz w:val="22"/>
              <w:szCs w:val="22"/>
              <w:lang w:val="en-US" w:eastAsia="en-US"/>
            </w:rPr>
            <w:tab/>
          </w:r>
          <w:r>
            <w:rPr/>
            <w:t>Base station</w:t>
            <w:tab/>
          </w:r>
          <w:hyperlink w:anchor="__RefHeading___Toc518036170">
            <w:r>
              <w:rPr>
                <w:rStyle w:val="IndexLink"/>
              </w:rPr>
              <w:t>292</w:t>
            </w:r>
          </w:hyperlink>
        </w:p>
        <w:p>
          <w:pPr>
            <w:pStyle w:val="Contents3"/>
            <w:rPr>
              <w:rFonts w:ascii="Calibri" w:hAnsi="Calibri" w:cs="Calibri"/>
              <w:sz w:val="22"/>
              <w:szCs w:val="22"/>
              <w:lang w:val="en-US" w:eastAsia="en-US"/>
            </w:rPr>
          </w:pPr>
          <w:r>
            <w:rPr/>
            <w:t>Y.4.5.2</w:t>
          </w:r>
          <w:r>
            <w:rPr>
              <w:rFonts w:cs="Calibri" w:ascii="Calibri" w:hAnsi="Calibri"/>
              <w:sz w:val="22"/>
              <w:szCs w:val="22"/>
              <w:lang w:val="en-US" w:eastAsia="en-US"/>
            </w:rPr>
            <w:tab/>
          </w:r>
          <w:r>
            <w:rPr/>
            <w:t>Mobile station</w:t>
            <w:tab/>
          </w:r>
          <w:hyperlink w:anchor="__RefHeading___Toc518036171">
            <w:r>
              <w:rPr>
                <w:rStyle w:val="IndexLink"/>
              </w:rPr>
              <w:t>292</w:t>
            </w:r>
          </w:hyperlink>
        </w:p>
        <w:p>
          <w:pPr>
            <w:pStyle w:val="Contents2"/>
            <w:rPr>
              <w:rFonts w:ascii="Calibri" w:hAnsi="Calibri" w:cs="Calibri"/>
              <w:sz w:val="22"/>
              <w:szCs w:val="22"/>
              <w:lang w:val="en-US" w:eastAsia="en-US"/>
            </w:rPr>
          </w:pPr>
          <w:r>
            <w:rPr/>
            <w:t>Y.4.6</w:t>
          </w:r>
          <w:r>
            <w:rPr>
              <w:rFonts w:cs="Calibri" w:ascii="Calibri" w:hAnsi="Calibri"/>
              <w:sz w:val="22"/>
              <w:szCs w:val="22"/>
              <w:lang w:val="en-US" w:eastAsia="en-US"/>
            </w:rPr>
            <w:tab/>
          </w:r>
          <w:r>
            <w:rPr/>
            <w:t>Phase accuracy</w:t>
            <w:tab/>
          </w:r>
          <w:hyperlink w:anchor="__RefHeading___Toc518036172">
            <w:r>
              <w:rPr>
                <w:rStyle w:val="IndexLink"/>
              </w:rPr>
              <w:t>292</w:t>
            </w:r>
          </w:hyperlink>
        </w:p>
        <w:p>
          <w:pPr>
            <w:pStyle w:val="Contents2"/>
            <w:rPr>
              <w:rFonts w:ascii="Calibri" w:hAnsi="Calibri" w:cs="Calibri"/>
              <w:sz w:val="22"/>
              <w:szCs w:val="22"/>
              <w:lang w:val="en-US" w:eastAsia="en-US"/>
            </w:rPr>
          </w:pPr>
          <w:r>
            <w:rPr/>
            <w:t>Y.4.7</w:t>
          </w:r>
          <w:r>
            <w:rPr>
              <w:rFonts w:cs="Calibri" w:ascii="Calibri" w:hAnsi="Calibri"/>
              <w:sz w:val="22"/>
              <w:szCs w:val="22"/>
              <w:lang w:val="en-US" w:eastAsia="en-US"/>
            </w:rPr>
            <w:tab/>
          </w:r>
          <w:r>
            <w:rPr/>
            <w:t>Intermodulation attenuation</w:t>
            <w:tab/>
          </w:r>
          <w:hyperlink w:anchor="__RefHeading___Toc518036173">
            <w:r>
              <w:rPr>
                <w:rStyle w:val="IndexLink"/>
              </w:rPr>
              <w:t>292</w:t>
            </w:r>
          </w:hyperlink>
        </w:p>
        <w:p>
          <w:pPr>
            <w:pStyle w:val="Contents1"/>
            <w:rPr>
              <w:rFonts w:ascii="Calibri" w:hAnsi="Calibri" w:cs="Calibri"/>
              <w:szCs w:val="22"/>
              <w:lang w:val="en-US" w:eastAsia="en-US"/>
            </w:rPr>
          </w:pPr>
          <w:r>
            <w:rPr/>
            <w:t>Y.5</w:t>
          </w:r>
          <w:r>
            <w:rPr>
              <w:rFonts w:cs="Calibri" w:ascii="Calibri" w:hAnsi="Calibri"/>
              <w:szCs w:val="22"/>
              <w:lang w:val="en-US" w:eastAsia="en-US"/>
            </w:rPr>
            <w:tab/>
          </w:r>
          <w:r>
            <w:rPr/>
            <w:t>Receiver characteristics</w:t>
            <w:tab/>
          </w:r>
          <w:hyperlink w:anchor="__RefHeading___Toc518036174">
            <w:r>
              <w:rPr>
                <w:rStyle w:val="IndexLink"/>
              </w:rPr>
              <w:t>293</w:t>
            </w:r>
          </w:hyperlink>
        </w:p>
        <w:p>
          <w:pPr>
            <w:pStyle w:val="Contents2"/>
            <w:rPr>
              <w:rFonts w:ascii="Calibri" w:hAnsi="Calibri" w:cs="Calibri"/>
              <w:sz w:val="22"/>
              <w:szCs w:val="22"/>
              <w:lang w:val="en-US" w:eastAsia="en-US"/>
            </w:rPr>
          </w:pPr>
          <w:r>
            <w:rPr/>
            <w:t>Y.5.1</w:t>
          </w:r>
          <w:r>
            <w:rPr>
              <w:rFonts w:cs="Calibri" w:ascii="Calibri" w:hAnsi="Calibri"/>
              <w:sz w:val="22"/>
              <w:szCs w:val="22"/>
              <w:lang w:val="en-US" w:eastAsia="en-US"/>
            </w:rPr>
            <w:tab/>
          </w:r>
          <w:r>
            <w:rPr/>
            <w:t>Blocking characteristics</w:t>
            <w:tab/>
          </w:r>
          <w:hyperlink w:anchor="__RefHeading___Toc518036175">
            <w:r>
              <w:rPr>
                <w:rStyle w:val="IndexLink"/>
              </w:rPr>
              <w:t>293</w:t>
            </w:r>
          </w:hyperlink>
        </w:p>
        <w:p>
          <w:pPr>
            <w:pStyle w:val="Contents2"/>
            <w:rPr>
              <w:rFonts w:ascii="Calibri" w:hAnsi="Calibri" w:cs="Calibri"/>
              <w:sz w:val="22"/>
              <w:szCs w:val="22"/>
              <w:lang w:val="en-US" w:eastAsia="en-US"/>
            </w:rPr>
          </w:pPr>
          <w:r>
            <w:rPr/>
            <w:t>Y.5.2</w:t>
          </w:r>
          <w:r>
            <w:rPr>
              <w:rFonts w:cs="Calibri" w:ascii="Calibri" w:hAnsi="Calibri"/>
              <w:sz w:val="22"/>
              <w:szCs w:val="22"/>
              <w:lang w:val="en-US" w:eastAsia="en-US"/>
            </w:rPr>
            <w:tab/>
          </w:r>
          <w:r>
            <w:rPr/>
            <w:t>AM suppression characteristics</w:t>
            <w:tab/>
          </w:r>
          <w:hyperlink w:anchor="__RefHeading___Toc518036176">
            <w:r>
              <w:rPr>
                <w:rStyle w:val="IndexLink"/>
              </w:rPr>
              <w:t>294</w:t>
            </w:r>
          </w:hyperlink>
        </w:p>
        <w:p>
          <w:pPr>
            <w:pStyle w:val="Contents2"/>
            <w:rPr>
              <w:rFonts w:ascii="Calibri" w:hAnsi="Calibri" w:cs="Calibri"/>
              <w:sz w:val="22"/>
              <w:szCs w:val="22"/>
              <w:lang w:val="en-US" w:eastAsia="en-US"/>
            </w:rPr>
          </w:pPr>
          <w:r>
            <w:rPr/>
            <w:t>Y.5.3</w:t>
          </w:r>
          <w:r>
            <w:rPr>
              <w:rFonts w:cs="Calibri" w:ascii="Calibri" w:hAnsi="Calibri"/>
              <w:sz w:val="22"/>
              <w:szCs w:val="22"/>
              <w:lang w:val="en-US" w:eastAsia="en-US"/>
            </w:rPr>
            <w:tab/>
          </w:r>
          <w:r>
            <w:rPr/>
            <w:t>Intermodulation Characteristics</w:t>
            <w:tab/>
          </w:r>
          <w:hyperlink w:anchor="__RefHeading___Toc518036177">
            <w:r>
              <w:rPr>
                <w:rStyle w:val="IndexLink"/>
              </w:rPr>
              <w:t>294</w:t>
            </w:r>
          </w:hyperlink>
        </w:p>
        <w:p>
          <w:pPr>
            <w:pStyle w:val="Contents2"/>
            <w:rPr>
              <w:rFonts w:ascii="Calibri" w:hAnsi="Calibri" w:cs="Calibri"/>
              <w:sz w:val="22"/>
              <w:szCs w:val="22"/>
              <w:lang w:val="en-US" w:eastAsia="en-US"/>
            </w:rPr>
          </w:pPr>
          <w:r>
            <w:rPr/>
            <w:t>Y.5.4</w:t>
          </w:r>
          <w:r>
            <w:rPr>
              <w:rFonts w:cs="Calibri" w:ascii="Calibri" w:hAnsi="Calibri"/>
              <w:sz w:val="22"/>
              <w:szCs w:val="22"/>
              <w:lang w:val="en-US" w:eastAsia="en-US"/>
            </w:rPr>
            <w:tab/>
          </w:r>
          <w:r>
            <w:rPr/>
            <w:t>Spurious emissions</w:t>
            <w:tab/>
          </w:r>
          <w:hyperlink w:anchor="__RefHeading___Toc518036178">
            <w:r>
              <w:rPr>
                <w:rStyle w:val="IndexLink"/>
              </w:rPr>
              <w:t>294</w:t>
            </w:r>
          </w:hyperlink>
        </w:p>
        <w:p>
          <w:pPr>
            <w:pStyle w:val="Contents1"/>
            <w:rPr>
              <w:rFonts w:ascii="Calibri" w:hAnsi="Calibri" w:cs="Calibri"/>
              <w:szCs w:val="22"/>
              <w:lang w:val="en-US" w:eastAsia="en-US"/>
            </w:rPr>
          </w:pPr>
          <w:r>
            <w:rPr/>
            <w:t>Y.6</w:t>
          </w:r>
          <w:r>
            <w:rPr>
              <w:rFonts w:cs="Calibri" w:ascii="Calibri" w:hAnsi="Calibri"/>
              <w:szCs w:val="22"/>
              <w:lang w:val="en-US" w:eastAsia="en-US"/>
            </w:rPr>
            <w:tab/>
          </w:r>
          <w:r>
            <w:rPr/>
            <w:t>Receiver performance</w:t>
            <w:tab/>
          </w:r>
          <w:hyperlink w:anchor="__RefHeading___Toc518036179">
            <w:r>
              <w:rPr>
                <w:rStyle w:val="IndexLink"/>
              </w:rPr>
              <w:t>294</w:t>
            </w:r>
          </w:hyperlink>
        </w:p>
        <w:p>
          <w:pPr>
            <w:pStyle w:val="Contents9"/>
            <w:rPr>
              <w:rFonts w:ascii="Calibri" w:hAnsi="Calibri" w:cs="Calibri"/>
              <w:b w:val="false"/>
              <w:b w:val="false"/>
              <w:szCs w:val="22"/>
              <w:lang w:val="en-US" w:eastAsia="en-US"/>
            </w:rPr>
          </w:pPr>
          <w:r>
            <w:rPr/>
            <w:t>Annex Z:</w:t>
            <w:tab/>
            <w:t>MBMS system scenarios</w:t>
            <w:tab/>
          </w:r>
          <w:hyperlink w:anchor="__RefHeading___Toc518036180">
            <w:r>
              <w:rPr>
                <w:rStyle w:val="IndexLink"/>
              </w:rPr>
              <w:t>295</w:t>
            </w:r>
          </w:hyperlink>
        </w:p>
        <w:p>
          <w:pPr>
            <w:pStyle w:val="Contents9"/>
            <w:rPr>
              <w:rFonts w:ascii="Calibri" w:hAnsi="Calibri" w:cs="Calibri"/>
              <w:b w:val="false"/>
              <w:b w:val="false"/>
              <w:szCs w:val="22"/>
              <w:lang w:val="en-US" w:eastAsia="en-US"/>
            </w:rPr>
          </w:pPr>
          <w:r>
            <w:rPr/>
            <w:t>Annex ZA:</w:t>
            <w:tab/>
            <w:t>T-GSM 810 system scenarios</w:t>
            <w:tab/>
          </w:r>
          <w:hyperlink w:anchor="__RefHeading___Toc518036181">
            <w:r>
              <w:rPr>
                <w:rStyle w:val="IndexLink"/>
              </w:rPr>
              <w:t>301</w:t>
            </w:r>
          </w:hyperlink>
        </w:p>
        <w:p>
          <w:pPr>
            <w:pStyle w:val="Contents1"/>
            <w:rPr>
              <w:rFonts w:ascii="Calibri" w:hAnsi="Calibri" w:cs="Calibri"/>
              <w:szCs w:val="22"/>
              <w:lang w:val="en-US" w:eastAsia="en-US"/>
            </w:rPr>
          </w:pPr>
          <w:r>
            <w:rPr/>
            <w:t>ZA.1</w:t>
          </w:r>
          <w:r>
            <w:rPr>
              <w:rFonts w:cs="Calibri" w:ascii="Calibri" w:hAnsi="Calibri"/>
              <w:szCs w:val="22"/>
              <w:lang w:val="en-US" w:eastAsia="en-US"/>
            </w:rPr>
            <w:tab/>
          </w:r>
          <w:r>
            <w:rPr/>
            <w:t>Introduction</w:t>
            <w:tab/>
          </w:r>
          <w:hyperlink w:anchor="__RefHeading___Toc518036182">
            <w:r>
              <w:rPr>
                <w:rStyle w:val="IndexLink"/>
              </w:rPr>
              <w:t>301</w:t>
            </w:r>
          </w:hyperlink>
        </w:p>
        <w:p>
          <w:pPr>
            <w:pStyle w:val="Contents1"/>
            <w:rPr>
              <w:rFonts w:ascii="Calibri" w:hAnsi="Calibri" w:cs="Calibri"/>
              <w:szCs w:val="22"/>
              <w:lang w:val="en-US" w:eastAsia="en-US"/>
            </w:rPr>
          </w:pPr>
          <w:r>
            <w:rPr/>
            <w:t>ZA.2</w:t>
          </w:r>
          <w:r>
            <w:rPr>
              <w:rFonts w:cs="Calibri" w:ascii="Calibri" w:hAnsi="Calibri"/>
              <w:szCs w:val="22"/>
              <w:lang w:val="en-US" w:eastAsia="en-US"/>
            </w:rPr>
            <w:tab/>
          </w:r>
          <w:r>
            <w:rPr/>
            <w:t>Coexistence scenario study</w:t>
            <w:tab/>
          </w:r>
          <w:hyperlink w:anchor="__RefHeading___Toc518036183">
            <w:r>
              <w:rPr>
                <w:rStyle w:val="IndexLink"/>
              </w:rPr>
              <w:t>301</w:t>
            </w:r>
          </w:hyperlink>
        </w:p>
        <w:p>
          <w:pPr>
            <w:pStyle w:val="Contents2"/>
            <w:rPr>
              <w:rFonts w:ascii="Calibri" w:hAnsi="Calibri" w:cs="Calibri"/>
              <w:sz w:val="22"/>
              <w:szCs w:val="22"/>
              <w:lang w:val="en-US" w:eastAsia="en-US"/>
            </w:rPr>
          </w:pPr>
          <w:r>
            <w:rPr/>
            <w:t>ZA.2.1</w:t>
          </w:r>
          <w:r>
            <w:rPr>
              <w:rFonts w:cs="Calibri" w:ascii="Calibri" w:hAnsi="Calibri"/>
              <w:sz w:val="22"/>
              <w:szCs w:val="22"/>
            </w:rPr>
            <w:tab/>
          </w:r>
          <w:r>
            <w:rPr>
              <w:lang w:val="en-US" w:eastAsia="en-US"/>
            </w:rPr>
            <w:t>T-GSM 810-iDEN</w:t>
          </w:r>
          <w:r>
            <w:rPr>
              <w:vertAlign w:val="superscript"/>
              <w:lang w:val="en-US" w:eastAsia="en-US"/>
            </w:rPr>
            <w:t>TM</w:t>
          </w:r>
          <w:r>
            <w:rPr/>
            <w:tab/>
          </w:r>
          <w:hyperlink w:anchor="__RefHeading___Toc518036184">
            <w:r>
              <w:rPr>
                <w:rStyle w:val="IndexLink"/>
              </w:rPr>
              <w:t>302</w:t>
            </w:r>
          </w:hyperlink>
        </w:p>
        <w:p>
          <w:pPr>
            <w:pStyle w:val="Contents3"/>
            <w:rPr>
              <w:rFonts w:ascii="Calibri" w:hAnsi="Calibri" w:cs="Calibri"/>
              <w:sz w:val="22"/>
              <w:szCs w:val="22"/>
              <w:lang w:val="en-US" w:eastAsia="en-US"/>
            </w:rPr>
          </w:pPr>
          <w:r>
            <w:rPr/>
            <w:t>ZA.2.1.1</w:t>
          </w:r>
          <w:r>
            <w:rPr>
              <w:rFonts w:cs="Calibri" w:ascii="Calibri" w:hAnsi="Calibri"/>
              <w:sz w:val="22"/>
              <w:szCs w:val="22"/>
            </w:rPr>
            <w:tab/>
          </w:r>
          <w:r>
            <w:rPr>
              <w:lang w:val="en-US" w:eastAsia="en-US"/>
            </w:rPr>
            <w:t>Downlink study</w:t>
          </w:r>
          <w:r>
            <w:rPr/>
            <w:tab/>
          </w:r>
          <w:hyperlink w:anchor="__RefHeading___Toc518036185">
            <w:r>
              <w:rPr>
                <w:rStyle w:val="IndexLink"/>
              </w:rPr>
              <w:t>302</w:t>
            </w:r>
          </w:hyperlink>
        </w:p>
        <w:p>
          <w:pPr>
            <w:pStyle w:val="Contents3"/>
            <w:rPr>
              <w:rFonts w:ascii="Calibri" w:hAnsi="Calibri" w:cs="Calibri"/>
              <w:sz w:val="22"/>
              <w:szCs w:val="22"/>
              <w:lang w:val="en-US" w:eastAsia="en-US"/>
            </w:rPr>
          </w:pPr>
          <w:r>
            <w:rPr/>
            <w:t>ZA.2.1.2</w:t>
          </w:r>
          <w:r>
            <w:rPr>
              <w:rFonts w:cs="Calibri" w:ascii="Calibri" w:hAnsi="Calibri"/>
              <w:sz w:val="22"/>
              <w:szCs w:val="22"/>
            </w:rPr>
            <w:tab/>
          </w:r>
          <w:r>
            <w:rPr>
              <w:lang w:val="en-US" w:eastAsia="en-US"/>
            </w:rPr>
            <w:t>Uplink study</w:t>
          </w:r>
          <w:r>
            <w:rPr/>
            <w:tab/>
          </w:r>
          <w:hyperlink w:anchor="__RefHeading___Toc518036186">
            <w:r>
              <w:rPr>
                <w:rStyle w:val="IndexLink"/>
              </w:rPr>
              <w:t>302</w:t>
            </w:r>
          </w:hyperlink>
        </w:p>
        <w:p>
          <w:pPr>
            <w:pStyle w:val="Contents2"/>
            <w:rPr>
              <w:rFonts w:ascii="Calibri" w:hAnsi="Calibri" w:cs="Calibri"/>
              <w:sz w:val="22"/>
              <w:szCs w:val="22"/>
              <w:lang w:val="en-US" w:eastAsia="en-US"/>
            </w:rPr>
          </w:pPr>
          <w:r>
            <w:rPr/>
            <w:t>ZA.2.2</w:t>
          </w:r>
          <w:r>
            <w:rPr>
              <w:rFonts w:cs="Calibri" w:ascii="Calibri" w:hAnsi="Calibri"/>
              <w:sz w:val="22"/>
              <w:szCs w:val="22"/>
            </w:rPr>
            <w:tab/>
          </w:r>
          <w:r>
            <w:rPr>
              <w:lang w:val="en-US" w:eastAsia="en-US"/>
            </w:rPr>
            <w:t>T-GSM 810-TETRA</w:t>
          </w:r>
          <w:r>
            <w:rPr/>
            <w:tab/>
          </w:r>
          <w:hyperlink w:anchor="__RefHeading___Toc518036187">
            <w:r>
              <w:rPr>
                <w:rStyle w:val="IndexLink"/>
              </w:rPr>
              <w:t>303</w:t>
            </w:r>
          </w:hyperlink>
        </w:p>
        <w:p>
          <w:pPr>
            <w:pStyle w:val="Contents3"/>
            <w:rPr>
              <w:rFonts w:ascii="Calibri" w:hAnsi="Calibri" w:cs="Calibri"/>
              <w:sz w:val="22"/>
              <w:szCs w:val="22"/>
              <w:lang w:val="en-US" w:eastAsia="en-US"/>
            </w:rPr>
          </w:pPr>
          <w:r>
            <w:rPr/>
            <w:t>ZA.2.2.1</w:t>
          </w:r>
          <w:r>
            <w:rPr>
              <w:rFonts w:cs="Calibri" w:ascii="Calibri" w:hAnsi="Calibri"/>
              <w:sz w:val="22"/>
              <w:szCs w:val="22"/>
            </w:rPr>
            <w:tab/>
          </w:r>
          <w:r>
            <w:rPr>
              <w:lang w:val="en-US" w:eastAsia="en-US"/>
            </w:rPr>
            <w:t>Downlink study</w:t>
          </w:r>
          <w:r>
            <w:rPr/>
            <w:tab/>
          </w:r>
          <w:hyperlink w:anchor="__RefHeading___Toc518036188">
            <w:r>
              <w:rPr>
                <w:rStyle w:val="IndexLink"/>
              </w:rPr>
              <w:t>303</w:t>
            </w:r>
          </w:hyperlink>
        </w:p>
        <w:p>
          <w:pPr>
            <w:pStyle w:val="Contents3"/>
            <w:rPr>
              <w:rFonts w:ascii="Calibri" w:hAnsi="Calibri" w:cs="Calibri"/>
              <w:sz w:val="22"/>
              <w:szCs w:val="22"/>
              <w:lang w:val="en-US" w:eastAsia="en-US"/>
            </w:rPr>
          </w:pPr>
          <w:r>
            <w:rPr/>
            <w:t>ZA.2.2.2</w:t>
          </w:r>
          <w:r>
            <w:rPr>
              <w:rFonts w:cs="Calibri" w:ascii="Calibri" w:hAnsi="Calibri"/>
              <w:sz w:val="22"/>
              <w:szCs w:val="22"/>
            </w:rPr>
            <w:tab/>
          </w:r>
          <w:r>
            <w:rPr>
              <w:lang w:val="en-US" w:eastAsia="en-US"/>
            </w:rPr>
            <w:t>Uplink study</w:t>
          </w:r>
          <w:r>
            <w:rPr/>
            <w:tab/>
          </w:r>
          <w:hyperlink w:anchor="__RefHeading___Toc518036189">
            <w:r>
              <w:rPr>
                <w:rStyle w:val="IndexLink"/>
              </w:rPr>
              <w:t>303</w:t>
            </w:r>
          </w:hyperlink>
        </w:p>
        <w:p>
          <w:pPr>
            <w:pStyle w:val="Contents2"/>
            <w:rPr>
              <w:rFonts w:ascii="Calibri" w:hAnsi="Calibri" w:cs="Calibri"/>
              <w:sz w:val="22"/>
              <w:szCs w:val="22"/>
              <w:lang w:val="en-US" w:eastAsia="en-US"/>
            </w:rPr>
          </w:pPr>
          <w:r>
            <w:rPr/>
            <w:t>ZA.2.3</w:t>
          </w:r>
          <w:r>
            <w:rPr>
              <w:rFonts w:cs="Calibri" w:ascii="Calibri" w:hAnsi="Calibri"/>
              <w:sz w:val="22"/>
              <w:szCs w:val="22"/>
              <w:lang w:val="en-US" w:eastAsia="en-US"/>
            </w:rPr>
            <w:tab/>
          </w:r>
          <w:r>
            <w:rPr/>
            <w:t>T-GSM 810-T-CDMA</w:t>
            <w:tab/>
          </w:r>
          <w:hyperlink w:anchor="__RefHeading___Toc518036190">
            <w:r>
              <w:rPr>
                <w:rStyle w:val="IndexLink"/>
              </w:rPr>
              <w:t>304</w:t>
            </w:r>
          </w:hyperlink>
        </w:p>
        <w:p>
          <w:pPr>
            <w:pStyle w:val="Contents3"/>
            <w:rPr>
              <w:rFonts w:ascii="Calibri" w:hAnsi="Calibri" w:cs="Calibri"/>
              <w:sz w:val="22"/>
              <w:szCs w:val="22"/>
              <w:lang w:val="en-US" w:eastAsia="en-US"/>
            </w:rPr>
          </w:pPr>
          <w:r>
            <w:rPr/>
            <w:t>ZA.2.3.1</w:t>
          </w:r>
          <w:r>
            <w:rPr>
              <w:rFonts w:cs="Calibri" w:ascii="Calibri" w:hAnsi="Calibri"/>
              <w:sz w:val="22"/>
              <w:szCs w:val="22"/>
            </w:rPr>
            <w:tab/>
          </w:r>
          <w:r>
            <w:rPr>
              <w:lang w:val="en-US" w:eastAsia="en-US"/>
            </w:rPr>
            <w:t>Downlink study</w:t>
          </w:r>
          <w:r>
            <w:rPr/>
            <w:tab/>
          </w:r>
          <w:hyperlink w:anchor="__RefHeading___Toc518036191">
            <w:r>
              <w:rPr>
                <w:rStyle w:val="IndexLink"/>
              </w:rPr>
              <w:t>304</w:t>
            </w:r>
          </w:hyperlink>
        </w:p>
        <w:p>
          <w:pPr>
            <w:pStyle w:val="Contents3"/>
            <w:rPr>
              <w:rFonts w:ascii="Calibri" w:hAnsi="Calibri" w:cs="Calibri"/>
              <w:sz w:val="22"/>
              <w:szCs w:val="22"/>
              <w:lang w:val="en-US" w:eastAsia="en-US"/>
            </w:rPr>
          </w:pPr>
          <w:r>
            <w:rPr/>
            <w:t>ZA.2.3.2</w:t>
          </w:r>
          <w:r>
            <w:rPr>
              <w:rFonts w:cs="Calibri" w:ascii="Calibri" w:hAnsi="Calibri"/>
              <w:sz w:val="22"/>
              <w:szCs w:val="22"/>
            </w:rPr>
            <w:tab/>
          </w:r>
          <w:r>
            <w:rPr>
              <w:lang w:val="en-US" w:eastAsia="en-US"/>
            </w:rPr>
            <w:t>Uplink study</w:t>
          </w:r>
          <w:r>
            <w:rPr/>
            <w:tab/>
          </w:r>
          <w:hyperlink w:anchor="__RefHeading___Toc518036192">
            <w:r>
              <w:rPr>
                <w:rStyle w:val="IndexLink"/>
              </w:rPr>
              <w:t>305</w:t>
            </w:r>
          </w:hyperlink>
        </w:p>
        <w:p>
          <w:pPr>
            <w:pStyle w:val="Contents1"/>
            <w:rPr>
              <w:rFonts w:ascii="Calibri" w:hAnsi="Calibri" w:cs="Calibri"/>
              <w:szCs w:val="22"/>
              <w:lang w:val="en-US" w:eastAsia="en-US"/>
            </w:rPr>
          </w:pPr>
          <w:r>
            <w:rPr/>
            <w:t>ZA.3</w:t>
          </w:r>
          <w:r>
            <w:rPr>
              <w:rFonts w:cs="Calibri" w:ascii="Calibri" w:hAnsi="Calibri"/>
              <w:szCs w:val="22"/>
              <w:lang w:val="en-US" w:eastAsia="en-US"/>
            </w:rPr>
            <w:tab/>
          </w:r>
          <w:r>
            <w:rPr/>
            <w:t>Conclusion</w:t>
            <w:tab/>
          </w:r>
          <w:hyperlink w:anchor="__RefHeading___Toc518036193">
            <w:r>
              <w:rPr>
                <w:rStyle w:val="IndexLink"/>
              </w:rPr>
              <w:t>305</w:t>
            </w:r>
          </w:hyperlink>
        </w:p>
        <w:p>
          <w:pPr>
            <w:pStyle w:val="Contents1"/>
            <w:rPr>
              <w:rFonts w:ascii="Calibri" w:hAnsi="Calibri" w:cs="Calibri"/>
              <w:szCs w:val="22"/>
              <w:lang w:val="en-US" w:eastAsia="en-US"/>
            </w:rPr>
          </w:pPr>
          <w:r>
            <w:rPr/>
            <w:t>ZA.4</w:t>
          </w:r>
          <w:r>
            <w:rPr>
              <w:rFonts w:cs="Calibri" w:ascii="Calibri" w:hAnsi="Calibri"/>
              <w:szCs w:val="22"/>
              <w:lang w:val="en-US" w:eastAsia="en-US"/>
            </w:rPr>
            <w:tab/>
          </w:r>
          <w:r>
            <w:rPr/>
            <w:t>System parameters</w:t>
            <w:tab/>
          </w:r>
          <w:hyperlink w:anchor="__RefHeading___Toc518036194">
            <w:r>
              <w:rPr>
                <w:rStyle w:val="IndexLink"/>
              </w:rPr>
              <w:t>305</w:t>
            </w:r>
          </w:hyperlink>
        </w:p>
        <w:p>
          <w:pPr>
            <w:pStyle w:val="Contents1"/>
            <w:rPr>
              <w:rFonts w:ascii="Calibri" w:hAnsi="Calibri" w:cs="Calibri"/>
              <w:szCs w:val="22"/>
              <w:lang w:val="en-US" w:eastAsia="en-US"/>
            </w:rPr>
          </w:pPr>
          <w:r>
            <w:rPr/>
            <w:t>ZA.5</w:t>
          </w:r>
          <w:r>
            <w:rPr>
              <w:rFonts w:cs="Calibri" w:ascii="Calibri" w:hAnsi="Calibri"/>
              <w:szCs w:val="22"/>
              <w:lang w:val="en-US" w:eastAsia="en-US"/>
            </w:rPr>
            <w:tab/>
          </w:r>
          <w:r>
            <w:rPr/>
            <w:t>References</w:t>
            <w:tab/>
          </w:r>
          <w:hyperlink w:anchor="__RefHeading___Toc518036195">
            <w:r>
              <w:rPr>
                <w:rStyle w:val="IndexLink"/>
              </w:rPr>
              <w:t>306</w:t>
            </w:r>
          </w:hyperlink>
        </w:p>
        <w:p>
          <w:pPr>
            <w:pStyle w:val="Contents9"/>
            <w:rPr>
              <w:rFonts w:ascii="Calibri" w:hAnsi="Calibri" w:cs="Calibri"/>
              <w:b w:val="false"/>
              <w:b w:val="false"/>
              <w:szCs w:val="22"/>
              <w:lang w:val="en-US" w:eastAsia="en-US"/>
            </w:rPr>
          </w:pPr>
          <w:r>
            <w:rPr/>
            <w:t>Annex ZB:</w:t>
            <w:tab/>
            <w:t>Introduction of multicarrier BTS class</w:t>
            <w:tab/>
          </w:r>
          <w:hyperlink w:anchor="__RefHeading___Toc518036196">
            <w:r>
              <w:rPr>
                <w:rStyle w:val="IndexLink"/>
              </w:rPr>
              <w:t>307</w:t>
            </w:r>
          </w:hyperlink>
        </w:p>
        <w:p>
          <w:pPr>
            <w:pStyle w:val="Contents1"/>
            <w:rPr>
              <w:rFonts w:ascii="Calibri" w:hAnsi="Calibri" w:cs="Calibri"/>
              <w:szCs w:val="22"/>
              <w:lang w:val="en-US" w:eastAsia="en-US"/>
            </w:rPr>
          </w:pPr>
          <w:r>
            <w:rPr/>
            <w:t>ZB.1</w:t>
          </w:r>
          <w:r>
            <w:rPr>
              <w:rFonts w:cs="Calibri" w:ascii="Calibri" w:hAnsi="Calibri"/>
              <w:szCs w:val="22"/>
              <w:lang w:val="en-US" w:eastAsia="en-US"/>
            </w:rPr>
            <w:tab/>
          </w:r>
          <w:r>
            <w:rPr/>
            <w:t>Introduction</w:t>
            <w:tab/>
          </w:r>
          <w:hyperlink w:anchor="__RefHeading___Toc518036197">
            <w:r>
              <w:rPr>
                <w:rStyle w:val="IndexLink"/>
              </w:rPr>
              <w:t>307</w:t>
            </w:r>
          </w:hyperlink>
        </w:p>
        <w:p>
          <w:pPr>
            <w:pStyle w:val="Contents1"/>
            <w:rPr>
              <w:rFonts w:ascii="Calibri" w:hAnsi="Calibri" w:cs="Calibri"/>
              <w:szCs w:val="22"/>
              <w:lang w:val="en-US" w:eastAsia="en-US"/>
            </w:rPr>
          </w:pPr>
          <w:r>
            <w:rPr/>
            <w:t>ZB.2</w:t>
          </w:r>
          <w:r>
            <w:rPr>
              <w:rFonts w:cs="Calibri" w:ascii="Calibri" w:hAnsi="Calibri"/>
              <w:szCs w:val="22"/>
              <w:lang w:val="en-US" w:eastAsia="en-US"/>
            </w:rPr>
            <w:tab/>
          </w:r>
          <w:r>
            <w:rPr/>
            <w:t>Transmitter</w:t>
            <w:tab/>
          </w:r>
          <w:hyperlink w:anchor="__RefHeading___Toc518036198">
            <w:r>
              <w:rPr>
                <w:rStyle w:val="IndexLink"/>
              </w:rPr>
              <w:t>307</w:t>
            </w:r>
          </w:hyperlink>
        </w:p>
        <w:p>
          <w:pPr>
            <w:pStyle w:val="Contents2"/>
            <w:rPr>
              <w:rFonts w:ascii="Calibri" w:hAnsi="Calibri" w:cs="Calibri"/>
              <w:sz w:val="22"/>
              <w:szCs w:val="22"/>
              <w:lang w:val="en-US" w:eastAsia="en-US"/>
            </w:rPr>
          </w:pPr>
          <w:r>
            <w:rPr/>
            <w:t>ZB.2.1</w:t>
          </w:r>
          <w:r>
            <w:rPr>
              <w:rFonts w:cs="Calibri" w:ascii="Calibri" w:hAnsi="Calibri"/>
              <w:sz w:val="22"/>
              <w:szCs w:val="22"/>
              <w:lang w:val="en-US" w:eastAsia="en-US"/>
            </w:rPr>
            <w:tab/>
          </w:r>
          <w:r>
            <w:rPr/>
            <w:t>Introduction</w:t>
            <w:tab/>
          </w:r>
          <w:hyperlink w:anchor="__RefHeading___Toc518036199">
            <w:r>
              <w:rPr>
                <w:rStyle w:val="IndexLink"/>
              </w:rPr>
              <w:t>307</w:t>
            </w:r>
          </w:hyperlink>
        </w:p>
        <w:p>
          <w:pPr>
            <w:pStyle w:val="Contents2"/>
            <w:rPr>
              <w:rFonts w:ascii="Calibri" w:hAnsi="Calibri" w:cs="Calibri"/>
              <w:sz w:val="22"/>
              <w:szCs w:val="22"/>
              <w:lang w:val="en-US" w:eastAsia="en-US"/>
            </w:rPr>
          </w:pPr>
          <w:r>
            <w:rPr/>
            <w:t>ZB.2.2</w:t>
          </w:r>
          <w:r>
            <w:rPr>
              <w:rFonts w:cs="Calibri" w:ascii="Calibri" w:hAnsi="Calibri"/>
              <w:sz w:val="22"/>
              <w:szCs w:val="22"/>
              <w:lang w:val="en-US" w:eastAsia="en-US"/>
            </w:rPr>
            <w:tab/>
          </w:r>
          <w:r>
            <w:rPr/>
            <w:t>Proposal for relaxation and change</w:t>
            <w:tab/>
          </w:r>
          <w:hyperlink w:anchor="__RefHeading___Toc518036200">
            <w:r>
              <w:rPr>
                <w:rStyle w:val="IndexLink"/>
              </w:rPr>
              <w:t>308</w:t>
            </w:r>
          </w:hyperlink>
        </w:p>
        <w:p>
          <w:pPr>
            <w:pStyle w:val="Contents3"/>
            <w:rPr>
              <w:rFonts w:ascii="Calibri" w:hAnsi="Calibri" w:cs="Calibri"/>
              <w:sz w:val="22"/>
              <w:szCs w:val="22"/>
              <w:lang w:val="en-US" w:eastAsia="en-US"/>
            </w:rPr>
          </w:pPr>
          <w:r>
            <w:rPr/>
            <w:t>ZB.2.2.1</w:t>
          </w:r>
          <w:r>
            <w:rPr>
              <w:rFonts w:cs="Calibri" w:ascii="Calibri" w:hAnsi="Calibri"/>
              <w:sz w:val="22"/>
              <w:szCs w:val="22"/>
            </w:rPr>
            <w:tab/>
          </w:r>
          <w:r>
            <w:rPr>
              <w:lang w:val="en-US" w:eastAsia="en-US"/>
            </w:rPr>
            <w:t>Introduction of MCBTS class 1 and class 2</w:t>
          </w:r>
          <w:r>
            <w:rPr/>
            <w:tab/>
          </w:r>
          <w:hyperlink w:anchor="__RefHeading___Toc518036201">
            <w:r>
              <w:rPr>
                <w:rStyle w:val="IndexLink"/>
              </w:rPr>
              <w:t>308</w:t>
            </w:r>
          </w:hyperlink>
        </w:p>
        <w:p>
          <w:pPr>
            <w:pStyle w:val="Contents3"/>
            <w:rPr>
              <w:rFonts w:ascii="Calibri" w:hAnsi="Calibri" w:cs="Calibri"/>
              <w:sz w:val="22"/>
              <w:szCs w:val="22"/>
              <w:lang w:val="en-US" w:eastAsia="en-US"/>
            </w:rPr>
          </w:pPr>
          <w:r>
            <w:rPr/>
            <w:t>ZB.2.2.2</w:t>
          </w:r>
          <w:r>
            <w:rPr>
              <w:rFonts w:cs="Calibri" w:ascii="Calibri" w:hAnsi="Calibri"/>
              <w:sz w:val="22"/>
              <w:szCs w:val="22"/>
            </w:rPr>
            <w:tab/>
          </w:r>
          <w:r>
            <w:rPr>
              <w:lang w:val="en-US" w:eastAsia="en-US"/>
            </w:rPr>
            <w:t>Spectrum due to modulation and wideband noise</w:t>
          </w:r>
          <w:r>
            <w:rPr/>
            <w:tab/>
          </w:r>
          <w:hyperlink w:anchor="__RefHeading___Toc518036202">
            <w:r>
              <w:rPr>
                <w:rStyle w:val="IndexLink"/>
              </w:rPr>
              <w:t>308</w:t>
            </w:r>
          </w:hyperlink>
        </w:p>
        <w:p>
          <w:pPr>
            <w:pStyle w:val="Contents3"/>
            <w:rPr>
              <w:rFonts w:ascii="Calibri" w:hAnsi="Calibri" w:cs="Calibri"/>
              <w:sz w:val="22"/>
              <w:szCs w:val="22"/>
              <w:lang w:val="en-US" w:eastAsia="en-US"/>
            </w:rPr>
          </w:pPr>
          <w:r>
            <w:rPr/>
            <w:t>ZB.2.2.3</w:t>
          </w:r>
          <w:r>
            <w:rPr>
              <w:rFonts w:cs="Calibri" w:ascii="Calibri" w:hAnsi="Calibri"/>
              <w:sz w:val="22"/>
              <w:szCs w:val="22"/>
            </w:rPr>
            <w:tab/>
          </w:r>
          <w:r>
            <w:rPr>
              <w:lang w:val="en-US" w:eastAsia="en-US"/>
            </w:rPr>
            <w:t>Spurious emission</w:t>
          </w:r>
          <w:r>
            <w:rPr/>
            <w:tab/>
          </w:r>
          <w:hyperlink w:anchor="__RefHeading___Toc518036203">
            <w:r>
              <w:rPr>
                <w:rStyle w:val="IndexLink"/>
              </w:rPr>
              <w:t>308</w:t>
            </w:r>
          </w:hyperlink>
        </w:p>
        <w:p>
          <w:pPr>
            <w:pStyle w:val="Contents3"/>
            <w:rPr>
              <w:rFonts w:ascii="Calibri" w:hAnsi="Calibri" w:cs="Calibri"/>
              <w:sz w:val="22"/>
              <w:szCs w:val="22"/>
              <w:lang w:val="en-US" w:eastAsia="en-US"/>
            </w:rPr>
          </w:pPr>
          <w:r>
            <w:rPr/>
            <w:t>ZB.2.2.4</w:t>
          </w:r>
          <w:r>
            <w:rPr>
              <w:rFonts w:cs="Calibri" w:ascii="Calibri" w:hAnsi="Calibri"/>
              <w:sz w:val="22"/>
              <w:szCs w:val="22"/>
            </w:rPr>
            <w:tab/>
          </w:r>
          <w:r>
            <w:rPr>
              <w:lang w:val="en-US" w:eastAsia="en-US"/>
            </w:rPr>
            <w:t>BSS Intermodulation attenuation</w:t>
          </w:r>
          <w:r>
            <w:rPr/>
            <w:tab/>
          </w:r>
          <w:hyperlink w:anchor="__RefHeading___Toc518036204">
            <w:r>
              <w:rPr>
                <w:rStyle w:val="IndexLink"/>
              </w:rPr>
              <w:t>309</w:t>
            </w:r>
          </w:hyperlink>
        </w:p>
        <w:p>
          <w:pPr>
            <w:pStyle w:val="Contents2"/>
            <w:rPr>
              <w:rFonts w:ascii="Calibri" w:hAnsi="Calibri" w:cs="Calibri"/>
              <w:sz w:val="22"/>
              <w:szCs w:val="22"/>
              <w:lang w:val="en-US" w:eastAsia="en-US"/>
            </w:rPr>
          </w:pPr>
          <w:r>
            <w:rPr/>
            <w:t>ZB.2.3</w:t>
          </w:r>
          <w:r>
            <w:rPr>
              <w:rFonts w:cs="Calibri" w:ascii="Calibri" w:hAnsi="Calibri"/>
              <w:sz w:val="22"/>
              <w:szCs w:val="22"/>
            </w:rPr>
            <w:tab/>
          </w:r>
          <w:r>
            <w:rPr>
              <w:lang w:val="en-US" w:eastAsia="en-US"/>
            </w:rPr>
            <w:t>Simulation results</w:t>
          </w:r>
          <w:r>
            <w:rPr/>
            <w:tab/>
          </w:r>
          <w:hyperlink w:anchor="__RefHeading___Toc518036205">
            <w:r>
              <w:rPr>
                <w:rStyle w:val="IndexLink"/>
              </w:rPr>
              <w:t>309</w:t>
            </w:r>
          </w:hyperlink>
        </w:p>
        <w:p>
          <w:pPr>
            <w:pStyle w:val="Contents2"/>
            <w:rPr>
              <w:rFonts w:ascii="Calibri" w:hAnsi="Calibri" w:cs="Calibri"/>
              <w:sz w:val="22"/>
              <w:szCs w:val="22"/>
              <w:lang w:val="en-US" w:eastAsia="en-US"/>
            </w:rPr>
          </w:pPr>
          <w:r>
            <w:rPr/>
            <w:t>ZB.2.4</w:t>
          </w:r>
          <w:r>
            <w:rPr>
              <w:rFonts w:cs="Calibri" w:ascii="Calibri" w:hAnsi="Calibri"/>
              <w:sz w:val="22"/>
              <w:szCs w:val="22"/>
              <w:lang w:val="en-US" w:eastAsia="en-US"/>
            </w:rPr>
            <w:tab/>
          </w:r>
          <w:r>
            <w:rPr/>
            <w:t>Impact to GSM-R due to relaxation</w:t>
            <w:tab/>
          </w:r>
          <w:hyperlink w:anchor="__RefHeading___Toc518036206">
            <w:r>
              <w:rPr>
                <w:rStyle w:val="IndexLink"/>
              </w:rPr>
              <w:t>317</w:t>
            </w:r>
          </w:hyperlink>
        </w:p>
        <w:p>
          <w:pPr>
            <w:pStyle w:val="Contents1"/>
            <w:rPr>
              <w:rFonts w:ascii="Calibri" w:hAnsi="Calibri" w:cs="Calibri"/>
              <w:szCs w:val="22"/>
              <w:lang w:val="en-US" w:eastAsia="en-US"/>
            </w:rPr>
          </w:pPr>
          <w:r>
            <w:rPr/>
            <w:t>ZB.3</w:t>
          </w:r>
          <w:r>
            <w:rPr>
              <w:rFonts w:cs="Calibri" w:ascii="Calibri" w:hAnsi="Calibri"/>
              <w:szCs w:val="22"/>
              <w:lang w:val="en-US" w:eastAsia="en-US"/>
            </w:rPr>
            <w:tab/>
          </w:r>
          <w:r>
            <w:rPr/>
            <w:t>Receiver</w:t>
            <w:tab/>
          </w:r>
          <w:hyperlink w:anchor="__RefHeading___Toc518036207">
            <w:r>
              <w:rPr>
                <w:rStyle w:val="IndexLink"/>
              </w:rPr>
              <w:t>317</w:t>
            </w:r>
          </w:hyperlink>
        </w:p>
        <w:p>
          <w:pPr>
            <w:pStyle w:val="Contents2"/>
            <w:rPr>
              <w:rFonts w:ascii="Calibri" w:hAnsi="Calibri" w:cs="Calibri"/>
              <w:sz w:val="22"/>
              <w:szCs w:val="22"/>
              <w:lang w:val="en-US" w:eastAsia="en-US"/>
            </w:rPr>
          </w:pPr>
          <w:r>
            <w:rPr/>
            <w:t>ZB.3.1</w:t>
          </w:r>
          <w:r>
            <w:rPr>
              <w:rFonts w:cs="Calibri" w:ascii="Calibri" w:hAnsi="Calibri"/>
              <w:sz w:val="22"/>
              <w:szCs w:val="22"/>
              <w:lang w:val="en-US" w:eastAsia="en-US"/>
            </w:rPr>
            <w:tab/>
          </w:r>
          <w:r>
            <w:rPr/>
            <w:t>Proposal for the relaxation</w:t>
            <w:tab/>
          </w:r>
          <w:hyperlink w:anchor="__RefHeading___Toc518036208">
            <w:r>
              <w:rPr>
                <w:rStyle w:val="IndexLink"/>
              </w:rPr>
              <w:t>317</w:t>
            </w:r>
          </w:hyperlink>
        </w:p>
        <w:p>
          <w:pPr>
            <w:pStyle w:val="Contents2"/>
            <w:rPr>
              <w:rFonts w:ascii="Calibri" w:hAnsi="Calibri" w:cs="Calibri"/>
              <w:sz w:val="22"/>
              <w:szCs w:val="22"/>
              <w:lang w:val="en-US" w:eastAsia="en-US"/>
            </w:rPr>
          </w:pPr>
          <w:r>
            <w:rPr/>
            <w:t>ZB.3.</w:t>
          </w:r>
          <w:r>
            <w:rPr>
              <w:lang w:val="en-US" w:eastAsia="en-US"/>
            </w:rPr>
            <w:t>2</w:t>
          </w:r>
          <w:r>
            <w:rPr>
              <w:rFonts w:cs="Calibri" w:ascii="Calibri" w:hAnsi="Calibri"/>
              <w:sz w:val="22"/>
              <w:szCs w:val="22"/>
              <w:lang w:val="en-US" w:eastAsia="en-US"/>
            </w:rPr>
            <w:tab/>
          </w:r>
          <w:r>
            <w:rPr/>
            <w:t>Treatment of receive levels exceeding the new blocking limit</w:t>
            <w:tab/>
          </w:r>
          <w:hyperlink w:anchor="__RefHeading___Toc518036209">
            <w:r>
              <w:rPr>
                <w:rStyle w:val="IndexLink"/>
              </w:rPr>
              <w:t>318</w:t>
            </w:r>
          </w:hyperlink>
        </w:p>
        <w:p>
          <w:pPr>
            <w:pStyle w:val="Contents3"/>
            <w:rPr>
              <w:rFonts w:ascii="Calibri" w:hAnsi="Calibri" w:cs="Calibri"/>
              <w:sz w:val="22"/>
              <w:szCs w:val="22"/>
              <w:lang w:val="en-US" w:eastAsia="en-US"/>
            </w:rPr>
          </w:pPr>
          <w:r>
            <w:rPr/>
            <w:t>ZB.3.</w:t>
          </w:r>
          <w:r>
            <w:rPr>
              <w:lang w:val="en-US" w:eastAsia="en-US"/>
            </w:rPr>
            <w:t>2</w:t>
          </w:r>
          <w:r>
            <w:rPr/>
            <w:t>.</w:t>
          </w:r>
          <w:r>
            <w:rPr>
              <w:lang w:val="en-US" w:eastAsia="en-US"/>
            </w:rPr>
            <w:t>1</w:t>
          </w:r>
          <w:r>
            <w:rPr>
              <w:rFonts w:cs="Calibri" w:ascii="Calibri" w:hAnsi="Calibri"/>
              <w:sz w:val="22"/>
              <w:szCs w:val="22"/>
              <w:lang w:val="en-US" w:eastAsia="en-US"/>
            </w:rPr>
            <w:tab/>
          </w:r>
          <w:r>
            <w:rPr/>
            <w:t>Simulation results</w:t>
            <w:tab/>
          </w:r>
          <w:hyperlink w:anchor="__RefHeading___Toc518036210">
            <w:r>
              <w:rPr>
                <w:rStyle w:val="IndexLink"/>
              </w:rPr>
              <w:t>318</w:t>
            </w:r>
          </w:hyperlink>
        </w:p>
        <w:p>
          <w:pPr>
            <w:pStyle w:val="Contents3"/>
            <w:rPr>
              <w:rFonts w:ascii="Calibri" w:hAnsi="Calibri" w:cs="Calibri"/>
              <w:sz w:val="22"/>
              <w:szCs w:val="22"/>
              <w:lang w:val="en-US" w:eastAsia="en-US"/>
            </w:rPr>
          </w:pPr>
          <w:r>
            <w:rPr/>
            <w:t>ZB.3.</w:t>
          </w:r>
          <w:r>
            <w:rPr>
              <w:lang w:val="en-US" w:eastAsia="en-US"/>
            </w:rPr>
            <w:t>2</w:t>
          </w:r>
          <w:r>
            <w:rPr/>
            <w:t>.</w:t>
          </w:r>
          <w:r>
            <w:rPr>
              <w:lang w:val="en-US" w:eastAsia="en-US"/>
            </w:rPr>
            <w:t>2</w:t>
          </w:r>
          <w:r>
            <w:rPr>
              <w:rFonts w:cs="Calibri" w:ascii="Calibri" w:hAnsi="Calibri"/>
              <w:sz w:val="22"/>
              <w:szCs w:val="22"/>
              <w:lang w:val="en-US" w:eastAsia="en-US"/>
            </w:rPr>
            <w:tab/>
          </w:r>
          <w:r>
            <w:rPr/>
            <w:t>Conclusion</w:t>
            <w:tab/>
          </w:r>
          <w:hyperlink w:anchor="__RefHeading___Toc518036211">
            <w:r>
              <w:rPr>
                <w:rStyle w:val="IndexLink"/>
              </w:rPr>
              <w:t>320</w:t>
            </w:r>
          </w:hyperlink>
        </w:p>
        <w:p>
          <w:pPr>
            <w:pStyle w:val="Contents3"/>
            <w:rPr>
              <w:rFonts w:ascii="Calibri" w:hAnsi="Calibri" w:cs="Calibri"/>
              <w:sz w:val="22"/>
              <w:szCs w:val="22"/>
              <w:lang w:val="en-US" w:eastAsia="en-US"/>
            </w:rPr>
          </w:pPr>
          <w:r>
            <w:rPr/>
            <w:t>ZB.3.</w:t>
          </w:r>
          <w:r>
            <w:rPr>
              <w:lang w:val="en-US" w:eastAsia="en-US"/>
            </w:rPr>
            <w:t>2</w:t>
          </w:r>
          <w:r>
            <w:rPr/>
            <w:t>.</w:t>
          </w:r>
          <w:r>
            <w:rPr>
              <w:lang w:val="en-US" w:eastAsia="en-US"/>
            </w:rPr>
            <w:t>3</w:t>
          </w:r>
          <w:r>
            <w:rPr>
              <w:rFonts w:cs="Calibri" w:ascii="Calibri" w:hAnsi="Calibri"/>
              <w:sz w:val="22"/>
              <w:szCs w:val="22"/>
              <w:lang w:val="en-US" w:eastAsia="en-US"/>
            </w:rPr>
            <w:tab/>
          </w:r>
          <w:r>
            <w:rPr/>
            <w:t>Discussion</w:t>
            <w:tab/>
          </w:r>
          <w:hyperlink w:anchor="__RefHeading___Toc518036212">
            <w:r>
              <w:rPr>
                <w:rStyle w:val="IndexLink"/>
              </w:rPr>
              <w:t>321</w:t>
            </w:r>
          </w:hyperlink>
        </w:p>
        <w:p>
          <w:pPr>
            <w:pStyle w:val="Contents9"/>
            <w:rPr>
              <w:rFonts w:ascii="Calibri" w:hAnsi="Calibri" w:cs="Calibri"/>
              <w:b w:val="false"/>
              <w:b w:val="false"/>
              <w:szCs w:val="22"/>
              <w:lang w:val="en-US" w:eastAsia="en-US"/>
            </w:rPr>
          </w:pPr>
          <w:r>
            <w:rPr/>
            <w:t>Annex ZC:</w:t>
            <w:tab/>
            <w:t>Introduction of Medium Range and Local Area multicarrier BTS classes</w:t>
            <w:tab/>
          </w:r>
          <w:hyperlink w:anchor="__RefHeading___Toc518036213">
            <w:r>
              <w:rPr>
                <w:rStyle w:val="IndexLink"/>
              </w:rPr>
              <w:t>322</w:t>
            </w:r>
          </w:hyperlink>
        </w:p>
        <w:p>
          <w:pPr>
            <w:pStyle w:val="Contents1"/>
            <w:rPr>
              <w:rFonts w:ascii="Calibri" w:hAnsi="Calibri" w:cs="Calibri"/>
              <w:szCs w:val="22"/>
              <w:lang w:val="en-US" w:eastAsia="en-US"/>
            </w:rPr>
          </w:pPr>
          <w:r>
            <w:rPr/>
            <w:t>ZC.1</w:t>
          </w:r>
          <w:r>
            <w:rPr>
              <w:rFonts w:cs="Calibri" w:ascii="Calibri" w:hAnsi="Calibri"/>
              <w:szCs w:val="22"/>
              <w:lang w:val="en-US" w:eastAsia="en-US"/>
            </w:rPr>
            <w:tab/>
          </w:r>
          <w:r>
            <w:rPr/>
            <w:t>Introduction</w:t>
            <w:tab/>
          </w:r>
          <w:hyperlink w:anchor="__RefHeading___Toc518036214">
            <w:r>
              <w:rPr>
                <w:rStyle w:val="IndexLink"/>
              </w:rPr>
              <w:t>322</w:t>
            </w:r>
          </w:hyperlink>
        </w:p>
        <w:p>
          <w:pPr>
            <w:pStyle w:val="Contents1"/>
            <w:rPr>
              <w:rFonts w:ascii="Calibri" w:hAnsi="Calibri" w:cs="Calibri"/>
              <w:szCs w:val="22"/>
              <w:lang w:val="en-US" w:eastAsia="en-US"/>
            </w:rPr>
          </w:pPr>
          <w:r>
            <w:rPr/>
            <w:t>ZC.2</w:t>
          </w:r>
          <w:r>
            <w:rPr>
              <w:rFonts w:cs="Calibri" w:ascii="Calibri" w:hAnsi="Calibri"/>
              <w:szCs w:val="22"/>
              <w:lang w:val="en-US" w:eastAsia="en-US"/>
            </w:rPr>
            <w:tab/>
          </w:r>
          <w:r>
            <w:rPr/>
            <w:t>Transmitter</w:t>
            <w:tab/>
          </w:r>
          <w:hyperlink w:anchor="__RefHeading___Toc518036215">
            <w:r>
              <w:rPr>
                <w:rStyle w:val="IndexLink"/>
              </w:rPr>
              <w:t>322</w:t>
            </w:r>
          </w:hyperlink>
        </w:p>
        <w:p>
          <w:pPr>
            <w:pStyle w:val="Contents1"/>
            <w:rPr>
              <w:rFonts w:ascii="Calibri" w:hAnsi="Calibri" w:cs="Calibri"/>
              <w:szCs w:val="22"/>
              <w:lang w:val="en-US" w:eastAsia="en-US"/>
            </w:rPr>
          </w:pPr>
          <w:r>
            <w:rPr/>
            <w:t>ZC.3</w:t>
          </w:r>
          <w:r>
            <w:rPr>
              <w:rFonts w:cs="Calibri" w:ascii="Calibri" w:hAnsi="Calibri"/>
              <w:szCs w:val="22"/>
              <w:lang w:val="en-US" w:eastAsia="en-US"/>
            </w:rPr>
            <w:tab/>
          </w:r>
          <w:r>
            <w:rPr/>
            <w:t>Receiver</w:t>
            <w:tab/>
          </w:r>
          <w:hyperlink w:anchor="__RefHeading___Toc518036216">
            <w:r>
              <w:rPr>
                <w:rStyle w:val="IndexLink"/>
              </w:rPr>
              <w:t>322</w:t>
            </w:r>
          </w:hyperlink>
        </w:p>
        <w:p>
          <w:pPr>
            <w:pStyle w:val="Contents1"/>
            <w:rPr>
              <w:rFonts w:ascii="Calibri" w:hAnsi="Calibri" w:cs="Calibri"/>
              <w:szCs w:val="22"/>
              <w:lang w:val="en-US" w:eastAsia="en-US"/>
            </w:rPr>
          </w:pPr>
          <w:r>
            <w:rPr/>
            <w:t>ZC.4</w:t>
          </w:r>
          <w:r>
            <w:rPr>
              <w:rFonts w:cs="Calibri" w:ascii="Calibri" w:hAnsi="Calibri"/>
              <w:szCs w:val="22"/>
              <w:lang w:val="en-US" w:eastAsia="en-US"/>
            </w:rPr>
            <w:tab/>
          </w:r>
          <w:r>
            <w:rPr/>
            <w:t>References</w:t>
            <w:tab/>
          </w:r>
          <w:hyperlink w:anchor="__RefHeading___Toc518036217">
            <w:r>
              <w:rPr>
                <w:rStyle w:val="IndexLink"/>
              </w:rPr>
              <w:t>323</w:t>
            </w:r>
          </w:hyperlink>
        </w:p>
        <w:p>
          <w:pPr>
            <w:pStyle w:val="Contents9"/>
            <w:rPr>
              <w:rFonts w:ascii="Calibri" w:hAnsi="Calibri" w:cs="Calibri"/>
              <w:b w:val="false"/>
              <w:b w:val="false"/>
              <w:szCs w:val="22"/>
              <w:lang w:val="en-US" w:eastAsia="en-US"/>
            </w:rPr>
          </w:pPr>
          <w:r>
            <w:rPr/>
            <w:t>Annex ZD:</w:t>
            <w:tab/>
            <w:t>ER-GSM band introduction</w:t>
            <w:tab/>
          </w:r>
          <w:hyperlink w:anchor="__RefHeading___Toc518036218">
            <w:r>
              <w:rPr>
                <w:rStyle w:val="IndexLink"/>
              </w:rPr>
              <w:t>324</w:t>
            </w:r>
          </w:hyperlink>
        </w:p>
        <w:p>
          <w:pPr>
            <w:pStyle w:val="Contents1"/>
            <w:rPr>
              <w:rFonts w:ascii="Calibri" w:hAnsi="Calibri" w:cs="Calibri"/>
              <w:szCs w:val="22"/>
              <w:lang w:val="en-US" w:eastAsia="en-US"/>
            </w:rPr>
          </w:pPr>
          <w:r>
            <w:rPr/>
            <w:t>ZD.1</w:t>
          </w:r>
          <w:r>
            <w:rPr>
              <w:rFonts w:cs="Calibri" w:ascii="Calibri" w:hAnsi="Calibri"/>
              <w:szCs w:val="22"/>
              <w:lang w:val="en-US" w:eastAsia="en-US"/>
            </w:rPr>
            <w:tab/>
          </w:r>
          <w:r>
            <w:rPr/>
            <w:t>Introduction</w:t>
            <w:tab/>
          </w:r>
          <w:hyperlink w:anchor="__RefHeading___Toc518036219">
            <w:r>
              <w:rPr>
                <w:rStyle w:val="IndexLink"/>
              </w:rPr>
              <w:t>324</w:t>
            </w:r>
          </w:hyperlink>
        </w:p>
        <w:p>
          <w:pPr>
            <w:pStyle w:val="Contents1"/>
            <w:rPr>
              <w:rFonts w:ascii="Calibri" w:hAnsi="Calibri" w:cs="Calibri"/>
              <w:szCs w:val="22"/>
              <w:lang w:val="en-US" w:eastAsia="en-US"/>
            </w:rPr>
          </w:pPr>
          <w:r>
            <w:rPr/>
            <w:t>ZD.2</w:t>
          </w:r>
          <w:r>
            <w:rPr>
              <w:rFonts w:cs="Calibri" w:ascii="Calibri" w:hAnsi="Calibri"/>
              <w:szCs w:val="22"/>
              <w:lang w:val="en-US" w:eastAsia="en-US"/>
            </w:rPr>
            <w:tab/>
          </w:r>
          <w:r>
            <w:rPr/>
            <w:t>Generalities on Working assumption and methodology</w:t>
            <w:tab/>
          </w:r>
          <w:hyperlink w:anchor="__RefHeading___Toc518036220">
            <w:r>
              <w:rPr>
                <w:rStyle w:val="IndexLink"/>
              </w:rPr>
              <w:t>324</w:t>
            </w:r>
          </w:hyperlink>
        </w:p>
        <w:p>
          <w:pPr>
            <w:pStyle w:val="Contents2"/>
            <w:rPr>
              <w:rFonts w:ascii="Calibri" w:hAnsi="Calibri" w:cs="Calibri"/>
              <w:sz w:val="22"/>
              <w:szCs w:val="22"/>
              <w:lang w:val="en-US" w:eastAsia="en-US"/>
            </w:rPr>
          </w:pPr>
          <w:r>
            <w:rPr/>
            <w:t>ZD.2.1 Evaluation on impacted requirements</w:t>
            <w:tab/>
          </w:r>
          <w:hyperlink w:anchor="__RefHeading___Toc518036221">
            <w:r>
              <w:rPr>
                <w:rStyle w:val="IndexLink"/>
              </w:rPr>
              <w:t>324</w:t>
            </w:r>
          </w:hyperlink>
        </w:p>
        <w:p>
          <w:pPr>
            <w:pStyle w:val="Contents2"/>
            <w:rPr>
              <w:rFonts w:ascii="Calibri" w:hAnsi="Calibri" w:cs="Calibri"/>
              <w:sz w:val="22"/>
              <w:szCs w:val="22"/>
              <w:lang w:val="en-US" w:eastAsia="en-US"/>
            </w:rPr>
          </w:pPr>
          <w:r>
            <w:rPr/>
            <w:t>ZD.2.2</w:t>
          </w:r>
          <w:r>
            <w:rPr>
              <w:rFonts w:cs="Calibri" w:ascii="Calibri" w:hAnsi="Calibri"/>
              <w:sz w:val="22"/>
              <w:szCs w:val="22"/>
              <w:lang w:val="en-US" w:eastAsia="en-US"/>
            </w:rPr>
            <w:tab/>
          </w:r>
          <w:r>
            <w:rPr/>
            <w:t>Assumptions</w:t>
            <w:tab/>
          </w:r>
          <w:hyperlink w:anchor="__RefHeading___Toc518036222">
            <w:r>
              <w:rPr>
                <w:rStyle w:val="IndexLink"/>
              </w:rPr>
              <w:t>325</w:t>
            </w:r>
          </w:hyperlink>
        </w:p>
        <w:p>
          <w:pPr>
            <w:pStyle w:val="Contents3"/>
            <w:rPr>
              <w:rFonts w:ascii="Calibri" w:hAnsi="Calibri" w:cs="Calibri"/>
              <w:sz w:val="22"/>
              <w:szCs w:val="22"/>
              <w:lang w:val="en-US" w:eastAsia="en-US"/>
            </w:rPr>
          </w:pPr>
          <w:r>
            <w:rPr/>
            <w:t>ZD.2.</w:t>
          </w:r>
          <w:r>
            <w:rPr>
              <w:lang w:val="en-US" w:eastAsia="en-US"/>
            </w:rPr>
            <w:t>2.1</w:t>
          </w:r>
          <w:r>
            <w:rPr>
              <w:rFonts w:cs="Calibri" w:ascii="Calibri" w:hAnsi="Calibri"/>
              <w:sz w:val="22"/>
              <w:szCs w:val="22"/>
              <w:lang w:val="en-US" w:eastAsia="en-US"/>
            </w:rPr>
            <w:tab/>
          </w:r>
          <w:r>
            <w:rPr/>
            <w:t>RF performances</w:t>
            <w:tab/>
          </w:r>
          <w:hyperlink w:anchor="__RefHeading___Toc518036223">
            <w:r>
              <w:rPr>
                <w:rStyle w:val="IndexLink"/>
              </w:rPr>
              <w:t>325</w:t>
            </w:r>
          </w:hyperlink>
        </w:p>
        <w:p>
          <w:pPr>
            <w:pStyle w:val="Contents3"/>
            <w:rPr>
              <w:rFonts w:ascii="Calibri" w:hAnsi="Calibri" w:cs="Calibri"/>
              <w:sz w:val="22"/>
              <w:szCs w:val="22"/>
              <w:lang w:val="en-US" w:eastAsia="en-US"/>
            </w:rPr>
          </w:pPr>
          <w:r>
            <w:rPr/>
            <w:t>ZD.2.2</w:t>
          </w:r>
          <w:r>
            <w:rPr>
              <w:lang w:val="en-US" w:eastAsia="en-US"/>
            </w:rPr>
            <w:t>.2</w:t>
          </w:r>
          <w:r>
            <w:rPr>
              <w:rFonts w:cs="Calibri" w:ascii="Calibri" w:hAnsi="Calibri"/>
              <w:sz w:val="22"/>
              <w:szCs w:val="22"/>
              <w:lang w:val="en-US" w:eastAsia="en-US"/>
            </w:rPr>
            <w:tab/>
          </w:r>
          <w:r>
            <w:rPr>
              <w:lang w:val="en-US" w:eastAsia="en-US"/>
            </w:rPr>
            <w:t>Blocker rejection by victim public base station</w:t>
          </w:r>
          <w:r>
            <w:rPr/>
            <w:tab/>
          </w:r>
          <w:hyperlink w:anchor="__RefHeading___Toc518036224">
            <w:r>
              <w:rPr>
                <w:rStyle w:val="IndexLink"/>
              </w:rPr>
              <w:t>325</w:t>
            </w:r>
          </w:hyperlink>
        </w:p>
        <w:p>
          <w:pPr>
            <w:pStyle w:val="Contents3"/>
            <w:rPr>
              <w:rFonts w:ascii="Calibri" w:hAnsi="Calibri" w:cs="Calibri"/>
              <w:sz w:val="22"/>
              <w:szCs w:val="22"/>
              <w:lang w:val="en-US" w:eastAsia="en-US"/>
            </w:rPr>
          </w:pPr>
          <w:r>
            <w:rPr/>
            <w:t>ZD.2.2</w:t>
          </w:r>
          <w:r>
            <w:rPr>
              <w:lang w:val="en-US" w:eastAsia="en-US"/>
            </w:rPr>
            <w:t>.3</w:t>
          </w:r>
          <w:r>
            <w:rPr>
              <w:rFonts w:cs="Calibri" w:ascii="Calibri" w:hAnsi="Calibri"/>
              <w:sz w:val="22"/>
              <w:szCs w:val="22"/>
              <w:lang w:val="en-US" w:eastAsia="en-US"/>
            </w:rPr>
            <w:tab/>
          </w:r>
          <w:r>
            <w:rPr/>
            <w:t>Blocking and Intermodulation reminders</w:t>
            <w:tab/>
          </w:r>
          <w:hyperlink w:anchor="__RefHeading___Toc518036225">
            <w:r>
              <w:rPr>
                <w:rStyle w:val="IndexLink"/>
              </w:rPr>
              <w:t>326</w:t>
            </w:r>
          </w:hyperlink>
        </w:p>
        <w:p>
          <w:pPr>
            <w:pStyle w:val="Contents3"/>
            <w:rPr>
              <w:rFonts w:ascii="Calibri" w:hAnsi="Calibri" w:cs="Calibri"/>
              <w:sz w:val="22"/>
              <w:szCs w:val="22"/>
              <w:lang w:val="en-US" w:eastAsia="en-US"/>
            </w:rPr>
          </w:pPr>
          <w:r>
            <w:rPr/>
            <w:t>ZD.2.2.4</w:t>
          </w:r>
          <w:r>
            <w:rPr>
              <w:rFonts w:cs="Calibri" w:ascii="Calibri" w:hAnsi="Calibri"/>
              <w:sz w:val="22"/>
              <w:szCs w:val="22"/>
              <w:lang w:val="en-US" w:eastAsia="en-US"/>
            </w:rPr>
            <w:tab/>
          </w:r>
          <w:r>
            <w:rPr/>
            <w:t>Desensitization computing method</w:t>
            <w:tab/>
          </w:r>
          <w:hyperlink w:anchor="__RefHeading___Toc518036226">
            <w:r>
              <w:rPr>
                <w:rStyle w:val="IndexLink"/>
              </w:rPr>
              <w:t>326</w:t>
            </w:r>
          </w:hyperlink>
        </w:p>
        <w:p>
          <w:pPr>
            <w:pStyle w:val="Contents3"/>
            <w:rPr>
              <w:rFonts w:ascii="Calibri" w:hAnsi="Calibri" w:cs="Calibri"/>
              <w:sz w:val="22"/>
              <w:szCs w:val="22"/>
              <w:lang w:val="en-US" w:eastAsia="en-US"/>
            </w:rPr>
          </w:pPr>
          <w:r>
            <w:rPr/>
            <w:t>ZD.2.2.5</w:t>
          </w:r>
          <w:r>
            <w:rPr>
              <w:rFonts w:cs="Calibri" w:ascii="Calibri" w:hAnsi="Calibri"/>
              <w:sz w:val="22"/>
              <w:szCs w:val="22"/>
              <w:lang w:val="en-US" w:eastAsia="en-US"/>
            </w:rPr>
            <w:tab/>
          </w:r>
          <w:r>
            <w:rPr/>
            <w:t>Coordinated and uncoordinated deployment</w:t>
            <w:tab/>
          </w:r>
          <w:hyperlink w:anchor="__RefHeading___Toc518036227">
            <w:r>
              <w:rPr>
                <w:rStyle w:val="IndexLink"/>
              </w:rPr>
              <w:t>327</w:t>
            </w:r>
          </w:hyperlink>
        </w:p>
        <w:p>
          <w:pPr>
            <w:pStyle w:val="Contents3"/>
            <w:rPr>
              <w:rFonts w:ascii="Calibri" w:hAnsi="Calibri" w:cs="Calibri"/>
              <w:sz w:val="22"/>
              <w:szCs w:val="22"/>
              <w:lang w:val="en-US" w:eastAsia="en-US"/>
            </w:rPr>
          </w:pPr>
          <w:r>
            <w:rPr/>
            <w:t>ZD.2.2.6</w:t>
          </w:r>
          <w:r>
            <w:rPr>
              <w:rFonts w:cs="Calibri" w:ascii="Calibri" w:hAnsi="Calibri"/>
              <w:sz w:val="22"/>
              <w:szCs w:val="22"/>
              <w:lang w:val="en-US" w:eastAsia="en-US"/>
            </w:rPr>
            <w:tab/>
          </w:r>
          <w:r>
            <w:rPr/>
            <w:t>Exception to blocking requirement for ER-GSM mobiles</w:t>
            <w:tab/>
          </w:r>
          <w:hyperlink w:anchor="__RefHeading___Toc518036228">
            <w:r>
              <w:rPr>
                <w:rStyle w:val="IndexLink"/>
              </w:rPr>
              <w:t>327</w:t>
            </w:r>
          </w:hyperlink>
        </w:p>
        <w:p>
          <w:pPr>
            <w:pStyle w:val="Contents1"/>
            <w:rPr>
              <w:rFonts w:ascii="Calibri" w:hAnsi="Calibri" w:cs="Calibri"/>
              <w:szCs w:val="22"/>
              <w:lang w:val="en-US" w:eastAsia="en-US"/>
            </w:rPr>
          </w:pPr>
          <w:r>
            <w:rPr/>
            <w:t>ZD.3</w:t>
          </w:r>
          <w:r>
            <w:rPr>
              <w:rFonts w:cs="Calibri" w:ascii="Calibri" w:hAnsi="Calibri"/>
              <w:szCs w:val="22"/>
              <w:lang w:val="en-US" w:eastAsia="en-US"/>
            </w:rPr>
            <w:tab/>
          </w:r>
          <w:r>
            <w:rPr/>
            <w:t>Victim receiver performance for lowest frequency offset of ER-GSM interferer</w:t>
            <w:tab/>
          </w:r>
          <w:hyperlink w:anchor="__RefHeading___Toc518036229">
            <w:r>
              <w:rPr>
                <w:rStyle w:val="IndexLink"/>
              </w:rPr>
              <w:t>327</w:t>
            </w:r>
          </w:hyperlink>
        </w:p>
        <w:p>
          <w:pPr>
            <w:pStyle w:val="Contents2"/>
            <w:rPr>
              <w:rFonts w:ascii="Calibri" w:hAnsi="Calibri" w:cs="Calibri"/>
              <w:sz w:val="22"/>
              <w:szCs w:val="22"/>
              <w:lang w:val="en-US" w:eastAsia="en-US"/>
            </w:rPr>
          </w:pPr>
          <w:r>
            <w:rPr/>
            <w:t>ZD.3.</w:t>
          </w:r>
          <w:r>
            <w:rPr>
              <w:lang w:val="en-US" w:eastAsia="en-US"/>
            </w:rPr>
            <w:t>1</w:t>
          </w:r>
          <w:r>
            <w:rPr>
              <w:rFonts w:cs="Calibri" w:ascii="Calibri" w:hAnsi="Calibri"/>
              <w:sz w:val="22"/>
              <w:szCs w:val="22"/>
              <w:lang w:val="en-US" w:eastAsia="en-US"/>
            </w:rPr>
            <w:tab/>
          </w:r>
          <w:r>
            <w:rPr>
              <w:lang w:val="en-US" w:eastAsia="en-US"/>
            </w:rPr>
            <w:t>GSM BTS as victim receiver</w:t>
          </w:r>
          <w:r>
            <w:rPr/>
            <w:tab/>
          </w:r>
          <w:hyperlink w:anchor="__RefHeading___Toc518036230">
            <w:r>
              <w:rPr>
                <w:rStyle w:val="IndexLink"/>
              </w:rPr>
              <w:t>327</w:t>
            </w:r>
          </w:hyperlink>
        </w:p>
        <w:p>
          <w:pPr>
            <w:pStyle w:val="Contents2"/>
            <w:rPr>
              <w:rFonts w:ascii="Calibri" w:hAnsi="Calibri" w:cs="Calibri"/>
              <w:sz w:val="22"/>
              <w:szCs w:val="22"/>
              <w:lang w:val="en-US" w:eastAsia="en-US"/>
            </w:rPr>
          </w:pPr>
          <w:r>
            <w:rPr/>
            <w:t>ZD.3.</w:t>
          </w:r>
          <w:r>
            <w:rPr>
              <w:lang w:val="en-US" w:eastAsia="en-US"/>
            </w:rPr>
            <w:t>2</w:t>
          </w:r>
          <w:r>
            <w:rPr>
              <w:rFonts w:cs="Calibri" w:ascii="Calibri" w:hAnsi="Calibri"/>
              <w:sz w:val="22"/>
              <w:szCs w:val="22"/>
            </w:rPr>
            <w:tab/>
          </w:r>
          <w:r>
            <w:rPr>
              <w:lang w:val="pt-BR" w:eastAsia="en-US"/>
            </w:rPr>
            <w:t>UTRA/E-UTRA BS as victim receiver</w:t>
          </w:r>
          <w:r>
            <w:rPr/>
            <w:tab/>
          </w:r>
          <w:hyperlink w:anchor="__RefHeading___Toc518036231">
            <w:r>
              <w:rPr>
                <w:rStyle w:val="IndexLink"/>
              </w:rPr>
              <w:t>328</w:t>
            </w:r>
          </w:hyperlink>
        </w:p>
        <w:p>
          <w:pPr>
            <w:pStyle w:val="Contents1"/>
            <w:rPr>
              <w:rFonts w:ascii="Calibri" w:hAnsi="Calibri" w:cs="Calibri"/>
              <w:szCs w:val="22"/>
              <w:lang w:val="en-US" w:eastAsia="en-US"/>
            </w:rPr>
          </w:pPr>
          <w:r>
            <w:rPr/>
            <w:t>ZD.4</w:t>
          </w:r>
          <w:r>
            <w:rPr>
              <w:rFonts w:cs="Calibri" w:ascii="Calibri" w:hAnsi="Calibri"/>
              <w:szCs w:val="22"/>
              <w:lang w:val="en-US" w:eastAsia="en-US"/>
            </w:rPr>
            <w:tab/>
          </w:r>
          <w:r>
            <w:rPr/>
            <w:t>Victim receiver performance in the ER-GSM frequency range</w:t>
            <w:tab/>
          </w:r>
          <w:hyperlink w:anchor="__RefHeading___Toc518036232">
            <w:r>
              <w:rPr>
                <w:rStyle w:val="IndexLink"/>
              </w:rPr>
              <w:t>328</w:t>
            </w:r>
          </w:hyperlink>
        </w:p>
        <w:p>
          <w:pPr>
            <w:pStyle w:val="Contents2"/>
            <w:rPr>
              <w:rFonts w:ascii="Calibri" w:hAnsi="Calibri" w:cs="Calibri"/>
              <w:sz w:val="22"/>
              <w:szCs w:val="22"/>
              <w:lang w:val="en-US" w:eastAsia="en-US"/>
            </w:rPr>
          </w:pPr>
          <w:r>
            <w:rPr/>
            <w:t>ZD.4.</w:t>
          </w:r>
          <w:r>
            <w:rPr>
              <w:lang w:val="en-US" w:eastAsia="en-US"/>
            </w:rPr>
            <w:t>1</w:t>
          </w:r>
          <w:r>
            <w:rPr>
              <w:rFonts w:cs="Calibri" w:ascii="Calibri" w:hAnsi="Calibri"/>
              <w:sz w:val="22"/>
              <w:szCs w:val="22"/>
              <w:lang w:val="en-US" w:eastAsia="en-US"/>
            </w:rPr>
            <w:tab/>
          </w:r>
          <w:r>
            <w:rPr>
              <w:lang w:val="en-US" w:eastAsia="en-US"/>
            </w:rPr>
            <w:t>GSM BTS as victim receiver</w:t>
          </w:r>
          <w:r>
            <w:rPr/>
            <w:tab/>
          </w:r>
          <w:hyperlink w:anchor="__RefHeading___Toc518036233">
            <w:r>
              <w:rPr>
                <w:rStyle w:val="IndexLink"/>
              </w:rPr>
              <w:t>329</w:t>
            </w:r>
          </w:hyperlink>
        </w:p>
        <w:p>
          <w:pPr>
            <w:pStyle w:val="Contents2"/>
            <w:rPr>
              <w:rFonts w:ascii="Calibri" w:hAnsi="Calibri" w:cs="Calibri"/>
              <w:sz w:val="22"/>
              <w:szCs w:val="22"/>
              <w:lang w:val="en-US" w:eastAsia="en-US"/>
            </w:rPr>
          </w:pPr>
          <w:r>
            <w:rPr/>
            <w:t>ZD.4.</w:t>
          </w:r>
          <w:r>
            <w:rPr>
              <w:lang w:val="en-US" w:eastAsia="en-US"/>
            </w:rPr>
            <w:t>2</w:t>
          </w:r>
          <w:r>
            <w:rPr>
              <w:rFonts w:cs="Calibri" w:ascii="Calibri" w:hAnsi="Calibri"/>
              <w:sz w:val="22"/>
              <w:szCs w:val="22"/>
            </w:rPr>
            <w:tab/>
          </w:r>
          <w:r>
            <w:rPr>
              <w:lang w:val="pt-BR" w:eastAsia="en-US"/>
            </w:rPr>
            <w:t>UTRA/E-UTRA BS as victim receiver</w:t>
          </w:r>
          <w:r>
            <w:rPr/>
            <w:tab/>
          </w:r>
          <w:hyperlink w:anchor="__RefHeading___Toc518036234">
            <w:r>
              <w:rPr>
                <w:rStyle w:val="IndexLink"/>
              </w:rPr>
              <w:t>329</w:t>
            </w:r>
          </w:hyperlink>
        </w:p>
        <w:p>
          <w:pPr>
            <w:pStyle w:val="Contents1"/>
            <w:rPr>
              <w:rFonts w:ascii="Calibri" w:hAnsi="Calibri" w:cs="Calibri"/>
              <w:szCs w:val="22"/>
              <w:lang w:val="en-US" w:eastAsia="en-US"/>
            </w:rPr>
          </w:pPr>
          <w:r>
            <w:rPr/>
            <w:t>ZD.5</w:t>
          </w:r>
          <w:r>
            <w:rPr>
              <w:rFonts w:cs="Calibri" w:ascii="Calibri" w:hAnsi="Calibri"/>
              <w:szCs w:val="22"/>
              <w:lang w:val="en-US" w:eastAsia="en-US"/>
            </w:rPr>
            <w:tab/>
          </w:r>
          <w:r>
            <w:rPr/>
            <w:t>Specified requirement based on co-existence analysis</w:t>
            <w:tab/>
          </w:r>
          <w:hyperlink w:anchor="__RefHeading___Toc518036235">
            <w:r>
              <w:rPr>
                <w:rStyle w:val="IndexLink"/>
              </w:rPr>
              <w:t>329</w:t>
            </w:r>
          </w:hyperlink>
        </w:p>
        <w:p>
          <w:pPr>
            <w:pStyle w:val="Contents2"/>
            <w:rPr>
              <w:rFonts w:ascii="Calibri" w:hAnsi="Calibri" w:cs="Calibri"/>
              <w:sz w:val="22"/>
              <w:szCs w:val="22"/>
              <w:lang w:val="en-US" w:eastAsia="en-US"/>
            </w:rPr>
          </w:pPr>
          <w:r>
            <w:rPr/>
            <w:t>ZD.5.1 Uncoordinated deployment</w:t>
            <w:tab/>
          </w:r>
          <w:hyperlink w:anchor="__RefHeading___Toc518036236">
            <w:r>
              <w:rPr>
                <w:rStyle w:val="IndexLink"/>
              </w:rPr>
              <w:t>330</w:t>
            </w:r>
          </w:hyperlink>
        </w:p>
        <w:p>
          <w:pPr>
            <w:pStyle w:val="Contents2"/>
            <w:rPr>
              <w:rFonts w:ascii="Calibri" w:hAnsi="Calibri" w:cs="Calibri"/>
              <w:sz w:val="22"/>
              <w:szCs w:val="22"/>
              <w:lang w:val="en-US" w:eastAsia="en-US"/>
            </w:rPr>
          </w:pPr>
          <w:r>
            <w:rPr/>
            <w:t>ZD.5.</w:t>
          </w:r>
          <w:r>
            <w:rPr>
              <w:lang w:val="en-US" w:eastAsia="en-US"/>
            </w:rPr>
            <w:t>2</w:t>
          </w:r>
          <w:r>
            <w:rPr/>
            <w:t xml:space="preserve"> </w:t>
          </w:r>
          <w:r>
            <w:rPr>
              <w:lang w:val="en-US" w:eastAsia="en-US"/>
            </w:rPr>
            <w:t>C</w:t>
          </w:r>
          <w:r>
            <w:rPr/>
            <w:t>oordinated deployment</w:t>
            <w:tab/>
          </w:r>
          <w:hyperlink w:anchor="__RefHeading___Toc518036237">
            <w:r>
              <w:rPr>
                <w:rStyle w:val="IndexLink"/>
              </w:rPr>
              <w:t>330</w:t>
            </w:r>
          </w:hyperlink>
        </w:p>
        <w:p>
          <w:pPr>
            <w:pStyle w:val="Contents1"/>
            <w:rPr>
              <w:rFonts w:ascii="Calibri" w:hAnsi="Calibri" w:cs="Calibri"/>
              <w:szCs w:val="22"/>
              <w:lang w:val="en-US" w:eastAsia="en-US"/>
            </w:rPr>
          </w:pPr>
          <w:r>
            <w:rPr/>
            <w:t>ZD.6</w:t>
          </w:r>
          <w:r>
            <w:rPr>
              <w:rFonts w:cs="Calibri" w:ascii="Calibri" w:hAnsi="Calibri"/>
              <w:szCs w:val="22"/>
              <w:lang w:val="en-US" w:eastAsia="en-US"/>
            </w:rPr>
            <w:tab/>
          </w:r>
          <w:r>
            <w:rPr/>
            <w:t>References</w:t>
            <w:tab/>
          </w:r>
          <w:hyperlink w:anchor="__RefHeading___Toc518036238">
            <w:r>
              <w:rPr>
                <w:rStyle w:val="IndexLink"/>
              </w:rPr>
              <w:t>330</w:t>
            </w:r>
          </w:hyperlink>
        </w:p>
        <w:p>
          <w:pPr>
            <w:pStyle w:val="Contents9"/>
            <w:rPr>
              <w:rFonts w:ascii="Calibri" w:hAnsi="Calibri" w:cs="Calibri"/>
              <w:b w:val="false"/>
              <w:b w:val="false"/>
              <w:szCs w:val="22"/>
              <w:lang w:val="en-US" w:eastAsia="en-US"/>
            </w:rPr>
          </w:pPr>
          <w:r>
            <w:rPr/>
            <w:t>Annex ZE:</w:t>
            <w:tab/>
            <w:t>Extended TSC Sets</w:t>
            <w:tab/>
          </w:r>
          <w:hyperlink w:anchor="__RefHeading___Toc518036239">
            <w:r>
              <w:rPr>
                <w:rStyle w:val="IndexLink"/>
              </w:rPr>
              <w:t>331</w:t>
            </w:r>
          </w:hyperlink>
        </w:p>
        <w:p>
          <w:pPr>
            <w:pStyle w:val="Contents1"/>
            <w:rPr>
              <w:rFonts w:ascii="Calibri" w:hAnsi="Calibri" w:cs="Calibri"/>
              <w:szCs w:val="22"/>
              <w:lang w:val="en-US" w:eastAsia="en-US"/>
            </w:rPr>
          </w:pPr>
          <w:r>
            <w:rPr/>
            <w:t>ZE.1</w:t>
          </w:r>
          <w:r>
            <w:rPr>
              <w:rFonts w:cs="Calibri" w:ascii="Calibri" w:hAnsi="Calibri"/>
              <w:szCs w:val="22"/>
              <w:lang w:val="en-US" w:eastAsia="en-US"/>
            </w:rPr>
            <w:tab/>
          </w:r>
          <w:r>
            <w:rPr/>
            <w:t>Extended TSC Sets Design</w:t>
            <w:tab/>
          </w:r>
          <w:hyperlink w:anchor="__RefHeading___Toc518036240">
            <w:r>
              <w:rPr>
                <w:rStyle w:val="IndexLink"/>
              </w:rPr>
              <w:t>331</w:t>
            </w:r>
          </w:hyperlink>
        </w:p>
        <w:p>
          <w:pPr>
            <w:pStyle w:val="Contents2"/>
            <w:rPr>
              <w:rFonts w:ascii="Calibri" w:hAnsi="Calibri" w:cs="Calibri"/>
              <w:sz w:val="22"/>
              <w:szCs w:val="22"/>
              <w:lang w:val="en-US" w:eastAsia="en-US"/>
            </w:rPr>
          </w:pPr>
          <w:r>
            <w:rPr/>
            <w:t>ZE.1.1</w:t>
          </w:r>
          <w:r>
            <w:rPr>
              <w:rFonts w:cs="Calibri" w:ascii="Calibri" w:hAnsi="Calibri"/>
              <w:sz w:val="22"/>
              <w:szCs w:val="22"/>
              <w:lang w:val="en-US" w:eastAsia="en-US"/>
            </w:rPr>
            <w:tab/>
          </w:r>
          <w:r>
            <w:rPr/>
            <w:t>Introduction</w:t>
            <w:tab/>
          </w:r>
          <w:hyperlink w:anchor="__RefHeading___Toc518036241">
            <w:r>
              <w:rPr>
                <w:rStyle w:val="IndexLink"/>
              </w:rPr>
              <w:t>331</w:t>
            </w:r>
          </w:hyperlink>
        </w:p>
        <w:p>
          <w:pPr>
            <w:pStyle w:val="Contents2"/>
            <w:rPr>
              <w:rFonts w:ascii="Calibri" w:hAnsi="Calibri" w:cs="Calibri"/>
              <w:sz w:val="22"/>
              <w:szCs w:val="22"/>
              <w:lang w:val="en-US" w:eastAsia="en-US"/>
            </w:rPr>
          </w:pPr>
          <w:r>
            <w:rPr/>
            <w:t>ZE.1.2</w:t>
          </w:r>
          <w:r>
            <w:rPr>
              <w:rFonts w:cs="Calibri" w:ascii="Calibri" w:hAnsi="Calibri"/>
              <w:sz w:val="22"/>
              <w:szCs w:val="22"/>
              <w:lang w:val="en-US" w:eastAsia="en-US"/>
            </w:rPr>
            <w:tab/>
          </w:r>
          <w:r>
            <w:rPr/>
            <w:t>Training Sequence Design</w:t>
            <w:tab/>
          </w:r>
          <w:hyperlink w:anchor="__RefHeading___Toc518036242">
            <w:r>
              <w:rPr>
                <w:rStyle w:val="IndexLink"/>
              </w:rPr>
              <w:t>331</w:t>
            </w:r>
          </w:hyperlink>
        </w:p>
        <w:p>
          <w:pPr>
            <w:pStyle w:val="Contents3"/>
            <w:rPr>
              <w:rFonts w:ascii="Calibri" w:hAnsi="Calibri" w:cs="Calibri"/>
              <w:sz w:val="22"/>
              <w:szCs w:val="22"/>
              <w:lang w:val="en-US" w:eastAsia="en-US"/>
            </w:rPr>
          </w:pPr>
          <w:r>
            <w:rPr/>
            <w:t>ZE.1.2.1</w:t>
          </w:r>
          <w:r>
            <w:rPr>
              <w:rFonts w:cs="Calibri" w:ascii="Calibri" w:hAnsi="Calibri"/>
              <w:sz w:val="22"/>
              <w:szCs w:val="22"/>
              <w:lang w:val="en-US" w:eastAsia="en-US"/>
            </w:rPr>
            <w:tab/>
          </w:r>
          <w:r>
            <w:rPr/>
            <w:t>Initial Search</w:t>
            <w:tab/>
          </w:r>
          <w:hyperlink w:anchor="__RefHeading___Toc518036243">
            <w:r>
              <w:rPr>
                <w:rStyle w:val="IndexLink"/>
              </w:rPr>
              <w:t>331</w:t>
            </w:r>
          </w:hyperlink>
        </w:p>
        <w:p>
          <w:pPr>
            <w:pStyle w:val="Contents3"/>
            <w:rPr>
              <w:rFonts w:ascii="Calibri" w:hAnsi="Calibri" w:cs="Calibri"/>
              <w:sz w:val="22"/>
              <w:szCs w:val="22"/>
              <w:lang w:val="en-US" w:eastAsia="en-US"/>
            </w:rPr>
          </w:pPr>
          <w:r>
            <w:rPr/>
            <w:t>ZE.1.2.2</w:t>
          </w:r>
          <w:r>
            <w:rPr>
              <w:rFonts w:cs="Calibri" w:ascii="Calibri" w:hAnsi="Calibri"/>
              <w:sz w:val="22"/>
              <w:szCs w:val="22"/>
              <w:lang w:val="en-US" w:eastAsia="en-US"/>
            </w:rPr>
            <w:tab/>
          </w:r>
          <w:r>
            <w:rPr/>
            <w:t>Building the Cost Function</w:t>
            <w:tab/>
          </w:r>
          <w:hyperlink w:anchor="__RefHeading___Toc518036244">
            <w:r>
              <w:rPr>
                <w:rStyle w:val="IndexLink"/>
              </w:rPr>
              <w:t>332</w:t>
            </w:r>
          </w:hyperlink>
        </w:p>
        <w:p>
          <w:pPr>
            <w:pStyle w:val="Contents4"/>
            <w:rPr>
              <w:rFonts w:ascii="Calibri" w:hAnsi="Calibri" w:cs="Calibri"/>
              <w:sz w:val="22"/>
              <w:szCs w:val="22"/>
              <w:lang w:val="en-US" w:eastAsia="en-US"/>
            </w:rPr>
          </w:pPr>
          <w:r>
            <w:rPr/>
            <w:t>ZE.1.2.2.1</w:t>
          </w:r>
          <w:r>
            <w:rPr>
              <w:rFonts w:cs="Calibri" w:ascii="Calibri" w:hAnsi="Calibri"/>
              <w:sz w:val="22"/>
              <w:szCs w:val="22"/>
              <w:lang w:val="en-US" w:eastAsia="en-US"/>
            </w:rPr>
            <w:tab/>
          </w:r>
          <w:r>
            <w:rPr/>
            <w:t>Auto Correlation Cost</w:t>
            <w:tab/>
          </w:r>
          <w:hyperlink w:anchor="__RefHeading___Toc518036245">
            <w:r>
              <w:rPr>
                <w:rStyle w:val="IndexLink"/>
              </w:rPr>
              <w:t>332</w:t>
            </w:r>
          </w:hyperlink>
        </w:p>
        <w:p>
          <w:pPr>
            <w:pStyle w:val="Contents4"/>
            <w:rPr>
              <w:rFonts w:ascii="Calibri" w:hAnsi="Calibri" w:cs="Calibri"/>
              <w:sz w:val="22"/>
              <w:szCs w:val="22"/>
              <w:lang w:val="en-US" w:eastAsia="en-US"/>
            </w:rPr>
          </w:pPr>
          <w:r>
            <w:rPr/>
            <w:t>ZE.1.2.2.2</w:t>
          </w:r>
          <w:r>
            <w:rPr>
              <w:rFonts w:cs="Calibri" w:ascii="Calibri" w:hAnsi="Calibri"/>
              <w:sz w:val="22"/>
              <w:szCs w:val="22"/>
              <w:lang w:val="en-US" w:eastAsia="en-US"/>
            </w:rPr>
            <w:tab/>
          </w:r>
          <w:r>
            <w:rPr/>
            <w:t>Cross Correlation Cost</w:t>
            <w:tab/>
          </w:r>
          <w:hyperlink w:anchor="__RefHeading___Toc518036246">
            <w:r>
              <w:rPr>
                <w:rStyle w:val="IndexLink"/>
              </w:rPr>
              <w:t>333</w:t>
            </w:r>
          </w:hyperlink>
        </w:p>
        <w:p>
          <w:pPr>
            <w:pStyle w:val="Contents5"/>
            <w:rPr>
              <w:rFonts w:ascii="Calibri" w:hAnsi="Calibri" w:cs="Calibri"/>
              <w:sz w:val="22"/>
              <w:szCs w:val="22"/>
              <w:lang w:val="en-US" w:eastAsia="en-US"/>
            </w:rPr>
          </w:pPr>
          <w:r>
            <w:rPr/>
            <w:t>ZE.1.2.2.2.1</w:t>
          </w:r>
          <w:r>
            <w:rPr>
              <w:rFonts w:cs="Calibri" w:ascii="Calibri" w:hAnsi="Calibri"/>
              <w:sz w:val="22"/>
              <w:szCs w:val="22"/>
              <w:lang w:val="en-US" w:eastAsia="en-US"/>
            </w:rPr>
            <w:tab/>
          </w:r>
          <w:r>
            <w:rPr/>
            <w:t>Basic Principle</w:t>
            <w:tab/>
          </w:r>
          <w:hyperlink w:anchor="__RefHeading___Toc518036247">
            <w:r>
              <w:rPr>
                <w:rStyle w:val="IndexLink"/>
              </w:rPr>
              <w:t>333</w:t>
            </w:r>
          </w:hyperlink>
        </w:p>
        <w:p>
          <w:pPr>
            <w:pStyle w:val="Contents5"/>
            <w:rPr>
              <w:rFonts w:ascii="Calibri" w:hAnsi="Calibri" w:cs="Calibri"/>
              <w:sz w:val="22"/>
              <w:szCs w:val="22"/>
              <w:lang w:val="en-US" w:eastAsia="en-US"/>
            </w:rPr>
          </w:pPr>
          <w:r>
            <w:rPr/>
            <w:t>ZE.1.2.2.2.2</w:t>
          </w:r>
          <w:r>
            <w:rPr>
              <w:rFonts w:cs="Calibri" w:ascii="Calibri" w:hAnsi="Calibri"/>
              <w:sz w:val="22"/>
              <w:szCs w:val="22"/>
              <w:lang w:val="en-US" w:eastAsia="en-US"/>
            </w:rPr>
            <w:tab/>
          </w:r>
          <w:r>
            <w:rPr/>
            <w:t>Used Model</w:t>
            <w:tab/>
          </w:r>
          <w:hyperlink w:anchor="__RefHeading___Toc518036248">
            <w:r>
              <w:rPr>
                <w:rStyle w:val="IndexLink"/>
              </w:rPr>
              <w:t>334</w:t>
            </w:r>
          </w:hyperlink>
        </w:p>
        <w:p>
          <w:pPr>
            <w:pStyle w:val="Contents3"/>
            <w:rPr>
              <w:rFonts w:ascii="Calibri" w:hAnsi="Calibri" w:cs="Calibri"/>
              <w:sz w:val="22"/>
              <w:szCs w:val="22"/>
              <w:lang w:val="en-US" w:eastAsia="en-US"/>
            </w:rPr>
          </w:pPr>
          <w:r>
            <w:rPr/>
            <w:t>ZE.1.2.3</w:t>
          </w:r>
          <w:r>
            <w:rPr>
              <w:rFonts w:cs="Calibri" w:ascii="Calibri" w:hAnsi="Calibri"/>
              <w:sz w:val="22"/>
              <w:szCs w:val="22"/>
              <w:lang w:val="en-US" w:eastAsia="en-US"/>
            </w:rPr>
            <w:tab/>
          </w:r>
          <w:r>
            <w:rPr/>
            <w:t>Performing the search</w:t>
            <w:tab/>
          </w:r>
          <w:hyperlink w:anchor="__RefHeading___Toc518036249">
            <w:r>
              <w:rPr>
                <w:rStyle w:val="IndexLink"/>
              </w:rPr>
              <w:t>337</w:t>
            </w:r>
          </w:hyperlink>
        </w:p>
        <w:p>
          <w:pPr>
            <w:pStyle w:val="Contents2"/>
            <w:rPr>
              <w:rFonts w:ascii="Calibri" w:hAnsi="Calibri" w:cs="Calibri"/>
              <w:sz w:val="22"/>
              <w:szCs w:val="22"/>
              <w:lang w:val="en-US" w:eastAsia="en-US"/>
            </w:rPr>
          </w:pPr>
          <w:r>
            <w:rPr/>
            <w:t>ZE.1.3</w:t>
          </w:r>
          <w:r>
            <w:rPr>
              <w:rFonts w:cs="Calibri" w:ascii="Calibri" w:hAnsi="Calibri"/>
              <w:sz w:val="22"/>
              <w:szCs w:val="22"/>
              <w:lang w:val="en-US" w:eastAsia="en-US"/>
            </w:rPr>
            <w:tab/>
          </w:r>
          <w:r>
            <w:rPr/>
            <w:t>Proposed Training Sequence Code Set</w:t>
            <w:tab/>
          </w:r>
          <w:hyperlink w:anchor="__RefHeading___Toc518036250">
            <w:r>
              <w:rPr>
                <w:rStyle w:val="IndexLink"/>
              </w:rPr>
              <w:t>337</w:t>
            </w:r>
          </w:hyperlink>
        </w:p>
        <w:p>
          <w:pPr>
            <w:pStyle w:val="Contents2"/>
            <w:rPr>
              <w:rFonts w:ascii="Calibri" w:hAnsi="Calibri" w:cs="Calibri"/>
              <w:sz w:val="22"/>
              <w:szCs w:val="22"/>
              <w:lang w:val="en-US" w:eastAsia="en-US"/>
            </w:rPr>
          </w:pPr>
          <w:r>
            <w:rPr/>
            <w:t>ZE.1.4</w:t>
          </w:r>
          <w:r>
            <w:rPr>
              <w:rFonts w:cs="Calibri" w:ascii="Calibri" w:hAnsi="Calibri"/>
              <w:sz w:val="22"/>
              <w:szCs w:val="22"/>
              <w:lang w:val="en-US" w:eastAsia="en-US"/>
            </w:rPr>
            <w:tab/>
          </w:r>
          <w:r>
            <w:rPr/>
            <w:t>Equivalence of rotational approaches</w:t>
            <w:tab/>
          </w:r>
          <w:hyperlink w:anchor="__RefHeading___Toc518036251">
            <w:r>
              <w:rPr>
                <w:rStyle w:val="IndexLink"/>
              </w:rPr>
              <w:t>338</w:t>
            </w:r>
          </w:hyperlink>
        </w:p>
        <w:p>
          <w:pPr>
            <w:pStyle w:val="Contents1"/>
            <w:rPr>
              <w:rFonts w:ascii="Calibri" w:hAnsi="Calibri" w:cs="Calibri"/>
              <w:szCs w:val="22"/>
              <w:lang w:val="en-US" w:eastAsia="en-US"/>
            </w:rPr>
          </w:pPr>
          <w:r>
            <w:rPr/>
            <w:t>ZE.2</w:t>
          </w:r>
          <w:r>
            <w:rPr>
              <w:rFonts w:cs="Calibri" w:ascii="Calibri" w:hAnsi="Calibri"/>
              <w:szCs w:val="22"/>
              <w:lang w:val="en-US" w:eastAsia="en-US"/>
            </w:rPr>
            <w:tab/>
          </w:r>
          <w:r>
            <w:rPr/>
            <w:t>Performance</w:t>
          </w:r>
          <w:r>
            <w:rPr>
              <w:lang w:val="en-US" w:eastAsia="en-US"/>
            </w:rPr>
            <w:t xml:space="preserve"> framework for design of </w:t>
          </w:r>
          <w:r>
            <w:rPr/>
            <w:t>Extended TSC Sets</w:t>
            <w:tab/>
          </w:r>
          <w:hyperlink w:anchor="__RefHeading___Toc518036252">
            <w:r>
              <w:rPr>
                <w:rStyle w:val="IndexLink"/>
              </w:rPr>
              <w:t>340</w:t>
            </w:r>
          </w:hyperlink>
        </w:p>
        <w:p>
          <w:pPr>
            <w:pStyle w:val="Contents2"/>
            <w:rPr>
              <w:rFonts w:ascii="Calibri" w:hAnsi="Calibri" w:cs="Calibri"/>
              <w:sz w:val="22"/>
              <w:szCs w:val="22"/>
              <w:lang w:val="en-US" w:eastAsia="en-US"/>
            </w:rPr>
          </w:pPr>
          <w:r>
            <w:rPr/>
            <w:t>ZE.2.1</w:t>
          </w:r>
          <w:r>
            <w:rPr>
              <w:rFonts w:cs="Calibri" w:ascii="Calibri" w:hAnsi="Calibri"/>
              <w:sz w:val="22"/>
              <w:szCs w:val="22"/>
              <w:lang w:val="en-US" w:eastAsia="en-US"/>
            </w:rPr>
            <w:tab/>
          </w:r>
          <w:r>
            <w:rPr/>
            <w:t>Working Assumptions for performance framework</w:t>
            <w:tab/>
          </w:r>
          <w:hyperlink w:anchor="__RefHeading___Toc518036253">
            <w:r>
              <w:rPr>
                <w:rStyle w:val="IndexLink"/>
              </w:rPr>
              <w:t>340</w:t>
            </w:r>
          </w:hyperlink>
        </w:p>
        <w:p>
          <w:pPr>
            <w:pStyle w:val="Contents1"/>
            <w:rPr>
              <w:rFonts w:ascii="Calibri" w:hAnsi="Calibri" w:cs="Calibri"/>
              <w:szCs w:val="22"/>
              <w:lang w:val="en-US" w:eastAsia="en-US"/>
            </w:rPr>
          </w:pPr>
          <w:r>
            <w:rPr/>
            <w:t>ZE.3</w:t>
          </w:r>
          <w:r>
            <w:rPr>
              <w:rFonts w:cs="Calibri" w:ascii="Calibri" w:hAnsi="Calibri"/>
              <w:szCs w:val="22"/>
            </w:rPr>
            <w:tab/>
          </w:r>
          <w:r>
            <w:rPr/>
            <w:t>Delay</w:t>
          </w:r>
          <w:r>
            <w:rPr>
              <w:lang w:val="en-US" w:eastAsia="en-US"/>
            </w:rPr>
            <w:t xml:space="preserve"> statistics for design of </w:t>
          </w:r>
          <w:r>
            <w:rPr/>
            <w:t>Extended TSC Sets</w:t>
            <w:tab/>
          </w:r>
          <w:hyperlink w:anchor="__RefHeading___Toc518036254">
            <w:r>
              <w:rPr>
                <w:rStyle w:val="IndexLink"/>
              </w:rPr>
              <w:t>342</w:t>
            </w:r>
          </w:hyperlink>
        </w:p>
        <w:p>
          <w:pPr>
            <w:pStyle w:val="Contents2"/>
            <w:rPr>
              <w:rFonts w:ascii="Calibri" w:hAnsi="Calibri" w:cs="Calibri"/>
              <w:sz w:val="22"/>
              <w:szCs w:val="22"/>
              <w:lang w:val="en-US" w:eastAsia="en-US"/>
            </w:rPr>
          </w:pPr>
          <w:r>
            <w:rPr/>
            <w:t>ZE.3.1</w:t>
          </w:r>
          <w:r>
            <w:rPr>
              <w:rFonts w:cs="Calibri" w:ascii="Calibri" w:hAnsi="Calibri"/>
              <w:sz w:val="22"/>
              <w:szCs w:val="22"/>
              <w:lang w:val="en-US" w:eastAsia="en-US"/>
            </w:rPr>
            <w:tab/>
          </w:r>
          <w:r>
            <w:rPr/>
            <w:t>Background</w:t>
            <w:tab/>
          </w:r>
          <w:hyperlink w:anchor="__RefHeading___Toc518036255">
            <w:r>
              <w:rPr>
                <w:rStyle w:val="IndexLink"/>
              </w:rPr>
              <w:t>342</w:t>
            </w:r>
          </w:hyperlink>
        </w:p>
        <w:p>
          <w:pPr>
            <w:pStyle w:val="Contents2"/>
            <w:rPr>
              <w:rFonts w:ascii="Calibri" w:hAnsi="Calibri" w:cs="Calibri"/>
              <w:sz w:val="22"/>
              <w:szCs w:val="22"/>
              <w:lang w:val="en-US" w:eastAsia="en-US"/>
            </w:rPr>
          </w:pPr>
          <w:r>
            <w:rPr/>
            <w:t>ZE.3.2</w:t>
          </w:r>
          <w:r>
            <w:rPr>
              <w:rFonts w:cs="Calibri" w:ascii="Calibri" w:hAnsi="Calibri"/>
              <w:sz w:val="22"/>
              <w:szCs w:val="22"/>
              <w:lang w:val="en-US" w:eastAsia="en-US"/>
            </w:rPr>
            <w:tab/>
          </w:r>
          <w:r>
            <w:rPr/>
            <w:t>Simulations</w:t>
            <w:tab/>
          </w:r>
          <w:hyperlink w:anchor="__RefHeading___Toc518036256">
            <w:r>
              <w:rPr>
                <w:rStyle w:val="IndexLink"/>
              </w:rPr>
              <w:t>343</w:t>
            </w:r>
          </w:hyperlink>
        </w:p>
        <w:p>
          <w:pPr>
            <w:pStyle w:val="Contents3"/>
            <w:rPr>
              <w:rFonts w:ascii="Calibri" w:hAnsi="Calibri" w:cs="Calibri"/>
              <w:sz w:val="22"/>
              <w:szCs w:val="22"/>
              <w:lang w:val="en-US" w:eastAsia="en-US"/>
            </w:rPr>
          </w:pPr>
          <w:r>
            <w:rPr/>
            <w:t>ZE.3.2.1</w:t>
          </w:r>
          <w:r>
            <w:rPr>
              <w:rFonts w:cs="Calibri" w:ascii="Calibri" w:hAnsi="Calibri"/>
              <w:sz w:val="22"/>
              <w:szCs w:val="22"/>
              <w:lang w:val="en-US" w:eastAsia="en-US"/>
            </w:rPr>
            <w:tab/>
          </w:r>
          <w:r>
            <w:rPr/>
            <w:t>Simulation assumptions</w:t>
            <w:tab/>
          </w:r>
          <w:hyperlink w:anchor="__RefHeading___Toc518036257">
            <w:r>
              <w:rPr>
                <w:rStyle w:val="IndexLink"/>
              </w:rPr>
              <w:t>343</w:t>
            </w:r>
          </w:hyperlink>
        </w:p>
        <w:p>
          <w:pPr>
            <w:pStyle w:val="Contents3"/>
            <w:rPr>
              <w:rFonts w:ascii="Calibri" w:hAnsi="Calibri" w:cs="Calibri"/>
              <w:sz w:val="22"/>
              <w:szCs w:val="22"/>
              <w:lang w:val="en-US" w:eastAsia="en-US"/>
            </w:rPr>
          </w:pPr>
          <w:r>
            <w:rPr/>
            <w:t>ZE.3.2.2</w:t>
          </w:r>
          <w:r>
            <w:rPr>
              <w:rFonts w:cs="Calibri" w:ascii="Calibri" w:hAnsi="Calibri"/>
              <w:sz w:val="22"/>
              <w:szCs w:val="22"/>
              <w:lang w:val="en-US" w:eastAsia="en-US"/>
            </w:rPr>
            <w:tab/>
          </w:r>
          <w:r>
            <w:rPr/>
            <w:t>Non-ideal network synchronization</w:t>
            <w:tab/>
          </w:r>
          <w:hyperlink w:anchor="__RefHeading___Toc518036258">
            <w:r>
              <w:rPr>
                <w:rStyle w:val="IndexLink"/>
              </w:rPr>
              <w:t>343</w:t>
            </w:r>
          </w:hyperlink>
        </w:p>
        <w:p>
          <w:pPr>
            <w:pStyle w:val="Contents3"/>
            <w:rPr>
              <w:rFonts w:ascii="Calibri" w:hAnsi="Calibri" w:cs="Calibri"/>
              <w:sz w:val="22"/>
              <w:szCs w:val="22"/>
              <w:lang w:val="en-US" w:eastAsia="en-US"/>
            </w:rPr>
          </w:pPr>
          <w:r>
            <w:rPr/>
            <w:t>ZE.3.2.3</w:t>
          </w:r>
          <w:r>
            <w:rPr>
              <w:rFonts w:cs="Calibri" w:ascii="Calibri" w:hAnsi="Calibri"/>
              <w:sz w:val="22"/>
              <w:szCs w:val="22"/>
              <w:lang w:val="en-US" w:eastAsia="en-US"/>
            </w:rPr>
            <w:tab/>
          </w:r>
          <w:r>
            <w:rPr/>
            <w:t>Collection of results</w:t>
            <w:tab/>
          </w:r>
          <w:hyperlink w:anchor="__RefHeading___Toc518036259">
            <w:r>
              <w:rPr>
                <w:rStyle w:val="IndexLink"/>
              </w:rPr>
              <w:t>344</w:t>
            </w:r>
          </w:hyperlink>
        </w:p>
        <w:p>
          <w:pPr>
            <w:pStyle w:val="Contents3"/>
            <w:rPr>
              <w:rFonts w:ascii="Calibri" w:hAnsi="Calibri" w:cs="Calibri"/>
              <w:sz w:val="22"/>
              <w:szCs w:val="22"/>
              <w:lang w:val="en-US" w:eastAsia="en-US"/>
            </w:rPr>
          </w:pPr>
          <w:r>
            <w:rPr/>
            <w:t>ZE.3.2.4</w:t>
          </w:r>
          <w:r>
            <w:rPr>
              <w:rFonts w:cs="Calibri" w:ascii="Calibri" w:hAnsi="Calibri"/>
              <w:sz w:val="22"/>
              <w:szCs w:val="22"/>
              <w:lang w:val="en-US" w:eastAsia="en-US"/>
            </w:rPr>
            <w:tab/>
          </w:r>
          <w:r>
            <w:rPr/>
            <w:t>Delay distribution</w:t>
            <w:tab/>
          </w:r>
          <w:hyperlink w:anchor="__RefHeading___Toc518036260">
            <w:r>
              <w:rPr>
                <w:rStyle w:val="IndexLink"/>
              </w:rPr>
              <w:t>344</w:t>
            </w:r>
          </w:hyperlink>
        </w:p>
        <w:p>
          <w:pPr>
            <w:pStyle w:val="Contents1"/>
            <w:rPr>
              <w:rFonts w:ascii="Calibri" w:hAnsi="Calibri" w:cs="Calibri"/>
              <w:szCs w:val="22"/>
              <w:lang w:val="en-US" w:eastAsia="en-US"/>
            </w:rPr>
          </w:pPr>
          <w:r>
            <w:rPr/>
            <w:t>ZE.4</w:t>
          </w:r>
          <w:r>
            <w:rPr>
              <w:rFonts w:cs="Calibri" w:ascii="Calibri" w:hAnsi="Calibri"/>
              <w:szCs w:val="22"/>
            </w:rPr>
            <w:tab/>
          </w:r>
          <w:r>
            <w:rPr>
              <w:lang w:val="en-US" w:eastAsia="en-US"/>
            </w:rPr>
            <w:t>NewToN – Performance evaluation</w:t>
          </w:r>
          <w:r>
            <w:rPr/>
            <w:tab/>
          </w:r>
          <w:hyperlink w:anchor="__RefHeading___Toc518036261">
            <w:r>
              <w:rPr>
                <w:rStyle w:val="IndexLink"/>
              </w:rPr>
              <w:t>344</w:t>
            </w:r>
          </w:hyperlink>
        </w:p>
        <w:p>
          <w:pPr>
            <w:pStyle w:val="Contents2"/>
            <w:rPr>
              <w:rFonts w:ascii="Calibri" w:hAnsi="Calibri" w:cs="Calibri"/>
              <w:sz w:val="22"/>
              <w:szCs w:val="22"/>
              <w:lang w:val="en-US" w:eastAsia="en-US"/>
            </w:rPr>
          </w:pPr>
          <w:r>
            <w:rPr/>
            <w:t>ZE.4.1</w:t>
          </w:r>
          <w:r>
            <w:rPr>
              <w:rFonts w:cs="Calibri" w:ascii="Calibri" w:hAnsi="Calibri"/>
              <w:sz w:val="22"/>
              <w:szCs w:val="22"/>
              <w:lang w:val="en-US" w:eastAsia="en-US"/>
            </w:rPr>
            <w:tab/>
          </w:r>
          <w:r>
            <w:rPr/>
            <w:t>Introduction</w:t>
            <w:tab/>
          </w:r>
          <w:hyperlink w:anchor="__RefHeading___Toc518036262">
            <w:r>
              <w:rPr>
                <w:rStyle w:val="IndexLink"/>
              </w:rPr>
              <w:t>345</w:t>
            </w:r>
          </w:hyperlink>
        </w:p>
        <w:p>
          <w:pPr>
            <w:pStyle w:val="Contents2"/>
            <w:rPr>
              <w:rFonts w:ascii="Calibri" w:hAnsi="Calibri" w:cs="Calibri"/>
              <w:sz w:val="22"/>
              <w:szCs w:val="22"/>
              <w:lang w:val="en-US" w:eastAsia="en-US"/>
            </w:rPr>
          </w:pPr>
          <w:r>
            <w:rPr/>
            <w:t>ZE.4.2</w:t>
          </w:r>
          <w:r>
            <w:rPr>
              <w:rFonts w:cs="Calibri" w:ascii="Calibri" w:hAnsi="Calibri"/>
              <w:sz w:val="22"/>
              <w:szCs w:val="22"/>
              <w:lang w:val="en-US" w:eastAsia="en-US"/>
            </w:rPr>
            <w:tab/>
          </w:r>
          <w:r>
            <w:rPr/>
            <w:t>Impact of co-TSC interference</w:t>
            <w:tab/>
          </w:r>
          <w:hyperlink w:anchor="__RefHeading___Toc518036263">
            <w:r>
              <w:rPr>
                <w:rStyle w:val="IndexLink"/>
              </w:rPr>
              <w:t>345</w:t>
            </w:r>
          </w:hyperlink>
        </w:p>
        <w:p>
          <w:pPr>
            <w:pStyle w:val="Contents3"/>
            <w:rPr>
              <w:rFonts w:ascii="Calibri" w:hAnsi="Calibri" w:cs="Calibri"/>
              <w:sz w:val="22"/>
              <w:szCs w:val="22"/>
              <w:lang w:val="en-US" w:eastAsia="en-US"/>
            </w:rPr>
          </w:pPr>
          <w:r>
            <w:rPr/>
            <w:t>ZE.4.2.1</w:t>
          </w:r>
          <w:r>
            <w:rPr>
              <w:rFonts w:cs="Calibri" w:ascii="Calibri" w:hAnsi="Calibri"/>
              <w:sz w:val="22"/>
              <w:szCs w:val="22"/>
              <w:lang w:val="en-US" w:eastAsia="en-US"/>
            </w:rPr>
            <w:tab/>
          </w:r>
          <w:r>
            <w:rPr/>
            <w:t>Introduction</w:t>
            <w:tab/>
          </w:r>
          <w:hyperlink w:anchor="__RefHeading___Toc518036264">
            <w:r>
              <w:rPr>
                <w:rStyle w:val="IndexLink"/>
              </w:rPr>
              <w:t>345</w:t>
            </w:r>
          </w:hyperlink>
        </w:p>
        <w:p>
          <w:pPr>
            <w:pStyle w:val="Contents3"/>
            <w:rPr>
              <w:rFonts w:ascii="Calibri" w:hAnsi="Calibri" w:cs="Calibri"/>
              <w:sz w:val="22"/>
              <w:szCs w:val="22"/>
              <w:lang w:val="en-US" w:eastAsia="en-US"/>
            </w:rPr>
          </w:pPr>
          <w:r>
            <w:rPr/>
            <w:t>ZE.4.2.2</w:t>
          </w:r>
          <w:r>
            <w:rPr>
              <w:rFonts w:cs="Calibri" w:ascii="Calibri" w:hAnsi="Calibri"/>
              <w:sz w:val="22"/>
              <w:szCs w:val="22"/>
              <w:lang w:val="en-US" w:eastAsia="en-US"/>
            </w:rPr>
            <w:tab/>
          </w:r>
          <w:r>
            <w:rPr/>
            <w:t>System model of co-TSC interference</w:t>
            <w:tab/>
          </w:r>
          <w:hyperlink w:anchor="__RefHeading___Toc518036265">
            <w:r>
              <w:rPr>
                <w:rStyle w:val="IndexLink"/>
              </w:rPr>
              <w:t>346</w:t>
            </w:r>
          </w:hyperlink>
        </w:p>
        <w:p>
          <w:pPr>
            <w:pStyle w:val="Contents4"/>
            <w:rPr>
              <w:rFonts w:ascii="Calibri" w:hAnsi="Calibri" w:cs="Calibri"/>
              <w:sz w:val="22"/>
              <w:szCs w:val="22"/>
              <w:lang w:val="en-US" w:eastAsia="en-US"/>
            </w:rPr>
          </w:pPr>
          <w:r>
            <w:rPr/>
            <w:t>ZE.4.2.2.1 Network configuration</w:t>
            <w:tab/>
          </w:r>
          <w:hyperlink w:anchor="__RefHeading___Toc518036266">
            <w:r>
              <w:rPr>
                <w:rStyle w:val="IndexLink"/>
              </w:rPr>
              <w:t>346</w:t>
            </w:r>
          </w:hyperlink>
        </w:p>
        <w:p>
          <w:pPr>
            <w:pStyle w:val="Contents4"/>
            <w:rPr>
              <w:rFonts w:ascii="Calibri" w:hAnsi="Calibri" w:cs="Calibri"/>
              <w:sz w:val="22"/>
              <w:szCs w:val="22"/>
              <w:lang w:val="en-US" w:eastAsia="en-US"/>
            </w:rPr>
          </w:pPr>
          <w:r>
            <w:rPr/>
            <w:t>ZE.4.2.2.2 Interferer strength</w:t>
            <w:tab/>
          </w:r>
          <w:hyperlink w:anchor="__RefHeading___Toc518036267">
            <w:r>
              <w:rPr>
                <w:rStyle w:val="IndexLink"/>
              </w:rPr>
              <w:t>347</w:t>
            </w:r>
          </w:hyperlink>
        </w:p>
        <w:p>
          <w:pPr>
            <w:pStyle w:val="Contents4"/>
            <w:rPr>
              <w:rFonts w:ascii="Calibri" w:hAnsi="Calibri" w:cs="Calibri"/>
              <w:sz w:val="22"/>
              <w:szCs w:val="22"/>
              <w:lang w:val="en-US" w:eastAsia="en-US"/>
            </w:rPr>
          </w:pPr>
          <w:r>
            <w:rPr/>
            <w:t>ZE.4.2.2.3 Co-TSC probability</w:t>
            <w:tab/>
          </w:r>
          <w:hyperlink w:anchor="__RefHeading___Toc518036268">
            <w:r>
              <w:rPr>
                <w:rStyle w:val="IndexLink"/>
              </w:rPr>
              <w:t>348</w:t>
            </w:r>
          </w:hyperlink>
        </w:p>
        <w:p>
          <w:pPr>
            <w:pStyle w:val="Contents3"/>
            <w:rPr>
              <w:rFonts w:ascii="Calibri" w:hAnsi="Calibri" w:cs="Calibri"/>
              <w:sz w:val="22"/>
              <w:szCs w:val="22"/>
              <w:lang w:val="en-US" w:eastAsia="en-US"/>
            </w:rPr>
          </w:pPr>
          <w:r>
            <w:rPr/>
            <w:t>ZE.4.2.3</w:t>
          </w:r>
          <w:r>
            <w:rPr>
              <w:rFonts w:cs="Calibri" w:ascii="Calibri" w:hAnsi="Calibri"/>
              <w:sz w:val="22"/>
              <w:szCs w:val="22"/>
              <w:lang w:val="en-US" w:eastAsia="en-US"/>
            </w:rPr>
            <w:tab/>
          </w:r>
          <w:r>
            <w:rPr/>
            <w:t>Link level simulations</w:t>
            <w:tab/>
          </w:r>
          <w:hyperlink w:anchor="__RefHeading___Toc518036269">
            <w:r>
              <w:rPr>
                <w:rStyle w:val="IndexLink"/>
              </w:rPr>
              <w:t>349</w:t>
            </w:r>
          </w:hyperlink>
        </w:p>
        <w:p>
          <w:pPr>
            <w:pStyle w:val="Contents4"/>
            <w:rPr>
              <w:rFonts w:ascii="Calibri" w:hAnsi="Calibri" w:cs="Calibri"/>
              <w:sz w:val="22"/>
              <w:szCs w:val="22"/>
              <w:lang w:val="en-US" w:eastAsia="en-US"/>
            </w:rPr>
          </w:pPr>
          <w:r>
            <w:rPr/>
            <w:t>ZE.4.2.3.1 Interference model</w:t>
            <w:tab/>
          </w:r>
          <w:hyperlink w:anchor="__RefHeading___Toc518036270">
            <w:r>
              <w:rPr>
                <w:rStyle w:val="IndexLink"/>
              </w:rPr>
              <w:t>349</w:t>
            </w:r>
          </w:hyperlink>
        </w:p>
        <w:p>
          <w:pPr>
            <w:pStyle w:val="Contents4"/>
            <w:rPr>
              <w:rFonts w:ascii="Calibri" w:hAnsi="Calibri" w:cs="Calibri"/>
              <w:sz w:val="22"/>
              <w:szCs w:val="22"/>
              <w:lang w:val="en-US" w:eastAsia="en-US"/>
            </w:rPr>
          </w:pPr>
          <w:r>
            <w:rPr/>
            <w:t>ZE.4.2.3.2 Other simulation parameters</w:t>
            <w:tab/>
          </w:r>
          <w:hyperlink w:anchor="__RefHeading___Toc518036271">
            <w:r>
              <w:rPr>
                <w:rStyle w:val="IndexLink"/>
              </w:rPr>
              <w:t>350</w:t>
            </w:r>
          </w:hyperlink>
        </w:p>
        <w:p>
          <w:pPr>
            <w:pStyle w:val="Contents4"/>
            <w:rPr>
              <w:rFonts w:ascii="Calibri" w:hAnsi="Calibri" w:cs="Calibri"/>
              <w:sz w:val="22"/>
              <w:szCs w:val="22"/>
              <w:lang w:val="en-US" w:eastAsia="en-US"/>
            </w:rPr>
          </w:pPr>
          <w:r>
            <w:rPr/>
            <w:t>ZE.4.2.3.3 Results and discussion</w:t>
            <w:tab/>
          </w:r>
          <w:hyperlink w:anchor="__RefHeading___Toc518036272">
            <w:r>
              <w:rPr>
                <w:rStyle w:val="IndexLink"/>
              </w:rPr>
              <w:t>350</w:t>
            </w:r>
          </w:hyperlink>
        </w:p>
        <w:p>
          <w:pPr>
            <w:pStyle w:val="Contents2"/>
            <w:rPr>
              <w:rFonts w:ascii="Calibri" w:hAnsi="Calibri" w:cs="Calibri"/>
              <w:sz w:val="22"/>
              <w:szCs w:val="22"/>
              <w:lang w:val="en-US" w:eastAsia="en-US"/>
            </w:rPr>
          </w:pPr>
          <w:r>
            <w:rPr/>
            <w:t>ZE.4.3</w:t>
          </w:r>
          <w:r>
            <w:rPr>
              <w:rFonts w:cs="Calibri" w:ascii="Calibri" w:hAnsi="Calibri"/>
              <w:sz w:val="22"/>
              <w:szCs w:val="22"/>
              <w:lang w:val="en-US" w:eastAsia="en-US"/>
            </w:rPr>
            <w:tab/>
          </w:r>
          <w:r>
            <w:rPr/>
            <w:t>System level simulations</w:t>
            <w:tab/>
          </w:r>
          <w:hyperlink w:anchor="__RefHeading___Toc518036273">
            <w:r>
              <w:rPr>
                <w:rStyle w:val="IndexLink"/>
              </w:rPr>
              <w:t>350</w:t>
            </w:r>
          </w:hyperlink>
        </w:p>
        <w:p>
          <w:pPr>
            <w:pStyle w:val="Contents3"/>
            <w:rPr>
              <w:rFonts w:ascii="Calibri" w:hAnsi="Calibri" w:cs="Calibri"/>
              <w:sz w:val="22"/>
              <w:szCs w:val="22"/>
              <w:lang w:val="en-US" w:eastAsia="en-US"/>
            </w:rPr>
          </w:pPr>
          <w:r>
            <w:rPr/>
            <w:t>ZE.4.3.1</w:t>
          </w:r>
          <w:r>
            <w:rPr>
              <w:rFonts w:cs="Calibri" w:ascii="Calibri" w:hAnsi="Calibri"/>
              <w:sz w:val="22"/>
              <w:szCs w:val="22"/>
              <w:lang w:val="en-US" w:eastAsia="en-US"/>
            </w:rPr>
            <w:tab/>
          </w:r>
          <w:r>
            <w:rPr/>
            <w:t>Introduction</w:t>
            <w:tab/>
          </w:r>
          <w:hyperlink w:anchor="__RefHeading___Toc518036274">
            <w:r>
              <w:rPr>
                <w:rStyle w:val="IndexLink"/>
              </w:rPr>
              <w:t>350</w:t>
            </w:r>
          </w:hyperlink>
        </w:p>
        <w:p>
          <w:pPr>
            <w:pStyle w:val="Contents3"/>
            <w:rPr>
              <w:rFonts w:ascii="Calibri" w:hAnsi="Calibri" w:cs="Calibri"/>
              <w:sz w:val="22"/>
              <w:szCs w:val="22"/>
              <w:lang w:val="en-US" w:eastAsia="en-US"/>
            </w:rPr>
          </w:pPr>
          <w:r>
            <w:rPr/>
            <w:t>ZE.4.3.2</w:t>
          </w:r>
          <w:r>
            <w:rPr>
              <w:rFonts w:cs="Calibri" w:ascii="Calibri" w:hAnsi="Calibri"/>
              <w:sz w:val="22"/>
              <w:szCs w:val="22"/>
              <w:lang w:val="en-US" w:eastAsia="en-US"/>
            </w:rPr>
            <w:tab/>
          </w:r>
          <w:r>
            <w:rPr/>
            <w:t>Simulation assumptions</w:t>
            <w:tab/>
          </w:r>
          <w:hyperlink w:anchor="__RefHeading___Toc518036275">
            <w:r>
              <w:rPr>
                <w:rStyle w:val="IndexLink"/>
              </w:rPr>
              <w:t>351</w:t>
            </w:r>
          </w:hyperlink>
        </w:p>
        <w:p>
          <w:pPr>
            <w:pStyle w:val="Contents3"/>
            <w:rPr>
              <w:rFonts w:ascii="Calibri" w:hAnsi="Calibri" w:cs="Calibri"/>
              <w:sz w:val="22"/>
              <w:szCs w:val="22"/>
              <w:lang w:val="en-US" w:eastAsia="en-US"/>
            </w:rPr>
          </w:pPr>
          <w:r>
            <w:rPr/>
            <w:t>ZE.4.3.3</w:t>
          </w:r>
          <w:r>
            <w:rPr>
              <w:rFonts w:cs="Calibri" w:ascii="Calibri" w:hAnsi="Calibri"/>
              <w:sz w:val="22"/>
              <w:szCs w:val="22"/>
              <w:lang w:val="en-US" w:eastAsia="en-US"/>
            </w:rPr>
            <w:tab/>
          </w:r>
          <w:r>
            <w:rPr/>
            <w:t>Results – non-VAMOS</w:t>
            <w:tab/>
          </w:r>
          <w:hyperlink w:anchor="__RefHeading___Toc518036276">
            <w:r>
              <w:rPr>
                <w:rStyle w:val="IndexLink"/>
              </w:rPr>
              <w:t>351</w:t>
            </w:r>
          </w:hyperlink>
        </w:p>
        <w:p>
          <w:pPr>
            <w:pStyle w:val="Contents3"/>
            <w:rPr>
              <w:rFonts w:ascii="Calibri" w:hAnsi="Calibri" w:cs="Calibri"/>
              <w:sz w:val="22"/>
              <w:szCs w:val="22"/>
              <w:lang w:val="en-US" w:eastAsia="en-US"/>
            </w:rPr>
          </w:pPr>
          <w:r>
            <w:rPr/>
            <w:t>ZE.4.3.4</w:t>
          </w:r>
          <w:r>
            <w:rPr>
              <w:rFonts w:cs="Calibri" w:ascii="Calibri" w:hAnsi="Calibri"/>
              <w:sz w:val="22"/>
              <w:szCs w:val="22"/>
              <w:lang w:val="en-US" w:eastAsia="en-US"/>
            </w:rPr>
            <w:tab/>
          </w:r>
          <w:r>
            <w:rPr/>
            <w:t>Results – VAMOS</w:t>
            <w:tab/>
          </w:r>
          <w:hyperlink w:anchor="__RefHeading___Toc518036277">
            <w:r>
              <w:rPr>
                <w:rStyle w:val="IndexLink"/>
              </w:rPr>
              <w:t>352</w:t>
            </w:r>
          </w:hyperlink>
        </w:p>
        <w:p>
          <w:pPr>
            <w:pStyle w:val="Contents2"/>
            <w:rPr>
              <w:rFonts w:ascii="Calibri" w:hAnsi="Calibri" w:cs="Calibri"/>
              <w:sz w:val="22"/>
              <w:szCs w:val="22"/>
              <w:lang w:val="en-US" w:eastAsia="en-US"/>
            </w:rPr>
          </w:pPr>
          <w:r>
            <w:rPr/>
            <w:t>ZE.4.4</w:t>
          </w:r>
          <w:r>
            <w:rPr>
              <w:rFonts w:cs="Calibri" w:ascii="Calibri" w:hAnsi="Calibri"/>
              <w:sz w:val="22"/>
              <w:szCs w:val="22"/>
              <w:lang w:val="en-US" w:eastAsia="en-US"/>
            </w:rPr>
            <w:tab/>
          </w:r>
          <w:r>
            <w:rPr/>
            <w:t>Performance comparison according to NewToN framework</w:t>
            <w:tab/>
          </w:r>
          <w:hyperlink w:anchor="__RefHeading___Toc518036278">
            <w:r>
              <w:rPr>
                <w:rStyle w:val="IndexLink"/>
              </w:rPr>
              <w:t>353</w:t>
            </w:r>
          </w:hyperlink>
        </w:p>
        <w:p>
          <w:pPr>
            <w:pStyle w:val="Contents2"/>
            <w:rPr>
              <w:rFonts w:ascii="Calibri" w:hAnsi="Calibri" w:cs="Calibri"/>
              <w:sz w:val="22"/>
              <w:szCs w:val="22"/>
              <w:lang w:val="en-US" w:eastAsia="en-US"/>
            </w:rPr>
          </w:pPr>
          <w:r>
            <w:rPr/>
            <w:t>ZE.4.5</w:t>
          </w:r>
          <w:r>
            <w:rPr>
              <w:rFonts w:cs="Calibri" w:ascii="Calibri" w:hAnsi="Calibri"/>
              <w:sz w:val="22"/>
              <w:szCs w:val="22"/>
              <w:lang w:val="en-US" w:eastAsia="en-US"/>
            </w:rPr>
            <w:tab/>
          </w:r>
          <w:r>
            <w:rPr/>
            <w:t>Conclusions</w:t>
            <w:tab/>
          </w:r>
          <w:hyperlink w:anchor="__RefHeading___Toc518036279">
            <w:r>
              <w:rPr>
                <w:rStyle w:val="IndexLink"/>
              </w:rPr>
              <w:t>354</w:t>
            </w:r>
          </w:hyperlink>
        </w:p>
        <w:p>
          <w:pPr>
            <w:pStyle w:val="Contents2"/>
            <w:rPr>
              <w:rFonts w:ascii="Calibri" w:hAnsi="Calibri" w:cs="Calibri"/>
              <w:sz w:val="22"/>
              <w:szCs w:val="22"/>
              <w:lang w:val="en-US" w:eastAsia="en-US"/>
            </w:rPr>
          </w:pPr>
          <w:r>
            <w:rPr/>
            <w:t>ZE.4.6: Performance comparison according to NewToN performance framework</w:t>
            <w:tab/>
          </w:r>
          <w:hyperlink w:anchor="__RefHeading___Toc518036280">
            <w:r>
              <w:rPr>
                <w:rStyle w:val="IndexLink"/>
              </w:rPr>
              <w:t>355</w:t>
            </w:r>
          </w:hyperlink>
        </w:p>
        <w:p>
          <w:pPr>
            <w:pStyle w:val="Contents2"/>
            <w:rPr>
              <w:rFonts w:ascii="Calibri" w:hAnsi="Calibri" w:cs="Calibri"/>
              <w:sz w:val="22"/>
              <w:szCs w:val="22"/>
              <w:lang w:val="en-US" w:eastAsia="en-US"/>
            </w:rPr>
          </w:pPr>
          <w:r>
            <w:rPr/>
            <w:t>ZE.4.7</w:t>
          </w:r>
          <w:r>
            <w:rPr>
              <w:rFonts w:cs="Calibri" w:ascii="Calibri" w:hAnsi="Calibri"/>
              <w:sz w:val="22"/>
              <w:szCs w:val="22"/>
              <w:lang w:val="en-US" w:eastAsia="en-US"/>
            </w:rPr>
            <w:tab/>
          </w:r>
          <w:r>
            <w:rPr/>
            <w:t>Detailed link level performance</w:t>
            <w:tab/>
          </w:r>
          <w:hyperlink w:anchor="__RefHeading___Toc518036281">
            <w:r>
              <w:rPr>
                <w:rStyle w:val="IndexLink"/>
              </w:rPr>
              <w:t>356</w:t>
            </w:r>
          </w:hyperlink>
        </w:p>
        <w:p>
          <w:pPr>
            <w:pStyle w:val="Contents9"/>
            <w:rPr>
              <w:rFonts w:ascii="Calibri" w:hAnsi="Calibri" w:cs="Calibri"/>
              <w:b w:val="false"/>
              <w:b w:val="false"/>
              <w:szCs w:val="22"/>
              <w:lang w:val="en-US" w:eastAsia="en-US"/>
            </w:rPr>
          </w:pPr>
          <w:r>
            <w:rPr/>
            <w:t xml:space="preserve">Annex </w:t>
          </w:r>
          <w:r>
            <w:rPr>
              <w:lang w:val="en-US" w:eastAsia="en-US"/>
            </w:rPr>
            <w:t>ZF</w:t>
          </w:r>
          <w:r>
            <w:rPr/>
            <w:t>:</w:t>
            <w:tab/>
          </w:r>
          <w:r>
            <w:rPr>
              <w:lang w:val="en-US" w:eastAsia="en-US"/>
            </w:rPr>
            <w:t>Machine-type-communication (MTC) deployment, including EC-GSM-IoT, in a reduced BCCH spectrum allocation</w:t>
          </w:r>
          <w:r>
            <w:rPr/>
            <w:tab/>
          </w:r>
          <w:hyperlink w:anchor="__RefHeading___Toc518036282">
            <w:r>
              <w:rPr>
                <w:rStyle w:val="IndexLink"/>
              </w:rPr>
              <w:t>358</w:t>
            </w:r>
          </w:hyperlink>
        </w:p>
        <w:p>
          <w:pPr>
            <w:pStyle w:val="Contents1"/>
            <w:rPr>
              <w:rFonts w:ascii="Calibri" w:hAnsi="Calibri" w:cs="Calibri"/>
              <w:szCs w:val="22"/>
              <w:lang w:val="en-US" w:eastAsia="en-US"/>
            </w:rPr>
          </w:pPr>
          <w:r>
            <w:rPr/>
            <w:t>ZF.1</w:t>
          </w:r>
          <w:r>
            <w:rPr>
              <w:rFonts w:cs="Calibri" w:ascii="Calibri" w:hAnsi="Calibri"/>
              <w:szCs w:val="22"/>
            </w:rPr>
            <w:tab/>
          </w:r>
          <w:r>
            <w:rPr>
              <w:lang w:val="en-US" w:eastAsia="en-US"/>
            </w:rPr>
            <w:t>Common simulation assumption framework</w:t>
          </w:r>
          <w:r>
            <w:rPr/>
            <w:tab/>
          </w:r>
          <w:hyperlink w:anchor="__RefHeading___Toc518036283">
            <w:r>
              <w:rPr>
                <w:rStyle w:val="IndexLink"/>
              </w:rPr>
              <w:t>358</w:t>
            </w:r>
          </w:hyperlink>
        </w:p>
        <w:p>
          <w:pPr>
            <w:pStyle w:val="Contents2"/>
            <w:rPr>
              <w:rFonts w:ascii="Calibri" w:hAnsi="Calibri" w:cs="Calibri"/>
              <w:sz w:val="22"/>
              <w:szCs w:val="22"/>
              <w:lang w:val="en-US" w:eastAsia="en-US"/>
            </w:rPr>
          </w:pPr>
          <w:r>
            <w:rPr/>
            <w:t>ZF.1.1</w:t>
          </w:r>
          <w:r>
            <w:rPr>
              <w:rFonts w:cs="Calibri" w:ascii="Calibri" w:hAnsi="Calibri"/>
              <w:sz w:val="22"/>
              <w:szCs w:val="22"/>
            </w:rPr>
            <w:tab/>
          </w:r>
          <w:r>
            <w:rPr>
              <w:lang w:val="en-US" w:eastAsia="en-US"/>
            </w:rPr>
            <w:t>Tdoc reference</w:t>
          </w:r>
          <w:r>
            <w:rPr/>
            <w:tab/>
          </w:r>
          <w:hyperlink w:anchor="__RefHeading___Toc518036284">
            <w:r>
              <w:rPr>
                <w:rStyle w:val="IndexLink"/>
              </w:rPr>
              <w:t>358</w:t>
            </w:r>
          </w:hyperlink>
        </w:p>
        <w:p>
          <w:pPr>
            <w:pStyle w:val="Contents2"/>
            <w:rPr>
              <w:rFonts w:ascii="Calibri" w:hAnsi="Calibri" w:cs="Calibri"/>
              <w:sz w:val="22"/>
              <w:szCs w:val="22"/>
              <w:lang w:val="en-US" w:eastAsia="en-US"/>
            </w:rPr>
          </w:pPr>
          <w:r>
            <w:rPr/>
            <w:t>ZF.1.2</w:t>
          </w:r>
          <w:r>
            <w:rPr>
              <w:rFonts w:cs="Calibri" w:ascii="Calibri" w:hAnsi="Calibri"/>
              <w:sz w:val="22"/>
              <w:szCs w:val="22"/>
            </w:rPr>
            <w:tab/>
          </w:r>
          <w:r>
            <w:rPr>
              <w:lang w:val="en-US" w:eastAsia="en-US"/>
            </w:rPr>
            <w:t>Working assumptions for network simulations</w:t>
          </w:r>
          <w:r>
            <w:rPr/>
            <w:tab/>
          </w:r>
          <w:hyperlink w:anchor="__RefHeading___Toc518036285">
            <w:r>
              <w:rPr>
                <w:rStyle w:val="IndexLink"/>
              </w:rPr>
              <w:t>359</w:t>
            </w:r>
          </w:hyperlink>
        </w:p>
        <w:p>
          <w:pPr>
            <w:pStyle w:val="Contents1"/>
            <w:rPr>
              <w:rFonts w:ascii="Calibri" w:hAnsi="Calibri" w:cs="Calibri"/>
              <w:szCs w:val="22"/>
              <w:lang w:val="en-US" w:eastAsia="en-US"/>
            </w:rPr>
          </w:pPr>
          <w:r>
            <w:rPr/>
            <w:t>ZF.2</w:t>
          </w:r>
          <w:r>
            <w:rPr>
              <w:rFonts w:cs="Calibri" w:ascii="Calibri" w:hAnsi="Calibri"/>
              <w:szCs w:val="22"/>
            </w:rPr>
            <w:tab/>
          </w:r>
          <w:r>
            <w:rPr>
              <w:lang w:val="en-US" w:eastAsia="en-US"/>
            </w:rPr>
            <w:t>Simulator for Network synchronization evaluation</w:t>
          </w:r>
          <w:r>
            <w:rPr/>
            <w:tab/>
          </w:r>
          <w:hyperlink w:anchor="__RefHeading___Toc518036286">
            <w:r>
              <w:rPr>
                <w:rStyle w:val="IndexLink"/>
              </w:rPr>
              <w:t>360</w:t>
            </w:r>
          </w:hyperlink>
        </w:p>
        <w:p>
          <w:pPr>
            <w:pStyle w:val="Contents2"/>
            <w:rPr>
              <w:rFonts w:ascii="Calibri" w:hAnsi="Calibri" w:cs="Calibri"/>
              <w:sz w:val="22"/>
              <w:szCs w:val="22"/>
              <w:lang w:val="en-US" w:eastAsia="en-US"/>
            </w:rPr>
          </w:pPr>
          <w:r>
            <w:rPr/>
            <w:t>ZF.2.1</w:t>
          </w:r>
          <w:r>
            <w:rPr>
              <w:rFonts w:cs="Calibri" w:ascii="Calibri" w:hAnsi="Calibri"/>
              <w:sz w:val="22"/>
              <w:szCs w:val="22"/>
            </w:rPr>
            <w:tab/>
          </w:r>
          <w:r>
            <w:rPr>
              <w:lang w:val="en-US" w:eastAsia="en-US"/>
            </w:rPr>
            <w:t>Tdoc reference</w:t>
          </w:r>
          <w:r>
            <w:rPr/>
            <w:tab/>
          </w:r>
          <w:hyperlink w:anchor="__RefHeading___Toc518036287">
            <w:r>
              <w:rPr>
                <w:rStyle w:val="IndexLink"/>
              </w:rPr>
              <w:t>360</w:t>
            </w:r>
          </w:hyperlink>
        </w:p>
        <w:p>
          <w:pPr>
            <w:pStyle w:val="Contents2"/>
            <w:rPr>
              <w:rFonts w:ascii="Calibri" w:hAnsi="Calibri" w:cs="Calibri"/>
              <w:sz w:val="22"/>
              <w:szCs w:val="22"/>
              <w:lang w:val="en-US" w:eastAsia="en-US"/>
            </w:rPr>
          </w:pPr>
          <w:r>
            <w:rPr/>
            <w:t>ZF.2.2</w:t>
          </w:r>
          <w:r>
            <w:rPr>
              <w:rFonts w:cs="Calibri" w:ascii="Calibri" w:hAnsi="Calibri"/>
              <w:sz w:val="22"/>
              <w:szCs w:val="22"/>
            </w:rPr>
            <w:tab/>
          </w:r>
          <w:r>
            <w:rPr>
              <w:lang w:val="en-US" w:eastAsia="en-US"/>
            </w:rPr>
            <w:t>Introduction</w:t>
          </w:r>
          <w:r>
            <w:rPr/>
            <w:tab/>
          </w:r>
          <w:hyperlink w:anchor="__RefHeading___Toc518036288">
            <w:r>
              <w:rPr>
                <w:rStyle w:val="IndexLink"/>
              </w:rPr>
              <w:t>360</w:t>
            </w:r>
          </w:hyperlink>
        </w:p>
        <w:p>
          <w:pPr>
            <w:pStyle w:val="Contents2"/>
            <w:rPr>
              <w:rFonts w:ascii="Calibri" w:hAnsi="Calibri" w:cs="Calibri"/>
              <w:sz w:val="22"/>
              <w:szCs w:val="22"/>
              <w:lang w:val="en-US" w:eastAsia="en-US"/>
            </w:rPr>
          </w:pPr>
          <w:r>
            <w:rPr/>
            <w:t>ZF.2.3</w:t>
          </w:r>
          <w:r>
            <w:rPr>
              <w:rFonts w:cs="Calibri" w:ascii="Calibri" w:hAnsi="Calibri"/>
              <w:sz w:val="22"/>
              <w:szCs w:val="22"/>
              <w:lang w:val="en-US" w:eastAsia="en-US"/>
            </w:rPr>
            <w:tab/>
          </w:r>
          <w:r>
            <w:rPr/>
            <w:t>Simulator description</w:t>
            <w:tab/>
          </w:r>
          <w:hyperlink w:anchor="__RefHeading___Toc518036289">
            <w:r>
              <w:rPr>
                <w:rStyle w:val="IndexLink"/>
              </w:rPr>
              <w:t>361</w:t>
            </w:r>
          </w:hyperlink>
        </w:p>
        <w:p>
          <w:pPr>
            <w:pStyle w:val="Contents3"/>
            <w:rPr>
              <w:rFonts w:ascii="Calibri" w:hAnsi="Calibri" w:cs="Calibri"/>
              <w:sz w:val="22"/>
              <w:szCs w:val="22"/>
              <w:lang w:val="en-US" w:eastAsia="en-US"/>
            </w:rPr>
          </w:pPr>
          <w:r>
            <w:rPr/>
            <w:t>ZF.2.3.1</w:t>
          </w:r>
          <w:r>
            <w:rPr>
              <w:rFonts w:cs="Calibri" w:ascii="Calibri" w:hAnsi="Calibri"/>
              <w:sz w:val="22"/>
              <w:szCs w:val="22"/>
              <w:lang w:val="en-US" w:eastAsia="en-US"/>
            </w:rPr>
            <w:tab/>
          </w:r>
          <w:r>
            <w:rPr/>
            <w:t>General</w:t>
            <w:tab/>
          </w:r>
          <w:hyperlink w:anchor="__RefHeading___Toc518036290">
            <w:r>
              <w:rPr>
                <w:rStyle w:val="IndexLink"/>
              </w:rPr>
              <w:t>361</w:t>
            </w:r>
          </w:hyperlink>
        </w:p>
        <w:p>
          <w:pPr>
            <w:pStyle w:val="Contents3"/>
            <w:rPr>
              <w:rFonts w:ascii="Calibri" w:hAnsi="Calibri" w:cs="Calibri"/>
              <w:sz w:val="22"/>
              <w:szCs w:val="22"/>
              <w:lang w:val="en-US" w:eastAsia="en-US"/>
            </w:rPr>
          </w:pPr>
          <w:r>
            <w:rPr/>
            <w:t>ZF.2.3.2</w:t>
          </w:r>
          <w:r>
            <w:rPr>
              <w:rFonts w:cs="Calibri" w:ascii="Calibri" w:hAnsi="Calibri"/>
              <w:sz w:val="22"/>
              <w:szCs w:val="22"/>
              <w:lang w:val="en-US" w:eastAsia="en-US"/>
            </w:rPr>
            <w:tab/>
          </w:r>
          <w:r>
            <w:rPr/>
            <w:t>Network configuration and plan</w:t>
            <w:tab/>
          </w:r>
          <w:hyperlink w:anchor="__RefHeading___Toc518036291">
            <w:r>
              <w:rPr>
                <w:rStyle w:val="IndexLink"/>
              </w:rPr>
              <w:t>361</w:t>
            </w:r>
          </w:hyperlink>
        </w:p>
        <w:p>
          <w:pPr>
            <w:pStyle w:val="Contents3"/>
            <w:rPr>
              <w:rFonts w:ascii="Calibri" w:hAnsi="Calibri" w:cs="Calibri"/>
              <w:sz w:val="22"/>
              <w:szCs w:val="22"/>
              <w:lang w:val="en-US" w:eastAsia="en-US"/>
            </w:rPr>
          </w:pPr>
          <w:r>
            <w:rPr/>
            <w:t>ZF.2.3.3</w:t>
          </w:r>
          <w:r>
            <w:rPr>
              <w:rFonts w:cs="Calibri" w:ascii="Calibri" w:hAnsi="Calibri"/>
              <w:sz w:val="22"/>
              <w:szCs w:val="22"/>
              <w:lang w:val="en-US" w:eastAsia="en-US"/>
            </w:rPr>
            <w:tab/>
          </w:r>
          <w:r>
            <w:rPr/>
            <w:t>Mapping and timing of logical channels</w:t>
            <w:tab/>
          </w:r>
          <w:hyperlink w:anchor="__RefHeading___Toc518036292">
            <w:r>
              <w:rPr>
                <w:rStyle w:val="IndexLink"/>
              </w:rPr>
              <w:t>362</w:t>
            </w:r>
          </w:hyperlink>
        </w:p>
        <w:p>
          <w:pPr>
            <w:pStyle w:val="Contents3"/>
            <w:rPr>
              <w:rFonts w:ascii="Calibri" w:hAnsi="Calibri" w:cs="Calibri"/>
              <w:sz w:val="22"/>
              <w:szCs w:val="22"/>
              <w:lang w:val="en-US" w:eastAsia="en-US"/>
            </w:rPr>
          </w:pPr>
          <w:r>
            <w:rPr/>
            <w:t>ZF.2.3.4</w:t>
          </w:r>
          <w:r>
            <w:rPr>
              <w:rFonts w:cs="Calibri" w:ascii="Calibri" w:hAnsi="Calibri"/>
              <w:sz w:val="22"/>
              <w:szCs w:val="22"/>
              <w:lang w:val="en-US" w:eastAsia="en-US"/>
            </w:rPr>
            <w:tab/>
          </w:r>
          <w:r>
            <w:rPr/>
            <w:t>Relevant range of coupling loss</w:t>
            <w:tab/>
          </w:r>
          <w:hyperlink w:anchor="__RefHeading___Toc518036293">
            <w:r>
              <w:rPr>
                <w:rStyle w:val="IndexLink"/>
              </w:rPr>
              <w:t>362</w:t>
            </w:r>
          </w:hyperlink>
        </w:p>
        <w:p>
          <w:pPr>
            <w:pStyle w:val="Contents3"/>
            <w:rPr>
              <w:rFonts w:ascii="Calibri" w:hAnsi="Calibri" w:cs="Calibri"/>
              <w:sz w:val="22"/>
              <w:szCs w:val="22"/>
              <w:lang w:val="en-US" w:eastAsia="en-US"/>
            </w:rPr>
          </w:pPr>
          <w:r>
            <w:rPr/>
            <w:t>ZF.2.3.5</w:t>
          </w:r>
          <w:r>
            <w:rPr>
              <w:rFonts w:cs="Calibri" w:ascii="Calibri" w:hAnsi="Calibri"/>
              <w:sz w:val="22"/>
              <w:szCs w:val="22"/>
              <w:lang w:val="en-US" w:eastAsia="en-US"/>
            </w:rPr>
            <w:tab/>
          </w:r>
          <w:r>
            <w:rPr/>
            <w:t>Realistic interference model</w:t>
            <w:tab/>
          </w:r>
          <w:hyperlink w:anchor="__RefHeading___Toc518036294">
            <w:r>
              <w:rPr>
                <w:rStyle w:val="IndexLink"/>
              </w:rPr>
              <w:t>362</w:t>
            </w:r>
          </w:hyperlink>
        </w:p>
        <w:p>
          <w:pPr>
            <w:pStyle w:val="Contents3"/>
            <w:rPr>
              <w:rFonts w:ascii="Calibri" w:hAnsi="Calibri" w:cs="Calibri"/>
              <w:sz w:val="22"/>
              <w:szCs w:val="22"/>
              <w:lang w:val="en-US" w:eastAsia="en-US"/>
            </w:rPr>
          </w:pPr>
          <w:r>
            <w:rPr/>
            <w:t>ZF.2.3.6</w:t>
          </w:r>
          <w:r>
            <w:rPr>
              <w:rFonts w:cs="Calibri" w:ascii="Calibri" w:hAnsi="Calibri"/>
              <w:sz w:val="22"/>
              <w:szCs w:val="22"/>
              <w:lang w:val="en-US" w:eastAsia="en-US"/>
            </w:rPr>
            <w:tab/>
          </w:r>
          <w:r>
            <w:rPr/>
            <w:t>Receiver model</w:t>
            <w:tab/>
          </w:r>
          <w:hyperlink w:anchor="__RefHeading___Toc518036295">
            <w:r>
              <w:rPr>
                <w:rStyle w:val="IndexLink"/>
              </w:rPr>
              <w:t>365</w:t>
            </w:r>
          </w:hyperlink>
        </w:p>
        <w:p>
          <w:pPr>
            <w:pStyle w:val="Contents2"/>
            <w:rPr>
              <w:rFonts w:ascii="Calibri" w:hAnsi="Calibri" w:cs="Calibri"/>
              <w:sz w:val="22"/>
              <w:szCs w:val="22"/>
              <w:lang w:val="en-US" w:eastAsia="en-US"/>
            </w:rPr>
          </w:pPr>
          <w:r>
            <w:rPr/>
            <w:t>ZF.2.4</w:t>
          </w:r>
          <w:r>
            <w:rPr>
              <w:rFonts w:cs="Calibri" w:ascii="Calibri" w:hAnsi="Calibri"/>
              <w:sz w:val="22"/>
              <w:szCs w:val="22"/>
              <w:lang w:val="en-US" w:eastAsia="en-US"/>
            </w:rPr>
            <w:tab/>
          </w:r>
          <w:r>
            <w:rPr/>
            <w:t>Discussion and conclusions</w:t>
            <w:tab/>
          </w:r>
          <w:hyperlink w:anchor="__RefHeading___Toc518036296">
            <w:r>
              <w:rPr>
                <w:rStyle w:val="IndexLink"/>
              </w:rPr>
              <w:t>366</w:t>
            </w:r>
          </w:hyperlink>
        </w:p>
        <w:p>
          <w:pPr>
            <w:pStyle w:val="Contents1"/>
            <w:rPr>
              <w:rFonts w:ascii="Calibri" w:hAnsi="Calibri" w:cs="Calibri"/>
              <w:szCs w:val="22"/>
              <w:lang w:val="en-US" w:eastAsia="en-US"/>
            </w:rPr>
          </w:pPr>
          <w:r>
            <w:rPr/>
            <w:t>ZF.3</w:t>
          </w:r>
          <w:r>
            <w:rPr>
              <w:rFonts w:cs="Calibri" w:ascii="Calibri" w:hAnsi="Calibri"/>
              <w:szCs w:val="22"/>
            </w:rPr>
            <w:tab/>
          </w:r>
          <w:r>
            <w:rPr>
              <w:lang w:val="en-US" w:eastAsia="en-US"/>
            </w:rPr>
            <w:t>Simulator for Common control channel evaluation</w:t>
          </w:r>
          <w:r>
            <w:rPr/>
            <w:tab/>
          </w:r>
          <w:hyperlink w:anchor="__RefHeading___Toc518036297">
            <w:r>
              <w:rPr>
                <w:rStyle w:val="IndexLink"/>
              </w:rPr>
              <w:t>366</w:t>
            </w:r>
          </w:hyperlink>
        </w:p>
        <w:p>
          <w:pPr>
            <w:pStyle w:val="Contents2"/>
            <w:rPr>
              <w:rFonts w:ascii="Calibri" w:hAnsi="Calibri" w:cs="Calibri"/>
              <w:sz w:val="22"/>
              <w:szCs w:val="22"/>
              <w:lang w:val="en-US" w:eastAsia="en-US"/>
            </w:rPr>
          </w:pPr>
          <w:r>
            <w:rPr/>
            <w:t>ZF.3.1</w:t>
          </w:r>
          <w:r>
            <w:rPr>
              <w:rFonts w:cs="Calibri" w:ascii="Calibri" w:hAnsi="Calibri"/>
              <w:sz w:val="22"/>
              <w:szCs w:val="22"/>
            </w:rPr>
            <w:tab/>
          </w:r>
          <w:r>
            <w:rPr>
              <w:lang w:val="en-US" w:eastAsia="en-US"/>
            </w:rPr>
            <w:t>Tdoc reference</w:t>
          </w:r>
          <w:r>
            <w:rPr/>
            <w:tab/>
          </w:r>
          <w:hyperlink w:anchor="__RefHeading___Toc518036298">
            <w:r>
              <w:rPr>
                <w:rStyle w:val="IndexLink"/>
              </w:rPr>
              <w:t>366</w:t>
            </w:r>
          </w:hyperlink>
        </w:p>
        <w:p>
          <w:pPr>
            <w:pStyle w:val="Contents2"/>
            <w:rPr>
              <w:rFonts w:ascii="Calibri" w:hAnsi="Calibri" w:cs="Calibri"/>
              <w:sz w:val="22"/>
              <w:szCs w:val="22"/>
              <w:lang w:val="en-US" w:eastAsia="en-US"/>
            </w:rPr>
          </w:pPr>
          <w:r>
            <w:rPr/>
            <w:t>ZF.3.2</w:t>
          </w:r>
          <w:r>
            <w:rPr>
              <w:rFonts w:cs="Calibri" w:ascii="Calibri" w:hAnsi="Calibri"/>
              <w:sz w:val="22"/>
              <w:szCs w:val="22"/>
            </w:rPr>
            <w:tab/>
          </w:r>
          <w:r>
            <w:rPr>
              <w:lang w:val="en-US" w:eastAsia="en-US"/>
            </w:rPr>
            <w:t>General</w:t>
          </w:r>
          <w:r>
            <w:rPr/>
            <w:tab/>
          </w:r>
          <w:hyperlink w:anchor="__RefHeading___Toc518036299">
            <w:r>
              <w:rPr>
                <w:rStyle w:val="IndexLink"/>
              </w:rPr>
              <w:t>367</w:t>
            </w:r>
          </w:hyperlink>
        </w:p>
        <w:p>
          <w:pPr>
            <w:pStyle w:val="Contents2"/>
            <w:rPr>
              <w:rFonts w:ascii="Calibri" w:hAnsi="Calibri" w:cs="Calibri"/>
              <w:sz w:val="22"/>
              <w:szCs w:val="22"/>
              <w:lang w:val="en-US" w:eastAsia="en-US"/>
            </w:rPr>
          </w:pPr>
          <w:r>
            <w:rPr/>
            <w:t>ZF.3.3</w:t>
          </w:r>
          <w:r>
            <w:rPr>
              <w:rFonts w:cs="Calibri" w:ascii="Calibri" w:hAnsi="Calibri"/>
              <w:sz w:val="22"/>
              <w:szCs w:val="22"/>
            </w:rPr>
            <w:tab/>
          </w:r>
          <w:r>
            <w:rPr>
              <w:lang w:val="en-US" w:eastAsia="en-US"/>
            </w:rPr>
            <w:t>Minimizing execution time</w:t>
          </w:r>
          <w:r>
            <w:rPr/>
            <w:tab/>
          </w:r>
          <w:hyperlink w:anchor="__RefHeading___Toc518036300">
            <w:r>
              <w:rPr>
                <w:rStyle w:val="IndexLink"/>
              </w:rPr>
              <w:t>367</w:t>
            </w:r>
          </w:hyperlink>
        </w:p>
        <w:p>
          <w:pPr>
            <w:pStyle w:val="Contents3"/>
            <w:rPr>
              <w:rFonts w:ascii="Calibri" w:hAnsi="Calibri" w:cs="Calibri"/>
              <w:sz w:val="22"/>
              <w:szCs w:val="22"/>
              <w:lang w:val="en-US" w:eastAsia="en-US"/>
            </w:rPr>
          </w:pPr>
          <w:r>
            <w:rPr/>
            <w:t>ZF.3.3.1</w:t>
          </w:r>
          <w:r>
            <w:rPr>
              <w:rFonts w:cs="Calibri" w:ascii="Calibri" w:hAnsi="Calibri"/>
              <w:sz w:val="22"/>
              <w:szCs w:val="22"/>
            </w:rPr>
            <w:tab/>
          </w:r>
          <w:r>
            <w:rPr>
              <w:lang w:val="en-US" w:eastAsia="en-US"/>
            </w:rPr>
            <w:t>General</w:t>
          </w:r>
          <w:r>
            <w:rPr/>
            <w:tab/>
          </w:r>
          <w:hyperlink w:anchor="__RefHeading___Toc518036301">
            <w:r>
              <w:rPr>
                <w:rStyle w:val="IndexLink"/>
              </w:rPr>
              <w:t>367</w:t>
            </w:r>
          </w:hyperlink>
        </w:p>
        <w:p>
          <w:pPr>
            <w:pStyle w:val="Contents3"/>
            <w:rPr>
              <w:rFonts w:ascii="Calibri" w:hAnsi="Calibri" w:cs="Calibri"/>
              <w:sz w:val="22"/>
              <w:szCs w:val="22"/>
              <w:lang w:val="en-US" w:eastAsia="en-US"/>
            </w:rPr>
          </w:pPr>
          <w:r>
            <w:rPr/>
            <w:t>ZF.3.3.2</w:t>
          </w:r>
          <w:r>
            <w:rPr>
              <w:rFonts w:cs="Calibri" w:ascii="Calibri" w:hAnsi="Calibri"/>
              <w:sz w:val="22"/>
              <w:szCs w:val="22"/>
            </w:rPr>
            <w:tab/>
          </w:r>
          <w:r>
            <w:rPr>
              <w:lang w:val="en-US" w:eastAsia="en-US"/>
            </w:rPr>
            <w:t>Interferers</w:t>
          </w:r>
          <w:r>
            <w:rPr/>
            <w:tab/>
          </w:r>
          <w:hyperlink w:anchor="__RefHeading___Toc518036302">
            <w:r>
              <w:rPr>
                <w:rStyle w:val="IndexLink"/>
              </w:rPr>
              <w:t>367</w:t>
            </w:r>
          </w:hyperlink>
        </w:p>
        <w:p>
          <w:pPr>
            <w:pStyle w:val="Contents4"/>
            <w:rPr>
              <w:rFonts w:ascii="Calibri" w:hAnsi="Calibri" w:cs="Calibri"/>
              <w:sz w:val="22"/>
              <w:szCs w:val="22"/>
              <w:lang w:val="en-US" w:eastAsia="en-US"/>
            </w:rPr>
          </w:pPr>
          <w:r>
            <w:rPr/>
            <w:t>ZF.3.3.2.1</w:t>
          </w:r>
          <w:r>
            <w:rPr>
              <w:rFonts w:cs="Calibri" w:ascii="Calibri" w:hAnsi="Calibri"/>
              <w:sz w:val="22"/>
              <w:szCs w:val="22"/>
            </w:rPr>
            <w:tab/>
          </w:r>
          <w:r>
            <w:rPr>
              <w:lang w:val="en-US" w:eastAsia="en-US"/>
            </w:rPr>
            <w:t>Interferer types</w:t>
          </w:r>
          <w:r>
            <w:rPr/>
            <w:tab/>
          </w:r>
          <w:hyperlink w:anchor="__RefHeading___Toc518036303">
            <w:r>
              <w:rPr>
                <w:rStyle w:val="IndexLink"/>
              </w:rPr>
              <w:t>367</w:t>
            </w:r>
          </w:hyperlink>
        </w:p>
        <w:p>
          <w:pPr>
            <w:pStyle w:val="Contents4"/>
            <w:rPr>
              <w:rFonts w:ascii="Calibri" w:hAnsi="Calibri" w:cs="Calibri"/>
              <w:sz w:val="22"/>
              <w:szCs w:val="22"/>
              <w:lang w:val="en-US" w:eastAsia="en-US"/>
            </w:rPr>
          </w:pPr>
          <w:r>
            <w:rPr/>
            <w:t>ZF.3.3.2.2</w:t>
          </w:r>
          <w:r>
            <w:rPr>
              <w:rFonts w:cs="Calibri" w:ascii="Calibri" w:hAnsi="Calibri"/>
              <w:sz w:val="22"/>
              <w:szCs w:val="22"/>
            </w:rPr>
            <w:tab/>
          </w:r>
          <w:r>
            <w:rPr>
              <w:lang w:val="en-US" w:eastAsia="en-US"/>
            </w:rPr>
            <w:t>Minimum number of interferers</w:t>
          </w:r>
          <w:r>
            <w:rPr/>
            <w:tab/>
          </w:r>
          <w:hyperlink w:anchor="__RefHeading___Toc518036304">
            <w:r>
              <w:rPr>
                <w:rStyle w:val="IndexLink"/>
              </w:rPr>
              <w:t>367</w:t>
            </w:r>
          </w:hyperlink>
        </w:p>
        <w:p>
          <w:pPr>
            <w:pStyle w:val="Contents4"/>
            <w:rPr>
              <w:rFonts w:ascii="Calibri" w:hAnsi="Calibri" w:cs="Calibri"/>
              <w:sz w:val="22"/>
              <w:szCs w:val="22"/>
              <w:lang w:val="en-US" w:eastAsia="en-US"/>
            </w:rPr>
          </w:pPr>
          <w:r>
            <w:rPr/>
            <w:t>ZF.3.3.2.3</w:t>
          </w:r>
          <w:r>
            <w:rPr>
              <w:rFonts w:cs="Calibri" w:ascii="Calibri" w:hAnsi="Calibri"/>
              <w:sz w:val="22"/>
              <w:szCs w:val="22"/>
            </w:rPr>
            <w:tab/>
          </w:r>
          <w:r>
            <w:rPr>
              <w:lang w:val="en-US" w:eastAsia="en-US"/>
            </w:rPr>
            <w:t>Requirement on modeled energy level</w:t>
          </w:r>
          <w:r>
            <w:rPr/>
            <w:tab/>
          </w:r>
          <w:hyperlink w:anchor="__RefHeading___Toc518036305">
            <w:r>
              <w:rPr>
                <w:rStyle w:val="IndexLink"/>
              </w:rPr>
              <w:t>368</w:t>
            </w:r>
          </w:hyperlink>
        </w:p>
        <w:p>
          <w:pPr>
            <w:pStyle w:val="Contents4"/>
            <w:rPr>
              <w:rFonts w:ascii="Calibri" w:hAnsi="Calibri" w:cs="Calibri"/>
              <w:sz w:val="22"/>
              <w:szCs w:val="22"/>
              <w:lang w:val="en-US" w:eastAsia="en-US"/>
            </w:rPr>
          </w:pPr>
          <w:r>
            <w:rPr/>
            <w:t>ZF.3.3.2.4</w:t>
          </w:r>
          <w:r>
            <w:rPr>
              <w:rFonts w:cs="Calibri" w:ascii="Calibri" w:hAnsi="Calibri"/>
              <w:sz w:val="22"/>
              <w:szCs w:val="22"/>
            </w:rPr>
            <w:tab/>
          </w:r>
          <w:r>
            <w:rPr>
              <w:lang w:val="en-US" w:eastAsia="en-US"/>
            </w:rPr>
            <w:t>Conservation of energy</w:t>
          </w:r>
          <w:r>
            <w:rPr/>
            <w:tab/>
          </w:r>
          <w:hyperlink w:anchor="__RefHeading___Toc518036306">
            <w:r>
              <w:rPr>
                <w:rStyle w:val="IndexLink"/>
              </w:rPr>
              <w:t>368</w:t>
            </w:r>
          </w:hyperlink>
        </w:p>
        <w:p>
          <w:pPr>
            <w:pStyle w:val="Contents3"/>
            <w:rPr>
              <w:rFonts w:ascii="Calibri" w:hAnsi="Calibri" w:cs="Calibri"/>
              <w:sz w:val="22"/>
              <w:szCs w:val="22"/>
              <w:lang w:val="en-US" w:eastAsia="en-US"/>
            </w:rPr>
          </w:pPr>
          <w:r>
            <w:rPr/>
            <w:t>ZF.3.3.3</w:t>
          </w:r>
          <w:r>
            <w:rPr>
              <w:rFonts w:cs="Calibri" w:ascii="Calibri" w:hAnsi="Calibri"/>
              <w:sz w:val="22"/>
              <w:szCs w:val="22"/>
            </w:rPr>
            <w:tab/>
          </w:r>
          <w:r>
            <w:rPr>
              <w:lang w:val="en-US" w:eastAsia="en-US"/>
            </w:rPr>
            <w:t>Oversampling</w:t>
          </w:r>
          <w:r>
            <w:rPr/>
            <w:tab/>
          </w:r>
          <w:hyperlink w:anchor="__RefHeading___Toc518036307">
            <w:r>
              <w:rPr>
                <w:rStyle w:val="IndexLink"/>
              </w:rPr>
              <w:t>368</w:t>
            </w:r>
          </w:hyperlink>
        </w:p>
        <w:p>
          <w:pPr>
            <w:pStyle w:val="Contents3"/>
            <w:rPr>
              <w:rFonts w:ascii="Calibri" w:hAnsi="Calibri" w:cs="Calibri"/>
              <w:sz w:val="22"/>
              <w:szCs w:val="22"/>
              <w:lang w:val="en-US" w:eastAsia="en-US"/>
            </w:rPr>
          </w:pPr>
          <w:r>
            <w:rPr/>
            <w:t>ZF.3.3.4</w:t>
          </w:r>
          <w:r>
            <w:rPr>
              <w:rFonts w:cs="Calibri" w:ascii="Calibri" w:hAnsi="Calibri"/>
              <w:sz w:val="22"/>
              <w:szCs w:val="22"/>
            </w:rPr>
            <w:tab/>
          </w:r>
          <w:r>
            <w:rPr>
              <w:lang w:val="en-US" w:eastAsia="en-US"/>
            </w:rPr>
            <w:t>Pre-generation of bursts</w:t>
          </w:r>
          <w:r>
            <w:rPr/>
            <w:tab/>
          </w:r>
          <w:hyperlink w:anchor="__RefHeading___Toc518036308">
            <w:r>
              <w:rPr>
                <w:rStyle w:val="IndexLink"/>
              </w:rPr>
              <w:t>368</w:t>
            </w:r>
          </w:hyperlink>
        </w:p>
        <w:p>
          <w:pPr>
            <w:pStyle w:val="Contents3"/>
            <w:rPr>
              <w:rFonts w:ascii="Calibri" w:hAnsi="Calibri" w:cs="Calibri"/>
              <w:sz w:val="22"/>
              <w:szCs w:val="22"/>
              <w:lang w:val="en-US" w:eastAsia="en-US"/>
            </w:rPr>
          </w:pPr>
          <w:r>
            <w:rPr/>
            <w:t>ZF.3.3.5</w:t>
          </w:r>
          <w:r>
            <w:rPr>
              <w:rFonts w:cs="Calibri" w:ascii="Calibri" w:hAnsi="Calibri"/>
              <w:sz w:val="22"/>
              <w:szCs w:val="22"/>
            </w:rPr>
            <w:tab/>
          </w:r>
          <w:r>
            <w:rPr>
              <w:lang w:val="en-US" w:eastAsia="en-US"/>
            </w:rPr>
            <w:t>Verification</w:t>
          </w:r>
          <w:r>
            <w:rPr/>
            <w:tab/>
          </w:r>
          <w:hyperlink w:anchor="__RefHeading___Toc518036309">
            <w:r>
              <w:rPr>
                <w:rStyle w:val="IndexLink"/>
              </w:rPr>
              <w:t>368</w:t>
            </w:r>
          </w:hyperlink>
        </w:p>
        <w:p>
          <w:pPr>
            <w:pStyle w:val="Contents4"/>
            <w:rPr>
              <w:rFonts w:ascii="Calibri" w:hAnsi="Calibri" w:cs="Calibri"/>
              <w:sz w:val="22"/>
              <w:szCs w:val="22"/>
              <w:lang w:val="en-US" w:eastAsia="en-US"/>
            </w:rPr>
          </w:pPr>
          <w:r>
            <w:rPr/>
            <w:t>ZF.3.3.5.1</w:t>
          </w:r>
          <w:r>
            <w:rPr>
              <w:rFonts w:cs="Calibri" w:ascii="Calibri" w:hAnsi="Calibri"/>
              <w:sz w:val="22"/>
              <w:szCs w:val="22"/>
            </w:rPr>
            <w:tab/>
          </w:r>
          <w:r>
            <w:rPr>
              <w:lang w:val="en-US" w:eastAsia="en-US"/>
            </w:rPr>
            <w:t>General</w:t>
          </w:r>
          <w:r>
            <w:rPr/>
            <w:tab/>
          </w:r>
          <w:hyperlink w:anchor="__RefHeading___Toc518036310">
            <w:r>
              <w:rPr>
                <w:rStyle w:val="IndexLink"/>
              </w:rPr>
              <w:t>368</w:t>
            </w:r>
          </w:hyperlink>
        </w:p>
        <w:p>
          <w:pPr>
            <w:pStyle w:val="Contents4"/>
            <w:rPr>
              <w:rFonts w:ascii="Calibri" w:hAnsi="Calibri" w:cs="Calibri"/>
              <w:sz w:val="22"/>
              <w:szCs w:val="22"/>
              <w:lang w:val="en-US" w:eastAsia="en-US"/>
            </w:rPr>
          </w:pPr>
          <w:r>
            <w:rPr/>
            <w:t>ZF.3.3.5.2</w:t>
          </w:r>
          <w:r>
            <w:rPr>
              <w:rFonts w:cs="Calibri" w:ascii="Calibri" w:hAnsi="Calibri"/>
              <w:sz w:val="22"/>
              <w:szCs w:val="22"/>
            </w:rPr>
            <w:tab/>
          </w:r>
          <w:r>
            <w:rPr>
              <w:lang w:val="en-US" w:eastAsia="en-US"/>
            </w:rPr>
            <w:t>Sensitivity limited performance</w:t>
          </w:r>
          <w:r>
            <w:rPr/>
            <w:tab/>
          </w:r>
          <w:hyperlink w:anchor="__RefHeading___Toc518036311">
            <w:r>
              <w:rPr>
                <w:rStyle w:val="IndexLink"/>
              </w:rPr>
              <w:t>369</w:t>
            </w:r>
          </w:hyperlink>
        </w:p>
        <w:p>
          <w:pPr>
            <w:pStyle w:val="Contents4"/>
            <w:rPr>
              <w:rFonts w:ascii="Calibri" w:hAnsi="Calibri" w:cs="Calibri"/>
              <w:sz w:val="22"/>
              <w:szCs w:val="22"/>
              <w:lang w:val="en-US" w:eastAsia="en-US"/>
            </w:rPr>
          </w:pPr>
          <w:r>
            <w:rPr/>
            <w:t>ZF.3.3.5.3</w:t>
          </w:r>
          <w:r>
            <w:rPr>
              <w:rFonts w:cs="Calibri" w:ascii="Calibri" w:hAnsi="Calibri"/>
              <w:sz w:val="22"/>
              <w:szCs w:val="22"/>
            </w:rPr>
            <w:tab/>
          </w:r>
          <w:r>
            <w:rPr>
              <w:lang w:val="en-US" w:eastAsia="en-US"/>
            </w:rPr>
            <w:t>Interference limited performance</w:t>
          </w:r>
          <w:r>
            <w:rPr/>
            <w:tab/>
          </w:r>
          <w:hyperlink w:anchor="__RefHeading___Toc518036312">
            <w:r>
              <w:rPr>
                <w:rStyle w:val="IndexLink"/>
              </w:rPr>
              <w:t>369</w:t>
            </w:r>
          </w:hyperlink>
        </w:p>
        <w:p>
          <w:pPr>
            <w:pStyle w:val="Contents1"/>
            <w:rPr>
              <w:rFonts w:ascii="Calibri" w:hAnsi="Calibri" w:cs="Calibri"/>
              <w:szCs w:val="22"/>
              <w:lang w:val="en-US" w:eastAsia="en-US"/>
            </w:rPr>
          </w:pPr>
          <w:r>
            <w:rPr/>
            <w:t>ZF.4</w:t>
          </w:r>
          <w:r>
            <w:rPr>
              <w:rFonts w:cs="Calibri" w:ascii="Calibri" w:hAnsi="Calibri"/>
              <w:szCs w:val="22"/>
            </w:rPr>
            <w:tab/>
          </w:r>
          <w:r>
            <w:rPr>
              <w:lang w:val="en-US" w:eastAsia="en-US"/>
            </w:rPr>
            <w:t>Simulator for Data traffic and control channel performance</w:t>
          </w:r>
          <w:r>
            <w:rPr/>
            <w:tab/>
          </w:r>
          <w:hyperlink w:anchor="__RefHeading___Toc518036313">
            <w:r>
              <w:rPr>
                <w:rStyle w:val="IndexLink"/>
              </w:rPr>
              <w:t>370</w:t>
            </w:r>
          </w:hyperlink>
        </w:p>
        <w:p>
          <w:pPr>
            <w:pStyle w:val="Contents2"/>
            <w:rPr>
              <w:rFonts w:ascii="Calibri" w:hAnsi="Calibri" w:cs="Calibri"/>
              <w:sz w:val="22"/>
              <w:szCs w:val="22"/>
              <w:lang w:val="en-US" w:eastAsia="en-US"/>
            </w:rPr>
          </w:pPr>
          <w:r>
            <w:rPr/>
            <w:t>ZF.4.1</w:t>
          </w:r>
          <w:r>
            <w:rPr>
              <w:rFonts w:cs="Calibri" w:ascii="Calibri" w:hAnsi="Calibri"/>
              <w:sz w:val="22"/>
              <w:szCs w:val="22"/>
            </w:rPr>
            <w:tab/>
          </w:r>
          <w:r>
            <w:rPr>
              <w:lang w:val="en-US" w:eastAsia="en-US"/>
            </w:rPr>
            <w:t>Tdoc reference</w:t>
          </w:r>
          <w:r>
            <w:rPr/>
            <w:tab/>
          </w:r>
          <w:hyperlink w:anchor="__RefHeading___Toc518036314">
            <w:r>
              <w:rPr>
                <w:rStyle w:val="IndexLink"/>
              </w:rPr>
              <w:t>370</w:t>
            </w:r>
          </w:hyperlink>
        </w:p>
        <w:p>
          <w:pPr>
            <w:pStyle w:val="Contents2"/>
            <w:rPr>
              <w:rFonts w:ascii="Calibri" w:hAnsi="Calibri" w:cs="Calibri"/>
              <w:sz w:val="22"/>
              <w:szCs w:val="22"/>
              <w:lang w:val="en-US" w:eastAsia="en-US"/>
            </w:rPr>
          </w:pPr>
          <w:r>
            <w:rPr/>
            <w:t>ZF.4.2</w:t>
          </w:r>
          <w:r>
            <w:rPr>
              <w:rFonts w:cs="Calibri" w:ascii="Calibri" w:hAnsi="Calibri"/>
              <w:sz w:val="22"/>
              <w:szCs w:val="22"/>
            </w:rPr>
            <w:tab/>
          </w:r>
          <w:r>
            <w:rPr>
              <w:lang w:val="en-US" w:eastAsia="en-US"/>
            </w:rPr>
            <w:t>Model</w:t>
          </w:r>
          <w:r>
            <w:rPr/>
            <w:tab/>
          </w:r>
          <w:hyperlink w:anchor="__RefHeading___Toc518036315">
            <w:r>
              <w:rPr>
                <w:rStyle w:val="IndexLink"/>
              </w:rPr>
              <w:t>370</w:t>
            </w:r>
          </w:hyperlink>
        </w:p>
        <w:p>
          <w:pPr>
            <w:pStyle w:val="Contents3"/>
            <w:rPr>
              <w:rFonts w:ascii="Calibri" w:hAnsi="Calibri" w:cs="Calibri"/>
              <w:sz w:val="22"/>
              <w:szCs w:val="22"/>
              <w:lang w:val="en-US" w:eastAsia="en-US"/>
            </w:rPr>
          </w:pPr>
          <w:r>
            <w:rPr/>
            <w:t>ZF.4.2.1</w:t>
          </w:r>
          <w:r>
            <w:rPr>
              <w:rFonts w:cs="Calibri" w:ascii="Calibri" w:hAnsi="Calibri"/>
              <w:sz w:val="22"/>
              <w:szCs w:val="22"/>
            </w:rPr>
            <w:tab/>
          </w:r>
          <w:r>
            <w:rPr>
              <w:lang w:val="en-US" w:eastAsia="en-US"/>
            </w:rPr>
            <w:t>General</w:t>
          </w:r>
          <w:r>
            <w:rPr/>
            <w:tab/>
          </w:r>
          <w:hyperlink w:anchor="__RefHeading___Toc518036316">
            <w:r>
              <w:rPr>
                <w:rStyle w:val="IndexLink"/>
              </w:rPr>
              <w:t>370</w:t>
            </w:r>
          </w:hyperlink>
        </w:p>
        <w:p>
          <w:pPr>
            <w:pStyle w:val="Contents3"/>
            <w:rPr>
              <w:rFonts w:ascii="Calibri" w:hAnsi="Calibri" w:cs="Calibri"/>
              <w:sz w:val="22"/>
              <w:szCs w:val="22"/>
              <w:lang w:val="en-US" w:eastAsia="en-US"/>
            </w:rPr>
          </w:pPr>
          <w:r>
            <w:rPr/>
            <w:t>ZF.4.2.2</w:t>
          </w:r>
          <w:r>
            <w:rPr>
              <w:rFonts w:cs="Calibri" w:ascii="Calibri" w:hAnsi="Calibri"/>
              <w:sz w:val="22"/>
              <w:szCs w:val="22"/>
            </w:rPr>
            <w:tab/>
          </w:r>
          <w:r>
            <w:rPr>
              <w:lang w:val="en-US" w:eastAsia="en-US"/>
            </w:rPr>
            <w:t>Mapping tables</w:t>
          </w:r>
          <w:r>
            <w:rPr/>
            <w:tab/>
          </w:r>
          <w:hyperlink w:anchor="__RefHeading___Toc518036317">
            <w:r>
              <w:rPr>
                <w:rStyle w:val="IndexLink"/>
              </w:rPr>
              <w:t>371</w:t>
            </w:r>
          </w:hyperlink>
        </w:p>
        <w:p>
          <w:pPr>
            <w:pStyle w:val="Contents4"/>
            <w:rPr>
              <w:rFonts w:ascii="Calibri" w:hAnsi="Calibri" w:cs="Calibri"/>
              <w:sz w:val="22"/>
              <w:szCs w:val="22"/>
              <w:lang w:val="en-US" w:eastAsia="en-US"/>
            </w:rPr>
          </w:pPr>
          <w:r>
            <w:rPr/>
            <w:t>ZF.4.2.2.1</w:t>
          </w:r>
          <w:r>
            <w:rPr>
              <w:rFonts w:cs="Calibri" w:ascii="Calibri" w:hAnsi="Calibri"/>
              <w:sz w:val="22"/>
              <w:szCs w:val="22"/>
            </w:rPr>
            <w:tab/>
          </w:r>
          <w:r>
            <w:rPr>
              <w:lang w:val="en-US" w:eastAsia="en-US"/>
            </w:rPr>
            <w:t xml:space="preserve">First stage mapping (SINR </w:t>
          </w:r>
          <w:r>
            <w:rPr>
              <w:rFonts w:eastAsia="Symbol" w:cs="Symbol" w:ascii="Symbol" w:hAnsi="Symbol"/>
              <w:lang w:val="en-US" w:eastAsia="en-US"/>
            </w:rPr>
            <w:t></w:t>
          </w:r>
          <w:r>
            <w:rPr>
              <w:lang w:val="en-US" w:eastAsia="en-US"/>
            </w:rPr>
            <w:t xml:space="preserve"> BER)</w:t>
          </w:r>
          <w:r>
            <w:rPr/>
            <w:tab/>
          </w:r>
          <w:hyperlink w:anchor="__RefHeading___Toc518036318">
            <w:r>
              <w:rPr>
                <w:rStyle w:val="IndexLink"/>
              </w:rPr>
              <w:t>371</w:t>
            </w:r>
          </w:hyperlink>
        </w:p>
        <w:p>
          <w:pPr>
            <w:pStyle w:val="Contents4"/>
            <w:rPr>
              <w:rFonts w:ascii="Calibri" w:hAnsi="Calibri" w:cs="Calibri"/>
              <w:sz w:val="22"/>
              <w:szCs w:val="22"/>
              <w:lang w:val="en-US" w:eastAsia="en-US"/>
            </w:rPr>
          </w:pPr>
          <w:r>
            <w:rPr/>
            <w:t>ZF.4.2.2.2</w:t>
          </w:r>
          <w:r>
            <w:rPr>
              <w:rFonts w:cs="Calibri" w:ascii="Calibri" w:hAnsi="Calibri"/>
              <w:sz w:val="22"/>
              <w:szCs w:val="22"/>
            </w:rPr>
            <w:tab/>
          </w:r>
          <w:r>
            <w:rPr>
              <w:lang w:val="en-US" w:eastAsia="en-US"/>
            </w:rPr>
            <w:t xml:space="preserve">Second stage mapping (BER </w:t>
          </w:r>
          <w:r>
            <w:rPr>
              <w:rFonts w:eastAsia="Symbol" w:cs="Symbol" w:ascii="Symbol" w:hAnsi="Symbol"/>
              <w:lang w:val="en-US" w:eastAsia="en-US"/>
            </w:rPr>
            <w:t></w:t>
          </w:r>
          <w:r>
            <w:rPr>
              <w:lang w:val="en-US" w:eastAsia="en-US"/>
            </w:rPr>
            <w:t xml:space="preserve"> BLEP)</w:t>
          </w:r>
          <w:r>
            <w:rPr/>
            <w:tab/>
          </w:r>
          <w:hyperlink w:anchor="__RefHeading___Toc518036319">
            <w:r>
              <w:rPr>
                <w:rStyle w:val="IndexLink"/>
              </w:rPr>
              <w:t>371</w:t>
            </w:r>
          </w:hyperlink>
        </w:p>
        <w:p>
          <w:pPr>
            <w:pStyle w:val="Contents4"/>
            <w:rPr>
              <w:rFonts w:ascii="Calibri" w:hAnsi="Calibri" w:cs="Calibri"/>
              <w:sz w:val="22"/>
              <w:szCs w:val="22"/>
              <w:lang w:val="en-US" w:eastAsia="en-US"/>
            </w:rPr>
          </w:pPr>
          <w:r>
            <w:rPr/>
            <w:t>ZF.4.2.2.3</w:t>
          </w:r>
          <w:r>
            <w:rPr>
              <w:rFonts w:cs="Calibri" w:ascii="Calibri" w:hAnsi="Calibri"/>
              <w:sz w:val="22"/>
              <w:szCs w:val="22"/>
            </w:rPr>
            <w:tab/>
          </w:r>
          <w:r>
            <w:rPr>
              <w:lang w:val="en-US" w:eastAsia="en-US"/>
            </w:rPr>
            <w:t>Mapping choice</w:t>
          </w:r>
          <w:r>
            <w:rPr/>
            <w:tab/>
          </w:r>
          <w:hyperlink w:anchor="__RefHeading___Toc518036320">
            <w:r>
              <w:rPr>
                <w:rStyle w:val="IndexLink"/>
              </w:rPr>
              <w:t>371</w:t>
            </w:r>
          </w:hyperlink>
        </w:p>
        <w:p>
          <w:pPr>
            <w:pStyle w:val="Contents3"/>
            <w:rPr>
              <w:rFonts w:ascii="Calibri" w:hAnsi="Calibri" w:cs="Calibri"/>
              <w:sz w:val="22"/>
              <w:szCs w:val="22"/>
              <w:lang w:val="en-US" w:eastAsia="en-US"/>
            </w:rPr>
          </w:pPr>
          <w:r>
            <w:rPr/>
            <w:t>ZF.4.2.3</w:t>
          </w:r>
          <w:r>
            <w:rPr>
              <w:rFonts w:cs="Calibri" w:ascii="Calibri" w:hAnsi="Calibri"/>
              <w:sz w:val="22"/>
              <w:szCs w:val="22"/>
            </w:rPr>
            <w:tab/>
          </w:r>
          <w:r>
            <w:rPr>
              <w:lang w:val="en-US" w:eastAsia="en-US"/>
            </w:rPr>
            <w:t>SINR handling</w:t>
          </w:r>
          <w:r>
            <w:rPr/>
            <w:tab/>
          </w:r>
          <w:hyperlink w:anchor="__RefHeading___Toc518036321">
            <w:r>
              <w:rPr>
                <w:rStyle w:val="IndexLink"/>
              </w:rPr>
              <w:t>372</w:t>
            </w:r>
          </w:hyperlink>
        </w:p>
        <w:p>
          <w:pPr>
            <w:pStyle w:val="Contents4"/>
            <w:rPr>
              <w:rFonts w:ascii="Calibri" w:hAnsi="Calibri" w:cs="Calibri"/>
              <w:sz w:val="22"/>
              <w:szCs w:val="22"/>
              <w:lang w:val="en-US" w:eastAsia="en-US"/>
            </w:rPr>
          </w:pPr>
          <w:r>
            <w:rPr/>
            <w:t>ZF.4.2.3.1</w:t>
          </w:r>
          <w:r>
            <w:rPr>
              <w:rFonts w:cs="Calibri" w:ascii="Calibri" w:hAnsi="Calibri"/>
              <w:sz w:val="22"/>
              <w:szCs w:val="22"/>
            </w:rPr>
            <w:tab/>
          </w:r>
          <w:r>
            <w:rPr>
              <w:lang w:val="en-US" w:eastAsia="en-US"/>
            </w:rPr>
            <w:t>Blind repetition</w:t>
          </w:r>
          <w:r>
            <w:rPr/>
            <w:tab/>
          </w:r>
          <w:hyperlink w:anchor="__RefHeading___Toc518036322">
            <w:r>
              <w:rPr>
                <w:rStyle w:val="IndexLink"/>
              </w:rPr>
              <w:t>372</w:t>
            </w:r>
          </w:hyperlink>
        </w:p>
        <w:p>
          <w:pPr>
            <w:pStyle w:val="Contents4"/>
            <w:rPr>
              <w:rFonts w:ascii="Calibri" w:hAnsi="Calibri" w:cs="Calibri"/>
              <w:sz w:val="22"/>
              <w:szCs w:val="22"/>
              <w:lang w:val="en-US" w:eastAsia="en-US"/>
            </w:rPr>
          </w:pPr>
          <w:r>
            <w:rPr/>
            <w:t>ZF.4.2.3.2</w:t>
          </w:r>
          <w:r>
            <w:rPr>
              <w:rFonts w:cs="Calibri" w:ascii="Calibri" w:hAnsi="Calibri"/>
              <w:sz w:val="22"/>
              <w:szCs w:val="22"/>
            </w:rPr>
            <w:tab/>
          </w:r>
          <w:r>
            <w:rPr>
              <w:lang w:val="en-US" w:eastAsia="en-US"/>
            </w:rPr>
            <w:t>MRC (uplink only)</w:t>
          </w:r>
          <w:r>
            <w:rPr/>
            <w:tab/>
          </w:r>
          <w:hyperlink w:anchor="__RefHeading___Toc518036323">
            <w:r>
              <w:rPr>
                <w:rStyle w:val="IndexLink"/>
              </w:rPr>
              <w:t>373</w:t>
            </w:r>
          </w:hyperlink>
        </w:p>
        <w:p>
          <w:pPr>
            <w:pStyle w:val="Contents2"/>
            <w:rPr>
              <w:rFonts w:ascii="Calibri" w:hAnsi="Calibri" w:cs="Calibri"/>
              <w:sz w:val="22"/>
              <w:szCs w:val="22"/>
              <w:lang w:val="en-US" w:eastAsia="en-US"/>
            </w:rPr>
          </w:pPr>
          <w:r>
            <w:rPr/>
            <w:t>ZF.4.3</w:t>
          </w:r>
          <w:r>
            <w:rPr>
              <w:rFonts w:cs="Calibri" w:ascii="Calibri" w:hAnsi="Calibri"/>
              <w:sz w:val="22"/>
              <w:szCs w:val="22"/>
            </w:rPr>
            <w:tab/>
          </w:r>
          <w:r>
            <w:rPr>
              <w:lang w:val="en-US" w:eastAsia="en-US"/>
            </w:rPr>
            <w:t>Verification</w:t>
          </w:r>
          <w:r>
            <w:rPr/>
            <w:tab/>
          </w:r>
          <w:hyperlink w:anchor="__RefHeading___Toc518036324">
            <w:r>
              <w:rPr>
                <w:rStyle w:val="IndexLink"/>
              </w:rPr>
              <w:t>373</w:t>
            </w:r>
          </w:hyperlink>
        </w:p>
        <w:p>
          <w:pPr>
            <w:pStyle w:val="Contents3"/>
            <w:rPr>
              <w:rFonts w:ascii="Calibri" w:hAnsi="Calibri" w:cs="Calibri"/>
              <w:sz w:val="22"/>
              <w:szCs w:val="22"/>
              <w:lang w:val="en-US" w:eastAsia="en-US"/>
            </w:rPr>
          </w:pPr>
          <w:r>
            <w:rPr/>
            <w:t>ZF.4.3.1</w:t>
          </w:r>
          <w:r>
            <w:rPr>
              <w:rFonts w:cs="Calibri" w:ascii="Calibri" w:hAnsi="Calibri"/>
              <w:sz w:val="22"/>
              <w:szCs w:val="22"/>
            </w:rPr>
            <w:tab/>
          </w:r>
          <w:r>
            <w:rPr>
              <w:lang w:val="en-US" w:eastAsia="en-US"/>
            </w:rPr>
            <w:t>Sensitivity</w:t>
          </w:r>
          <w:r>
            <w:rPr/>
            <w:tab/>
          </w:r>
          <w:hyperlink w:anchor="__RefHeading___Toc518036325">
            <w:r>
              <w:rPr>
                <w:rStyle w:val="IndexLink"/>
              </w:rPr>
              <w:t>373</w:t>
            </w:r>
          </w:hyperlink>
        </w:p>
        <w:p>
          <w:pPr>
            <w:pStyle w:val="Contents3"/>
            <w:rPr>
              <w:rFonts w:ascii="Calibri" w:hAnsi="Calibri" w:cs="Calibri"/>
              <w:sz w:val="22"/>
              <w:szCs w:val="22"/>
              <w:lang w:val="en-US" w:eastAsia="en-US"/>
            </w:rPr>
          </w:pPr>
          <w:r>
            <w:rPr/>
            <w:t>ZF.4.3.2</w:t>
          </w:r>
          <w:r>
            <w:rPr>
              <w:rFonts w:cs="Calibri" w:ascii="Calibri" w:hAnsi="Calibri"/>
              <w:sz w:val="22"/>
              <w:szCs w:val="22"/>
            </w:rPr>
            <w:tab/>
          </w:r>
          <w:r>
            <w:rPr>
              <w:lang w:val="en-US" w:eastAsia="en-US"/>
            </w:rPr>
            <w:t>Multi-interference (DTS-2)</w:t>
          </w:r>
          <w:r>
            <w:rPr/>
            <w:tab/>
          </w:r>
          <w:hyperlink w:anchor="__RefHeading___Toc518036326">
            <w:r>
              <w:rPr>
                <w:rStyle w:val="IndexLink"/>
              </w:rPr>
              <w:t>374</w:t>
            </w:r>
          </w:hyperlink>
        </w:p>
        <w:p>
          <w:pPr>
            <w:pStyle w:val="Contents1"/>
            <w:rPr>
              <w:rFonts w:ascii="Calibri" w:hAnsi="Calibri" w:cs="Calibri"/>
              <w:szCs w:val="22"/>
              <w:lang w:val="en-US" w:eastAsia="en-US"/>
            </w:rPr>
          </w:pPr>
          <w:r>
            <w:rPr/>
            <w:t>ZF.5</w:t>
          </w:r>
          <w:r>
            <w:rPr>
              <w:rFonts w:cs="Calibri" w:ascii="Calibri" w:hAnsi="Calibri"/>
              <w:szCs w:val="22"/>
            </w:rPr>
            <w:tab/>
          </w:r>
          <w:r>
            <w:rPr>
              <w:lang w:val="en-US" w:eastAsia="en-US"/>
            </w:rPr>
            <w:t>Results for Network synchronization evaluation</w:t>
          </w:r>
          <w:r>
            <w:rPr/>
            <w:tab/>
          </w:r>
          <w:hyperlink w:anchor="__RefHeading___Toc518036327">
            <w:r>
              <w:rPr>
                <w:rStyle w:val="IndexLink"/>
              </w:rPr>
              <w:t>374</w:t>
            </w:r>
          </w:hyperlink>
        </w:p>
        <w:p>
          <w:pPr>
            <w:pStyle w:val="Contents2"/>
            <w:rPr>
              <w:rFonts w:ascii="Calibri" w:hAnsi="Calibri" w:cs="Calibri"/>
              <w:sz w:val="22"/>
              <w:szCs w:val="22"/>
              <w:lang w:val="en-US" w:eastAsia="en-US"/>
            </w:rPr>
          </w:pPr>
          <w:r>
            <w:rPr/>
            <w:t>ZF.5.1</w:t>
          </w:r>
          <w:r>
            <w:rPr>
              <w:rFonts w:cs="Calibri" w:ascii="Calibri" w:hAnsi="Calibri"/>
              <w:sz w:val="22"/>
              <w:szCs w:val="22"/>
            </w:rPr>
            <w:tab/>
          </w:r>
          <w:r>
            <w:rPr>
              <w:lang w:val="en-US" w:eastAsia="en-US"/>
            </w:rPr>
            <w:t>GPRS/EGPRS</w:t>
          </w:r>
          <w:r>
            <w:rPr/>
            <w:tab/>
          </w:r>
          <w:hyperlink w:anchor="__RefHeading___Toc518036328">
            <w:r>
              <w:rPr>
                <w:rStyle w:val="IndexLink"/>
              </w:rPr>
              <w:t>374</w:t>
            </w:r>
          </w:hyperlink>
        </w:p>
        <w:p>
          <w:pPr>
            <w:pStyle w:val="Contents3"/>
            <w:rPr>
              <w:rFonts w:ascii="Calibri" w:hAnsi="Calibri" w:cs="Calibri"/>
              <w:sz w:val="22"/>
              <w:szCs w:val="22"/>
              <w:lang w:val="en-US" w:eastAsia="en-US"/>
            </w:rPr>
          </w:pPr>
          <w:r>
            <w:rPr/>
            <w:t>ZF.5.1.0</w:t>
          </w:r>
          <w:r>
            <w:rPr>
              <w:rFonts w:cs="Calibri" w:ascii="Calibri" w:hAnsi="Calibri"/>
              <w:sz w:val="22"/>
              <w:szCs w:val="22"/>
            </w:rPr>
            <w:tab/>
          </w:r>
          <w:r>
            <w:rPr>
              <w:lang w:val="en-US" w:eastAsia="en-US"/>
            </w:rPr>
            <w:t>Tdoc reference</w:t>
          </w:r>
          <w:r>
            <w:rPr/>
            <w:tab/>
          </w:r>
          <w:hyperlink w:anchor="__RefHeading___Toc518036329">
            <w:r>
              <w:rPr>
                <w:rStyle w:val="IndexLink"/>
              </w:rPr>
              <w:t>374</w:t>
            </w:r>
          </w:hyperlink>
        </w:p>
        <w:p>
          <w:pPr>
            <w:pStyle w:val="Contents3"/>
            <w:rPr>
              <w:rFonts w:ascii="Calibri" w:hAnsi="Calibri" w:cs="Calibri"/>
              <w:sz w:val="22"/>
              <w:szCs w:val="22"/>
              <w:lang w:val="en-US" w:eastAsia="en-US"/>
            </w:rPr>
          </w:pPr>
          <w:r>
            <w:rPr/>
            <w:t>ZF.5.1.1</w:t>
          </w:r>
          <w:r>
            <w:rPr>
              <w:rFonts w:cs="Calibri" w:ascii="Calibri" w:hAnsi="Calibri"/>
              <w:sz w:val="22"/>
              <w:szCs w:val="22"/>
              <w:lang w:val="en-US" w:eastAsia="en-US"/>
            </w:rPr>
            <w:tab/>
          </w:r>
          <w:r>
            <w:rPr/>
            <w:t>Simulator configuration</w:t>
            <w:tab/>
          </w:r>
          <w:hyperlink w:anchor="__RefHeading___Toc518036330">
            <w:r>
              <w:rPr>
                <w:rStyle w:val="IndexLink"/>
              </w:rPr>
              <w:t>375</w:t>
            </w:r>
          </w:hyperlink>
        </w:p>
        <w:p>
          <w:pPr>
            <w:pStyle w:val="Contents3"/>
            <w:rPr>
              <w:rFonts w:ascii="Calibri" w:hAnsi="Calibri" w:cs="Calibri"/>
              <w:sz w:val="22"/>
              <w:szCs w:val="22"/>
              <w:lang w:val="en-US" w:eastAsia="en-US"/>
            </w:rPr>
          </w:pPr>
          <w:r>
            <w:rPr/>
            <w:t>ZF.5.1.2</w:t>
          </w:r>
          <w:r>
            <w:rPr>
              <w:rFonts w:cs="Calibri" w:ascii="Calibri" w:hAnsi="Calibri"/>
              <w:sz w:val="22"/>
              <w:szCs w:val="22"/>
              <w:lang w:val="en-US" w:eastAsia="en-US"/>
            </w:rPr>
            <w:tab/>
          </w:r>
          <w:r>
            <w:rPr/>
            <w:t>Results</w:t>
            <w:tab/>
          </w:r>
          <w:hyperlink w:anchor="__RefHeading___Toc518036331">
            <w:r>
              <w:rPr>
                <w:rStyle w:val="IndexLink"/>
              </w:rPr>
              <w:t>375</w:t>
            </w:r>
          </w:hyperlink>
        </w:p>
        <w:p>
          <w:pPr>
            <w:pStyle w:val="Contents3"/>
            <w:rPr>
              <w:rFonts w:ascii="Calibri" w:hAnsi="Calibri" w:cs="Calibri"/>
              <w:sz w:val="22"/>
              <w:szCs w:val="22"/>
              <w:lang w:val="en-US" w:eastAsia="en-US"/>
            </w:rPr>
          </w:pPr>
          <w:r>
            <w:rPr/>
            <w:t>ZF.5.1.3</w:t>
          </w:r>
          <w:r>
            <w:rPr>
              <w:rFonts w:cs="Calibri" w:ascii="Calibri" w:hAnsi="Calibri"/>
              <w:sz w:val="22"/>
              <w:szCs w:val="22"/>
              <w:lang w:val="en-US" w:eastAsia="en-US"/>
            </w:rPr>
            <w:tab/>
          </w:r>
          <w:r>
            <w:rPr/>
            <w:t>Discussion and conclusions</w:t>
            <w:tab/>
          </w:r>
          <w:hyperlink w:anchor="__RefHeading___Toc518036332">
            <w:r>
              <w:rPr>
                <w:rStyle w:val="IndexLink"/>
              </w:rPr>
              <w:t>378</w:t>
            </w:r>
          </w:hyperlink>
        </w:p>
        <w:p>
          <w:pPr>
            <w:pStyle w:val="Contents2"/>
            <w:rPr>
              <w:rFonts w:ascii="Calibri" w:hAnsi="Calibri" w:cs="Calibri"/>
              <w:sz w:val="22"/>
              <w:szCs w:val="22"/>
              <w:lang w:val="en-US" w:eastAsia="en-US"/>
            </w:rPr>
          </w:pPr>
          <w:r>
            <w:rPr/>
            <w:t>ZF.5.2</w:t>
          </w:r>
          <w:r>
            <w:rPr>
              <w:rFonts w:cs="Calibri" w:ascii="Calibri" w:hAnsi="Calibri"/>
              <w:sz w:val="22"/>
              <w:szCs w:val="22"/>
            </w:rPr>
            <w:tab/>
          </w:r>
          <w:r>
            <w:rPr>
              <w:lang w:val="en-US" w:eastAsia="en-US"/>
            </w:rPr>
            <w:t>EC-GSM-IoT</w:t>
          </w:r>
          <w:r>
            <w:rPr/>
            <w:tab/>
          </w:r>
          <w:hyperlink w:anchor="__RefHeading___Toc518036333">
            <w:r>
              <w:rPr>
                <w:rStyle w:val="IndexLink"/>
              </w:rPr>
              <w:t>378</w:t>
            </w:r>
          </w:hyperlink>
        </w:p>
        <w:p>
          <w:pPr>
            <w:pStyle w:val="Contents3"/>
            <w:rPr>
              <w:rFonts w:ascii="Calibri" w:hAnsi="Calibri" w:cs="Calibri"/>
              <w:sz w:val="22"/>
              <w:szCs w:val="22"/>
              <w:lang w:val="en-US" w:eastAsia="en-US"/>
            </w:rPr>
          </w:pPr>
          <w:r>
            <w:rPr/>
            <w:t>ZF.5.2.1</w:t>
          </w:r>
          <w:r>
            <w:rPr>
              <w:rFonts w:cs="Calibri" w:ascii="Calibri" w:hAnsi="Calibri"/>
              <w:sz w:val="22"/>
              <w:szCs w:val="22"/>
            </w:rPr>
            <w:tab/>
          </w:r>
          <w:r>
            <w:rPr>
              <w:lang w:val="en-US" w:eastAsia="en-US"/>
            </w:rPr>
            <w:t>Tdoc reference</w:t>
          </w:r>
          <w:r>
            <w:rPr/>
            <w:tab/>
          </w:r>
          <w:hyperlink w:anchor="__RefHeading___Toc518036334">
            <w:r>
              <w:rPr>
                <w:rStyle w:val="IndexLink"/>
              </w:rPr>
              <w:t>378</w:t>
            </w:r>
          </w:hyperlink>
        </w:p>
        <w:p>
          <w:pPr>
            <w:pStyle w:val="Contents3"/>
            <w:rPr>
              <w:rFonts w:ascii="Calibri" w:hAnsi="Calibri" w:cs="Calibri"/>
              <w:sz w:val="22"/>
              <w:szCs w:val="22"/>
              <w:lang w:val="en-US" w:eastAsia="en-US"/>
            </w:rPr>
          </w:pPr>
          <w:r>
            <w:rPr/>
            <w:t>ZF.5.2.2</w:t>
          </w:r>
          <w:r>
            <w:rPr>
              <w:rFonts w:cs="Calibri" w:ascii="Calibri" w:hAnsi="Calibri"/>
              <w:sz w:val="22"/>
              <w:szCs w:val="22"/>
              <w:lang w:val="en-US" w:eastAsia="en-US"/>
            </w:rPr>
            <w:tab/>
          </w:r>
          <w:r>
            <w:rPr/>
            <w:t>Simulator configuration</w:t>
            <w:tab/>
          </w:r>
          <w:hyperlink w:anchor="__RefHeading___Toc518036335">
            <w:r>
              <w:rPr>
                <w:rStyle w:val="IndexLink"/>
              </w:rPr>
              <w:t>378</w:t>
            </w:r>
          </w:hyperlink>
        </w:p>
        <w:p>
          <w:pPr>
            <w:pStyle w:val="Contents3"/>
            <w:rPr>
              <w:rFonts w:ascii="Calibri" w:hAnsi="Calibri" w:cs="Calibri"/>
              <w:sz w:val="22"/>
              <w:szCs w:val="22"/>
              <w:lang w:val="en-US" w:eastAsia="en-US"/>
            </w:rPr>
          </w:pPr>
          <w:r>
            <w:rPr/>
            <w:t>ZF.5.2.3</w:t>
          </w:r>
          <w:r>
            <w:rPr>
              <w:rFonts w:cs="Calibri" w:ascii="Calibri" w:hAnsi="Calibri"/>
              <w:sz w:val="22"/>
              <w:szCs w:val="22"/>
              <w:lang w:val="en-US" w:eastAsia="en-US"/>
            </w:rPr>
            <w:tab/>
          </w:r>
          <w:r>
            <w:rPr/>
            <w:t>Results</w:t>
            <w:tab/>
          </w:r>
          <w:hyperlink w:anchor="__RefHeading___Toc518036336">
            <w:r>
              <w:rPr>
                <w:rStyle w:val="IndexLink"/>
              </w:rPr>
              <w:t>378</w:t>
            </w:r>
          </w:hyperlink>
        </w:p>
        <w:p>
          <w:pPr>
            <w:pStyle w:val="Contents3"/>
            <w:rPr>
              <w:rFonts w:ascii="Calibri" w:hAnsi="Calibri" w:cs="Calibri"/>
              <w:sz w:val="22"/>
              <w:szCs w:val="22"/>
              <w:lang w:val="en-US" w:eastAsia="en-US"/>
            </w:rPr>
          </w:pPr>
          <w:r>
            <w:rPr/>
            <w:t>ZF.5.2.4</w:t>
          </w:r>
          <w:r>
            <w:rPr>
              <w:rFonts w:cs="Calibri" w:ascii="Calibri" w:hAnsi="Calibri"/>
              <w:sz w:val="22"/>
              <w:szCs w:val="22"/>
              <w:lang w:val="en-US" w:eastAsia="en-US"/>
            </w:rPr>
            <w:tab/>
          </w:r>
          <w:r>
            <w:rPr/>
            <w:t>Conclusions</w:t>
            <w:tab/>
          </w:r>
          <w:hyperlink w:anchor="__RefHeading___Toc518036337">
            <w:r>
              <w:rPr>
                <w:rStyle w:val="IndexLink"/>
              </w:rPr>
              <w:t>381</w:t>
            </w:r>
          </w:hyperlink>
        </w:p>
        <w:p>
          <w:pPr>
            <w:pStyle w:val="Contents1"/>
            <w:rPr>
              <w:rFonts w:ascii="Calibri" w:hAnsi="Calibri" w:cs="Calibri"/>
              <w:szCs w:val="22"/>
              <w:lang w:val="en-US" w:eastAsia="en-US"/>
            </w:rPr>
          </w:pPr>
          <w:r>
            <w:rPr/>
            <w:t>ZF.6</w:t>
          </w:r>
          <w:r>
            <w:rPr>
              <w:rFonts w:cs="Calibri" w:ascii="Calibri" w:hAnsi="Calibri"/>
              <w:szCs w:val="22"/>
            </w:rPr>
            <w:tab/>
          </w:r>
          <w:r>
            <w:rPr>
              <w:lang w:val="en-US" w:eastAsia="en-US"/>
            </w:rPr>
            <w:t>Results for Common control channel evaluation</w:t>
          </w:r>
          <w:r>
            <w:rPr/>
            <w:tab/>
          </w:r>
          <w:hyperlink w:anchor="__RefHeading___Toc518036338">
            <w:r>
              <w:rPr>
                <w:rStyle w:val="IndexLink"/>
              </w:rPr>
              <w:t>381</w:t>
            </w:r>
          </w:hyperlink>
        </w:p>
        <w:p>
          <w:pPr>
            <w:pStyle w:val="Contents2"/>
            <w:rPr>
              <w:rFonts w:ascii="Calibri" w:hAnsi="Calibri" w:cs="Calibri"/>
              <w:sz w:val="22"/>
              <w:szCs w:val="22"/>
              <w:lang w:val="en-US" w:eastAsia="en-US"/>
            </w:rPr>
          </w:pPr>
          <w:r>
            <w:rPr/>
            <w:t>ZF.6.1</w:t>
          </w:r>
          <w:r>
            <w:rPr>
              <w:rFonts w:cs="Calibri" w:ascii="Calibri" w:hAnsi="Calibri"/>
              <w:sz w:val="22"/>
              <w:szCs w:val="22"/>
            </w:rPr>
            <w:tab/>
          </w:r>
          <w:r>
            <w:rPr>
              <w:lang w:val="en-US" w:eastAsia="en-US"/>
            </w:rPr>
            <w:t>GPRS/EGPRS</w:t>
          </w:r>
          <w:r>
            <w:rPr/>
            <w:tab/>
          </w:r>
          <w:hyperlink w:anchor="__RefHeading___Toc518036339">
            <w:r>
              <w:rPr>
                <w:rStyle w:val="IndexLink"/>
              </w:rPr>
              <w:t>381</w:t>
            </w:r>
          </w:hyperlink>
        </w:p>
        <w:p>
          <w:pPr>
            <w:pStyle w:val="Contents3"/>
            <w:rPr>
              <w:rFonts w:ascii="Calibri" w:hAnsi="Calibri" w:cs="Calibri"/>
              <w:sz w:val="22"/>
              <w:szCs w:val="22"/>
              <w:lang w:val="en-US" w:eastAsia="en-US"/>
            </w:rPr>
          </w:pPr>
          <w:r>
            <w:rPr/>
            <w:t>ZF.6.1.1</w:t>
          </w:r>
          <w:r>
            <w:rPr>
              <w:rFonts w:cs="Calibri" w:ascii="Calibri" w:hAnsi="Calibri"/>
              <w:sz w:val="22"/>
              <w:szCs w:val="22"/>
            </w:rPr>
            <w:tab/>
          </w:r>
          <w:r>
            <w:rPr>
              <w:lang w:val="en-US" w:eastAsia="en-US"/>
            </w:rPr>
            <w:t>Tdoc reference</w:t>
          </w:r>
          <w:r>
            <w:rPr/>
            <w:tab/>
          </w:r>
          <w:hyperlink w:anchor="__RefHeading___Toc518036340">
            <w:r>
              <w:rPr>
                <w:rStyle w:val="IndexLink"/>
              </w:rPr>
              <w:t>381</w:t>
            </w:r>
          </w:hyperlink>
        </w:p>
        <w:p>
          <w:pPr>
            <w:pStyle w:val="Contents3"/>
            <w:rPr>
              <w:rFonts w:ascii="Calibri" w:hAnsi="Calibri" w:cs="Calibri"/>
              <w:sz w:val="22"/>
              <w:szCs w:val="22"/>
              <w:lang w:val="en-US" w:eastAsia="en-US"/>
            </w:rPr>
          </w:pPr>
          <w:r>
            <w:rPr/>
            <w:t>ZF.6.1.2</w:t>
          </w:r>
          <w:r>
            <w:rPr>
              <w:rFonts w:cs="Calibri" w:ascii="Calibri" w:hAnsi="Calibri"/>
              <w:sz w:val="22"/>
              <w:szCs w:val="22"/>
              <w:lang w:val="en-US" w:eastAsia="en-US"/>
            </w:rPr>
            <w:tab/>
          </w:r>
          <w:r>
            <w:rPr>
              <w:lang w:val="en-US" w:eastAsia="en-US"/>
            </w:rPr>
            <w:t>Assumptions</w:t>
          </w:r>
          <w:r>
            <w:rPr/>
            <w:tab/>
          </w:r>
          <w:hyperlink w:anchor="__RefHeading___Toc518036341">
            <w:r>
              <w:rPr>
                <w:rStyle w:val="IndexLink"/>
              </w:rPr>
              <w:t>381</w:t>
            </w:r>
          </w:hyperlink>
        </w:p>
        <w:p>
          <w:pPr>
            <w:pStyle w:val="Contents4"/>
            <w:rPr>
              <w:rFonts w:ascii="Calibri" w:hAnsi="Calibri" w:cs="Calibri"/>
              <w:sz w:val="22"/>
              <w:szCs w:val="22"/>
              <w:lang w:val="en-US" w:eastAsia="en-US"/>
            </w:rPr>
          </w:pPr>
          <w:r>
            <w:rPr/>
            <w:t>ZF.6.1.2.1</w:t>
          </w:r>
          <w:r>
            <w:rPr>
              <w:rFonts w:cs="Calibri" w:ascii="Calibri" w:hAnsi="Calibri"/>
              <w:sz w:val="22"/>
              <w:szCs w:val="22"/>
              <w:lang w:val="en-US" w:eastAsia="en-US"/>
            </w:rPr>
            <w:tab/>
          </w:r>
          <w:r>
            <w:rPr>
              <w:lang w:val="en-US" w:eastAsia="en-US"/>
            </w:rPr>
            <w:t>General</w:t>
          </w:r>
          <w:r>
            <w:rPr/>
            <w:tab/>
          </w:r>
          <w:hyperlink w:anchor="__RefHeading___Toc518036342">
            <w:r>
              <w:rPr>
                <w:rStyle w:val="IndexLink"/>
              </w:rPr>
              <w:t>381</w:t>
            </w:r>
          </w:hyperlink>
        </w:p>
        <w:p>
          <w:pPr>
            <w:pStyle w:val="Contents4"/>
            <w:rPr>
              <w:rFonts w:ascii="Calibri" w:hAnsi="Calibri" w:cs="Calibri"/>
              <w:sz w:val="22"/>
              <w:szCs w:val="22"/>
              <w:lang w:val="en-US" w:eastAsia="en-US"/>
            </w:rPr>
          </w:pPr>
          <w:r>
            <w:rPr/>
            <w:t>ZF.6.1.2.2</w:t>
          </w:r>
          <w:r>
            <w:rPr>
              <w:rFonts w:cs="Calibri" w:ascii="Calibri" w:hAnsi="Calibri"/>
              <w:sz w:val="22"/>
              <w:szCs w:val="22"/>
              <w:lang w:val="en-US" w:eastAsia="en-US"/>
            </w:rPr>
            <w:tab/>
          </w:r>
          <w:r>
            <w:rPr>
              <w:lang w:val="en-US" w:eastAsia="en-US"/>
            </w:rPr>
            <w:t>Network synchronization</w:t>
          </w:r>
          <w:r>
            <w:rPr/>
            <w:tab/>
          </w:r>
          <w:hyperlink w:anchor="__RefHeading___Toc518036343">
            <w:r>
              <w:rPr>
                <w:rStyle w:val="IndexLink"/>
              </w:rPr>
              <w:t>381</w:t>
            </w:r>
          </w:hyperlink>
        </w:p>
        <w:p>
          <w:pPr>
            <w:pStyle w:val="Contents4"/>
            <w:rPr>
              <w:rFonts w:ascii="Calibri" w:hAnsi="Calibri" w:cs="Calibri"/>
              <w:sz w:val="22"/>
              <w:szCs w:val="22"/>
              <w:lang w:val="en-US" w:eastAsia="en-US"/>
            </w:rPr>
          </w:pPr>
          <w:r>
            <w:rPr/>
            <w:t>ZF.6.1.2.3</w:t>
          </w:r>
          <w:r>
            <w:rPr>
              <w:rFonts w:cs="Calibri" w:ascii="Calibri" w:hAnsi="Calibri"/>
              <w:sz w:val="22"/>
              <w:szCs w:val="22"/>
              <w:lang w:val="en-US" w:eastAsia="en-US"/>
            </w:rPr>
            <w:tab/>
          </w:r>
          <w:r>
            <w:rPr>
              <w:lang w:val="en-US" w:eastAsia="en-US"/>
            </w:rPr>
            <w:t>BCCH Power Savings</w:t>
          </w:r>
          <w:r>
            <w:rPr/>
            <w:tab/>
          </w:r>
          <w:hyperlink w:anchor="__RefHeading___Toc518036344">
            <w:r>
              <w:rPr>
                <w:rStyle w:val="IndexLink"/>
              </w:rPr>
              <w:t>381</w:t>
            </w:r>
          </w:hyperlink>
        </w:p>
        <w:p>
          <w:pPr>
            <w:pStyle w:val="Contents4"/>
            <w:rPr>
              <w:rFonts w:ascii="Calibri" w:hAnsi="Calibri" w:cs="Calibri"/>
              <w:sz w:val="22"/>
              <w:szCs w:val="22"/>
              <w:lang w:val="en-US" w:eastAsia="en-US"/>
            </w:rPr>
          </w:pPr>
          <w:r>
            <w:rPr/>
            <w:t>ZF.6.1.3.4</w:t>
          </w:r>
          <w:r>
            <w:rPr>
              <w:rFonts w:cs="Calibri" w:ascii="Calibri" w:hAnsi="Calibri"/>
              <w:sz w:val="22"/>
              <w:szCs w:val="22"/>
              <w:lang w:val="en-US" w:eastAsia="en-US"/>
            </w:rPr>
            <w:tab/>
          </w:r>
          <w:r>
            <w:rPr>
              <w:lang w:val="en-US" w:eastAsia="en-US"/>
            </w:rPr>
            <w:t>Frequency planning</w:t>
          </w:r>
          <w:r>
            <w:rPr/>
            <w:tab/>
          </w:r>
          <w:hyperlink w:anchor="__RefHeading___Toc518036345">
            <w:r>
              <w:rPr>
                <w:rStyle w:val="IndexLink"/>
              </w:rPr>
              <w:t>381</w:t>
            </w:r>
          </w:hyperlink>
        </w:p>
        <w:p>
          <w:pPr>
            <w:pStyle w:val="Contents3"/>
            <w:rPr>
              <w:rFonts w:ascii="Calibri" w:hAnsi="Calibri" w:cs="Calibri"/>
              <w:sz w:val="22"/>
              <w:szCs w:val="22"/>
              <w:lang w:val="en-US" w:eastAsia="en-US"/>
            </w:rPr>
          </w:pPr>
          <w:r>
            <w:rPr/>
            <w:t>ZF.6.1.4</w:t>
          </w:r>
          <w:r>
            <w:rPr>
              <w:rFonts w:cs="Calibri" w:ascii="Calibri" w:hAnsi="Calibri"/>
              <w:sz w:val="22"/>
              <w:szCs w:val="22"/>
              <w:lang w:val="en-US" w:eastAsia="en-US"/>
            </w:rPr>
            <w:tab/>
          </w:r>
          <w:r>
            <w:rPr/>
            <w:t>Simulations</w:t>
            <w:tab/>
          </w:r>
          <w:hyperlink w:anchor="__RefHeading___Toc518036346">
            <w:r>
              <w:rPr>
                <w:rStyle w:val="IndexLink"/>
              </w:rPr>
              <w:t>382</w:t>
            </w:r>
          </w:hyperlink>
        </w:p>
        <w:p>
          <w:pPr>
            <w:pStyle w:val="Contents4"/>
            <w:rPr>
              <w:rFonts w:ascii="Calibri" w:hAnsi="Calibri" w:cs="Calibri"/>
              <w:sz w:val="22"/>
              <w:szCs w:val="22"/>
              <w:lang w:val="en-US" w:eastAsia="en-US"/>
            </w:rPr>
          </w:pPr>
          <w:r>
            <w:rPr/>
            <w:t>ZF.6.1.4.1</w:t>
          </w:r>
          <w:r>
            <w:rPr>
              <w:rFonts w:cs="Calibri" w:ascii="Calibri" w:hAnsi="Calibri"/>
              <w:sz w:val="22"/>
              <w:szCs w:val="22"/>
              <w:lang w:val="en-US" w:eastAsia="en-US"/>
            </w:rPr>
            <w:tab/>
          </w:r>
          <w:r>
            <w:rPr>
              <w:lang w:val="en-US" w:eastAsia="en-US"/>
            </w:rPr>
            <w:t>Simulation assumptions</w:t>
          </w:r>
          <w:r>
            <w:rPr/>
            <w:tab/>
          </w:r>
          <w:hyperlink w:anchor="__RefHeading___Toc518036347">
            <w:r>
              <w:rPr>
                <w:rStyle w:val="IndexLink"/>
              </w:rPr>
              <w:t>382</w:t>
            </w:r>
          </w:hyperlink>
        </w:p>
        <w:p>
          <w:pPr>
            <w:pStyle w:val="Contents5"/>
            <w:rPr>
              <w:rFonts w:ascii="Calibri" w:hAnsi="Calibri" w:cs="Calibri"/>
              <w:sz w:val="22"/>
              <w:szCs w:val="22"/>
              <w:lang w:val="en-US" w:eastAsia="en-US"/>
            </w:rPr>
          </w:pPr>
          <w:r>
            <w:rPr/>
            <w:t>ZF.6.1.4.1.1</w:t>
          </w:r>
          <w:r>
            <w:rPr>
              <w:rFonts w:cs="Calibri" w:ascii="Calibri" w:hAnsi="Calibri"/>
              <w:sz w:val="22"/>
              <w:szCs w:val="22"/>
              <w:lang w:val="en-US" w:eastAsia="en-US"/>
            </w:rPr>
            <w:tab/>
          </w:r>
          <w:r>
            <w:rPr/>
            <w:t>System parameters</w:t>
            <w:tab/>
          </w:r>
          <w:hyperlink w:anchor="__RefHeading___Toc518036348">
            <w:r>
              <w:rPr>
                <w:rStyle w:val="IndexLink"/>
              </w:rPr>
              <w:t>382</w:t>
            </w:r>
          </w:hyperlink>
        </w:p>
        <w:p>
          <w:pPr>
            <w:pStyle w:val="Contents3"/>
            <w:rPr>
              <w:rFonts w:ascii="Calibri" w:hAnsi="Calibri" w:cs="Calibri"/>
              <w:sz w:val="22"/>
              <w:szCs w:val="22"/>
              <w:lang w:val="en-US" w:eastAsia="en-US"/>
            </w:rPr>
          </w:pPr>
          <w:r>
            <w:rPr/>
            <w:t>ZF.6.1.5</w:t>
          </w:r>
          <w:r>
            <w:rPr>
              <w:rFonts w:cs="Calibri" w:ascii="Calibri" w:hAnsi="Calibri"/>
              <w:sz w:val="22"/>
              <w:szCs w:val="22"/>
              <w:lang w:val="en-US" w:eastAsia="en-US"/>
            </w:rPr>
            <w:tab/>
          </w:r>
          <w:r>
            <w:rPr>
              <w:lang w:val="en-US" w:eastAsia="en-US"/>
            </w:rPr>
            <w:t>Results</w:t>
          </w:r>
          <w:r>
            <w:rPr/>
            <w:tab/>
          </w:r>
          <w:hyperlink w:anchor="__RefHeading___Toc518036349">
            <w:r>
              <w:rPr>
                <w:rStyle w:val="IndexLink"/>
              </w:rPr>
              <w:t>382</w:t>
            </w:r>
          </w:hyperlink>
        </w:p>
        <w:p>
          <w:pPr>
            <w:pStyle w:val="Contents4"/>
            <w:rPr>
              <w:rFonts w:ascii="Calibri" w:hAnsi="Calibri" w:cs="Calibri"/>
              <w:sz w:val="22"/>
              <w:szCs w:val="22"/>
              <w:lang w:val="en-US" w:eastAsia="en-US"/>
            </w:rPr>
          </w:pPr>
          <w:r>
            <w:rPr/>
            <w:t>ZF.6.1.5.1</w:t>
          </w:r>
          <w:r>
            <w:rPr>
              <w:rFonts w:cs="Calibri" w:ascii="Calibri" w:hAnsi="Calibri"/>
              <w:sz w:val="22"/>
              <w:szCs w:val="22"/>
              <w:lang w:val="en-US" w:eastAsia="en-US"/>
            </w:rPr>
            <w:tab/>
          </w:r>
          <w:r>
            <w:rPr/>
            <w:t>Resource Usage</w:t>
            <w:tab/>
          </w:r>
          <w:hyperlink w:anchor="__RefHeading___Toc518036350">
            <w:r>
              <w:rPr>
                <w:rStyle w:val="IndexLink"/>
              </w:rPr>
              <w:t>382</w:t>
            </w:r>
          </w:hyperlink>
        </w:p>
        <w:p>
          <w:pPr>
            <w:pStyle w:val="Contents4"/>
            <w:rPr>
              <w:rFonts w:ascii="Calibri" w:hAnsi="Calibri" w:cs="Calibri"/>
              <w:sz w:val="22"/>
              <w:szCs w:val="22"/>
              <w:lang w:val="en-US" w:eastAsia="en-US"/>
            </w:rPr>
          </w:pPr>
          <w:r>
            <w:rPr/>
            <w:t>ZF.6.1.5.2</w:t>
          </w:r>
          <w:r>
            <w:rPr>
              <w:rFonts w:cs="Calibri" w:ascii="Calibri" w:hAnsi="Calibri"/>
              <w:sz w:val="22"/>
              <w:szCs w:val="22"/>
              <w:lang w:val="en-US" w:eastAsia="en-US"/>
            </w:rPr>
            <w:tab/>
          </w:r>
          <w:r>
            <w:rPr/>
            <w:t>Common control channel delay</w:t>
            <w:tab/>
          </w:r>
          <w:hyperlink w:anchor="__RefHeading___Toc518036351">
            <w:r>
              <w:rPr>
                <w:rStyle w:val="IndexLink"/>
              </w:rPr>
              <w:t>383</w:t>
            </w:r>
          </w:hyperlink>
        </w:p>
        <w:p>
          <w:pPr>
            <w:pStyle w:val="Contents4"/>
            <w:rPr>
              <w:rFonts w:ascii="Calibri" w:hAnsi="Calibri" w:cs="Calibri"/>
              <w:sz w:val="22"/>
              <w:szCs w:val="22"/>
              <w:lang w:val="en-US" w:eastAsia="en-US"/>
            </w:rPr>
          </w:pPr>
          <w:r>
            <w:rPr/>
            <w:t>ZF.6.1.5.3</w:t>
          </w:r>
          <w:r>
            <w:rPr>
              <w:rFonts w:cs="Calibri" w:ascii="Calibri" w:hAnsi="Calibri"/>
              <w:sz w:val="22"/>
              <w:szCs w:val="22"/>
              <w:lang w:val="en-US" w:eastAsia="en-US"/>
            </w:rPr>
            <w:tab/>
          </w:r>
          <w:r>
            <w:rPr/>
            <w:t>Failed Attempts</w:t>
            <w:tab/>
          </w:r>
          <w:hyperlink w:anchor="__RefHeading___Toc518036352">
            <w:r>
              <w:rPr>
                <w:rStyle w:val="IndexLink"/>
              </w:rPr>
              <w:t>383</w:t>
            </w:r>
          </w:hyperlink>
        </w:p>
        <w:p>
          <w:pPr>
            <w:pStyle w:val="Contents3"/>
            <w:rPr>
              <w:rFonts w:ascii="Calibri" w:hAnsi="Calibri" w:cs="Calibri"/>
              <w:sz w:val="22"/>
              <w:szCs w:val="22"/>
              <w:lang w:val="en-US" w:eastAsia="en-US"/>
            </w:rPr>
          </w:pPr>
          <w:r>
            <w:rPr/>
            <w:t>ZF.6.1.6</w:t>
          </w:r>
          <w:r>
            <w:rPr>
              <w:rFonts w:cs="Calibri" w:ascii="Calibri" w:hAnsi="Calibri"/>
              <w:sz w:val="22"/>
              <w:szCs w:val="22"/>
              <w:lang w:val="en-US" w:eastAsia="en-US"/>
            </w:rPr>
            <w:tab/>
          </w:r>
          <w:r>
            <w:rPr/>
            <w:t>Discussion</w:t>
            <w:tab/>
          </w:r>
          <w:hyperlink w:anchor="__RefHeading___Toc518036353">
            <w:r>
              <w:rPr>
                <w:rStyle w:val="IndexLink"/>
              </w:rPr>
              <w:t>383</w:t>
            </w:r>
          </w:hyperlink>
        </w:p>
        <w:p>
          <w:pPr>
            <w:pStyle w:val="Contents3"/>
            <w:rPr>
              <w:rFonts w:ascii="Calibri" w:hAnsi="Calibri" w:cs="Calibri"/>
              <w:sz w:val="22"/>
              <w:szCs w:val="22"/>
              <w:lang w:val="en-US" w:eastAsia="en-US"/>
            </w:rPr>
          </w:pPr>
          <w:r>
            <w:rPr/>
            <w:t>ZF.6.1.7</w:t>
          </w:r>
          <w:r>
            <w:rPr>
              <w:rFonts w:cs="Calibri" w:ascii="Calibri" w:hAnsi="Calibri"/>
              <w:sz w:val="22"/>
              <w:szCs w:val="22"/>
              <w:lang w:val="en-US" w:eastAsia="en-US"/>
            </w:rPr>
            <w:tab/>
          </w:r>
          <w:r>
            <w:rPr/>
            <w:t>Conclusions</w:t>
            <w:tab/>
          </w:r>
          <w:hyperlink w:anchor="__RefHeading___Toc518036354">
            <w:r>
              <w:rPr>
                <w:rStyle w:val="IndexLink"/>
              </w:rPr>
              <w:t>383</w:t>
            </w:r>
          </w:hyperlink>
        </w:p>
        <w:p>
          <w:pPr>
            <w:pStyle w:val="Contents2"/>
            <w:rPr>
              <w:rFonts w:ascii="Calibri" w:hAnsi="Calibri" w:cs="Calibri"/>
              <w:sz w:val="22"/>
              <w:szCs w:val="22"/>
              <w:lang w:val="en-US" w:eastAsia="en-US"/>
            </w:rPr>
          </w:pPr>
          <w:r>
            <w:rPr/>
            <w:t>ZF.6.2</w:t>
          </w:r>
          <w:r>
            <w:rPr>
              <w:rFonts w:cs="Calibri" w:ascii="Calibri" w:hAnsi="Calibri"/>
              <w:sz w:val="22"/>
              <w:szCs w:val="22"/>
            </w:rPr>
            <w:tab/>
          </w:r>
          <w:r>
            <w:rPr>
              <w:lang w:val="en-US" w:eastAsia="en-US"/>
            </w:rPr>
            <w:t>EC-GSM-IoT</w:t>
          </w:r>
          <w:r>
            <w:rPr/>
            <w:tab/>
          </w:r>
          <w:hyperlink w:anchor="__RefHeading___Toc518036355">
            <w:r>
              <w:rPr>
                <w:rStyle w:val="IndexLink"/>
              </w:rPr>
              <w:t>383</w:t>
            </w:r>
          </w:hyperlink>
        </w:p>
        <w:p>
          <w:pPr>
            <w:pStyle w:val="Contents3"/>
            <w:rPr>
              <w:rFonts w:ascii="Calibri" w:hAnsi="Calibri" w:cs="Calibri"/>
              <w:sz w:val="22"/>
              <w:szCs w:val="22"/>
              <w:lang w:val="en-US" w:eastAsia="en-US"/>
            </w:rPr>
          </w:pPr>
          <w:r>
            <w:rPr/>
            <w:t>ZF.6.2.1</w:t>
          </w:r>
          <w:r>
            <w:rPr>
              <w:rFonts w:cs="Calibri" w:ascii="Calibri" w:hAnsi="Calibri"/>
              <w:sz w:val="22"/>
              <w:szCs w:val="22"/>
            </w:rPr>
            <w:tab/>
          </w:r>
          <w:r>
            <w:rPr>
              <w:lang w:val="en-US" w:eastAsia="en-US"/>
            </w:rPr>
            <w:t>Tdoc reference</w:t>
          </w:r>
          <w:r>
            <w:rPr/>
            <w:tab/>
          </w:r>
          <w:hyperlink w:anchor="__RefHeading___Toc518036356">
            <w:r>
              <w:rPr>
                <w:rStyle w:val="IndexLink"/>
              </w:rPr>
              <w:t>383</w:t>
            </w:r>
          </w:hyperlink>
        </w:p>
        <w:p>
          <w:pPr>
            <w:pStyle w:val="Contents3"/>
            <w:rPr>
              <w:rFonts w:ascii="Calibri" w:hAnsi="Calibri" w:cs="Calibri"/>
              <w:sz w:val="22"/>
              <w:szCs w:val="22"/>
              <w:lang w:val="en-US" w:eastAsia="en-US"/>
            </w:rPr>
          </w:pPr>
          <w:r>
            <w:rPr/>
            <w:t>ZF.6.2.2</w:t>
          </w:r>
          <w:r>
            <w:rPr>
              <w:rFonts w:cs="Calibri" w:ascii="Calibri" w:hAnsi="Calibri"/>
              <w:sz w:val="22"/>
              <w:szCs w:val="22"/>
              <w:lang w:val="en-US" w:eastAsia="en-US"/>
            </w:rPr>
            <w:tab/>
          </w:r>
          <w:r>
            <w:rPr>
              <w:lang w:val="en-US" w:eastAsia="en-US"/>
            </w:rPr>
            <w:t>Assumptions</w:t>
          </w:r>
          <w:r>
            <w:rPr/>
            <w:tab/>
          </w:r>
          <w:hyperlink w:anchor="__RefHeading___Toc518036357">
            <w:r>
              <w:rPr>
                <w:rStyle w:val="IndexLink"/>
              </w:rPr>
              <w:t>384</w:t>
            </w:r>
          </w:hyperlink>
        </w:p>
        <w:p>
          <w:pPr>
            <w:pStyle w:val="Contents4"/>
            <w:rPr>
              <w:rFonts w:ascii="Calibri" w:hAnsi="Calibri" w:cs="Calibri"/>
              <w:sz w:val="22"/>
              <w:szCs w:val="22"/>
              <w:lang w:val="en-US" w:eastAsia="en-US"/>
            </w:rPr>
          </w:pPr>
          <w:r>
            <w:rPr/>
            <w:t>ZF.6.2.2.1</w:t>
          </w:r>
          <w:r>
            <w:rPr>
              <w:rFonts w:cs="Calibri" w:ascii="Calibri" w:hAnsi="Calibri"/>
              <w:sz w:val="22"/>
              <w:szCs w:val="22"/>
              <w:lang w:val="en-US" w:eastAsia="en-US"/>
            </w:rPr>
            <w:tab/>
          </w:r>
          <w:r>
            <w:rPr>
              <w:lang w:val="en-US" w:eastAsia="en-US"/>
            </w:rPr>
            <w:t>Link model</w:t>
          </w:r>
          <w:r>
            <w:rPr/>
            <w:tab/>
          </w:r>
          <w:hyperlink w:anchor="__RefHeading___Toc518036358">
            <w:r>
              <w:rPr>
                <w:rStyle w:val="IndexLink"/>
              </w:rPr>
              <w:t>384</w:t>
            </w:r>
          </w:hyperlink>
        </w:p>
        <w:p>
          <w:pPr>
            <w:pStyle w:val="Contents4"/>
            <w:rPr>
              <w:rFonts w:ascii="Calibri" w:hAnsi="Calibri" w:cs="Calibri"/>
              <w:sz w:val="22"/>
              <w:szCs w:val="22"/>
              <w:lang w:val="en-US" w:eastAsia="en-US"/>
            </w:rPr>
          </w:pPr>
          <w:r>
            <w:rPr/>
            <w:t>ZF.6.2.2.2</w:t>
          </w:r>
          <w:r>
            <w:rPr>
              <w:rFonts w:cs="Calibri" w:ascii="Calibri" w:hAnsi="Calibri"/>
              <w:sz w:val="22"/>
              <w:szCs w:val="22"/>
              <w:lang w:val="en-US" w:eastAsia="en-US"/>
            </w:rPr>
            <w:tab/>
          </w:r>
          <w:r>
            <w:rPr>
              <w:lang w:val="en-US" w:eastAsia="en-US"/>
            </w:rPr>
            <w:t>Blind transmissions</w:t>
          </w:r>
          <w:r>
            <w:rPr/>
            <w:tab/>
          </w:r>
          <w:hyperlink w:anchor="__RefHeading___Toc518036359">
            <w:r>
              <w:rPr>
                <w:rStyle w:val="IndexLink"/>
              </w:rPr>
              <w:t>384</w:t>
            </w:r>
          </w:hyperlink>
        </w:p>
        <w:p>
          <w:pPr>
            <w:pStyle w:val="Contents4"/>
            <w:rPr>
              <w:rFonts w:ascii="Calibri" w:hAnsi="Calibri" w:cs="Calibri"/>
              <w:sz w:val="22"/>
              <w:szCs w:val="22"/>
              <w:lang w:val="en-US" w:eastAsia="en-US"/>
            </w:rPr>
          </w:pPr>
          <w:r>
            <w:rPr/>
            <w:t>ZF.6.2.2.3</w:t>
          </w:r>
          <w:r>
            <w:rPr>
              <w:rFonts w:cs="Calibri" w:ascii="Calibri" w:hAnsi="Calibri"/>
              <w:sz w:val="22"/>
              <w:szCs w:val="22"/>
              <w:lang w:val="en-US" w:eastAsia="en-US"/>
            </w:rPr>
            <w:tab/>
          </w:r>
          <w:r>
            <w:rPr>
              <w:lang w:val="en-US" w:eastAsia="en-US"/>
            </w:rPr>
            <w:t>Network synchronization</w:t>
          </w:r>
          <w:r>
            <w:rPr/>
            <w:tab/>
          </w:r>
          <w:hyperlink w:anchor="__RefHeading___Toc518036360">
            <w:r>
              <w:rPr>
                <w:rStyle w:val="IndexLink"/>
              </w:rPr>
              <w:t>384</w:t>
            </w:r>
          </w:hyperlink>
        </w:p>
        <w:p>
          <w:pPr>
            <w:pStyle w:val="Contents4"/>
            <w:rPr>
              <w:rFonts w:ascii="Calibri" w:hAnsi="Calibri" w:cs="Calibri"/>
              <w:sz w:val="22"/>
              <w:szCs w:val="22"/>
              <w:lang w:val="en-US" w:eastAsia="en-US"/>
            </w:rPr>
          </w:pPr>
          <w:r>
            <w:rPr/>
            <w:t>ZF.6.2.2.4</w:t>
          </w:r>
          <w:r>
            <w:rPr>
              <w:rFonts w:cs="Calibri" w:ascii="Calibri" w:hAnsi="Calibri"/>
              <w:sz w:val="22"/>
              <w:szCs w:val="22"/>
              <w:lang w:val="en-US" w:eastAsia="en-US"/>
            </w:rPr>
            <w:tab/>
          </w:r>
          <w:r>
            <w:rPr>
              <w:lang w:val="en-US" w:eastAsia="en-US"/>
            </w:rPr>
            <w:t>Coverage class adaptation</w:t>
          </w:r>
          <w:r>
            <w:rPr/>
            <w:tab/>
          </w:r>
          <w:hyperlink w:anchor="__RefHeading___Toc518036361">
            <w:r>
              <w:rPr>
                <w:rStyle w:val="IndexLink"/>
              </w:rPr>
              <w:t>384</w:t>
            </w:r>
          </w:hyperlink>
        </w:p>
        <w:p>
          <w:pPr>
            <w:pStyle w:val="Contents4"/>
            <w:rPr>
              <w:rFonts w:ascii="Calibri" w:hAnsi="Calibri" w:cs="Calibri"/>
              <w:sz w:val="22"/>
              <w:szCs w:val="22"/>
              <w:lang w:val="en-US" w:eastAsia="en-US"/>
            </w:rPr>
          </w:pPr>
          <w:r>
            <w:rPr/>
            <w:t>ZF.6.2.2.5</w:t>
          </w:r>
          <w:r>
            <w:rPr>
              <w:rFonts w:cs="Calibri" w:ascii="Calibri" w:hAnsi="Calibri"/>
              <w:sz w:val="22"/>
              <w:szCs w:val="22"/>
              <w:lang w:val="en-US" w:eastAsia="en-US"/>
            </w:rPr>
            <w:tab/>
          </w:r>
          <w:r>
            <w:rPr>
              <w:lang w:val="en-US" w:eastAsia="en-US"/>
            </w:rPr>
            <w:t>BCCH Power Savings</w:t>
          </w:r>
          <w:r>
            <w:rPr/>
            <w:tab/>
          </w:r>
          <w:hyperlink w:anchor="__RefHeading___Toc518036362">
            <w:r>
              <w:rPr>
                <w:rStyle w:val="IndexLink"/>
              </w:rPr>
              <w:t>384</w:t>
            </w:r>
          </w:hyperlink>
        </w:p>
        <w:p>
          <w:pPr>
            <w:pStyle w:val="Contents4"/>
            <w:rPr>
              <w:rFonts w:ascii="Calibri" w:hAnsi="Calibri" w:cs="Calibri"/>
              <w:sz w:val="22"/>
              <w:szCs w:val="22"/>
              <w:lang w:val="en-US" w:eastAsia="en-US"/>
            </w:rPr>
          </w:pPr>
          <w:r>
            <w:rPr/>
            <w:t>ZF.6.2.2.6</w:t>
          </w:r>
          <w:r>
            <w:rPr>
              <w:rFonts w:cs="Calibri" w:ascii="Calibri" w:hAnsi="Calibri"/>
              <w:sz w:val="22"/>
              <w:szCs w:val="22"/>
              <w:lang w:val="en-US" w:eastAsia="en-US"/>
            </w:rPr>
            <w:tab/>
          </w:r>
          <w:r>
            <w:rPr>
              <w:lang w:val="en-US" w:eastAsia="en-US"/>
            </w:rPr>
            <w:t>Frequency planning</w:t>
          </w:r>
          <w:r>
            <w:rPr/>
            <w:tab/>
          </w:r>
          <w:hyperlink w:anchor="__RefHeading___Toc518036363">
            <w:r>
              <w:rPr>
                <w:rStyle w:val="IndexLink"/>
              </w:rPr>
              <w:t>384</w:t>
            </w:r>
          </w:hyperlink>
        </w:p>
        <w:p>
          <w:pPr>
            <w:pStyle w:val="Contents3"/>
            <w:rPr>
              <w:rFonts w:ascii="Calibri" w:hAnsi="Calibri" w:cs="Calibri"/>
              <w:sz w:val="22"/>
              <w:szCs w:val="22"/>
              <w:lang w:val="en-US" w:eastAsia="en-US"/>
            </w:rPr>
          </w:pPr>
          <w:r>
            <w:rPr/>
            <w:t>ZF.6.2.3</w:t>
          </w:r>
          <w:r>
            <w:rPr>
              <w:rFonts w:cs="Calibri" w:ascii="Calibri" w:hAnsi="Calibri"/>
              <w:sz w:val="22"/>
              <w:szCs w:val="22"/>
              <w:lang w:val="en-US" w:eastAsia="en-US"/>
            </w:rPr>
            <w:tab/>
          </w:r>
          <w:r>
            <w:rPr/>
            <w:t>Simulations</w:t>
            <w:tab/>
          </w:r>
          <w:hyperlink w:anchor="__RefHeading___Toc518036364">
            <w:r>
              <w:rPr>
                <w:rStyle w:val="IndexLink"/>
              </w:rPr>
              <w:t>384</w:t>
            </w:r>
          </w:hyperlink>
        </w:p>
        <w:p>
          <w:pPr>
            <w:pStyle w:val="Contents4"/>
            <w:rPr>
              <w:rFonts w:ascii="Calibri" w:hAnsi="Calibri" w:cs="Calibri"/>
              <w:sz w:val="22"/>
              <w:szCs w:val="22"/>
              <w:lang w:val="en-US" w:eastAsia="en-US"/>
            </w:rPr>
          </w:pPr>
          <w:r>
            <w:rPr/>
            <w:t>ZF.6.2.3.1</w:t>
          </w:r>
          <w:r>
            <w:rPr>
              <w:rFonts w:cs="Calibri" w:ascii="Calibri" w:hAnsi="Calibri"/>
              <w:sz w:val="22"/>
              <w:szCs w:val="22"/>
              <w:lang w:val="en-US" w:eastAsia="en-US"/>
            </w:rPr>
            <w:tab/>
          </w:r>
          <w:r>
            <w:rPr>
              <w:lang w:val="en-US" w:eastAsia="en-US"/>
            </w:rPr>
            <w:t>Simulation assumptions</w:t>
          </w:r>
          <w:r>
            <w:rPr/>
            <w:tab/>
          </w:r>
          <w:hyperlink w:anchor="__RefHeading___Toc518036365">
            <w:r>
              <w:rPr>
                <w:rStyle w:val="IndexLink"/>
              </w:rPr>
              <w:t>384</w:t>
            </w:r>
          </w:hyperlink>
        </w:p>
        <w:p>
          <w:pPr>
            <w:pStyle w:val="Contents4"/>
            <w:rPr>
              <w:rFonts w:ascii="Calibri" w:hAnsi="Calibri" w:cs="Calibri"/>
              <w:sz w:val="22"/>
              <w:szCs w:val="22"/>
              <w:lang w:val="en-US" w:eastAsia="en-US"/>
            </w:rPr>
          </w:pPr>
          <w:r>
            <w:rPr/>
            <w:t>ZF.6.2.3.2</w:t>
          </w:r>
          <w:r>
            <w:rPr>
              <w:rFonts w:cs="Calibri" w:ascii="Calibri" w:hAnsi="Calibri"/>
              <w:sz w:val="22"/>
              <w:szCs w:val="22"/>
              <w:lang w:val="en-US" w:eastAsia="en-US"/>
            </w:rPr>
            <w:tab/>
          </w:r>
          <w:r>
            <w:rPr/>
            <w:t>System parameters</w:t>
            <w:tab/>
          </w:r>
          <w:hyperlink w:anchor="__RefHeading___Toc518036366">
            <w:r>
              <w:rPr>
                <w:rStyle w:val="IndexLink"/>
              </w:rPr>
              <w:t>385</w:t>
            </w:r>
          </w:hyperlink>
        </w:p>
        <w:p>
          <w:pPr>
            <w:pStyle w:val="Contents3"/>
            <w:rPr>
              <w:rFonts w:ascii="Calibri" w:hAnsi="Calibri" w:cs="Calibri"/>
              <w:sz w:val="22"/>
              <w:szCs w:val="22"/>
              <w:lang w:val="en-US" w:eastAsia="en-US"/>
            </w:rPr>
          </w:pPr>
          <w:r>
            <w:rPr/>
            <w:t>ZF.6.2.4</w:t>
          </w:r>
          <w:r>
            <w:rPr>
              <w:rFonts w:cs="Calibri" w:ascii="Calibri" w:hAnsi="Calibri"/>
              <w:sz w:val="22"/>
              <w:szCs w:val="22"/>
              <w:lang w:val="en-US" w:eastAsia="en-US"/>
            </w:rPr>
            <w:tab/>
          </w:r>
          <w:r>
            <w:rPr>
              <w:lang w:val="en-US" w:eastAsia="en-US"/>
            </w:rPr>
            <w:t>Results</w:t>
          </w:r>
          <w:r>
            <w:rPr/>
            <w:tab/>
          </w:r>
          <w:hyperlink w:anchor="__RefHeading___Toc518036367">
            <w:r>
              <w:rPr>
                <w:rStyle w:val="IndexLink"/>
              </w:rPr>
              <w:t>385</w:t>
            </w:r>
          </w:hyperlink>
        </w:p>
        <w:p>
          <w:pPr>
            <w:pStyle w:val="Contents4"/>
            <w:rPr>
              <w:rFonts w:ascii="Calibri" w:hAnsi="Calibri" w:cs="Calibri"/>
              <w:sz w:val="22"/>
              <w:szCs w:val="22"/>
              <w:lang w:val="en-US" w:eastAsia="en-US"/>
            </w:rPr>
          </w:pPr>
          <w:r>
            <w:rPr/>
            <w:t>ZF.6.2.4.1</w:t>
          </w:r>
          <w:r>
            <w:rPr>
              <w:rFonts w:cs="Calibri" w:ascii="Calibri" w:hAnsi="Calibri"/>
              <w:sz w:val="22"/>
              <w:szCs w:val="22"/>
              <w:lang w:val="en-US" w:eastAsia="en-US"/>
            </w:rPr>
            <w:tab/>
          </w:r>
          <w:r>
            <w:rPr>
              <w:lang w:val="en-US" w:eastAsia="en-US"/>
            </w:rPr>
            <w:t>General</w:t>
          </w:r>
          <w:r>
            <w:rPr/>
            <w:tab/>
          </w:r>
          <w:hyperlink w:anchor="__RefHeading___Toc518036368">
            <w:r>
              <w:rPr>
                <w:rStyle w:val="IndexLink"/>
              </w:rPr>
              <w:t>385</w:t>
            </w:r>
          </w:hyperlink>
        </w:p>
        <w:p>
          <w:pPr>
            <w:pStyle w:val="Contents4"/>
            <w:rPr>
              <w:rFonts w:ascii="Calibri" w:hAnsi="Calibri" w:cs="Calibri"/>
              <w:sz w:val="22"/>
              <w:szCs w:val="22"/>
              <w:lang w:val="en-US" w:eastAsia="en-US"/>
            </w:rPr>
          </w:pPr>
          <w:r>
            <w:rPr/>
            <w:t>ZF.6.2.4.2</w:t>
          </w:r>
          <w:r>
            <w:rPr>
              <w:rFonts w:cs="Calibri" w:ascii="Calibri" w:hAnsi="Calibri"/>
              <w:sz w:val="22"/>
              <w:szCs w:val="22"/>
              <w:lang w:val="en-US" w:eastAsia="en-US"/>
            </w:rPr>
            <w:tab/>
          </w:r>
          <w:r>
            <w:rPr/>
            <w:t>Resource Usage</w:t>
            <w:tab/>
          </w:r>
          <w:hyperlink w:anchor="__RefHeading___Toc518036369">
            <w:r>
              <w:rPr>
                <w:rStyle w:val="IndexLink"/>
              </w:rPr>
              <w:t>385</w:t>
            </w:r>
          </w:hyperlink>
        </w:p>
        <w:p>
          <w:pPr>
            <w:pStyle w:val="Contents4"/>
            <w:rPr>
              <w:rFonts w:ascii="Calibri" w:hAnsi="Calibri" w:cs="Calibri"/>
              <w:sz w:val="22"/>
              <w:szCs w:val="22"/>
              <w:lang w:val="en-US" w:eastAsia="en-US"/>
            </w:rPr>
          </w:pPr>
          <w:r>
            <w:rPr/>
            <w:t>ZF.6.2.4.3</w:t>
          </w:r>
          <w:r>
            <w:rPr>
              <w:rFonts w:cs="Calibri" w:ascii="Calibri" w:hAnsi="Calibri"/>
              <w:sz w:val="22"/>
              <w:szCs w:val="22"/>
              <w:lang w:val="en-US" w:eastAsia="en-US"/>
            </w:rPr>
            <w:tab/>
          </w:r>
          <w:r>
            <w:rPr/>
            <w:t>Common control channel delay</w:t>
            <w:tab/>
          </w:r>
          <w:hyperlink w:anchor="__RefHeading___Toc518036370">
            <w:r>
              <w:rPr>
                <w:rStyle w:val="IndexLink"/>
              </w:rPr>
              <w:t>387</w:t>
            </w:r>
          </w:hyperlink>
        </w:p>
        <w:p>
          <w:pPr>
            <w:pStyle w:val="Contents4"/>
            <w:rPr>
              <w:rFonts w:ascii="Calibri" w:hAnsi="Calibri" w:cs="Calibri"/>
              <w:sz w:val="22"/>
              <w:szCs w:val="22"/>
              <w:lang w:val="en-US" w:eastAsia="en-US"/>
            </w:rPr>
          </w:pPr>
          <w:r>
            <w:rPr/>
            <w:t>ZF.6.2.4.4</w:t>
          </w:r>
          <w:r>
            <w:rPr>
              <w:rFonts w:cs="Calibri" w:ascii="Calibri" w:hAnsi="Calibri"/>
              <w:sz w:val="22"/>
              <w:szCs w:val="22"/>
              <w:lang w:val="en-US" w:eastAsia="en-US"/>
            </w:rPr>
            <w:tab/>
          </w:r>
          <w:r>
            <w:rPr/>
            <w:t>Failed Attempts</w:t>
            <w:tab/>
          </w:r>
          <w:hyperlink w:anchor="__RefHeading___Toc518036371">
            <w:r>
              <w:rPr>
                <w:rStyle w:val="IndexLink"/>
              </w:rPr>
              <w:t>387</w:t>
            </w:r>
          </w:hyperlink>
        </w:p>
        <w:p>
          <w:pPr>
            <w:pStyle w:val="Contents4"/>
            <w:rPr>
              <w:rFonts w:ascii="Calibri" w:hAnsi="Calibri" w:cs="Calibri"/>
              <w:sz w:val="22"/>
              <w:szCs w:val="22"/>
              <w:lang w:val="en-US" w:eastAsia="en-US"/>
            </w:rPr>
          </w:pPr>
          <w:r>
            <w:rPr/>
            <w:t>ZF.6.2.4.5</w:t>
          </w:r>
          <w:r>
            <w:rPr>
              <w:rFonts w:cs="Calibri" w:ascii="Calibri" w:hAnsi="Calibri"/>
              <w:sz w:val="22"/>
              <w:szCs w:val="22"/>
              <w:lang w:val="en-US" w:eastAsia="en-US"/>
            </w:rPr>
            <w:tab/>
          </w:r>
          <w:r>
            <w:rPr/>
            <w:t>Coverage class distribution</w:t>
            <w:tab/>
          </w:r>
          <w:hyperlink w:anchor="__RefHeading___Toc518036372">
            <w:r>
              <w:rPr>
                <w:rStyle w:val="IndexLink"/>
              </w:rPr>
              <w:t>387</w:t>
            </w:r>
          </w:hyperlink>
        </w:p>
        <w:p>
          <w:pPr>
            <w:pStyle w:val="Contents3"/>
            <w:rPr>
              <w:rFonts w:ascii="Calibri" w:hAnsi="Calibri" w:cs="Calibri"/>
              <w:sz w:val="22"/>
              <w:szCs w:val="22"/>
              <w:lang w:val="en-US" w:eastAsia="en-US"/>
            </w:rPr>
          </w:pPr>
          <w:r>
            <w:rPr/>
            <w:t>ZF.6.2.5</w:t>
          </w:r>
          <w:r>
            <w:rPr>
              <w:rFonts w:cs="Calibri" w:ascii="Calibri" w:hAnsi="Calibri"/>
              <w:sz w:val="22"/>
              <w:szCs w:val="22"/>
              <w:lang w:val="en-US" w:eastAsia="en-US"/>
            </w:rPr>
            <w:tab/>
          </w:r>
          <w:r>
            <w:rPr/>
            <w:t>Discussion</w:t>
            <w:tab/>
          </w:r>
          <w:hyperlink w:anchor="__RefHeading___Toc518036373">
            <w:r>
              <w:rPr>
                <w:rStyle w:val="IndexLink"/>
              </w:rPr>
              <w:t>388</w:t>
            </w:r>
          </w:hyperlink>
        </w:p>
        <w:p>
          <w:pPr>
            <w:pStyle w:val="Contents3"/>
            <w:rPr>
              <w:rFonts w:ascii="Calibri" w:hAnsi="Calibri" w:cs="Calibri"/>
              <w:sz w:val="22"/>
              <w:szCs w:val="22"/>
              <w:lang w:val="en-US" w:eastAsia="en-US"/>
            </w:rPr>
          </w:pPr>
          <w:r>
            <w:rPr/>
            <w:t>ZF.6.2.6</w:t>
          </w:r>
          <w:r>
            <w:rPr>
              <w:rFonts w:cs="Calibri" w:ascii="Calibri" w:hAnsi="Calibri"/>
              <w:sz w:val="22"/>
              <w:szCs w:val="22"/>
              <w:lang w:val="en-US" w:eastAsia="en-US"/>
            </w:rPr>
            <w:tab/>
          </w:r>
          <w:r>
            <w:rPr/>
            <w:t>Conclusions</w:t>
            <w:tab/>
          </w:r>
          <w:hyperlink w:anchor="__RefHeading___Toc518036374">
            <w:r>
              <w:rPr>
                <w:rStyle w:val="IndexLink"/>
              </w:rPr>
              <w:t>388</w:t>
            </w:r>
          </w:hyperlink>
        </w:p>
        <w:p>
          <w:pPr>
            <w:pStyle w:val="Contents1"/>
            <w:rPr>
              <w:rFonts w:ascii="Calibri" w:hAnsi="Calibri" w:cs="Calibri"/>
              <w:szCs w:val="22"/>
              <w:lang w:val="en-US" w:eastAsia="en-US"/>
            </w:rPr>
          </w:pPr>
          <w:r>
            <w:rPr/>
            <w:t>ZF.7</w:t>
          </w:r>
          <w:r>
            <w:rPr>
              <w:rFonts w:cs="Calibri" w:ascii="Calibri" w:hAnsi="Calibri"/>
              <w:szCs w:val="22"/>
            </w:rPr>
            <w:tab/>
          </w:r>
          <w:r>
            <w:rPr>
              <w:lang w:val="en-US" w:eastAsia="en-US"/>
            </w:rPr>
            <w:t>Results for Data traffic and control channel evaluation</w:t>
          </w:r>
          <w:r>
            <w:rPr/>
            <w:tab/>
          </w:r>
          <w:hyperlink w:anchor="__RefHeading___Toc518036375">
            <w:r>
              <w:rPr>
                <w:rStyle w:val="IndexLink"/>
              </w:rPr>
              <w:t>388</w:t>
            </w:r>
          </w:hyperlink>
        </w:p>
        <w:p>
          <w:pPr>
            <w:pStyle w:val="Contents2"/>
            <w:rPr>
              <w:rFonts w:ascii="Calibri" w:hAnsi="Calibri" w:cs="Calibri"/>
              <w:sz w:val="22"/>
              <w:szCs w:val="22"/>
              <w:lang w:val="en-US" w:eastAsia="en-US"/>
            </w:rPr>
          </w:pPr>
          <w:r>
            <w:rPr/>
            <w:t>ZF.7.1</w:t>
          </w:r>
          <w:r>
            <w:rPr>
              <w:rFonts w:cs="Calibri" w:ascii="Calibri" w:hAnsi="Calibri"/>
              <w:sz w:val="22"/>
              <w:szCs w:val="22"/>
            </w:rPr>
            <w:tab/>
          </w:r>
          <w:r>
            <w:rPr>
              <w:lang w:val="en-US" w:eastAsia="en-US"/>
            </w:rPr>
            <w:t>GPRS/EGPRS</w:t>
          </w:r>
          <w:r>
            <w:rPr/>
            <w:tab/>
          </w:r>
          <w:hyperlink w:anchor="__RefHeading___Toc518036376">
            <w:r>
              <w:rPr>
                <w:rStyle w:val="IndexLink"/>
              </w:rPr>
              <w:t>388</w:t>
            </w:r>
          </w:hyperlink>
        </w:p>
        <w:p>
          <w:pPr>
            <w:pStyle w:val="Contents3"/>
            <w:rPr>
              <w:rFonts w:ascii="Calibri" w:hAnsi="Calibri" w:cs="Calibri"/>
              <w:sz w:val="22"/>
              <w:szCs w:val="22"/>
              <w:lang w:val="en-US" w:eastAsia="en-US"/>
            </w:rPr>
          </w:pPr>
          <w:r>
            <w:rPr/>
            <w:t>ZF.7.1.1</w:t>
          </w:r>
          <w:r>
            <w:rPr>
              <w:rFonts w:cs="Calibri" w:ascii="Calibri" w:hAnsi="Calibri"/>
              <w:sz w:val="22"/>
              <w:szCs w:val="22"/>
            </w:rPr>
            <w:tab/>
          </w:r>
          <w:r>
            <w:rPr>
              <w:lang w:val="en-US" w:eastAsia="en-US"/>
            </w:rPr>
            <w:t>Tdoc reference</w:t>
          </w:r>
          <w:r>
            <w:rPr/>
            <w:tab/>
          </w:r>
          <w:hyperlink w:anchor="__RefHeading___Toc518036377">
            <w:r>
              <w:rPr>
                <w:rStyle w:val="IndexLink"/>
              </w:rPr>
              <w:t>388</w:t>
            </w:r>
          </w:hyperlink>
        </w:p>
        <w:p>
          <w:pPr>
            <w:pStyle w:val="Contents3"/>
            <w:rPr>
              <w:rFonts w:ascii="Calibri" w:hAnsi="Calibri" w:cs="Calibri"/>
              <w:sz w:val="22"/>
              <w:szCs w:val="22"/>
              <w:lang w:val="en-US" w:eastAsia="en-US"/>
            </w:rPr>
          </w:pPr>
          <w:r>
            <w:rPr/>
            <w:t>ZF.7.1.2</w:t>
          </w:r>
          <w:r>
            <w:rPr>
              <w:rFonts w:cs="Calibri" w:ascii="Calibri" w:hAnsi="Calibri"/>
              <w:sz w:val="22"/>
              <w:szCs w:val="22"/>
            </w:rPr>
            <w:tab/>
          </w:r>
          <w:r>
            <w:rPr>
              <w:lang w:val="en-US" w:eastAsia="en-US"/>
            </w:rPr>
            <w:t>Assumptions</w:t>
          </w:r>
          <w:r>
            <w:rPr/>
            <w:tab/>
          </w:r>
          <w:hyperlink w:anchor="__RefHeading___Toc518036378">
            <w:r>
              <w:rPr>
                <w:rStyle w:val="IndexLink"/>
              </w:rPr>
              <w:t>388</w:t>
            </w:r>
          </w:hyperlink>
        </w:p>
        <w:p>
          <w:pPr>
            <w:pStyle w:val="Contents4"/>
            <w:rPr>
              <w:rFonts w:ascii="Calibri" w:hAnsi="Calibri" w:cs="Calibri"/>
              <w:sz w:val="22"/>
              <w:szCs w:val="22"/>
              <w:lang w:val="en-US" w:eastAsia="en-US"/>
            </w:rPr>
          </w:pPr>
          <w:r>
            <w:rPr/>
            <w:t>ZF.7.1.2.1</w:t>
          </w:r>
          <w:r>
            <w:rPr>
              <w:rFonts w:cs="Calibri" w:ascii="Calibri" w:hAnsi="Calibri"/>
              <w:sz w:val="22"/>
              <w:szCs w:val="22"/>
            </w:rPr>
            <w:tab/>
          </w:r>
          <w:r>
            <w:rPr>
              <w:lang w:val="en-US" w:eastAsia="en-US"/>
            </w:rPr>
            <w:t>Traffic generation</w:t>
          </w:r>
          <w:r>
            <w:rPr/>
            <w:tab/>
          </w:r>
          <w:hyperlink w:anchor="__RefHeading___Toc518036379">
            <w:r>
              <w:rPr>
                <w:rStyle w:val="IndexLink"/>
              </w:rPr>
              <w:t>388</w:t>
            </w:r>
          </w:hyperlink>
        </w:p>
        <w:p>
          <w:pPr>
            <w:pStyle w:val="Contents4"/>
            <w:rPr>
              <w:rFonts w:ascii="Calibri" w:hAnsi="Calibri" w:cs="Calibri"/>
              <w:sz w:val="22"/>
              <w:szCs w:val="22"/>
              <w:lang w:val="en-US" w:eastAsia="en-US"/>
            </w:rPr>
          </w:pPr>
          <w:r>
            <w:rPr/>
            <w:t>ZF.7.1.2.2</w:t>
          </w:r>
          <w:r>
            <w:rPr>
              <w:rFonts w:cs="Calibri" w:ascii="Calibri" w:hAnsi="Calibri"/>
              <w:sz w:val="22"/>
              <w:szCs w:val="22"/>
            </w:rPr>
            <w:tab/>
          </w:r>
          <w:r>
            <w:rPr>
              <w:lang w:val="en-US" w:eastAsia="en-US"/>
            </w:rPr>
            <w:t>RACH interference</w:t>
          </w:r>
          <w:r>
            <w:rPr/>
            <w:tab/>
          </w:r>
          <w:hyperlink w:anchor="__RefHeading___Toc518036380">
            <w:r>
              <w:rPr>
                <w:rStyle w:val="IndexLink"/>
              </w:rPr>
              <w:t>388</w:t>
            </w:r>
          </w:hyperlink>
        </w:p>
        <w:p>
          <w:pPr>
            <w:pStyle w:val="Contents4"/>
            <w:rPr>
              <w:rFonts w:ascii="Calibri" w:hAnsi="Calibri" w:cs="Calibri"/>
              <w:sz w:val="22"/>
              <w:szCs w:val="22"/>
              <w:lang w:val="en-US" w:eastAsia="en-US"/>
            </w:rPr>
          </w:pPr>
          <w:r>
            <w:rPr/>
            <w:t>ZF.7.1.2.3</w:t>
          </w:r>
          <w:r>
            <w:rPr>
              <w:rFonts w:cs="Calibri" w:ascii="Calibri" w:hAnsi="Calibri"/>
              <w:sz w:val="22"/>
              <w:szCs w:val="22"/>
            </w:rPr>
            <w:tab/>
          </w:r>
          <w:r>
            <w:rPr>
              <w:lang w:val="en-US" w:eastAsia="en-US"/>
            </w:rPr>
            <w:t>BCCH Power Savings</w:t>
          </w:r>
          <w:r>
            <w:rPr/>
            <w:tab/>
          </w:r>
          <w:hyperlink w:anchor="__RefHeading___Toc518036381">
            <w:r>
              <w:rPr>
                <w:rStyle w:val="IndexLink"/>
              </w:rPr>
              <w:t>389</w:t>
            </w:r>
          </w:hyperlink>
        </w:p>
        <w:p>
          <w:pPr>
            <w:pStyle w:val="Contents3"/>
            <w:rPr>
              <w:rFonts w:ascii="Calibri" w:hAnsi="Calibri" w:cs="Calibri"/>
              <w:sz w:val="22"/>
              <w:szCs w:val="22"/>
              <w:lang w:val="en-US" w:eastAsia="en-US"/>
            </w:rPr>
          </w:pPr>
          <w:r>
            <w:rPr/>
            <w:t>ZF.7.1.3</w:t>
          </w:r>
          <w:r>
            <w:rPr>
              <w:rFonts w:cs="Calibri" w:ascii="Calibri" w:hAnsi="Calibri"/>
              <w:sz w:val="22"/>
              <w:szCs w:val="22"/>
            </w:rPr>
            <w:tab/>
          </w:r>
          <w:r>
            <w:rPr>
              <w:lang w:val="en-US" w:eastAsia="en-US"/>
            </w:rPr>
            <w:t>Simulations</w:t>
          </w:r>
          <w:r>
            <w:rPr/>
            <w:tab/>
          </w:r>
          <w:hyperlink w:anchor="__RefHeading___Toc518036382">
            <w:r>
              <w:rPr>
                <w:rStyle w:val="IndexLink"/>
              </w:rPr>
              <w:t>389</w:t>
            </w:r>
          </w:hyperlink>
        </w:p>
        <w:p>
          <w:pPr>
            <w:pStyle w:val="Contents4"/>
            <w:rPr>
              <w:rFonts w:ascii="Calibri" w:hAnsi="Calibri" w:cs="Calibri"/>
              <w:sz w:val="22"/>
              <w:szCs w:val="22"/>
              <w:lang w:val="en-US" w:eastAsia="en-US"/>
            </w:rPr>
          </w:pPr>
          <w:r>
            <w:rPr/>
            <w:t>ZF.7.1.3.1</w:t>
          </w:r>
          <w:r>
            <w:rPr>
              <w:rFonts w:cs="Calibri" w:ascii="Calibri" w:hAnsi="Calibri"/>
              <w:sz w:val="22"/>
              <w:szCs w:val="22"/>
            </w:rPr>
            <w:tab/>
          </w:r>
          <w:r>
            <w:rPr>
              <w:lang w:val="en-US" w:eastAsia="en-US"/>
            </w:rPr>
            <w:t>Simulation assumptions</w:t>
          </w:r>
          <w:r>
            <w:rPr/>
            <w:tab/>
          </w:r>
          <w:hyperlink w:anchor="__RefHeading___Toc518036383">
            <w:r>
              <w:rPr>
                <w:rStyle w:val="IndexLink"/>
              </w:rPr>
              <w:t>389</w:t>
            </w:r>
          </w:hyperlink>
        </w:p>
        <w:p>
          <w:pPr>
            <w:pStyle w:val="Contents5"/>
            <w:rPr>
              <w:rFonts w:ascii="Calibri" w:hAnsi="Calibri" w:cs="Calibri"/>
              <w:sz w:val="22"/>
              <w:szCs w:val="22"/>
              <w:lang w:val="en-US" w:eastAsia="en-US"/>
            </w:rPr>
          </w:pPr>
          <w:r>
            <w:rPr/>
            <w:t>ZF.7.1.3.1.1</w:t>
          </w:r>
          <w:r>
            <w:rPr>
              <w:rFonts w:cs="Calibri" w:ascii="Calibri" w:hAnsi="Calibri"/>
              <w:sz w:val="22"/>
              <w:szCs w:val="22"/>
            </w:rPr>
            <w:tab/>
          </w:r>
          <w:r>
            <w:rPr>
              <w:lang w:val="en-US" w:eastAsia="en-US"/>
            </w:rPr>
            <w:t>System parameters</w:t>
          </w:r>
          <w:r>
            <w:rPr/>
            <w:tab/>
          </w:r>
          <w:hyperlink w:anchor="__RefHeading___Toc518036384">
            <w:r>
              <w:rPr>
                <w:rStyle w:val="IndexLink"/>
              </w:rPr>
              <w:t>390</w:t>
            </w:r>
          </w:hyperlink>
        </w:p>
        <w:p>
          <w:pPr>
            <w:pStyle w:val="Contents5"/>
            <w:rPr>
              <w:rFonts w:ascii="Calibri" w:hAnsi="Calibri" w:cs="Calibri"/>
              <w:sz w:val="22"/>
              <w:szCs w:val="22"/>
              <w:lang w:val="en-US" w:eastAsia="en-US"/>
            </w:rPr>
          </w:pPr>
          <w:r>
            <w:rPr/>
            <w:t>ZF.7.1.3.1.2</w:t>
          </w:r>
          <w:r>
            <w:rPr>
              <w:rFonts w:cs="Calibri" w:ascii="Calibri" w:hAnsi="Calibri"/>
              <w:sz w:val="22"/>
              <w:szCs w:val="22"/>
            </w:rPr>
            <w:tab/>
          </w:r>
          <w:r>
            <w:rPr>
              <w:lang w:val="en-US" w:eastAsia="en-US"/>
            </w:rPr>
            <w:t>Cell selection and coding scheme selection</w:t>
          </w:r>
          <w:r>
            <w:rPr/>
            <w:tab/>
          </w:r>
          <w:hyperlink w:anchor="__RefHeading___Toc518036385">
            <w:r>
              <w:rPr>
                <w:rStyle w:val="IndexLink"/>
              </w:rPr>
              <w:t>390</w:t>
            </w:r>
          </w:hyperlink>
        </w:p>
        <w:p>
          <w:pPr>
            <w:pStyle w:val="Contents5"/>
            <w:rPr>
              <w:rFonts w:ascii="Calibri" w:hAnsi="Calibri" w:cs="Calibri"/>
              <w:sz w:val="22"/>
              <w:szCs w:val="22"/>
              <w:lang w:val="en-US" w:eastAsia="en-US"/>
            </w:rPr>
          </w:pPr>
          <w:r>
            <w:rPr/>
            <w:t>ZF.7.1.3.1.3</w:t>
          </w:r>
          <w:r>
            <w:rPr>
              <w:rFonts w:cs="Calibri" w:ascii="Calibri" w:hAnsi="Calibri"/>
              <w:sz w:val="22"/>
              <w:szCs w:val="22"/>
            </w:rPr>
            <w:tab/>
          </w:r>
          <w:r>
            <w:rPr>
              <w:lang w:val="en-US" w:eastAsia="en-US"/>
            </w:rPr>
            <w:t>Control signaling</w:t>
          </w:r>
          <w:r>
            <w:rPr/>
            <w:tab/>
          </w:r>
          <w:hyperlink w:anchor="__RefHeading___Toc518036386">
            <w:r>
              <w:rPr>
                <w:rStyle w:val="IndexLink"/>
              </w:rPr>
              <w:t>390</w:t>
            </w:r>
          </w:hyperlink>
        </w:p>
        <w:p>
          <w:pPr>
            <w:pStyle w:val="Contents5"/>
            <w:rPr>
              <w:rFonts w:ascii="Calibri" w:hAnsi="Calibri" w:cs="Calibri"/>
              <w:sz w:val="22"/>
              <w:szCs w:val="22"/>
              <w:lang w:val="en-US" w:eastAsia="en-US"/>
            </w:rPr>
          </w:pPr>
          <w:r>
            <w:rPr/>
            <w:t>ZF.7.1.3.1.4</w:t>
          </w:r>
          <w:r>
            <w:rPr>
              <w:rFonts w:cs="Calibri" w:ascii="Calibri" w:hAnsi="Calibri"/>
              <w:sz w:val="22"/>
              <w:szCs w:val="22"/>
            </w:rPr>
            <w:tab/>
          </w:r>
          <w:r>
            <w:rPr>
              <w:lang w:val="en-US" w:eastAsia="en-US"/>
            </w:rPr>
            <w:t>Simulated scenarios</w:t>
          </w:r>
          <w:r>
            <w:rPr/>
            <w:tab/>
          </w:r>
          <w:hyperlink w:anchor="__RefHeading___Toc518036387">
            <w:r>
              <w:rPr>
                <w:rStyle w:val="IndexLink"/>
              </w:rPr>
              <w:t>391</w:t>
            </w:r>
          </w:hyperlink>
        </w:p>
        <w:p>
          <w:pPr>
            <w:pStyle w:val="Contents4"/>
            <w:rPr>
              <w:rFonts w:ascii="Calibri" w:hAnsi="Calibri" w:cs="Calibri"/>
              <w:sz w:val="22"/>
              <w:szCs w:val="22"/>
              <w:lang w:val="en-US" w:eastAsia="en-US"/>
            </w:rPr>
          </w:pPr>
          <w:r>
            <w:rPr/>
            <w:t>ZF.7.1.3.2</w:t>
          </w:r>
          <w:r>
            <w:rPr>
              <w:rFonts w:cs="Calibri" w:ascii="Calibri" w:hAnsi="Calibri"/>
              <w:sz w:val="22"/>
              <w:szCs w:val="22"/>
            </w:rPr>
            <w:tab/>
          </w:r>
          <w:r>
            <w:rPr>
              <w:lang w:val="en-US" w:eastAsia="en-US"/>
            </w:rPr>
            <w:t>Results</w:t>
          </w:r>
          <w:r>
            <w:rPr/>
            <w:tab/>
          </w:r>
          <w:hyperlink w:anchor="__RefHeading___Toc518036388">
            <w:r>
              <w:rPr>
                <w:rStyle w:val="IndexLink"/>
              </w:rPr>
              <w:t>391</w:t>
            </w:r>
          </w:hyperlink>
        </w:p>
        <w:p>
          <w:pPr>
            <w:pStyle w:val="Contents5"/>
            <w:rPr>
              <w:rFonts w:ascii="Calibri" w:hAnsi="Calibri" w:cs="Calibri"/>
              <w:sz w:val="22"/>
              <w:szCs w:val="22"/>
              <w:lang w:val="en-US" w:eastAsia="en-US"/>
            </w:rPr>
          </w:pPr>
          <w:r>
            <w:rPr/>
            <w:t>ZF.7.1.3.2.1</w:t>
          </w:r>
          <w:r>
            <w:rPr>
              <w:rFonts w:cs="Calibri" w:ascii="Calibri" w:hAnsi="Calibri"/>
              <w:sz w:val="22"/>
              <w:szCs w:val="22"/>
            </w:rPr>
            <w:tab/>
          </w:r>
          <w:r>
            <w:rPr>
              <w:lang w:val="en-US" w:eastAsia="en-US"/>
            </w:rPr>
            <w:t>Time Slot Usage</w:t>
          </w:r>
          <w:r>
            <w:rPr/>
            <w:tab/>
          </w:r>
          <w:hyperlink w:anchor="__RefHeading___Toc518036389">
            <w:r>
              <w:rPr>
                <w:rStyle w:val="IndexLink"/>
              </w:rPr>
              <w:t>391</w:t>
            </w:r>
          </w:hyperlink>
        </w:p>
        <w:p>
          <w:pPr>
            <w:pStyle w:val="Contents5"/>
            <w:rPr>
              <w:rFonts w:ascii="Calibri" w:hAnsi="Calibri" w:cs="Calibri"/>
              <w:sz w:val="22"/>
              <w:szCs w:val="22"/>
              <w:lang w:val="en-US" w:eastAsia="en-US"/>
            </w:rPr>
          </w:pPr>
          <w:r>
            <w:rPr/>
            <w:t>ZF.7.1.3.2.2</w:t>
          </w:r>
          <w:r>
            <w:rPr>
              <w:rFonts w:cs="Calibri" w:ascii="Calibri" w:hAnsi="Calibri"/>
              <w:sz w:val="22"/>
              <w:szCs w:val="22"/>
            </w:rPr>
            <w:tab/>
          </w:r>
          <w:r>
            <w:rPr>
              <w:lang w:val="en-US" w:eastAsia="en-US"/>
            </w:rPr>
            <w:t>Latency of Uplink Transmissions</w:t>
          </w:r>
          <w:r>
            <w:rPr/>
            <w:tab/>
          </w:r>
          <w:hyperlink w:anchor="__RefHeading___Toc518036390">
            <w:r>
              <w:rPr>
                <w:rStyle w:val="IndexLink"/>
              </w:rPr>
              <w:t>392</w:t>
            </w:r>
          </w:hyperlink>
        </w:p>
        <w:p>
          <w:pPr>
            <w:pStyle w:val="Contents5"/>
            <w:rPr>
              <w:rFonts w:ascii="Calibri" w:hAnsi="Calibri" w:cs="Calibri"/>
              <w:sz w:val="22"/>
              <w:szCs w:val="22"/>
              <w:lang w:val="en-US" w:eastAsia="en-US"/>
            </w:rPr>
          </w:pPr>
          <w:r>
            <w:rPr/>
            <w:t>ZF.7.1.3.2.3</w:t>
          </w:r>
          <w:r>
            <w:rPr>
              <w:rFonts w:cs="Calibri" w:ascii="Calibri" w:hAnsi="Calibri"/>
              <w:sz w:val="22"/>
              <w:szCs w:val="22"/>
            </w:rPr>
            <w:tab/>
          </w:r>
          <w:r>
            <w:rPr>
              <w:lang w:val="en-US" w:eastAsia="en-US"/>
            </w:rPr>
            <w:t>Latency of Downlink Transmissions</w:t>
          </w:r>
          <w:r>
            <w:rPr/>
            <w:tab/>
          </w:r>
          <w:hyperlink w:anchor="__RefHeading___Toc518036391">
            <w:r>
              <w:rPr>
                <w:rStyle w:val="IndexLink"/>
              </w:rPr>
              <w:t>392</w:t>
            </w:r>
          </w:hyperlink>
        </w:p>
        <w:p>
          <w:pPr>
            <w:pStyle w:val="Contents5"/>
            <w:rPr>
              <w:rFonts w:ascii="Calibri" w:hAnsi="Calibri" w:cs="Calibri"/>
              <w:sz w:val="22"/>
              <w:szCs w:val="22"/>
              <w:lang w:val="en-US" w:eastAsia="en-US"/>
            </w:rPr>
          </w:pPr>
          <w:r>
            <w:rPr/>
            <w:t>ZF.7.1.3.2.4</w:t>
          </w:r>
          <w:r>
            <w:rPr>
              <w:rFonts w:cs="Calibri" w:ascii="Calibri" w:hAnsi="Calibri"/>
              <w:sz w:val="22"/>
              <w:szCs w:val="22"/>
            </w:rPr>
            <w:tab/>
          </w:r>
          <w:r>
            <w:rPr>
              <w:lang w:val="en-US" w:eastAsia="en-US"/>
            </w:rPr>
            <w:t>Failed Attempts</w:t>
          </w:r>
          <w:r>
            <w:rPr/>
            <w:tab/>
          </w:r>
          <w:hyperlink w:anchor="__RefHeading___Toc518036392">
            <w:r>
              <w:rPr>
                <w:rStyle w:val="IndexLink"/>
              </w:rPr>
              <w:t>393</w:t>
            </w:r>
          </w:hyperlink>
        </w:p>
        <w:p>
          <w:pPr>
            <w:pStyle w:val="Contents5"/>
            <w:rPr>
              <w:rFonts w:ascii="Calibri" w:hAnsi="Calibri" w:cs="Calibri"/>
              <w:sz w:val="22"/>
              <w:szCs w:val="22"/>
              <w:lang w:val="en-US" w:eastAsia="en-US"/>
            </w:rPr>
          </w:pPr>
          <w:r>
            <w:rPr/>
            <w:t>ZF.7.1.3.2.5</w:t>
          </w:r>
          <w:r>
            <w:rPr>
              <w:rFonts w:cs="Calibri" w:ascii="Calibri" w:hAnsi="Calibri"/>
              <w:sz w:val="22"/>
              <w:szCs w:val="22"/>
            </w:rPr>
            <w:tab/>
          </w:r>
          <w:r>
            <w:rPr>
              <w:lang w:val="en-US" w:eastAsia="en-US"/>
            </w:rPr>
            <w:t>Capacity</w:t>
          </w:r>
          <w:r>
            <w:rPr/>
            <w:tab/>
          </w:r>
          <w:hyperlink w:anchor="__RefHeading___Toc518036393">
            <w:r>
              <w:rPr>
                <w:rStyle w:val="IndexLink"/>
              </w:rPr>
              <w:t>393</w:t>
            </w:r>
          </w:hyperlink>
        </w:p>
        <w:p>
          <w:pPr>
            <w:pStyle w:val="Contents3"/>
            <w:rPr>
              <w:rFonts w:ascii="Calibri" w:hAnsi="Calibri" w:cs="Calibri"/>
              <w:sz w:val="22"/>
              <w:szCs w:val="22"/>
              <w:lang w:val="en-US" w:eastAsia="en-US"/>
            </w:rPr>
          </w:pPr>
          <w:r>
            <w:rPr/>
            <w:t>ZF.7.1.4</w:t>
          </w:r>
          <w:r>
            <w:rPr>
              <w:rFonts w:cs="Calibri" w:ascii="Calibri" w:hAnsi="Calibri"/>
              <w:sz w:val="22"/>
              <w:szCs w:val="22"/>
            </w:rPr>
            <w:tab/>
          </w:r>
          <w:r>
            <w:rPr>
              <w:lang w:val="en-US" w:eastAsia="en-US"/>
            </w:rPr>
            <w:t>Discussion and conclusions</w:t>
          </w:r>
          <w:r>
            <w:rPr/>
            <w:tab/>
          </w:r>
          <w:hyperlink w:anchor="__RefHeading___Toc518036394">
            <w:r>
              <w:rPr>
                <w:rStyle w:val="IndexLink"/>
              </w:rPr>
              <w:t>393</w:t>
            </w:r>
          </w:hyperlink>
        </w:p>
        <w:p>
          <w:pPr>
            <w:pStyle w:val="Contents2"/>
            <w:rPr>
              <w:rFonts w:ascii="Calibri" w:hAnsi="Calibri" w:cs="Calibri"/>
              <w:sz w:val="22"/>
              <w:szCs w:val="22"/>
              <w:lang w:val="en-US" w:eastAsia="en-US"/>
            </w:rPr>
          </w:pPr>
          <w:r>
            <w:rPr/>
            <w:t>ZF.7.2</w:t>
          </w:r>
          <w:r>
            <w:rPr>
              <w:rFonts w:cs="Calibri" w:ascii="Calibri" w:hAnsi="Calibri"/>
              <w:sz w:val="22"/>
              <w:szCs w:val="22"/>
            </w:rPr>
            <w:tab/>
          </w:r>
          <w:r>
            <w:rPr>
              <w:lang w:val="en-US" w:eastAsia="en-US"/>
            </w:rPr>
            <w:t>EC-GSM-IoT</w:t>
          </w:r>
          <w:r>
            <w:rPr/>
            <w:tab/>
          </w:r>
          <w:hyperlink w:anchor="__RefHeading___Toc518036395">
            <w:r>
              <w:rPr>
                <w:rStyle w:val="IndexLink"/>
              </w:rPr>
              <w:t>393</w:t>
            </w:r>
          </w:hyperlink>
        </w:p>
        <w:p>
          <w:pPr>
            <w:pStyle w:val="Contents3"/>
            <w:rPr>
              <w:rFonts w:ascii="Calibri" w:hAnsi="Calibri" w:cs="Calibri"/>
              <w:sz w:val="22"/>
              <w:szCs w:val="22"/>
              <w:lang w:val="en-US" w:eastAsia="en-US"/>
            </w:rPr>
          </w:pPr>
          <w:r>
            <w:rPr/>
            <w:t>ZF.7.2.1</w:t>
          </w:r>
          <w:r>
            <w:rPr>
              <w:rFonts w:cs="Calibri" w:ascii="Calibri" w:hAnsi="Calibri"/>
              <w:sz w:val="22"/>
              <w:szCs w:val="22"/>
            </w:rPr>
            <w:tab/>
          </w:r>
          <w:r>
            <w:rPr>
              <w:lang w:val="en-US" w:eastAsia="en-US"/>
            </w:rPr>
            <w:t>Assumptions</w:t>
          </w:r>
          <w:r>
            <w:rPr/>
            <w:tab/>
          </w:r>
          <w:hyperlink w:anchor="__RefHeading___Toc518036396">
            <w:r>
              <w:rPr>
                <w:rStyle w:val="IndexLink"/>
              </w:rPr>
              <w:t>393</w:t>
            </w:r>
          </w:hyperlink>
        </w:p>
        <w:p>
          <w:pPr>
            <w:pStyle w:val="Contents4"/>
            <w:rPr>
              <w:rFonts w:ascii="Calibri" w:hAnsi="Calibri" w:cs="Calibri"/>
              <w:sz w:val="22"/>
              <w:szCs w:val="22"/>
              <w:lang w:val="en-US" w:eastAsia="en-US"/>
            </w:rPr>
          </w:pPr>
          <w:r>
            <w:rPr/>
            <w:t>ZF.7.2.1.1</w:t>
          </w:r>
          <w:r>
            <w:rPr>
              <w:rFonts w:cs="Calibri" w:ascii="Calibri" w:hAnsi="Calibri"/>
              <w:sz w:val="22"/>
              <w:szCs w:val="22"/>
            </w:rPr>
            <w:tab/>
          </w:r>
          <w:r>
            <w:rPr>
              <w:lang w:val="en-US" w:eastAsia="en-US"/>
            </w:rPr>
            <w:t>Traffic generation</w:t>
          </w:r>
          <w:r>
            <w:rPr/>
            <w:tab/>
          </w:r>
          <w:hyperlink w:anchor="__RefHeading___Toc518036397">
            <w:r>
              <w:rPr>
                <w:rStyle w:val="IndexLink"/>
              </w:rPr>
              <w:t>393</w:t>
            </w:r>
          </w:hyperlink>
        </w:p>
        <w:p>
          <w:pPr>
            <w:pStyle w:val="Contents4"/>
            <w:rPr>
              <w:rFonts w:ascii="Calibri" w:hAnsi="Calibri" w:cs="Calibri"/>
              <w:sz w:val="22"/>
              <w:szCs w:val="22"/>
              <w:lang w:val="en-US" w:eastAsia="en-US"/>
            </w:rPr>
          </w:pPr>
          <w:r>
            <w:rPr/>
            <w:t>ZF.7.2.1.2</w:t>
          </w:r>
          <w:r>
            <w:rPr>
              <w:rFonts w:cs="Calibri" w:ascii="Calibri" w:hAnsi="Calibri"/>
              <w:sz w:val="22"/>
              <w:szCs w:val="22"/>
            </w:rPr>
            <w:tab/>
          </w:r>
          <w:r>
            <w:rPr>
              <w:lang w:val="en-US" w:eastAsia="en-US"/>
            </w:rPr>
            <w:t>EC-RACH interference</w:t>
          </w:r>
          <w:r>
            <w:rPr/>
            <w:tab/>
          </w:r>
          <w:hyperlink w:anchor="__RefHeading___Toc518036398">
            <w:r>
              <w:rPr>
                <w:rStyle w:val="IndexLink"/>
              </w:rPr>
              <w:t>394</w:t>
            </w:r>
          </w:hyperlink>
        </w:p>
        <w:p>
          <w:pPr>
            <w:pStyle w:val="Contents4"/>
            <w:rPr>
              <w:rFonts w:ascii="Calibri" w:hAnsi="Calibri" w:cs="Calibri"/>
              <w:sz w:val="22"/>
              <w:szCs w:val="22"/>
              <w:lang w:val="en-US" w:eastAsia="en-US"/>
            </w:rPr>
          </w:pPr>
          <w:r>
            <w:rPr/>
            <w:t>ZF.7.2.1.3</w:t>
          </w:r>
          <w:r>
            <w:rPr>
              <w:rFonts w:cs="Calibri" w:ascii="Calibri" w:hAnsi="Calibri"/>
              <w:sz w:val="22"/>
              <w:szCs w:val="22"/>
            </w:rPr>
            <w:tab/>
          </w:r>
          <w:r>
            <w:rPr>
              <w:lang w:val="en-US" w:eastAsia="en-US"/>
            </w:rPr>
            <w:t>BCCH Power Savings</w:t>
          </w:r>
          <w:r>
            <w:rPr/>
            <w:tab/>
          </w:r>
          <w:hyperlink w:anchor="__RefHeading___Toc518036399">
            <w:r>
              <w:rPr>
                <w:rStyle w:val="IndexLink"/>
              </w:rPr>
              <w:t>394</w:t>
            </w:r>
          </w:hyperlink>
        </w:p>
        <w:p>
          <w:pPr>
            <w:pStyle w:val="Contents4"/>
            <w:rPr>
              <w:rFonts w:ascii="Calibri" w:hAnsi="Calibri" w:cs="Calibri"/>
              <w:sz w:val="22"/>
              <w:szCs w:val="22"/>
              <w:lang w:val="en-US" w:eastAsia="en-US"/>
            </w:rPr>
          </w:pPr>
          <w:r>
            <w:rPr/>
            <w:t>ZF.7.2.1.4</w:t>
          </w:r>
          <w:r>
            <w:rPr>
              <w:rFonts w:cs="Calibri" w:ascii="Calibri" w:hAnsi="Calibri"/>
              <w:sz w:val="22"/>
              <w:szCs w:val="22"/>
            </w:rPr>
            <w:tab/>
          </w:r>
          <w:r>
            <w:rPr>
              <w:lang w:val="en-US" w:eastAsia="en-US"/>
            </w:rPr>
            <w:t>Uplink Power Backoff</w:t>
          </w:r>
          <w:r>
            <w:rPr/>
            <w:tab/>
          </w:r>
          <w:hyperlink w:anchor="__RefHeading___Toc518036400">
            <w:r>
              <w:rPr>
                <w:rStyle w:val="IndexLink"/>
              </w:rPr>
              <w:t>394</w:t>
            </w:r>
          </w:hyperlink>
        </w:p>
        <w:p>
          <w:pPr>
            <w:pStyle w:val="Contents3"/>
            <w:rPr>
              <w:rFonts w:ascii="Calibri" w:hAnsi="Calibri" w:cs="Calibri"/>
              <w:sz w:val="22"/>
              <w:szCs w:val="22"/>
              <w:lang w:val="en-US" w:eastAsia="en-US"/>
            </w:rPr>
          </w:pPr>
          <w:r>
            <w:rPr/>
            <w:t>ZF.7.2.2</w:t>
          </w:r>
          <w:r>
            <w:rPr>
              <w:rFonts w:cs="Calibri" w:ascii="Calibri" w:hAnsi="Calibri"/>
              <w:sz w:val="22"/>
              <w:szCs w:val="22"/>
            </w:rPr>
            <w:tab/>
          </w:r>
          <w:r>
            <w:rPr>
              <w:lang w:val="en-US" w:eastAsia="en-US"/>
            </w:rPr>
            <w:t>Simulations</w:t>
          </w:r>
          <w:r>
            <w:rPr/>
            <w:tab/>
          </w:r>
          <w:hyperlink w:anchor="__RefHeading___Toc518036401">
            <w:r>
              <w:rPr>
                <w:rStyle w:val="IndexLink"/>
              </w:rPr>
              <w:t>394</w:t>
            </w:r>
          </w:hyperlink>
        </w:p>
        <w:p>
          <w:pPr>
            <w:pStyle w:val="Contents4"/>
            <w:rPr>
              <w:rFonts w:ascii="Calibri" w:hAnsi="Calibri" w:cs="Calibri"/>
              <w:sz w:val="22"/>
              <w:szCs w:val="22"/>
              <w:lang w:val="en-US" w:eastAsia="en-US"/>
            </w:rPr>
          </w:pPr>
          <w:r>
            <w:rPr/>
            <w:t>ZF.7.2.2.1</w:t>
          </w:r>
          <w:r>
            <w:rPr>
              <w:rFonts w:cs="Calibri" w:ascii="Calibri" w:hAnsi="Calibri"/>
              <w:sz w:val="22"/>
              <w:szCs w:val="22"/>
            </w:rPr>
            <w:tab/>
          </w:r>
          <w:r>
            <w:rPr>
              <w:lang w:val="en-US" w:eastAsia="en-US"/>
            </w:rPr>
            <w:t>Simulation assumptions</w:t>
          </w:r>
          <w:r>
            <w:rPr/>
            <w:tab/>
          </w:r>
          <w:hyperlink w:anchor="__RefHeading___Toc518036402">
            <w:r>
              <w:rPr>
                <w:rStyle w:val="IndexLink"/>
              </w:rPr>
              <w:t>394</w:t>
            </w:r>
          </w:hyperlink>
        </w:p>
        <w:p>
          <w:pPr>
            <w:pStyle w:val="Contents5"/>
            <w:rPr>
              <w:rFonts w:ascii="Calibri" w:hAnsi="Calibri" w:cs="Calibri"/>
              <w:sz w:val="22"/>
              <w:szCs w:val="22"/>
              <w:lang w:val="en-US" w:eastAsia="en-US"/>
            </w:rPr>
          </w:pPr>
          <w:r>
            <w:rPr/>
            <w:t>ZF.7.2.2.1.1</w:t>
          </w:r>
          <w:r>
            <w:rPr>
              <w:rFonts w:cs="Calibri" w:ascii="Calibri" w:hAnsi="Calibri"/>
              <w:sz w:val="22"/>
              <w:szCs w:val="22"/>
            </w:rPr>
            <w:tab/>
          </w:r>
          <w:r>
            <w:rPr>
              <w:lang w:val="en-US" w:eastAsia="en-US"/>
            </w:rPr>
            <w:t>System parameters</w:t>
          </w:r>
          <w:r>
            <w:rPr/>
            <w:tab/>
          </w:r>
          <w:hyperlink w:anchor="__RefHeading___Toc518036403">
            <w:r>
              <w:rPr>
                <w:rStyle w:val="IndexLink"/>
              </w:rPr>
              <w:t>395</w:t>
            </w:r>
          </w:hyperlink>
        </w:p>
        <w:p>
          <w:pPr>
            <w:pStyle w:val="Contents5"/>
            <w:rPr>
              <w:rFonts w:ascii="Calibri" w:hAnsi="Calibri" w:cs="Calibri"/>
              <w:sz w:val="22"/>
              <w:szCs w:val="22"/>
              <w:lang w:val="en-US" w:eastAsia="en-US"/>
            </w:rPr>
          </w:pPr>
          <w:r>
            <w:rPr/>
            <w:t>ZF.7.2.2.1.2</w:t>
          </w:r>
          <w:r>
            <w:rPr>
              <w:rFonts w:cs="Calibri" w:ascii="Calibri" w:hAnsi="Calibri"/>
              <w:sz w:val="22"/>
              <w:szCs w:val="22"/>
            </w:rPr>
            <w:tab/>
          </w:r>
          <w:r>
            <w:rPr>
              <w:lang w:val="en-US" w:eastAsia="en-US"/>
            </w:rPr>
            <w:t>Cell selection and uplink coverage class selection</w:t>
          </w:r>
          <w:r>
            <w:rPr/>
            <w:tab/>
          </w:r>
          <w:hyperlink w:anchor="__RefHeading___Toc518036404">
            <w:r>
              <w:rPr>
                <w:rStyle w:val="IndexLink"/>
              </w:rPr>
              <w:t>395</w:t>
            </w:r>
          </w:hyperlink>
        </w:p>
        <w:p>
          <w:pPr>
            <w:pStyle w:val="Contents5"/>
            <w:rPr>
              <w:rFonts w:ascii="Calibri" w:hAnsi="Calibri" w:cs="Calibri"/>
              <w:sz w:val="22"/>
              <w:szCs w:val="22"/>
              <w:lang w:val="en-US" w:eastAsia="en-US"/>
            </w:rPr>
          </w:pPr>
          <w:r>
            <w:rPr/>
            <w:t>ZF.7.2.2.1.3</w:t>
          </w:r>
          <w:r>
            <w:rPr>
              <w:rFonts w:cs="Calibri" w:ascii="Calibri" w:hAnsi="Calibri"/>
              <w:sz w:val="22"/>
              <w:szCs w:val="22"/>
            </w:rPr>
            <w:tab/>
          </w:r>
          <w:r>
            <w:rPr>
              <w:lang w:val="en-US" w:eastAsia="en-US"/>
            </w:rPr>
            <w:t>Downlink coverage class selection and coding scheme selection</w:t>
          </w:r>
          <w:r>
            <w:rPr/>
            <w:tab/>
          </w:r>
          <w:hyperlink w:anchor="__RefHeading___Toc518036405">
            <w:r>
              <w:rPr>
                <w:rStyle w:val="IndexLink"/>
              </w:rPr>
              <w:t>396</w:t>
            </w:r>
          </w:hyperlink>
        </w:p>
        <w:p>
          <w:pPr>
            <w:pStyle w:val="Contents5"/>
            <w:rPr>
              <w:rFonts w:ascii="Calibri" w:hAnsi="Calibri" w:cs="Calibri"/>
              <w:sz w:val="22"/>
              <w:szCs w:val="22"/>
              <w:lang w:val="en-US" w:eastAsia="en-US"/>
            </w:rPr>
          </w:pPr>
          <w:r>
            <w:rPr/>
            <w:t>ZF.7.2.2.1.4</w:t>
          </w:r>
          <w:r>
            <w:rPr>
              <w:rFonts w:cs="Calibri" w:ascii="Calibri" w:hAnsi="Calibri"/>
              <w:sz w:val="22"/>
              <w:szCs w:val="22"/>
            </w:rPr>
            <w:tab/>
          </w:r>
          <w:r>
            <w:rPr>
              <w:lang w:val="en-US" w:eastAsia="en-US"/>
            </w:rPr>
            <w:t>Control signaling</w:t>
          </w:r>
          <w:r>
            <w:rPr/>
            <w:tab/>
          </w:r>
          <w:hyperlink w:anchor="__RefHeading___Toc518036406">
            <w:r>
              <w:rPr>
                <w:rStyle w:val="IndexLink"/>
              </w:rPr>
              <w:t>396</w:t>
            </w:r>
          </w:hyperlink>
        </w:p>
        <w:p>
          <w:pPr>
            <w:pStyle w:val="Contents5"/>
            <w:rPr>
              <w:rFonts w:ascii="Calibri" w:hAnsi="Calibri" w:cs="Calibri"/>
              <w:sz w:val="22"/>
              <w:szCs w:val="22"/>
              <w:lang w:val="en-US" w:eastAsia="en-US"/>
            </w:rPr>
          </w:pPr>
          <w:r>
            <w:rPr/>
            <w:t>ZF.7.2.2.1.5</w:t>
          </w:r>
          <w:r>
            <w:rPr>
              <w:rFonts w:cs="Calibri" w:ascii="Calibri" w:hAnsi="Calibri"/>
              <w:sz w:val="22"/>
              <w:szCs w:val="22"/>
            </w:rPr>
            <w:tab/>
          </w:r>
          <w:r>
            <w:rPr>
              <w:lang w:val="en-US" w:eastAsia="en-US"/>
            </w:rPr>
            <w:t>Simulated scenarios</w:t>
          </w:r>
          <w:r>
            <w:rPr/>
            <w:tab/>
          </w:r>
          <w:hyperlink w:anchor="__RefHeading___Toc518036407">
            <w:r>
              <w:rPr>
                <w:rStyle w:val="IndexLink"/>
              </w:rPr>
              <w:t>396</w:t>
            </w:r>
          </w:hyperlink>
        </w:p>
        <w:p>
          <w:pPr>
            <w:pStyle w:val="Contents4"/>
            <w:rPr>
              <w:rFonts w:ascii="Calibri" w:hAnsi="Calibri" w:cs="Calibri"/>
              <w:sz w:val="22"/>
              <w:szCs w:val="22"/>
              <w:lang w:val="en-US" w:eastAsia="en-US"/>
            </w:rPr>
          </w:pPr>
          <w:r>
            <w:rPr/>
            <w:t>ZF.7.2.2.2</w:t>
          </w:r>
          <w:r>
            <w:rPr>
              <w:rFonts w:cs="Calibri" w:ascii="Calibri" w:hAnsi="Calibri"/>
              <w:sz w:val="22"/>
              <w:szCs w:val="22"/>
            </w:rPr>
            <w:tab/>
          </w:r>
          <w:r>
            <w:rPr>
              <w:lang w:val="en-US" w:eastAsia="en-US"/>
            </w:rPr>
            <w:t>Results</w:t>
          </w:r>
          <w:r>
            <w:rPr/>
            <w:tab/>
          </w:r>
          <w:hyperlink w:anchor="__RefHeading___Toc518036408">
            <w:r>
              <w:rPr>
                <w:rStyle w:val="IndexLink"/>
              </w:rPr>
              <w:t>396</w:t>
            </w:r>
          </w:hyperlink>
        </w:p>
        <w:p>
          <w:pPr>
            <w:pStyle w:val="Contents5"/>
            <w:rPr>
              <w:rFonts w:ascii="Calibri" w:hAnsi="Calibri" w:cs="Calibri"/>
              <w:sz w:val="22"/>
              <w:szCs w:val="22"/>
              <w:lang w:val="en-US" w:eastAsia="en-US"/>
            </w:rPr>
          </w:pPr>
          <w:r>
            <w:rPr/>
            <w:t>ZF.7.2.2.2.1</w:t>
          </w:r>
          <w:r>
            <w:rPr>
              <w:rFonts w:cs="Calibri" w:ascii="Calibri" w:hAnsi="Calibri"/>
              <w:sz w:val="22"/>
              <w:szCs w:val="22"/>
            </w:rPr>
            <w:tab/>
          </w:r>
          <w:r>
            <w:rPr>
              <w:lang w:val="en-US" w:eastAsia="en-US"/>
            </w:rPr>
            <w:t>TS Usage</w:t>
          </w:r>
          <w:r>
            <w:rPr/>
            <w:tab/>
          </w:r>
          <w:hyperlink w:anchor="__RefHeading___Toc518036409">
            <w:r>
              <w:rPr>
                <w:rStyle w:val="IndexLink"/>
              </w:rPr>
              <w:t>397</w:t>
            </w:r>
          </w:hyperlink>
        </w:p>
        <w:p>
          <w:pPr>
            <w:pStyle w:val="Contents5"/>
            <w:rPr>
              <w:rFonts w:ascii="Calibri" w:hAnsi="Calibri" w:cs="Calibri"/>
              <w:sz w:val="22"/>
              <w:szCs w:val="22"/>
              <w:lang w:val="en-US" w:eastAsia="en-US"/>
            </w:rPr>
          </w:pPr>
          <w:r>
            <w:rPr/>
            <w:t>ZF.7.2.2.2.2</w:t>
          </w:r>
          <w:r>
            <w:rPr>
              <w:rFonts w:cs="Calibri" w:ascii="Calibri" w:hAnsi="Calibri"/>
              <w:sz w:val="22"/>
              <w:szCs w:val="22"/>
            </w:rPr>
            <w:tab/>
          </w:r>
          <w:r>
            <w:rPr>
              <w:lang w:val="en-US" w:eastAsia="en-US"/>
            </w:rPr>
            <w:t>Latency of MAR periodic reports</w:t>
          </w:r>
          <w:r>
            <w:rPr/>
            <w:tab/>
          </w:r>
          <w:hyperlink w:anchor="__RefHeading___Toc518036410">
            <w:r>
              <w:rPr>
                <w:rStyle w:val="IndexLink"/>
              </w:rPr>
              <w:t>398</w:t>
            </w:r>
          </w:hyperlink>
        </w:p>
        <w:p>
          <w:pPr>
            <w:pStyle w:val="Contents5"/>
            <w:rPr>
              <w:rFonts w:ascii="Calibri" w:hAnsi="Calibri" w:cs="Calibri"/>
              <w:sz w:val="22"/>
              <w:szCs w:val="22"/>
              <w:lang w:val="en-US" w:eastAsia="en-US"/>
            </w:rPr>
          </w:pPr>
          <w:r>
            <w:rPr/>
            <w:t>ZF.7.2.2.2.3</w:t>
          </w:r>
          <w:r>
            <w:rPr>
              <w:rFonts w:cs="Calibri" w:ascii="Calibri" w:hAnsi="Calibri"/>
              <w:sz w:val="22"/>
              <w:szCs w:val="22"/>
            </w:rPr>
            <w:tab/>
          </w:r>
          <w:r>
            <w:rPr>
              <w:lang w:val="en-US" w:eastAsia="en-US"/>
            </w:rPr>
            <w:t>Latency of Downlink Application Ack</w:t>
          </w:r>
          <w:r>
            <w:rPr/>
            <w:tab/>
          </w:r>
          <w:hyperlink w:anchor="__RefHeading___Toc518036411">
            <w:r>
              <w:rPr>
                <w:rStyle w:val="IndexLink"/>
              </w:rPr>
              <w:t>398</w:t>
            </w:r>
          </w:hyperlink>
        </w:p>
        <w:p>
          <w:pPr>
            <w:pStyle w:val="Contents5"/>
            <w:rPr>
              <w:rFonts w:ascii="Calibri" w:hAnsi="Calibri" w:cs="Calibri"/>
              <w:sz w:val="22"/>
              <w:szCs w:val="22"/>
              <w:lang w:val="en-US" w:eastAsia="en-US"/>
            </w:rPr>
          </w:pPr>
          <w:r>
            <w:rPr/>
            <w:t>ZF.7.2.2.2.4</w:t>
          </w:r>
          <w:r>
            <w:rPr>
              <w:rFonts w:cs="Calibri" w:ascii="Calibri" w:hAnsi="Calibri"/>
              <w:sz w:val="22"/>
              <w:szCs w:val="22"/>
            </w:rPr>
            <w:tab/>
          </w:r>
          <w:r>
            <w:rPr>
              <w:lang w:val="en-US" w:eastAsia="en-US"/>
            </w:rPr>
            <w:t>Failed Attempts</w:t>
          </w:r>
          <w:r>
            <w:rPr/>
            <w:tab/>
          </w:r>
          <w:hyperlink w:anchor="__RefHeading___Toc518036412">
            <w:r>
              <w:rPr>
                <w:rStyle w:val="IndexLink"/>
              </w:rPr>
              <w:t>398</w:t>
            </w:r>
          </w:hyperlink>
        </w:p>
        <w:p>
          <w:pPr>
            <w:pStyle w:val="Contents5"/>
            <w:rPr>
              <w:rFonts w:ascii="Calibri" w:hAnsi="Calibri" w:cs="Calibri"/>
              <w:sz w:val="22"/>
              <w:szCs w:val="22"/>
              <w:lang w:val="en-US" w:eastAsia="en-US"/>
            </w:rPr>
          </w:pPr>
          <w:r>
            <w:rPr/>
            <w:t>ZF.7.2.2.2.5</w:t>
          </w:r>
          <w:r>
            <w:rPr>
              <w:rFonts w:cs="Calibri" w:ascii="Calibri" w:hAnsi="Calibri"/>
              <w:sz w:val="22"/>
              <w:szCs w:val="22"/>
            </w:rPr>
            <w:tab/>
          </w:r>
          <w:r>
            <w:rPr>
              <w:lang w:val="en-US" w:eastAsia="en-US"/>
            </w:rPr>
            <w:t>Capacity</w:t>
          </w:r>
          <w:r>
            <w:rPr/>
            <w:tab/>
          </w:r>
          <w:hyperlink w:anchor="__RefHeading___Toc518036413">
            <w:r>
              <w:rPr>
                <w:rStyle w:val="IndexLink"/>
              </w:rPr>
              <w:t>398</w:t>
            </w:r>
          </w:hyperlink>
        </w:p>
        <w:p>
          <w:pPr>
            <w:pStyle w:val="Contents4"/>
            <w:rPr>
              <w:rFonts w:ascii="Calibri" w:hAnsi="Calibri" w:cs="Calibri"/>
              <w:sz w:val="22"/>
              <w:szCs w:val="22"/>
              <w:lang w:val="en-US" w:eastAsia="en-US"/>
            </w:rPr>
          </w:pPr>
          <w:r>
            <w:rPr/>
            <w:t>ZF.7.2.2.3</w:t>
          </w:r>
          <w:r>
            <w:rPr>
              <w:rFonts w:cs="Calibri" w:ascii="Calibri" w:hAnsi="Calibri"/>
              <w:sz w:val="22"/>
              <w:szCs w:val="22"/>
            </w:rPr>
            <w:tab/>
          </w:r>
          <w:r>
            <w:rPr>
              <w:lang w:val="en-US" w:eastAsia="en-US"/>
            </w:rPr>
            <w:t>DL and UL Coverage Class Distribution</w:t>
          </w:r>
          <w:r>
            <w:rPr/>
            <w:tab/>
          </w:r>
          <w:hyperlink w:anchor="__RefHeading___Toc518036414">
            <w:r>
              <w:rPr>
                <w:rStyle w:val="IndexLink"/>
              </w:rPr>
              <w:t>399</w:t>
            </w:r>
          </w:hyperlink>
        </w:p>
        <w:p>
          <w:pPr>
            <w:pStyle w:val="Contents3"/>
            <w:rPr>
              <w:rFonts w:ascii="Calibri" w:hAnsi="Calibri" w:cs="Calibri"/>
              <w:sz w:val="22"/>
              <w:szCs w:val="22"/>
              <w:lang w:val="en-US" w:eastAsia="en-US"/>
            </w:rPr>
          </w:pPr>
          <w:r>
            <w:rPr/>
            <w:t>ZF.7.2.3</w:t>
          </w:r>
          <w:r>
            <w:rPr>
              <w:rFonts w:cs="Calibri" w:ascii="Calibri" w:hAnsi="Calibri"/>
              <w:sz w:val="22"/>
              <w:szCs w:val="22"/>
            </w:rPr>
            <w:tab/>
          </w:r>
          <w:r>
            <w:rPr>
              <w:lang w:val="en-US" w:eastAsia="en-US"/>
            </w:rPr>
            <w:t>Discussion and conclusions</w:t>
          </w:r>
          <w:r>
            <w:rPr/>
            <w:tab/>
          </w:r>
          <w:hyperlink w:anchor="__RefHeading___Toc518036415">
            <w:r>
              <w:rPr>
                <w:rStyle w:val="IndexLink"/>
              </w:rPr>
              <w:t>400</w:t>
            </w:r>
          </w:hyperlink>
        </w:p>
        <w:p>
          <w:pPr>
            <w:pStyle w:val="Contents4"/>
            <w:rPr>
              <w:rFonts w:ascii="Calibri" w:hAnsi="Calibri" w:cs="Calibri"/>
              <w:sz w:val="22"/>
              <w:szCs w:val="22"/>
              <w:lang w:val="en-US" w:eastAsia="en-US"/>
            </w:rPr>
          </w:pPr>
          <w:r>
            <w:rPr/>
            <w:t>ZF.7.2.3.1</w:t>
          </w:r>
          <w:r>
            <w:rPr>
              <w:rFonts w:cs="Calibri" w:ascii="Calibri" w:hAnsi="Calibri"/>
              <w:sz w:val="22"/>
              <w:szCs w:val="22"/>
            </w:rPr>
            <w:tab/>
          </w:r>
          <w:r>
            <w:rPr>
              <w:lang w:val="en-US" w:eastAsia="en-US"/>
            </w:rPr>
            <w:t>Impact from frequency re-use</w:t>
          </w:r>
          <w:r>
            <w:rPr/>
            <w:tab/>
          </w:r>
          <w:hyperlink w:anchor="__RefHeading___Toc518036416">
            <w:r>
              <w:rPr>
                <w:rStyle w:val="IndexLink"/>
              </w:rPr>
              <w:t>400</w:t>
            </w:r>
          </w:hyperlink>
        </w:p>
        <w:p>
          <w:pPr>
            <w:pStyle w:val="Contents4"/>
            <w:rPr>
              <w:rFonts w:ascii="Calibri" w:hAnsi="Calibri" w:cs="Calibri"/>
              <w:sz w:val="22"/>
              <w:szCs w:val="22"/>
              <w:lang w:val="en-US" w:eastAsia="en-US"/>
            </w:rPr>
          </w:pPr>
          <w:r>
            <w:rPr/>
            <w:t>ZF.7.2.3.2</w:t>
          </w:r>
          <w:r>
            <w:rPr>
              <w:rFonts w:cs="Calibri" w:ascii="Calibri" w:hAnsi="Calibri"/>
              <w:sz w:val="22"/>
              <w:szCs w:val="22"/>
            </w:rPr>
            <w:tab/>
          </w:r>
          <w:r>
            <w:rPr>
              <w:lang w:val="en-US" w:eastAsia="en-US"/>
            </w:rPr>
            <w:t>SINR vs carrier based measurements</w:t>
          </w:r>
          <w:r>
            <w:rPr/>
            <w:tab/>
          </w:r>
          <w:hyperlink w:anchor="__RefHeading___Toc518036417">
            <w:r>
              <w:rPr>
                <w:rStyle w:val="IndexLink"/>
              </w:rPr>
              <w:t>400</w:t>
            </w:r>
          </w:hyperlink>
        </w:p>
        <w:p>
          <w:pPr>
            <w:pStyle w:val="Contents5"/>
            <w:rPr>
              <w:rFonts w:ascii="Calibri" w:hAnsi="Calibri" w:cs="Calibri"/>
              <w:sz w:val="22"/>
              <w:szCs w:val="22"/>
              <w:lang w:val="en-US" w:eastAsia="en-US"/>
            </w:rPr>
          </w:pPr>
          <w:r>
            <w:rPr/>
            <w:t>ZF.7.2.3.2.1</w:t>
          </w:r>
          <w:r>
            <w:rPr>
              <w:rFonts w:cs="Calibri" w:ascii="Calibri" w:hAnsi="Calibri"/>
              <w:sz w:val="22"/>
              <w:szCs w:val="22"/>
            </w:rPr>
            <w:tab/>
          </w:r>
          <w:r>
            <w:rPr>
              <w:lang w:val="en-US" w:eastAsia="en-US"/>
            </w:rPr>
            <w:t>General</w:t>
          </w:r>
          <w:r>
            <w:rPr/>
            <w:tab/>
          </w:r>
          <w:hyperlink w:anchor="__RefHeading___Toc518036418">
            <w:r>
              <w:rPr>
                <w:rStyle w:val="IndexLink"/>
              </w:rPr>
              <w:t>400</w:t>
            </w:r>
          </w:hyperlink>
        </w:p>
        <w:p>
          <w:pPr>
            <w:pStyle w:val="Contents5"/>
            <w:rPr>
              <w:rFonts w:ascii="Calibri" w:hAnsi="Calibri" w:cs="Calibri"/>
              <w:sz w:val="22"/>
              <w:szCs w:val="22"/>
              <w:lang w:val="en-US" w:eastAsia="en-US"/>
            </w:rPr>
          </w:pPr>
          <w:r>
            <w:rPr/>
            <w:t>ZF.7.2.3.2.2</w:t>
          </w:r>
          <w:r>
            <w:rPr>
              <w:rFonts w:cs="Calibri" w:ascii="Calibri" w:hAnsi="Calibri"/>
              <w:sz w:val="22"/>
              <w:szCs w:val="22"/>
            </w:rPr>
            <w:tab/>
          </w:r>
          <w:r>
            <w:rPr>
              <w:lang w:val="en-US" w:eastAsia="en-US"/>
            </w:rPr>
            <w:t>Coverage class distribution</w:t>
          </w:r>
          <w:r>
            <w:rPr/>
            <w:tab/>
          </w:r>
          <w:hyperlink w:anchor="__RefHeading___Toc518036419">
            <w:r>
              <w:rPr>
                <w:rStyle w:val="IndexLink"/>
              </w:rPr>
              <w:t>400</w:t>
            </w:r>
          </w:hyperlink>
        </w:p>
        <w:p>
          <w:pPr>
            <w:pStyle w:val="Contents5"/>
            <w:rPr>
              <w:rFonts w:ascii="Calibri" w:hAnsi="Calibri" w:cs="Calibri"/>
              <w:sz w:val="22"/>
              <w:szCs w:val="22"/>
              <w:lang w:val="en-US" w:eastAsia="en-US"/>
            </w:rPr>
          </w:pPr>
          <w:r>
            <w:rPr/>
            <w:t>ZF.7.2.3.2.3</w:t>
          </w:r>
          <w:r>
            <w:rPr>
              <w:rFonts w:cs="Calibri" w:ascii="Calibri" w:hAnsi="Calibri"/>
              <w:sz w:val="22"/>
              <w:szCs w:val="22"/>
            </w:rPr>
            <w:tab/>
          </w:r>
          <w:r>
            <w:rPr>
              <w:lang w:val="en-US" w:eastAsia="en-US"/>
            </w:rPr>
            <w:t>BLER</w:t>
          </w:r>
          <w:r>
            <w:rPr/>
            <w:tab/>
          </w:r>
          <w:hyperlink w:anchor="__RefHeading___Toc518036420">
            <w:r>
              <w:rPr>
                <w:rStyle w:val="IndexLink"/>
              </w:rPr>
              <w:t>401</w:t>
            </w:r>
          </w:hyperlink>
        </w:p>
        <w:p>
          <w:pPr>
            <w:pStyle w:val="Contents3"/>
            <w:rPr>
              <w:rFonts w:ascii="Calibri" w:hAnsi="Calibri" w:cs="Calibri"/>
              <w:sz w:val="22"/>
              <w:szCs w:val="22"/>
              <w:lang w:val="en-US" w:eastAsia="en-US"/>
            </w:rPr>
          </w:pPr>
          <w:r>
            <w:rPr/>
            <w:t>ZF.7.2.4</w:t>
          </w:r>
          <w:r>
            <w:rPr>
              <w:rFonts w:cs="Calibri" w:ascii="Calibri" w:hAnsi="Calibri"/>
              <w:sz w:val="22"/>
              <w:szCs w:val="22"/>
            </w:rPr>
            <w:tab/>
          </w:r>
          <w:r>
            <w:rPr>
              <w:lang w:val="en-US" w:eastAsia="en-US"/>
            </w:rPr>
            <w:t>Conclusion</w:t>
          </w:r>
          <w:r>
            <w:rPr/>
            <w:tab/>
          </w:r>
          <w:hyperlink w:anchor="__RefHeading___Toc518036421">
            <w:r>
              <w:rPr>
                <w:rStyle w:val="IndexLink"/>
              </w:rPr>
              <w:t>402</w:t>
            </w:r>
          </w:hyperlink>
        </w:p>
        <w:p>
          <w:pPr>
            <w:pStyle w:val="Contents1"/>
            <w:rPr>
              <w:rFonts w:ascii="Calibri" w:hAnsi="Calibri" w:cs="Calibri"/>
              <w:szCs w:val="22"/>
              <w:lang w:val="en-US" w:eastAsia="en-US"/>
            </w:rPr>
          </w:pPr>
          <w:r>
            <w:rPr/>
            <w:t>ZF.8</w:t>
          </w:r>
          <w:r>
            <w:rPr>
              <w:rFonts w:cs="Calibri" w:ascii="Calibri" w:hAnsi="Calibri"/>
              <w:szCs w:val="22"/>
            </w:rPr>
            <w:tab/>
          </w:r>
          <w:r>
            <w:rPr/>
            <w:t>Traffic model for legacy GPRS MTC</w:t>
            <w:tab/>
          </w:r>
          <w:hyperlink w:anchor="__RefHeading___Toc518036422">
            <w:r>
              <w:rPr>
                <w:rStyle w:val="IndexLink"/>
              </w:rPr>
              <w:t>402</w:t>
            </w:r>
          </w:hyperlink>
        </w:p>
        <w:p>
          <w:pPr>
            <w:pStyle w:val="Contents2"/>
            <w:rPr>
              <w:rFonts w:ascii="Calibri" w:hAnsi="Calibri" w:cs="Calibri"/>
              <w:sz w:val="22"/>
              <w:szCs w:val="22"/>
              <w:lang w:val="en-US" w:eastAsia="en-US"/>
            </w:rPr>
          </w:pPr>
          <w:r>
            <w:rPr/>
            <w:t>ZF.8.1</w:t>
          </w:r>
          <w:r>
            <w:rPr>
              <w:rFonts w:cs="Calibri" w:ascii="Calibri" w:hAnsi="Calibri"/>
              <w:sz w:val="22"/>
              <w:szCs w:val="22"/>
              <w:lang w:val="en-US" w:eastAsia="en-US"/>
            </w:rPr>
            <w:tab/>
          </w:r>
          <w:r>
            <w:rPr/>
            <w:t>Tdoc reference</w:t>
            <w:tab/>
          </w:r>
          <w:hyperlink w:anchor="__RefHeading___Toc518036423">
            <w:r>
              <w:rPr>
                <w:rStyle w:val="IndexLink"/>
              </w:rPr>
              <w:t>402</w:t>
            </w:r>
          </w:hyperlink>
        </w:p>
        <w:p>
          <w:pPr>
            <w:pStyle w:val="Contents2"/>
            <w:rPr>
              <w:rFonts w:ascii="Calibri" w:hAnsi="Calibri" w:cs="Calibri"/>
              <w:sz w:val="22"/>
              <w:szCs w:val="22"/>
              <w:lang w:val="en-US" w:eastAsia="en-US"/>
            </w:rPr>
          </w:pPr>
          <w:r>
            <w:rPr/>
            <w:t>ZF.8.2</w:t>
          </w:r>
          <w:r>
            <w:rPr>
              <w:rFonts w:cs="Calibri" w:ascii="Calibri" w:hAnsi="Calibri"/>
              <w:sz w:val="22"/>
              <w:szCs w:val="22"/>
              <w:lang w:val="en-US" w:eastAsia="en-US"/>
            </w:rPr>
            <w:tab/>
          </w:r>
          <w:r>
            <w:rPr>
              <w:lang w:val="en-US" w:eastAsia="en-US"/>
            </w:rPr>
            <w:t>Legacy GRPS MTC uses cases and scenarios</w:t>
          </w:r>
          <w:r>
            <w:rPr/>
            <w:tab/>
          </w:r>
          <w:hyperlink w:anchor="__RefHeading___Toc518036424">
            <w:r>
              <w:rPr>
                <w:rStyle w:val="IndexLink"/>
              </w:rPr>
              <w:t>402</w:t>
            </w:r>
          </w:hyperlink>
        </w:p>
        <w:p>
          <w:pPr>
            <w:pStyle w:val="Contents2"/>
            <w:rPr>
              <w:rFonts w:ascii="Calibri" w:hAnsi="Calibri" w:cs="Calibri"/>
              <w:sz w:val="22"/>
              <w:szCs w:val="22"/>
              <w:lang w:val="en-US" w:eastAsia="en-US"/>
            </w:rPr>
          </w:pPr>
          <w:r>
            <w:rPr/>
            <w:t>ZF.8.3</w:t>
          </w:r>
          <w:r>
            <w:rPr>
              <w:rFonts w:cs="Calibri" w:ascii="Calibri" w:hAnsi="Calibri"/>
              <w:sz w:val="22"/>
              <w:szCs w:val="22"/>
            </w:rPr>
            <w:tab/>
          </w:r>
          <w:r>
            <w:rPr>
              <w:lang w:val="en-US" w:eastAsia="en-US"/>
            </w:rPr>
            <w:t>Aggregated traffic model of MTC over Legacy GPRS</w:t>
          </w:r>
          <w:r>
            <w:rPr/>
            <w:tab/>
          </w:r>
          <w:hyperlink w:anchor="__RefHeading___Toc518036425">
            <w:r>
              <w:rPr>
                <w:rStyle w:val="IndexLink"/>
              </w:rPr>
              <w:t>403</w:t>
            </w:r>
          </w:hyperlink>
        </w:p>
        <w:p>
          <w:pPr>
            <w:pStyle w:val="Contents1"/>
            <w:rPr>
              <w:rFonts w:ascii="Calibri" w:hAnsi="Calibri" w:cs="Calibri"/>
              <w:szCs w:val="22"/>
              <w:lang w:val="en-US" w:eastAsia="en-US"/>
            </w:rPr>
          </w:pPr>
          <w:r>
            <w:rPr/>
            <w:t>ZF.9</w:t>
          </w:r>
          <w:r>
            <w:rPr>
              <w:rFonts w:cs="Calibri" w:ascii="Calibri" w:hAnsi="Calibri"/>
              <w:szCs w:val="22"/>
            </w:rPr>
            <w:tab/>
          </w:r>
          <w:r>
            <w:rPr>
              <w:lang w:val="en-US" w:eastAsia="en-US"/>
            </w:rPr>
            <w:t>Simulator model for wanted signal level and SINR estimation error</w:t>
          </w:r>
          <w:r>
            <w:rPr/>
            <w:tab/>
          </w:r>
          <w:hyperlink w:anchor="__RefHeading___Toc518036426">
            <w:r>
              <w:rPr>
                <w:rStyle w:val="IndexLink"/>
              </w:rPr>
              <w:t>404</w:t>
            </w:r>
          </w:hyperlink>
        </w:p>
        <w:p>
          <w:pPr>
            <w:pStyle w:val="Contents2"/>
            <w:rPr>
              <w:rFonts w:ascii="Calibri" w:hAnsi="Calibri" w:cs="Calibri"/>
              <w:sz w:val="22"/>
              <w:szCs w:val="22"/>
              <w:lang w:val="en-US" w:eastAsia="en-US"/>
            </w:rPr>
          </w:pPr>
          <w:r>
            <w:rPr/>
            <w:t>ZF.9.1</w:t>
          </w:r>
          <w:r>
            <w:rPr>
              <w:rFonts w:cs="Calibri" w:ascii="Calibri" w:hAnsi="Calibri"/>
              <w:sz w:val="22"/>
              <w:szCs w:val="22"/>
            </w:rPr>
            <w:tab/>
          </w:r>
          <w:r>
            <w:rPr>
              <w:lang w:val="en-US" w:eastAsia="en-US"/>
            </w:rPr>
            <w:t>Tdoc reference</w:t>
          </w:r>
          <w:r>
            <w:rPr/>
            <w:tab/>
          </w:r>
          <w:hyperlink w:anchor="__RefHeading___Toc518036427">
            <w:r>
              <w:rPr>
                <w:rStyle w:val="IndexLink"/>
              </w:rPr>
              <w:t>404</w:t>
            </w:r>
          </w:hyperlink>
        </w:p>
        <w:p>
          <w:pPr>
            <w:pStyle w:val="Contents2"/>
            <w:rPr>
              <w:rFonts w:ascii="Calibri" w:hAnsi="Calibri" w:cs="Calibri"/>
              <w:sz w:val="22"/>
              <w:szCs w:val="22"/>
              <w:lang w:val="en-US" w:eastAsia="en-US"/>
            </w:rPr>
          </w:pPr>
          <w:r>
            <w:rPr/>
            <w:t>ZF.9.2</w:t>
          </w:r>
          <w:r>
            <w:rPr>
              <w:rFonts w:cs="Calibri" w:ascii="Calibri" w:hAnsi="Calibri"/>
              <w:sz w:val="22"/>
              <w:szCs w:val="22"/>
            </w:rPr>
            <w:tab/>
          </w:r>
          <w:r>
            <w:rPr>
              <w:lang w:val="en-US" w:eastAsia="en-US"/>
            </w:rPr>
            <w:t>Model</w:t>
          </w:r>
          <w:r>
            <w:rPr/>
            <w:tab/>
          </w:r>
          <w:hyperlink w:anchor="__RefHeading___Toc518036428">
            <w:r>
              <w:rPr>
                <w:rStyle w:val="IndexLink"/>
              </w:rPr>
              <w:t>404</w:t>
            </w:r>
          </w:hyperlink>
        </w:p>
        <w:p>
          <w:pPr>
            <w:pStyle w:val="Contents2"/>
            <w:rPr>
              <w:rFonts w:ascii="Calibri" w:hAnsi="Calibri" w:cs="Calibri"/>
              <w:sz w:val="22"/>
              <w:szCs w:val="22"/>
              <w:lang w:val="en-US" w:eastAsia="en-US"/>
            </w:rPr>
          </w:pPr>
          <w:r>
            <w:rPr/>
            <w:t>ZF.9.3</w:t>
          </w:r>
          <w:r>
            <w:rPr>
              <w:rFonts w:cs="Calibri" w:ascii="Calibri" w:hAnsi="Calibri"/>
              <w:sz w:val="22"/>
              <w:szCs w:val="22"/>
            </w:rPr>
            <w:tab/>
          </w:r>
          <w:r>
            <w:rPr>
              <w:lang w:val="en-US" w:eastAsia="en-US"/>
            </w:rPr>
            <w:t>Noise-limited case</w:t>
          </w:r>
          <w:r>
            <w:rPr/>
            <w:tab/>
          </w:r>
          <w:hyperlink w:anchor="__RefHeading___Toc518036429">
            <w:r>
              <w:rPr>
                <w:rStyle w:val="IndexLink"/>
              </w:rPr>
              <w:t>405</w:t>
            </w:r>
          </w:hyperlink>
        </w:p>
        <w:p>
          <w:pPr>
            <w:pStyle w:val="Contents2"/>
            <w:rPr>
              <w:rFonts w:ascii="Calibri" w:hAnsi="Calibri" w:cs="Calibri"/>
              <w:sz w:val="22"/>
              <w:szCs w:val="22"/>
              <w:lang w:val="en-US" w:eastAsia="en-US"/>
            </w:rPr>
          </w:pPr>
          <w:r>
            <w:rPr/>
            <w:t>ZF.9.4</w:t>
          </w:r>
          <w:r>
            <w:rPr>
              <w:rFonts w:cs="Calibri" w:ascii="Calibri" w:hAnsi="Calibri"/>
              <w:sz w:val="22"/>
              <w:szCs w:val="22"/>
            </w:rPr>
            <w:tab/>
          </w:r>
          <w:r>
            <w:rPr>
              <w:lang w:val="en-US" w:eastAsia="en-US"/>
            </w:rPr>
            <w:t>Interference-limited case</w:t>
          </w:r>
          <w:r>
            <w:rPr/>
            <w:tab/>
          </w:r>
          <w:hyperlink w:anchor="__RefHeading___Toc518036430">
            <w:r>
              <w:rPr>
                <w:rStyle w:val="IndexLink"/>
              </w:rPr>
              <w:t>406</w:t>
            </w:r>
          </w:hyperlink>
        </w:p>
        <w:p>
          <w:pPr>
            <w:pStyle w:val="Contents2"/>
            <w:rPr>
              <w:rFonts w:ascii="Calibri" w:hAnsi="Calibri" w:cs="Calibri"/>
              <w:sz w:val="22"/>
              <w:szCs w:val="22"/>
              <w:lang w:val="en-US" w:eastAsia="en-US"/>
            </w:rPr>
          </w:pPr>
          <w:r>
            <w:rPr/>
            <w:t>ZF.9.5</w:t>
          </w:r>
          <w:r>
            <w:rPr>
              <w:rFonts w:cs="Calibri" w:ascii="Calibri" w:hAnsi="Calibri"/>
              <w:sz w:val="22"/>
              <w:szCs w:val="22"/>
              <w:lang w:val="en-US" w:eastAsia="en-US"/>
            </w:rPr>
            <w:tab/>
          </w:r>
          <w:r>
            <w:rPr/>
            <w:t>Discussion and conclusions</w:t>
            <w:tab/>
          </w:r>
          <w:hyperlink w:anchor="__RefHeading___Toc518036431">
            <w:r>
              <w:rPr>
                <w:rStyle w:val="IndexLink"/>
              </w:rPr>
              <w:t>407</w:t>
            </w:r>
          </w:hyperlink>
        </w:p>
        <w:p>
          <w:pPr>
            <w:pStyle w:val="Contents9"/>
            <w:rPr>
              <w:rFonts w:ascii="Calibri" w:hAnsi="Calibri" w:cs="Calibri"/>
              <w:szCs w:val="22"/>
              <w:lang w:val="en-US" w:eastAsia="en-US"/>
            </w:rPr>
          </w:pPr>
          <w:r>
            <w:rPr>
              <w:b w:val="false"/>
            </w:rPr>
            <w:t>Annex ZG:</w:t>
            <w:tab/>
            <w:t>Change history</w:t>
            <w:tab/>
          </w:r>
          <w:hyperlink w:anchor="__RefHeading___Toc518036432">
            <w:r>
              <w:rPr>
                <w:rStyle w:val="IndexLink"/>
                <w:b w:val="false"/>
              </w:rPr>
              <w:t>408</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8035448"/>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18035449"/>
      <w:bookmarkEnd w:id="8"/>
      <w:r>
        <w:rPr/>
        <w:t>1</w:t>
        <w:tab/>
        <w:t>Scope</w:t>
      </w:r>
    </w:p>
    <w:p>
      <w:pPr>
        <w:pStyle w:val="Heading2"/>
        <w:rPr/>
      </w:pPr>
      <w:bookmarkStart w:id="9" w:name="__RefHeading___Toc518035450"/>
      <w:bookmarkEnd w:id="9"/>
      <w:r>
        <w:rPr/>
        <w:t>1.1</w:t>
        <w:tab/>
        <w:t>General</w:t>
      </w:r>
    </w:p>
    <w:p>
      <w:pPr>
        <w:pStyle w:val="Normal"/>
        <w:rPr/>
      </w:pPr>
      <w:r>
        <w:rPr/>
        <w:t>The present document gives background information on how the RF requirements of GSM400, GSM900 and DCS 1800 systems have been derived.</w:t>
      </w:r>
    </w:p>
    <w:p>
      <w:pPr>
        <w:pStyle w:val="Heading2"/>
        <w:rPr/>
      </w:pPr>
      <w:bookmarkStart w:id="10" w:name="__RefHeading___Toc518035451"/>
      <w:bookmarkEnd w:id="10"/>
      <w:r>
        <w:rPr/>
        <w:t>1.2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lang w:val="en-US"/>
        </w:rPr>
      </w:pPr>
      <w:r>
        <w:rPr>
          <w:lang w:val="en-US"/>
        </w:rPr>
        <w:t>[1]</w:t>
        <w:tab/>
        <w:t>3GPP TR 45.820, "Cellular System Support for Ultra Low Complexity and Low Throughput Internet of Things"</w:t>
      </w:r>
    </w:p>
    <w:p>
      <w:pPr>
        <w:pStyle w:val="EX"/>
        <w:rPr>
          <w:lang w:val="en-US"/>
        </w:rPr>
      </w:pPr>
      <w:r>
        <w:rPr>
          <w:lang w:val="en-US"/>
        </w:rPr>
        <w:t>[2]</w:t>
        <w:tab/>
        <w:t>3GPP TS 45.001, "Physical layer on the radio path;General description"</w:t>
      </w:r>
    </w:p>
    <w:p>
      <w:pPr>
        <w:pStyle w:val="EX"/>
        <w:rPr>
          <w:lang w:val="en-US"/>
        </w:rPr>
      </w:pPr>
      <w:r>
        <w:rPr>
          <w:lang w:val="en-US"/>
        </w:rPr>
        <w:t>[3]</w:t>
        <w:tab/>
        <w:t>3GPP TS 45.003, "Channel coding"</w:t>
      </w:r>
    </w:p>
    <w:p>
      <w:pPr>
        <w:pStyle w:val="EX"/>
        <w:rPr>
          <w:lang w:val="en-US"/>
        </w:rPr>
      </w:pPr>
      <w:r>
        <w:rPr>
          <w:lang w:val="en-US"/>
        </w:rPr>
        <w:t>[4]</w:t>
        <w:tab/>
        <w:t>3GPP TS 45.004, "Modulation"</w:t>
      </w:r>
    </w:p>
    <w:p>
      <w:pPr>
        <w:pStyle w:val="Heading1"/>
        <w:ind w:left="1134" w:hanging="1134"/>
        <w:rPr/>
      </w:pPr>
      <w:bookmarkStart w:id="11" w:name="__RefHeading___Toc518035452"/>
      <w:bookmarkEnd w:id="11"/>
      <w:r>
        <w:rPr/>
        <w:t>2</w:t>
        <w:tab/>
        <w:t>Information available</w:t>
      </w:r>
    </w:p>
    <w:p>
      <w:pPr>
        <w:pStyle w:val="Normal"/>
        <w:rPr/>
      </w:pPr>
      <w:r>
        <w:rPr/>
        <w:t>The present document collects together temporary documents of ETSI SMG and STC SMG2 and 3GPP GERAN which can be seen as base line material for the RF requirements in GSM 05.05. The documents are divided into several clauses</w:t>
      </w:r>
    </w:p>
    <w:p>
      <w:pPr>
        <w:pStyle w:val="Normal"/>
        <w:rPr/>
      </w:pPr>
      <w:r>
        <w:rPr/>
        <w:t>In each clause there is a short description of the documents. The documents themselves are annexed to this report.</w:t>
      </w:r>
    </w:p>
    <w:p>
      <w:pPr>
        <w:pStyle w:val="Normal"/>
        <w:rPr/>
      </w:pPr>
      <w:r>
        <w:rPr/>
        <w:t>A list of phase 2 change requests to SMG2 related documents are annexed to the SMG meeting reports.</w:t>
      </w:r>
    </w:p>
    <w:p>
      <w:pPr>
        <w:pStyle w:val="Heading1"/>
        <w:ind w:left="1134" w:hanging="1134"/>
        <w:rPr/>
      </w:pPr>
      <w:bookmarkStart w:id="12" w:name="__RefHeading___Toc518035453"/>
      <w:bookmarkEnd w:id="12"/>
      <w:r>
        <w:rPr/>
        <w:t>3</w:t>
        <w:tab/>
        <w:t>DCS1800 system scenarios</w:t>
      </w:r>
    </w:p>
    <w:p>
      <w:pPr>
        <w:pStyle w:val="Normal"/>
        <w:rPr/>
      </w:pPr>
      <w:r>
        <w:rPr/>
        <w:t>There are two documents describing the basis of the DCS1800 RF requirements. They are:</w:t>
      </w:r>
    </w:p>
    <w:p>
      <w:pPr>
        <w:pStyle w:val="B1"/>
        <w:rPr/>
      </w:pPr>
      <w:r>
        <w:rPr/>
        <w:t>-</w:t>
        <w:tab/>
        <w:t>DCS1800 System scenarios (TDoc SMG 259/90, reproduced as TDoc SMG 60/91).</w:t>
      </w:r>
    </w:p>
    <w:p>
      <w:pPr>
        <w:pStyle w:val="B1"/>
        <w:rPr/>
      </w:pPr>
      <w:r>
        <w:rPr/>
        <w:t>-</w:t>
        <w:tab/>
        <w:t>Justifications for the DCS1800 05.05 (TDoc SMG 260/90, revised as TDoc SMG 60/91)).</w:t>
      </w:r>
    </w:p>
    <w:p>
      <w:pPr>
        <w:pStyle w:val="Normal"/>
        <w:rPr/>
      </w:pPr>
      <w:r>
        <w:rPr/>
        <w:t>These documents have been derived first by the UK PCN operators and later by GSM2 ad hoc group working on DCS 1800 requirements during 1990. The documents were presented to TC SMG in October 1990.</w:t>
      </w:r>
    </w:p>
    <w:p>
      <w:pPr>
        <w:pStyle w:val="Normal"/>
        <w:rPr/>
      </w:pPr>
      <w:r>
        <w:rPr>
          <w:b/>
        </w:rPr>
        <w:t>DCS1800 System Scenarios</w:t>
      </w:r>
      <w:r>
        <w:rPr/>
        <w:t xml:space="preserve"> describes six scenarios which are considered to be the relevant cases for DCS1800. The six scenarios described are:</w:t>
      </w:r>
    </w:p>
    <w:p>
      <w:pPr>
        <w:pStyle w:val="B1"/>
        <w:rPr/>
      </w:pPr>
      <w:r>
        <w:rPr/>
        <w:t>-</w:t>
        <w:tab/>
        <w:t>Single MS - Single BTS.</w:t>
      </w:r>
    </w:p>
    <w:p>
      <w:pPr>
        <w:pStyle w:val="B1"/>
        <w:rPr/>
      </w:pPr>
      <w:r>
        <w:rPr/>
        <w:t>-</w:t>
        <w:tab/>
        <w:t>Multiple MSs - Multiple co-ordinated BTSs.</w:t>
      </w:r>
    </w:p>
    <w:p>
      <w:pPr>
        <w:pStyle w:val="B1"/>
        <w:rPr/>
      </w:pPr>
      <w:r>
        <w:rPr/>
        <w:t>-</w:t>
        <w:tab/>
        <w:t>Multiple MSs - Multiple uncoordinated BTSs.</w:t>
      </w:r>
    </w:p>
    <w:p>
      <w:pPr>
        <w:pStyle w:val="B1"/>
        <w:rPr/>
      </w:pPr>
      <w:r>
        <w:rPr/>
        <w:t>-</w:t>
        <w:tab/>
        <w:t>Co-located MSs, co-ordinated/uncoordinated.</w:t>
      </w:r>
    </w:p>
    <w:p>
      <w:pPr>
        <w:pStyle w:val="B1"/>
        <w:rPr/>
      </w:pPr>
      <w:r>
        <w:rPr/>
        <w:t>-</w:t>
        <w:tab/>
        <w:t>Co-located BTSs, co-ordinated/uncoordinated.</w:t>
      </w:r>
    </w:p>
    <w:p>
      <w:pPr>
        <w:pStyle w:val="B1"/>
        <w:rPr/>
      </w:pPr>
      <w:r>
        <w:rPr/>
        <w:t>-</w:t>
        <w:tab/>
        <w:t>Co-location with other systems.</w:t>
      </w:r>
    </w:p>
    <w:p>
      <w:pPr>
        <w:pStyle w:val="Normal"/>
        <w:rPr/>
      </w:pPr>
      <w:r>
        <w:rPr/>
        <w:t>On each of these scenarios the system constraints related to the scenario are described, the RF requirements affected by the scenario are identified and the input information needed to study the scenario in detail is listed.</w:t>
      </w:r>
    </w:p>
    <w:p>
      <w:pPr>
        <w:pStyle w:val="Normal"/>
        <w:rPr/>
      </w:pPr>
      <w:r>
        <w:rPr>
          <w:b/>
        </w:rPr>
        <w:t>Justifications for the DCS1800 05.05</w:t>
      </w:r>
      <w:r>
        <w:rPr/>
        <w:t xml:space="preserve"> includes the analysis of the system scenarios to detailed RF requirements and presents and justifies the proposed changes to GSM 05.05 for DCS1800. In the analysis part the relevant scenario calculations are made for each RF requirement and the most critical scenario requirement identified. The justification part then looks at the identified scenario requirement, compares it to the corresponding existing GSM900 requirement and taking also into account the implementation issues and finally gives reasoning to the proposed change of the specific RF requirement.</w:t>
      </w:r>
    </w:p>
    <w:p>
      <w:pPr>
        <w:pStyle w:val="Normal"/>
        <w:rPr/>
      </w:pPr>
      <w:r>
        <w:rPr/>
        <w:t>These documents are in annex A.</w:t>
      </w:r>
    </w:p>
    <w:p>
      <w:pPr>
        <w:pStyle w:val="Normal"/>
        <w:rPr/>
      </w:pPr>
      <w:r>
        <w:rPr/>
        <w:t>The DCS1800 requirements were originally developed for Phase 1 as a separate set of specifications, called DCS-specifications. For Phase two the DCS1800 and GSM900 requirements are merged. The main Phase 2 change requests of SMG2 in which the requirements for the DCS1800 system were included into are listed below.</w:t>
      </w:r>
    </w:p>
    <w:p>
      <w:pPr>
        <w:pStyle w:val="B1"/>
        <w:tabs>
          <w:tab w:val="clear" w:pos="284"/>
          <w:tab w:val="left" w:pos="2268" w:leader="none"/>
        </w:tabs>
        <w:rPr/>
      </w:pPr>
      <w:r>
        <w:rPr/>
        <w:t>-</w:t>
        <w:tab/>
        <w:t>CR 05.01-04</w:t>
        <w:tab/>
        <w:t>Combination of GSM900 and DCS1800 specifications.</w:t>
      </w:r>
    </w:p>
    <w:p>
      <w:pPr>
        <w:pStyle w:val="B1"/>
        <w:tabs>
          <w:tab w:val="clear" w:pos="284"/>
          <w:tab w:val="left" w:pos="2268" w:leader="none"/>
        </w:tabs>
        <w:rPr/>
      </w:pPr>
      <w:r>
        <w:rPr/>
        <w:t>-</w:t>
        <w:tab/>
        <w:t>CR 05.05-37 rev1</w:t>
        <w:tab/>
        <w:t>Combination of 05.05 (GSM900) and 05.05-DCS (DCS1800) specifications.</w:t>
      </w:r>
    </w:p>
    <w:p>
      <w:pPr>
        <w:pStyle w:val="B1"/>
        <w:tabs>
          <w:tab w:val="clear" w:pos="284"/>
          <w:tab w:val="left" w:pos="2268" w:leader="none"/>
        </w:tabs>
        <w:rPr/>
      </w:pPr>
      <w:r>
        <w:rPr/>
        <w:t>-</w:t>
        <w:tab/>
        <w:t>CR 05.08-55 rev1</w:t>
        <w:tab/>
        <w:t>Combination of GSM900 and DCS1800 and addition of National roaming.</w:t>
      </w:r>
    </w:p>
    <w:p>
      <w:pPr>
        <w:pStyle w:val="Normal"/>
        <w:rPr/>
      </w:pPr>
      <w:r>
        <w:rPr/>
        <w:t>Further development of the DCS1800 requirements for Phase 2 can be found in the other Phase 2 CRs of SMG2, the vast majority of which are valid both for DCS1800 and GSM900. The list of Phase 2 CRs of SMG2 can be found in annex E.</w:t>
      </w:r>
    </w:p>
    <w:p>
      <w:pPr>
        <w:pStyle w:val="Heading1"/>
        <w:ind w:left="1134" w:hanging="1134"/>
        <w:rPr/>
      </w:pPr>
      <w:bookmarkStart w:id="13" w:name="__RefHeading___Toc518035454"/>
      <w:bookmarkEnd w:id="13"/>
      <w:r>
        <w:rPr/>
        <w:t>4</w:t>
        <w:tab/>
        <w:t>GSM900 small cell system scenarios</w:t>
      </w:r>
    </w:p>
    <w:p>
      <w:pPr>
        <w:pStyle w:val="Normal"/>
        <w:rPr/>
      </w:pPr>
      <w:r>
        <w:rPr/>
        <w:t>There is one document which discusses the small cell system scenarios for GSM900. The document is:</w:t>
      </w:r>
    </w:p>
    <w:p>
      <w:pPr>
        <w:pStyle w:val="B1"/>
        <w:rPr/>
      </w:pPr>
      <w:r>
        <w:rPr/>
        <w:t>-</w:t>
        <w:tab/>
        <w:t>Small cell system scenarios for GSM900 (TDoc SMG2 104/92, revised as TDoc SMG2 104/92 rev1).</w:t>
      </w:r>
    </w:p>
    <w:p>
      <w:pPr>
        <w:pStyle w:val="Normal"/>
        <w:rPr/>
      </w:pPr>
      <w:r>
        <w:rPr>
          <w:b/>
        </w:rPr>
        <w:t>Small cell system scenarios for GSM900</w:t>
      </w:r>
      <w:r>
        <w:rPr/>
        <w:t xml:space="preserve"> uses the DCS1800 system scenarios and justification document and derives from them the scenario requirements for GSM900 small cells. It also calculates the worst case requirements based on minimum coupling loss of 59 dB.</w:t>
      </w:r>
    </w:p>
    <w:p>
      <w:pPr>
        <w:pStyle w:val="Normal"/>
        <w:rPr/>
      </w:pPr>
      <w:r>
        <w:rPr/>
        <w:t>The document on GSM900 small cell system scenarios is in annex B.</w:t>
      </w:r>
    </w:p>
    <w:p>
      <w:pPr>
        <w:pStyle w:val="Normal"/>
        <w:rPr/>
      </w:pPr>
      <w:r>
        <w:rPr/>
        <w:t>CR 03.30-02 on "Propagation models for different types of cells" gives a definition for a small cell and the typical cell parameters to calculate the propagation loss in a small cell.</w:t>
      </w:r>
    </w:p>
    <w:p>
      <w:pPr>
        <w:pStyle w:val="Heading1"/>
        <w:ind w:left="1134" w:hanging="1134"/>
        <w:rPr/>
      </w:pPr>
      <w:bookmarkStart w:id="14" w:name="__RefHeading___Toc518035455"/>
      <w:bookmarkEnd w:id="14"/>
      <w:r>
        <w:rPr/>
        <w:t>5</w:t>
        <w:tab/>
        <w:t>GSM900 and DCS1800 microcell system scenarios</w:t>
      </w:r>
    </w:p>
    <w:p>
      <w:pPr>
        <w:pStyle w:val="Normal"/>
        <w:rPr/>
      </w:pPr>
      <w:r>
        <w:rPr/>
        <w:t>GSM900 and DCS1800 microcells have been discussed by SMG2 in various meetings since late 1991. In SMG2#2 (May 1992) a small group was formed to collect together the various documents and make a proposal for the microcell RF parameters. As agreed by SMG2 there should be four microcell specific requirements, namely:</w:t>
      </w:r>
    </w:p>
    <w:p>
      <w:pPr>
        <w:pStyle w:val="B1"/>
        <w:rPr/>
      </w:pPr>
      <w:r>
        <w:rPr/>
        <w:t>-</w:t>
        <w:tab/>
        <w:t>transmit power;</w:t>
      </w:r>
    </w:p>
    <w:p>
      <w:pPr>
        <w:pStyle w:val="B1"/>
        <w:rPr/>
      </w:pPr>
      <w:r>
        <w:rPr/>
        <w:t>-</w:t>
        <w:tab/>
        <w:t>receive sensitivity;</w:t>
      </w:r>
    </w:p>
    <w:p>
      <w:pPr>
        <w:pStyle w:val="B1"/>
        <w:rPr/>
      </w:pPr>
      <w:r>
        <w:rPr/>
        <w:t>-</w:t>
        <w:tab/>
        <w:t>wideband noise;</w:t>
      </w:r>
    </w:p>
    <w:p>
      <w:pPr>
        <w:pStyle w:val="B1"/>
        <w:rPr/>
      </w:pPr>
      <w:r>
        <w:rPr/>
        <w:t>-</w:t>
        <w:tab/>
        <w:t>blocking.</w:t>
      </w:r>
    </w:p>
    <w:p>
      <w:pPr>
        <w:pStyle w:val="Normal"/>
        <w:keepNext w:val="true"/>
        <w:keepLines/>
        <w:rPr/>
      </w:pPr>
      <w:r>
        <w:rPr/>
        <w:t>As a result of the subgroup and other SMG2 activities there are three documents which can be used as baseline material for the microcell requirements. They are:</w:t>
      </w:r>
    </w:p>
    <w:p>
      <w:pPr>
        <w:pStyle w:val="B1"/>
        <w:keepNext w:val="true"/>
        <w:keepLines/>
        <w:rPr/>
      </w:pPr>
      <w:r>
        <w:rPr/>
        <w:t>-</w:t>
        <w:tab/>
        <w:t>Microcell BTS RF parameters (TDoc SMG2 163/92);</w:t>
      </w:r>
    </w:p>
    <w:p>
      <w:pPr>
        <w:pStyle w:val="B1"/>
        <w:keepNext w:val="true"/>
        <w:keepLines/>
        <w:rPr/>
      </w:pPr>
      <w:r>
        <w:rPr/>
        <w:t>-</w:t>
        <w:tab/>
        <w:t>Comments and proposals on Microcell RF parameters (TDoc 144/92);</w:t>
      </w:r>
    </w:p>
    <w:p>
      <w:pPr>
        <w:pStyle w:val="B1"/>
        <w:rPr/>
      </w:pPr>
      <w:r>
        <w:rPr/>
        <w:t>-</w:t>
        <w:tab/>
        <w:t>Revised proposal for microcell RF parameters (TDoc SMG2 ad hoc 4/92).</w:t>
      </w:r>
    </w:p>
    <w:p>
      <w:pPr>
        <w:pStyle w:val="Normal"/>
        <w:rPr/>
      </w:pPr>
      <w:r>
        <w:rPr>
          <w:b/>
        </w:rPr>
        <w:t>Microcell BTS RF parameters</w:t>
      </w:r>
      <w:r>
        <w:rPr/>
        <w:t xml:space="preserve"> and </w:t>
      </w:r>
      <w:r>
        <w:rPr>
          <w:b/>
        </w:rPr>
        <w:t>Comments and proposals on Microcell RF parameters</w:t>
      </w:r>
      <w:r>
        <w:rPr/>
        <w:t xml:space="preserve"> are joint papers giving the microcell scenarios and the requirements. The first one describes the two microcell scenarios, namely range and proximity, and presents the method to derive the detailed requirements starting from the scenarios. The latter document includes some corrections/updates to the scenarios, and proposes the detailed requirements. As described in the documents there are three classes of microcells, depending on the expected Minimum Coupling Loss between BTS and MS. This is to guarantee the optimum choice of BTS transmit powers while maintaining the operability of the system. The last of the microcell documents, </w:t>
      </w:r>
      <w:r>
        <w:rPr>
          <w:b/>
        </w:rPr>
        <w:t>Revised proposal for microcell RF parameters</w:t>
      </w:r>
      <w:r>
        <w:rPr/>
        <w:t xml:space="preserve"> includes updates to the detailed requirement figures.</w:t>
      </w:r>
    </w:p>
    <w:p>
      <w:pPr>
        <w:pStyle w:val="Normal"/>
        <w:rPr/>
      </w:pPr>
      <w:r>
        <w:rPr/>
        <w:t>All the microcell requirements were collected together and were presented to and approved by SMG#5.</w:t>
      </w:r>
    </w:p>
    <w:p>
      <w:pPr>
        <w:pStyle w:val="Normal"/>
        <w:rPr/>
      </w:pPr>
      <w:r>
        <w:rPr/>
        <w:t>The documents on GSM900 and DCS1800 microcells are in annex C.</w:t>
      </w:r>
    </w:p>
    <w:p>
      <w:pPr>
        <w:pStyle w:val="Normal"/>
        <w:rPr/>
      </w:pPr>
      <w:r>
        <w:rPr/>
        <w:t>The relevant change requests where the detailed microcell requirements can be found, are listed below.</w:t>
      </w:r>
    </w:p>
    <w:p>
      <w:pPr>
        <w:pStyle w:val="B1"/>
        <w:tabs>
          <w:tab w:val="clear" w:pos="284"/>
          <w:tab w:val="left" w:pos="2268" w:leader="none"/>
        </w:tabs>
        <w:rPr/>
      </w:pPr>
      <w:r>
        <w:rPr/>
        <w:t>-</w:t>
        <w:tab/>
        <w:t>CR 03.30-04</w:t>
        <w:tab/>
        <w:t>Microcell Radio planning aspects;</w:t>
      </w:r>
    </w:p>
    <w:p>
      <w:pPr>
        <w:pStyle w:val="B1"/>
        <w:tabs>
          <w:tab w:val="clear" w:pos="284"/>
          <w:tab w:val="left" w:pos="2268" w:leader="none"/>
        </w:tabs>
        <w:rPr/>
      </w:pPr>
      <w:r>
        <w:rPr/>
        <w:t>-</w:t>
        <w:tab/>
        <w:t>CR 03.30-08</w:t>
        <w:tab/>
        <w:t>Microcell minimum coupling loss for small frequency offsets;</w:t>
      </w:r>
    </w:p>
    <w:p>
      <w:pPr>
        <w:pStyle w:val="B1"/>
        <w:tabs>
          <w:tab w:val="clear" w:pos="284"/>
          <w:tab w:val="left" w:pos="2268" w:leader="none"/>
        </w:tabs>
        <w:rPr/>
      </w:pPr>
      <w:r>
        <w:rPr/>
        <w:t>-</w:t>
        <w:tab/>
        <w:t>CR 05.05-69 rev1</w:t>
        <w:tab/>
        <w:t>Microcell BTS RF parameters;</w:t>
      </w:r>
    </w:p>
    <w:p>
      <w:pPr>
        <w:pStyle w:val="B1"/>
        <w:tabs>
          <w:tab w:val="clear" w:pos="284"/>
          <w:tab w:val="left" w:pos="2268" w:leader="none"/>
        </w:tabs>
        <w:rPr/>
      </w:pPr>
      <w:r>
        <w:rPr/>
        <w:t>-</w:t>
        <w:tab/>
        <w:t>CR 05.05-79 rev1</w:t>
        <w:tab/>
        <w:t>Alignment of microcell maximum peak power requirement presentation;</w:t>
      </w:r>
    </w:p>
    <w:p>
      <w:pPr>
        <w:pStyle w:val="B1"/>
        <w:tabs>
          <w:tab w:val="clear" w:pos="284"/>
          <w:tab w:val="left" w:pos="2268" w:leader="none"/>
        </w:tabs>
        <w:rPr/>
      </w:pPr>
      <w:r>
        <w:rPr/>
        <w:t>-</w:t>
        <w:tab/>
        <w:t>CR 05.05-90</w:t>
        <w:tab/>
        <w:t>Update of DCS1800 microcell RF parameters.</w:t>
      </w:r>
    </w:p>
    <w:p>
      <w:pPr>
        <w:pStyle w:val="Heading1"/>
        <w:ind w:left="1134" w:hanging="1134"/>
        <w:rPr/>
      </w:pPr>
      <w:bookmarkStart w:id="15" w:name="__RefHeading___Toc518035456"/>
      <w:bookmarkEnd w:id="15"/>
      <w:r>
        <w:rPr/>
        <w:t>6</w:t>
        <w:tab/>
        <w:t>Conversion factors</w:t>
      </w:r>
    </w:p>
    <w:p>
      <w:pPr>
        <w:pStyle w:val="Normal"/>
        <w:rPr/>
      </w:pPr>
      <w:r>
        <w:rPr/>
        <w:t>One of the tasks in ETSI/STC SMG2 has been to align the different RF requirements for the Phase 2 specifications. This was found necessary because in phase 1 some of the RF requirements dominated over others making them almost obsolete. Related to the alignment process it was found necessary to introduce a set of conversion factors to be able to compare different types of requirements measured with different measurement techniques. The original work assumptions were agreed on at SMG2#1 in February 1992 and they were reviewed in SMG2 ad hoc meeting in April 1992.</w:t>
      </w:r>
    </w:p>
    <w:p>
      <w:pPr>
        <w:pStyle w:val="Normal"/>
        <w:rPr/>
      </w:pPr>
      <w:r>
        <w:rPr/>
        <w:t>There are two documents related to the conversion factors. They are:</w:t>
      </w:r>
    </w:p>
    <w:p>
      <w:pPr>
        <w:pStyle w:val="B1"/>
        <w:rPr/>
      </w:pPr>
      <w:r>
        <w:rPr/>
        <w:t>-</w:t>
        <w:tab/>
        <w:t>Report of the ad hoc meeting on RF parameters (TDoc SMG2 61/92).</w:t>
      </w:r>
    </w:p>
    <w:p>
      <w:pPr>
        <w:pStyle w:val="B1"/>
        <w:rPr/>
      </w:pPr>
      <w:r>
        <w:rPr/>
        <w:t>-</w:t>
        <w:tab/>
        <w:t>Agreed SMG2 conversion factors (TDoc SMG2 287/92).</w:t>
      </w:r>
    </w:p>
    <w:p>
      <w:pPr>
        <w:pStyle w:val="Normal"/>
        <w:rPr/>
      </w:pPr>
      <w:r>
        <w:rPr>
          <w:b/>
        </w:rPr>
        <w:t>Report of the ad hoc meeting on RF parameters</w:t>
      </w:r>
      <w:r>
        <w:rPr/>
        <w:t xml:space="preserve"> describes the process of deriving the conversion factors. In the ad hoc meeting there were number of input papers with practical measurement results of different measurement techniques, and in the ad hoc those measurement results were compared and the average of the results was chosen as a conversion factor. The following conversion factors were agreed on.</w:t>
      </w:r>
    </w:p>
    <w:p>
      <w:pPr>
        <w:pStyle w:val="B1"/>
        <w:rPr/>
      </w:pPr>
      <w:r>
        <w:rPr/>
        <w:t>-</w:t>
        <w:tab/>
        <w:t>conversion from maximum peak power to average power in a 30 kHz bandwidth on carrier:</w:t>
      </w:r>
    </w:p>
    <w:p>
      <w:pPr>
        <w:pStyle w:val="B2"/>
        <w:rPr/>
      </w:pPr>
      <w:r>
        <w:rPr/>
        <w:tab/>
        <w:t>=&gt; -8 dB.</w:t>
      </w:r>
    </w:p>
    <w:p>
      <w:pPr>
        <w:pStyle w:val="B1"/>
        <w:rPr/>
      </w:pPr>
      <w:r>
        <w:rPr/>
        <w:t>-</w:t>
        <w:tab/>
        <w:t>conversion from average power to maximum peak power in 30 kHz bandwidth:</w:t>
      </w:r>
    </w:p>
    <w:p>
      <w:pPr>
        <w:pStyle w:val="B2"/>
        <w:rPr/>
      </w:pPr>
      <w:r>
        <w:rPr/>
        <w:tab/>
        <w:t>=&gt; +8 dB at zero offset from carrier and + 9 dB at all other offsets.</w:t>
      </w:r>
    </w:p>
    <w:p>
      <w:pPr>
        <w:pStyle w:val="B1"/>
        <w:rPr/>
      </w:pPr>
      <w:r>
        <w:rPr/>
        <w:t>-</w:t>
        <w:tab/>
        <w:t>conversion from average power in 100 kHz bandwidth to maximum peak power in 30 kHz bandwidth:</w:t>
      </w:r>
    </w:p>
    <w:p>
      <w:pPr>
        <w:pStyle w:val="B2"/>
        <w:rPr/>
      </w:pPr>
      <w:r>
        <w:rPr/>
        <w:tab/>
        <w:t>=&gt; +5 dB at offset above 1 800 kHz from carrier.</w:t>
      </w:r>
    </w:p>
    <w:p>
      <w:pPr>
        <w:pStyle w:val="Normal"/>
        <w:rPr/>
      </w:pPr>
      <w:r>
        <w:rPr/>
        <w:t>On the conversion factor from maximum peak power in 300 kHz bandwidth to maximum peak power in 30 kHz bandwidth no agreement was reached in the ad hoc meeting and hence the working assumption agreed on in SMG2 meeting is still assumed while pending for further validation.</w:t>
      </w:r>
    </w:p>
    <w:p>
      <w:pPr>
        <w:pStyle w:val="B1"/>
        <w:rPr/>
      </w:pPr>
      <w:r>
        <w:rPr/>
        <w:t>=&gt; -8 dB at offset above 6 MHz from the carrier.</w:t>
      </w:r>
    </w:p>
    <w:p>
      <w:pPr>
        <w:pStyle w:val="Normal"/>
        <w:rPr/>
      </w:pPr>
      <w:r>
        <w:rPr>
          <w:b/>
        </w:rPr>
        <w:t>Agreed SMG2 conversion factors</w:t>
      </w:r>
      <w:r>
        <w:rPr/>
        <w:t xml:space="preserve"> lists the above agreed conversion factors and proposes further a conversion factor of +5 dB for conversions from 100 kHz bandwidth to 300 kHz bandwidth at offsets above 1 800 kHz from the carrier.</w:t>
      </w:r>
    </w:p>
    <w:p>
      <w:pPr>
        <w:pStyle w:val="Normal"/>
        <w:rPr/>
      </w:pPr>
      <w:r>
        <w:rPr/>
        <w:t>These documents are in annex D.</w:t>
      </w:r>
    </w:p>
    <w:p>
      <w:pPr>
        <w:pStyle w:val="Heading1"/>
        <w:ind w:left="1134" w:hanging="1134"/>
        <w:rPr/>
      </w:pPr>
      <w:bookmarkStart w:id="16" w:name="__RefHeading___Toc518035457"/>
      <w:bookmarkEnd w:id="16"/>
      <w:r>
        <w:rPr/>
        <w:t>7</w:t>
        <w:tab/>
        <w:t>Repeaters</w:t>
      </w:r>
    </w:p>
    <w:p>
      <w:pPr>
        <w:pStyle w:val="Normal"/>
        <w:rPr/>
      </w:pPr>
      <w:r>
        <w:rPr/>
        <w:t>There are a number of documents describing the background to repeater scenarios. These are:</w:t>
      </w:r>
    </w:p>
    <w:p>
      <w:pPr>
        <w:pStyle w:val="B1"/>
        <w:keepNext w:val="true"/>
        <w:keepLines/>
        <w:rPr/>
      </w:pPr>
      <w:r>
        <w:rPr/>
        <w:t>-</w:t>
        <w:tab/>
        <w:t>Repeater operating scenarios (Tdoc SMG2 29/94);</w:t>
      </w:r>
    </w:p>
    <w:p>
      <w:pPr>
        <w:pStyle w:val="B1"/>
        <w:rPr/>
      </w:pPr>
      <w:r>
        <w:rPr/>
        <w:t>-</w:t>
        <w:tab/>
        <w:t>Repeater scenarios for DCS1800 (Tdoc SMG2 24/94);</w:t>
      </w:r>
    </w:p>
    <w:p>
      <w:pPr>
        <w:pStyle w:val="B1"/>
        <w:rPr/>
      </w:pPr>
      <w:r>
        <w:rPr/>
        <w:t>-</w:t>
        <w:tab/>
        <w:t>Repeater scenarios (Tdoc SMG2 25/94);</w:t>
      </w:r>
    </w:p>
    <w:p>
      <w:pPr>
        <w:pStyle w:val="B1"/>
        <w:rPr/>
      </w:pPr>
      <w:r>
        <w:rPr/>
        <w:t>-</w:t>
        <w:tab/>
        <w:t>Repeater out of band gain (Tdoc SMG2-RPT 20/94).</w:t>
      </w:r>
    </w:p>
    <w:p>
      <w:pPr>
        <w:pStyle w:val="Normal"/>
        <w:rPr/>
      </w:pPr>
      <w:r>
        <w:rPr>
          <w:b/>
        </w:rPr>
        <w:t>Repeater operating scenarios:</w:t>
      </w:r>
      <w:r>
        <w:rPr/>
        <w:t xml:space="preserve"> describes the many different scenarios for which a repeater device might be used.</w:t>
      </w:r>
    </w:p>
    <w:p>
      <w:pPr>
        <w:pStyle w:val="Normal"/>
        <w:rPr/>
      </w:pPr>
      <w:r>
        <w:rPr>
          <w:b/>
        </w:rPr>
        <w:t>Repeater scenarios for DCS1800:</w:t>
      </w:r>
      <w:r>
        <w:rPr/>
        <w:t xml:space="preserve"> describes two scenarios for DCS1800 repeaters, the outdoor scenario and the indoor scenario. For each scenario, the performance requirements on the repeater are derived.</w:t>
      </w:r>
    </w:p>
    <w:p>
      <w:pPr>
        <w:pStyle w:val="Normal"/>
        <w:rPr/>
      </w:pPr>
      <w:r>
        <w:rPr>
          <w:b/>
        </w:rPr>
        <w:t>Repeater scenarios:</w:t>
      </w:r>
      <w:r>
        <w:rPr/>
        <w:t xml:space="preserve"> derives the equations that describe the uplink and downlink performance of a repeater. Co</w:t>
        <w:noBreakHyphen/>
        <w:t>ordinated and uncoordinated scenarios are analysed resulting in outline proposals for repeater hardware requirements in GSM 05.05 and outline planning guidelines in GSM 03.30.</w:t>
      </w:r>
    </w:p>
    <w:p>
      <w:pPr>
        <w:pStyle w:val="Normal"/>
        <w:rPr/>
      </w:pPr>
      <w:r>
        <w:rPr>
          <w:b/>
        </w:rPr>
        <w:t>Repeater out of band gain:</w:t>
      </w:r>
      <w:r>
        <w:rPr/>
        <w:t xml:space="preserve"> derives the requirements for the repeater out of band gain and provides planning guidelines when a repeater is in close proximity to other communication systems.</w:t>
      </w:r>
    </w:p>
    <w:p>
      <w:pPr>
        <w:pStyle w:val="Normal"/>
        <w:rPr/>
      </w:pPr>
      <w:r>
        <w:rPr/>
        <w:t>These documents are in annex E.</w:t>
      </w:r>
    </w:p>
    <w:p>
      <w:pPr>
        <w:pStyle w:val="Normal"/>
        <w:rPr/>
      </w:pPr>
      <w:r>
        <w:rPr/>
        <w:t>The documents were presented to STC SMG2 in March 1994. In conclusion, it was decided that no single repeater specification would serve the large number of repeater scenarios that exist. As a consequence, it was agreed to add a specification for the repeater out of band performance to GSM 05.05 with guidelines for the specification and planning of repeaters in the GSM/DCS bands in GSM 03.30.</w:t>
      </w:r>
    </w:p>
    <w:p>
      <w:pPr>
        <w:pStyle w:val="Heading1"/>
        <w:ind w:left="1134" w:hanging="1134"/>
        <w:rPr/>
      </w:pPr>
      <w:bookmarkStart w:id="17" w:name="__RefHeading___Toc518035458"/>
      <w:bookmarkEnd w:id="17"/>
      <w:r>
        <w:rPr/>
        <w:t>8</w:t>
        <w:tab/>
        <w:t>Error Patterns for Speech Coder Developments</w:t>
      </w:r>
    </w:p>
    <w:p>
      <w:pPr>
        <w:pStyle w:val="Normal"/>
        <w:rPr/>
      </w:pPr>
      <w:r>
        <w:rPr/>
        <w:t>TD 164/95 in annex F describes available error patterns.</w:t>
      </w:r>
    </w:p>
    <w:p>
      <w:pPr>
        <w:pStyle w:val="Heading1"/>
        <w:ind w:left="1134" w:hanging="1134"/>
        <w:rPr/>
      </w:pPr>
      <w:bookmarkStart w:id="18" w:name="__RefHeading___Toc518035459"/>
      <w:bookmarkEnd w:id="18"/>
      <w:r>
        <w:rPr/>
        <w:t>9</w:t>
        <w:tab/>
        <w:t>Simulations of Performance</w:t>
      </w:r>
    </w:p>
    <w:p>
      <w:pPr>
        <w:pStyle w:val="Normal"/>
        <w:rPr/>
      </w:pPr>
      <w:r>
        <w:rPr/>
        <w:t>Several documents in annex G gives background information and simulation results of the GSM performance.</w:t>
      </w:r>
    </w:p>
    <w:p>
      <w:pPr>
        <w:pStyle w:val="Heading1"/>
        <w:ind w:left="1134" w:hanging="1134"/>
        <w:rPr/>
      </w:pPr>
      <w:bookmarkStart w:id="19" w:name="__RefHeading___Toc518035460"/>
      <w:bookmarkEnd w:id="19"/>
      <w:r>
        <w:rPr/>
        <w:t>10</w:t>
        <w:tab/>
        <w:t>GSM900 railway system scenarios</w:t>
      </w:r>
    </w:p>
    <w:p>
      <w:pPr>
        <w:pStyle w:val="Normal"/>
        <w:rPr/>
      </w:pPr>
      <w:r>
        <w:rPr/>
        <w:t>In 1993, the "Union Internationale de Chemin de Fer", UIC, decided to base a new railways pan-European system on GSM technology operating in the 900 MHz band.</w:t>
      </w:r>
    </w:p>
    <w:p>
      <w:pPr>
        <w:pStyle w:val="Normal"/>
        <w:keepNext w:val="true"/>
        <w:keepLines/>
        <w:rPr/>
      </w:pPr>
      <w:r>
        <w:rPr/>
        <w:t>In 1995, the CEPT, in recommendation T/R 25-09, decided that " the international requirements without excluding national requirements of railways for non-public digital radiocommunication system in the 900 MHz band should be covered by selecting appropriate sub-bands from the designated band 876 MHz to 880 MHz (mobile station transmit) paired with 921 MHz to 925 MHz (base station transmit) with a duplex separation of 45 MHz".</w:t>
      </w:r>
    </w:p>
    <w:p>
      <w:pPr>
        <w:pStyle w:val="Normal"/>
        <w:rPr/>
      </w:pPr>
      <w:r>
        <w:rPr/>
        <w:t>During 1996, SMG2 in a two-step process discussed the RF parameters in GSM 05.05 for GSM-type equipments operating in this frequency band, called UIC equipments. Two documents were elaborated for this purpose. They are:</w:t>
      </w:r>
    </w:p>
    <w:p>
      <w:pPr>
        <w:pStyle w:val="B1"/>
        <w:rPr/>
      </w:pPr>
      <w:r>
        <w:rPr/>
        <w:t>-</w:t>
        <w:tab/>
        <w:t>UIC system scenarios requirements;</w:t>
      </w:r>
    </w:p>
    <w:p>
      <w:pPr>
        <w:pStyle w:val="B1"/>
        <w:rPr/>
      </w:pPr>
      <w:r>
        <w:rPr/>
        <w:t>-</w:t>
        <w:tab/>
        <w:t>UIC RF parameters.</w:t>
      </w:r>
    </w:p>
    <w:p>
      <w:pPr>
        <w:pStyle w:val="Normal"/>
        <w:rPr/>
      </w:pPr>
      <w:r>
        <w:rPr/>
        <w:t xml:space="preserve">In </w:t>
      </w:r>
      <w:r>
        <w:rPr>
          <w:b/>
        </w:rPr>
        <w:t>UIC system scenarios requirements</w:t>
      </w:r>
      <w:r>
        <w:rPr/>
        <w:t>, the relevant system and interference scenarios for UIC equipments are identified and the noise levels allowed and the signal levels arising out of the worst cases are derived, both as regards intra-systems performance of a UIC network and towards other GSM-type systems in the neighbouring frequency bands.</w:t>
      </w:r>
    </w:p>
    <w:p>
      <w:pPr>
        <w:pStyle w:val="Normal"/>
        <w:rPr/>
      </w:pPr>
      <w:r>
        <w:rPr/>
        <w:t xml:space="preserve">Basing on the former, </w:t>
      </w:r>
      <w:r>
        <w:rPr>
          <w:b/>
        </w:rPr>
        <w:t>UIC RF parameters</w:t>
      </w:r>
      <w:r>
        <w:rPr/>
        <w:t xml:space="preserve"> discusses all the parameters in GSM 05.05 and determines the RF requirements for UIC equipments, to be in line with the scenario requirements where possible and feasible, or being a reasonable compromise where not. The specifications for other GSM900 and DCS1800 types of equipment are not affected, except possibly where there is absolutely no implications for their implementation.</w:t>
      </w:r>
    </w:p>
    <w:p>
      <w:pPr>
        <w:pStyle w:val="Normal"/>
        <w:rPr/>
      </w:pPr>
      <w:r>
        <w:rPr/>
        <w:t>These documents are in clauses H.1 and H.2, respectively.</w:t>
      </w:r>
    </w:p>
    <w:p>
      <w:pPr>
        <w:pStyle w:val="Normal"/>
        <w:rPr/>
      </w:pPr>
      <w:r>
        <w:rPr/>
        <w:t>The resulting specifications were incorporated into GSM 05.05 by Change Request no. A027.</w:t>
      </w:r>
    </w:p>
    <w:p>
      <w:pPr>
        <w:pStyle w:val="Heading1"/>
        <w:ind w:left="1134" w:hanging="1134"/>
        <w:rPr/>
      </w:pPr>
      <w:bookmarkStart w:id="20" w:name="__RefHeading___Toc518035461"/>
      <w:bookmarkEnd w:id="20"/>
      <w:r>
        <w:rPr/>
        <w:t>11</w:t>
        <w:tab/>
        <w:t>Simulation results for GPRS receiver performance</w:t>
      </w:r>
    </w:p>
    <w:p>
      <w:pPr>
        <w:pStyle w:val="Normal"/>
        <w:rPr/>
      </w:pPr>
      <w:r>
        <w:rPr/>
        <w:t>The documents in annexes K, L, M, N, P, Q and W give background information and simulation results of GPRS receiver performance</w:t>
      </w:r>
    </w:p>
    <w:p>
      <w:pPr>
        <w:pStyle w:val="Heading1"/>
        <w:ind w:left="1134" w:hanging="1134"/>
        <w:rPr/>
      </w:pPr>
      <w:bookmarkStart w:id="21" w:name="__RefHeading___Toc518035462"/>
      <w:bookmarkEnd w:id="21"/>
      <w:r>
        <w:rPr/>
        <w:t>12</w:t>
        <w:tab/>
        <w:t>Pico BTS RF scenarios</w:t>
      </w:r>
    </w:p>
    <w:p>
      <w:pPr>
        <w:pStyle w:val="Normal"/>
        <w:rPr/>
      </w:pPr>
      <w:r>
        <w:rPr/>
        <w:t>The documents in annex R give background information on pico BTS RF scenarios.</w:t>
      </w:r>
    </w:p>
    <w:p>
      <w:pPr>
        <w:pStyle w:val="Heading1"/>
        <w:ind w:left="1134" w:hanging="1134"/>
        <w:rPr/>
      </w:pPr>
      <w:bookmarkStart w:id="22" w:name="__RefHeading___Toc518035463"/>
      <w:bookmarkEnd w:id="22"/>
      <w:r>
        <w:rPr/>
        <w:t>13</w:t>
        <w:tab/>
        <w:t>CTS system scenarios</w:t>
      </w:r>
    </w:p>
    <w:p>
      <w:pPr>
        <w:pStyle w:val="Normal"/>
        <w:rPr/>
      </w:pPr>
      <w:r>
        <w:rPr/>
        <w:t>The document in annex S gives background information on CTS system scenarios.</w:t>
      </w:r>
    </w:p>
    <w:p>
      <w:pPr>
        <w:pStyle w:val="Heading1"/>
        <w:ind w:left="1134" w:hanging="1134"/>
        <w:rPr/>
      </w:pPr>
      <w:bookmarkStart w:id="23" w:name="__RefHeading___Toc518035464"/>
      <w:bookmarkEnd w:id="23"/>
      <w:r>
        <w:rPr/>
        <w:t>14</w:t>
        <w:tab/>
        <w:t>GSM400 system scenarios</w:t>
      </w:r>
    </w:p>
    <w:p>
      <w:pPr>
        <w:pStyle w:val="Normal"/>
        <w:rPr/>
      </w:pPr>
      <w:r>
        <w:rPr/>
        <w:t>There is one document describing the GSM400 system scenarios. The present document is:</w:t>
      </w:r>
    </w:p>
    <w:p>
      <w:pPr>
        <w:pStyle w:val="B1"/>
        <w:rPr/>
      </w:pPr>
      <w:r>
        <w:rPr/>
        <w:t>-</w:t>
        <w:tab/>
        <w:t>GSM400 system scenarios (Tdoc SMG2 190/99, revised as Tdoc SMG2 542/99).</w:t>
      </w:r>
    </w:p>
    <w:p>
      <w:pPr>
        <w:pStyle w:val="Normal"/>
        <w:rPr/>
      </w:pPr>
      <w:r>
        <w:rPr/>
        <w:t>GSM400 System Scenarios document presents GSM400 operation primarily in respect of the GSM 05.05 series of recommendations. All relevant scenarios for each part of GSM 05.05 are considered and the most critical cases identified. As a result the present document gives background information for GSM400 RF requirements presented in GSM 05.05 specification.</w:t>
      </w:r>
    </w:p>
    <w:p>
      <w:pPr>
        <w:pStyle w:val="Normal"/>
        <w:rPr/>
      </w:pPr>
      <w:r>
        <w:rPr/>
        <w:t>The present document on GSM400 system scenarios is in annex T.</w:t>
      </w:r>
    </w:p>
    <w:p>
      <w:pPr>
        <w:pStyle w:val="Heading1"/>
        <w:ind w:left="1134" w:hanging="1134"/>
        <w:rPr/>
      </w:pPr>
      <w:bookmarkStart w:id="24" w:name="__RefHeading___Toc518035465"/>
      <w:bookmarkEnd w:id="24"/>
      <w:r>
        <w:rPr/>
        <w:t>15</w:t>
        <w:tab/>
        <w:t>MXM system scenarios</w:t>
      </w:r>
    </w:p>
    <w:p>
      <w:pPr>
        <w:pStyle w:val="Normal"/>
        <w:rPr/>
      </w:pPr>
      <w:r>
        <w:rPr/>
        <w:t>The document in Annex U gives background information for 850 MHz and 1 900 MHz mixed mode system operation. 850 MHz and 1 900 MHz mixed-mode is defined as a network that deploys both 30 kHz RF carriers and 200 kHz RF carriers in geographic regions where the Federal Communications Commission (FCC) regulations are applied.</w:t>
      </w:r>
    </w:p>
    <w:p>
      <w:pPr>
        <w:pStyle w:val="Heading1"/>
        <w:ind w:left="1134" w:hanging="1134"/>
        <w:rPr/>
      </w:pPr>
      <w:bookmarkStart w:id="25" w:name="__RefHeading___Toc518035466"/>
      <w:bookmarkEnd w:id="25"/>
      <w:r>
        <w:rPr/>
        <w:t>16</w:t>
        <w:tab/>
        <w:t>LCS scenarios</w:t>
      </w:r>
    </w:p>
    <w:p>
      <w:pPr>
        <w:pStyle w:val="Normal"/>
        <w:rPr/>
      </w:pPr>
      <w:r>
        <w:rPr/>
        <w:t>The documents in annex V gives background information on LCS scenarios.</w:t>
      </w:r>
    </w:p>
    <w:p>
      <w:pPr>
        <w:pStyle w:val="Heading1"/>
        <w:ind w:left="1134" w:hanging="1134"/>
        <w:rPr/>
      </w:pPr>
      <w:bookmarkStart w:id="26" w:name="__RefHeading___Toc518035467"/>
      <w:bookmarkEnd w:id="26"/>
      <w:r>
        <w:rPr/>
        <w:t>17</w:t>
        <w:tab/>
        <w:t>8-PSK Scenarios</w:t>
      </w:r>
    </w:p>
    <w:p>
      <w:pPr>
        <w:pStyle w:val="Normal"/>
        <w:rPr/>
      </w:pPr>
      <w:r>
        <w:rPr/>
        <w:t xml:space="preserve">The document in annex X gives </w:t>
      </w:r>
      <w:r>
        <w:rPr>
          <w:lang w:val="en-US" w:eastAsia="en-US"/>
        </w:rPr>
        <w:t>background information on 8-PSK scenarios</w:t>
      </w:r>
      <w:r>
        <w:rPr/>
        <w:t>.</w:t>
      </w:r>
    </w:p>
    <w:p>
      <w:pPr>
        <w:pStyle w:val="Heading1"/>
        <w:ind w:left="1134" w:hanging="1134"/>
        <w:rPr/>
      </w:pPr>
      <w:bookmarkStart w:id="27" w:name="__RefHeading___Toc518035468"/>
      <w:bookmarkEnd w:id="27"/>
      <w:r>
        <w:rPr/>
        <w:t>18</w:t>
        <w:tab/>
        <w:t>T-GSM 900 System Scenarios</w:t>
      </w:r>
    </w:p>
    <w:p>
      <w:pPr>
        <w:pStyle w:val="Normal"/>
        <w:rPr/>
      </w:pPr>
      <w:r>
        <w:rPr/>
        <w:t xml:space="preserve">The document in annex Y gives </w:t>
      </w:r>
      <w:r>
        <w:rPr>
          <w:lang w:val="en-US" w:eastAsia="en-US"/>
        </w:rPr>
        <w:t>background information on T-GSM 900 scenarios</w:t>
      </w:r>
      <w:r>
        <w:rPr/>
        <w:t>.</w:t>
      </w:r>
    </w:p>
    <w:p>
      <w:pPr>
        <w:pStyle w:val="Heading1"/>
        <w:ind w:left="1134" w:hanging="1134"/>
        <w:rPr/>
      </w:pPr>
      <w:bookmarkStart w:id="28" w:name="__RefHeading___Toc518035469"/>
      <w:bookmarkEnd w:id="28"/>
      <w:r>
        <w:rPr/>
        <w:t>19</w:t>
        <w:tab/>
        <w:t>MBMS System Scenarios</w:t>
      </w:r>
    </w:p>
    <w:p>
      <w:pPr>
        <w:pStyle w:val="Normal"/>
        <w:rPr/>
      </w:pPr>
      <w:r>
        <w:rPr/>
        <w:t>The document in annex Z gives background information and simulation results of MBMS receiver performance.</w:t>
      </w:r>
    </w:p>
    <w:p>
      <w:pPr>
        <w:pStyle w:val="Heading1"/>
        <w:ind w:left="1134" w:hanging="1134"/>
        <w:rPr/>
      </w:pPr>
      <w:bookmarkStart w:id="29" w:name="__RefHeading___Toc518035470"/>
      <w:bookmarkEnd w:id="29"/>
      <w:r>
        <w:rPr/>
        <w:t>20</w:t>
        <w:tab/>
      </w:r>
      <w:r>
        <w:rPr>
          <w:lang w:eastAsia="zh-CN"/>
        </w:rPr>
        <w:t>T-GSM 810</w:t>
      </w:r>
      <w:r>
        <w:rPr/>
        <w:t xml:space="preserve"> System Scenarios</w:t>
      </w:r>
    </w:p>
    <w:p>
      <w:pPr>
        <w:pStyle w:val="Normal"/>
        <w:rPr>
          <w:lang w:eastAsia="zh-CN"/>
        </w:rPr>
      </w:pPr>
      <w:r>
        <w:rPr/>
        <w:t xml:space="preserve">The document in annex </w:t>
      </w:r>
      <w:r>
        <w:rPr>
          <w:lang w:eastAsia="zh-CN"/>
        </w:rPr>
        <w:t>ZA</w:t>
      </w:r>
      <w:r>
        <w:rPr/>
        <w:t xml:space="preserve"> gives </w:t>
      </w:r>
      <w:r>
        <w:rPr>
          <w:lang w:val="en-US" w:eastAsia="en-US"/>
        </w:rPr>
        <w:t xml:space="preserve">background information on coexistence scenarios for </w:t>
      </w:r>
      <w:r>
        <w:rPr>
          <w:lang w:val="en-US" w:eastAsia="en-US"/>
        </w:rPr>
        <w:t>T-GSM810</w:t>
      </w:r>
      <w:r>
        <w:rPr/>
        <w:t>.</w:t>
      </w:r>
    </w:p>
    <w:p>
      <w:pPr>
        <w:pStyle w:val="Heading1"/>
        <w:ind w:left="1134" w:hanging="1134"/>
        <w:rPr/>
      </w:pPr>
      <w:bookmarkStart w:id="30" w:name="__RefHeading___Toc518035471"/>
      <w:bookmarkEnd w:id="30"/>
      <w:r>
        <w:rPr/>
        <w:t>2</w:t>
      </w:r>
      <w:r>
        <w:rPr>
          <w:lang w:eastAsia="zh-CN"/>
        </w:rPr>
        <w:t>1</w:t>
      </w:r>
      <w:r>
        <w:rPr/>
        <w:tab/>
      </w:r>
      <w:r>
        <w:rPr>
          <w:lang w:eastAsia="zh-CN"/>
        </w:rPr>
        <w:t>Multicarrier BTS Class</w:t>
      </w:r>
    </w:p>
    <w:p>
      <w:pPr>
        <w:pStyle w:val="Normal"/>
        <w:rPr>
          <w:lang w:eastAsia="zh-CN"/>
        </w:rPr>
      </w:pPr>
      <w:r>
        <w:rPr/>
        <w:t xml:space="preserve">The document in annex </w:t>
      </w:r>
      <w:r>
        <w:rPr>
          <w:lang w:eastAsia="zh-CN"/>
        </w:rPr>
        <w:t>ZB</w:t>
      </w:r>
      <w:r>
        <w:rPr/>
        <w:t xml:space="preserve"> gives </w:t>
      </w:r>
      <w:r>
        <w:rPr>
          <w:lang w:val="en-US" w:eastAsia="en-US"/>
        </w:rPr>
        <w:t xml:space="preserve">background information on </w:t>
      </w:r>
      <w:r>
        <w:rPr>
          <w:lang w:val="en-US" w:eastAsia="en-US"/>
        </w:rPr>
        <w:t>introduction of multicarrier BTS class</w:t>
      </w:r>
      <w:r>
        <w:rPr/>
        <w:t>.</w:t>
      </w:r>
    </w:p>
    <w:p>
      <w:pPr>
        <w:pStyle w:val="Heading1"/>
        <w:ind w:left="1134" w:hanging="1134"/>
        <w:rPr/>
      </w:pPr>
      <w:bookmarkStart w:id="31" w:name="__RefHeading___Toc518035472"/>
      <w:bookmarkEnd w:id="31"/>
      <w:r>
        <w:rPr/>
        <w:t>2</w:t>
      </w:r>
      <w:r>
        <w:rPr>
          <w:lang w:eastAsia="zh-CN"/>
        </w:rPr>
        <w:t>2</w:t>
      </w:r>
      <w:r>
        <w:rPr/>
        <w:tab/>
      </w:r>
      <w:r>
        <w:rPr>
          <w:lang w:eastAsia="zh-CN"/>
        </w:rPr>
        <w:t>ER-GSM band introduction</w:t>
      </w:r>
    </w:p>
    <w:p>
      <w:pPr>
        <w:pStyle w:val="Normal"/>
        <w:rPr/>
      </w:pPr>
      <w:r>
        <w:rPr>
          <w:color w:val="000000"/>
        </w:rPr>
        <w:t>As per the Work Item RT_ERGSM approved at 3GPP GERAN #51 in ZD.6 [1], it is required that investigations are performed to ensure that introduction of RF requirements for ER-GSM equipments usage will minimize the potential impacts to existing 3GPP systems in the E-GSM band and secure that the current 3GPP GERAN requirements of the existing GSM 900 bands and therefore dedicated equipment and services are not affected.</w:t>
      </w:r>
    </w:p>
    <w:p>
      <w:pPr>
        <w:pStyle w:val="Normal"/>
        <w:rPr/>
      </w:pPr>
      <w:r>
        <w:rPr/>
        <w:t xml:space="preserve">Annex </w:t>
      </w:r>
      <w:r>
        <w:rPr>
          <w:lang w:eastAsia="zh-CN"/>
        </w:rPr>
        <w:t>Z</w:t>
      </w:r>
      <w:r>
        <w:rPr>
          <w:lang w:eastAsia="zh-CN"/>
        </w:rPr>
        <w:t>D is therefore created to meet that requirement and</w:t>
      </w:r>
      <w:r>
        <w:rPr/>
        <w:t xml:space="preserve"> gives </w:t>
      </w:r>
      <w:r>
        <w:rPr>
          <w:lang w:val="en-US" w:eastAsia="en-US"/>
        </w:rPr>
        <w:t xml:space="preserve">background information on </w:t>
      </w:r>
      <w:r>
        <w:rPr>
          <w:lang w:val="en-US" w:eastAsia="en-US"/>
        </w:rPr>
        <w:t xml:space="preserve">introduction of </w:t>
      </w:r>
      <w:r>
        <w:rPr>
          <w:lang w:val="en-US" w:eastAsia="en-US"/>
        </w:rPr>
        <w:t>ER-GSM band scenarios</w:t>
      </w:r>
      <w:r>
        <w:rPr/>
        <w:t>.</w:t>
      </w:r>
    </w:p>
    <w:p>
      <w:pPr>
        <w:pStyle w:val="Heading1"/>
        <w:ind w:left="1134" w:hanging="1134"/>
        <w:rPr/>
      </w:pPr>
      <w:bookmarkStart w:id="32" w:name="__RefHeading___Toc518035473"/>
      <w:bookmarkEnd w:id="32"/>
      <w:r>
        <w:rPr/>
        <w:t>2</w:t>
      </w:r>
      <w:r>
        <w:rPr>
          <w:lang w:eastAsia="zh-CN"/>
        </w:rPr>
        <w:t>3</w:t>
      </w:r>
      <w:r>
        <w:rPr/>
        <w:tab/>
        <w:t xml:space="preserve">Extended </w:t>
      </w:r>
      <w:r>
        <w:rPr>
          <w:lang w:eastAsia="zh-CN"/>
        </w:rPr>
        <w:t>Training Sequence Code Sets</w:t>
      </w:r>
    </w:p>
    <w:p>
      <w:pPr>
        <w:pStyle w:val="Heading2"/>
        <w:rPr/>
      </w:pPr>
      <w:bookmarkStart w:id="33" w:name="__RefHeading___Toc518035474"/>
      <w:bookmarkEnd w:id="33"/>
      <w:r>
        <w:rPr/>
        <w:t>23.1</w:t>
        <w:tab/>
        <w:t>Background</w:t>
      </w:r>
    </w:p>
    <w:p>
      <w:pPr>
        <w:pStyle w:val="Normal"/>
        <w:rPr/>
      </w:pPr>
      <w:r>
        <w:rPr/>
        <w:t>All burst types, except the frequency correction burst, contain a training sequence (also referred to as a synchronization sequence). Its purpose is to facilitate synchronization, channel estimation and blind detection of modulation on the radio interface.</w:t>
      </w:r>
    </w:p>
    <w:p>
      <w:pPr>
        <w:pStyle w:val="Normal"/>
        <w:rPr/>
      </w:pPr>
      <w:r>
        <w:rPr/>
        <w:t>For normal bursts (NB) and higher symbol rate bursts (HB) a set of eight training sequences is defined for each modulation (GMSK, 8PSK, 16QAM and 32QAM for NB, and QPSK, 16QAM and 32QAM for HB) to facilitate training sequence planning, i.e., avoiding that strong interfering bursts have the same training sequence as the wanted signal bursts.</w:t>
      </w:r>
    </w:p>
    <w:p>
      <w:pPr>
        <w:pStyle w:val="Normal"/>
        <w:rPr/>
      </w:pPr>
      <w:r>
        <w:rPr/>
        <w:t>For VAMOS, a second set of eight training sequences (TSC Set 2) is defined for GMSK modulated normal bursts (see 3GPP TS 45.002). Two GMSK training sequences are used to form the AQPSK training sequence (see 3GPP TS 45.002) for the downlink VAMOS modulation. The VAMOS (Set 2) training sequences have superior cross-correlation properties compared to the first set. This has facilitated improved Circuit Switched (CS) link level performance leading to enhanced BTS hardware capacity and improved spectral utilization in CS deployments compared to only using the existing TSC set.</w:t>
      </w:r>
    </w:p>
    <w:p>
      <w:pPr>
        <w:pStyle w:val="Normal"/>
        <w:rPr/>
      </w:pPr>
      <w:r>
        <w:rPr/>
        <w:t>All training sequences are defined in 3GPP TS 45.002.</w:t>
      </w:r>
    </w:p>
    <w:p>
      <w:pPr>
        <w:pStyle w:val="Heading2"/>
        <w:rPr/>
      </w:pPr>
      <w:bookmarkStart w:id="34" w:name="__RefHeading___Toc518035475"/>
      <w:bookmarkEnd w:id="34"/>
      <w:r>
        <w:rPr/>
        <w:t>23.2</w:t>
        <w:tab/>
        <w:t>Extended TSC Sets</w:t>
      </w:r>
    </w:p>
    <w:p>
      <w:pPr>
        <w:pStyle w:val="Heading3"/>
        <w:rPr/>
      </w:pPr>
      <w:bookmarkStart w:id="35" w:name="__RefHeading___Toc518035476"/>
      <w:bookmarkEnd w:id="35"/>
      <w:r>
        <w:rPr/>
        <w:t>23.2.1</w:t>
        <w:tab/>
        <w:t>Scope</w:t>
      </w:r>
    </w:p>
    <w:p>
      <w:pPr>
        <w:pStyle w:val="Normal"/>
        <w:rPr/>
      </w:pPr>
      <w:r>
        <w:rPr/>
        <w:t>When using extended TSC sets additional sets, each of eight training sequences, are defined for the different modulations when using normal bursts. The number of additional TSC sets depends on the domain (circuit switched or packet switched) they operate in and the modulation scheme used.</w:t>
      </w:r>
    </w:p>
    <w:p>
      <w:pPr>
        <w:pStyle w:val="Normal"/>
        <w:rPr/>
      </w:pPr>
      <w:r>
        <w:rPr/>
        <w:t>For the circuit switched domain, two new GMSK sets, referred to as GMSK TSC Set 3 and GMSK TSC Set 4 are defined. For VAMOS, the two GMSK training sequence sets can be used to form the AQPSK training sequence (see 3GPP TS 45.002) for the downlink VAMOS modulation.</w:t>
      </w:r>
    </w:p>
    <w:p>
      <w:pPr>
        <w:pStyle w:val="Normal"/>
        <w:rPr/>
      </w:pPr>
      <w:r>
        <w:rPr/>
        <w:t xml:space="preserve">For the packet switched domain, including EGPRS and EGPRS2-A, one additional set of eight training sequences is defined for each of GMSK, 8PSK, 16QAM and 32QAM normal bursts, referred to as TSC Set 2 for 8PSK, 16QAM and 32QAM modulation, while for GMSK, TSC set 3, which is identical to TSC set 3 used for circuit switched channels, is used. </w:t>
      </w:r>
    </w:p>
    <w:p>
      <w:pPr>
        <w:pStyle w:val="Normal"/>
        <w:rPr/>
      </w:pPr>
      <w:r>
        <w:rPr/>
        <w:t>With 16 new sequences for GMSK and 8 new sequences for 8PSK, 16QAM and 32QAM a total of 40 new sequences are introduced.</w:t>
      </w:r>
    </w:p>
    <w:p>
      <w:pPr>
        <w:pStyle w:val="Heading3"/>
        <w:rPr/>
      </w:pPr>
      <w:bookmarkStart w:id="36" w:name="__RefHeading___Toc518035477"/>
      <w:bookmarkEnd w:id="36"/>
      <w:r>
        <w:rPr/>
        <w:t>23.2.2</w:t>
        <w:tab/>
        <w:t>Design criteria</w:t>
      </w:r>
    </w:p>
    <w:p>
      <w:pPr>
        <w:pStyle w:val="Normal"/>
        <w:rPr/>
      </w:pPr>
      <w:r>
        <w:rPr/>
        <w:t>The new sequences have good cross-correlation properties both within the sets for each modulation but also between the different modulations and towards all TSC sets that existed before the extention was introduced, for all modulations as well as the dummy burst. When designing the sequences, care was taken to make sure the cross correlation properties were especially good for co-channel interference, but also to have good properties for adjacent channel interference. With better cross-correlation properties the link level performance is improved and hence also the spectral efficiency for both the Packet Switched (PS) and the Circuit Switched (CS) domain. The gains will be most evident in the case of synchronous network operation, where the training sequence of wanted signal and interferer to a large extent overlap.</w:t>
      </w:r>
    </w:p>
    <w:p>
      <w:pPr>
        <w:pStyle w:val="Heading3"/>
        <w:rPr/>
      </w:pPr>
      <w:bookmarkStart w:id="37" w:name="__RefHeading___Toc518035478"/>
      <w:bookmarkStart w:id="38" w:name="_Ref402531656"/>
      <w:bookmarkEnd w:id="37"/>
      <w:r>
        <w:rPr/>
        <w:t>23.2.3</w:t>
        <w:tab/>
        <w:t>Design methodology</w:t>
      </w:r>
      <w:bookmarkEnd w:id="38"/>
    </w:p>
    <w:p>
      <w:pPr>
        <w:pStyle w:val="Normal"/>
        <w:rPr/>
      </w:pPr>
      <w:r>
        <w:rPr/>
        <w:t xml:space="preserve">The design of the training sequences is described in detail in the document in Subclause ZE.1. The sets were derived one at a time in the order GMSK Set 3, GMSK Set 4, 8PSK Set 2, 16QAM Set 2, 32QAM Set 2. Each new set was designed such that the cross-correlation properties were good not only within the set but also towards all other existing sets, currently available, and the already generated extended TSC sets in the step-wise approacch. </w:t>
      </w:r>
    </w:p>
    <w:p>
      <w:pPr>
        <w:pStyle w:val="Normal"/>
        <w:rPr/>
      </w:pPr>
      <w:r>
        <w:rPr/>
        <w:t>First an exhaustive search was performed and a large number of sequences with good auto-correlation properties and good cross-correlation properties against all existing sets were selected. Measures of both auto-correlation and all combinations of cross-correlation for all these sequences were calculated. The set was then selected as the one minimizing the cost function based on these correlations.</w:t>
      </w:r>
    </w:p>
    <w:p>
      <w:pPr>
        <w:pStyle w:val="Heading3"/>
        <w:rPr/>
      </w:pPr>
      <w:bookmarkStart w:id="39" w:name="__RefHeading___Toc518035479"/>
      <w:bookmarkEnd w:id="39"/>
      <w:r>
        <w:rPr/>
        <w:t>23.2.4</w:t>
        <w:tab/>
        <w:t>Evaluation methodology</w:t>
      </w:r>
    </w:p>
    <w:p>
      <w:pPr>
        <w:pStyle w:val="Normal"/>
        <w:rPr/>
      </w:pPr>
      <w:r>
        <w:rPr/>
        <w:t xml:space="preserve">A methodology framework for evaluating the extended TSC set was followed according to the document in Subclause ZE.2. In short the extended TSC set was evaluated in both interference limited (including both CCI and ACI) and sensitivity limited scenario. For interference limited scenarios the relative delay of the interferer was derived using system level simulations with different cell sizes and re-use factors. The evaluation was based on simulations. These simulations covered both the CS and PS domain for the 900 MHz frequency band. All modulations, including GPRS, EGPRS and EGPRS2-A were considered. Besides sensitivity evaluations, co-channel and adjacent channel interference evaluations were performed. Both non-VAMOS and VAMOS test cases were included in the evaluation. Different weight factors were applied, to arrive at a final performance figure, depending on interference scenario and modulation used. For more details see the document in Subclause ZE.3. The working assumptions in Subclause ZE.3 constitute the basis of what is expected from the extended TSC sets. They are a set of rules defining not only how to evaluate the sets, but also highlighting what is considered to be important during the design of the sequences. Since the working assumptions describe what the extended TSC sets are designed for they are valuable to include in this document for future reference. </w:t>
      </w:r>
    </w:p>
    <w:p>
      <w:pPr>
        <w:pStyle w:val="Heading3"/>
        <w:rPr/>
      </w:pPr>
      <w:bookmarkStart w:id="40" w:name="__RefHeading___Toc518035480"/>
      <w:bookmarkEnd w:id="40"/>
      <w:r>
        <w:rPr/>
        <w:t>23.2.5</w:t>
        <w:tab/>
        <w:t>Performance evaluation</w:t>
      </w:r>
    </w:p>
    <w:p>
      <w:pPr>
        <w:pStyle w:val="Normal"/>
        <w:rPr/>
      </w:pPr>
      <w:r>
        <w:rPr/>
        <w:t>The performance evaluation, appended in Subclause ZE.4, show the gains of extending the TSC sets. For the performance evaluation a synchronous network has been assumed.</w:t>
      </w:r>
    </w:p>
    <w:p>
      <w:pPr>
        <w:pStyle w:val="Normal"/>
        <w:rPr/>
      </w:pPr>
      <w:r>
        <w:rPr/>
        <w:t xml:space="preserve">It is shown that increasing the TSC plan from 8 TSCs to 16 TSCs for speech channels give a link level gain of roughly 2 dB and a system capacity gain of 34 </w:t>
        <w:noBreakHyphen/>
        <w:t xml:space="preserve"> 47 % because of the reduced probability of co-TSC interference and improved TSC correlation properties. </w:t>
      </w:r>
    </w:p>
    <w:p>
      <w:pPr>
        <w:pStyle w:val="Normal"/>
        <w:rPr/>
      </w:pPr>
      <w:r>
        <w:rPr/>
        <w:t>System level capacity gains with VAMOS have also been evaluated, see Subclause ZE.4, where additional gains compared to VAMOS when using existing TSC sets was shown to be 12 – 18 percentage points.</w:t>
      </w:r>
    </w:p>
    <w:p>
      <w:pPr>
        <w:pStyle w:val="Normal"/>
        <w:rPr/>
      </w:pPr>
      <w:r>
        <w:rPr/>
        <w:t>Evaluation of the extended TSC sets described in Section 23.2.3 has been performed according to the evaluation methodology described in Section 23.2.4 resulting in an average gain of 1.5 dB and 0.7 dB compared to TSC set 1, and TSC set 1 and 2 respectively.</w:t>
      </w:r>
    </w:p>
    <w:p>
      <w:pPr>
        <w:pStyle w:val="Heading1"/>
        <w:ind w:left="1134" w:hanging="1134"/>
        <w:rPr>
          <w:lang w:val="en-US"/>
        </w:rPr>
      </w:pPr>
      <w:bookmarkStart w:id="41" w:name="__RefHeading___Toc518035481"/>
      <w:bookmarkEnd w:id="41"/>
      <w:r>
        <w:rPr>
          <w:lang w:val="en-US"/>
        </w:rPr>
        <w:t>24</w:t>
        <w:tab/>
        <w:t>Machine-type-communication (MTC) deployment, including EC-GSM-IoT, in a reduced BCCH spectrum allocation</w:t>
      </w:r>
    </w:p>
    <w:p>
      <w:pPr>
        <w:pStyle w:val="Heading2"/>
        <w:rPr>
          <w:lang w:val="en-US"/>
        </w:rPr>
      </w:pPr>
      <w:bookmarkStart w:id="42" w:name="__RefHeading___Toc518035482"/>
      <w:bookmarkEnd w:id="42"/>
      <w:r>
        <w:rPr>
          <w:lang w:val="en-US"/>
        </w:rPr>
        <w:t>24.1</w:t>
        <w:tab/>
        <w:t>Introduction</w:t>
      </w:r>
    </w:p>
    <w:p>
      <w:pPr>
        <w:pStyle w:val="Normal"/>
        <w:rPr/>
      </w:pPr>
      <w:r>
        <w:rPr>
          <w:lang w:val="en-US"/>
        </w:rPr>
        <w:t>In GSM networks supporting both voice and data services a typical network deployment includes a frequency layer of broadcast carriers using a 4/12 re-use. This implies that the network deployment at least occupies a 2.4 MHz bandwidth. In addition, in case more capacity is needed, one or more additional frequency layers can be deployed which can have any re-use factor, down to, and including, a 1/1 re-use. In any re-use factor in a typical deployment however co-channel as well as adjacent channel interference caused by channels in the same cell is always avoided.</w:t>
      </w:r>
    </w:p>
    <w:p>
      <w:pPr>
        <w:pStyle w:val="Normal"/>
        <w:rPr>
          <w:lang w:val="en-US"/>
        </w:rPr>
      </w:pPr>
      <w:r>
        <w:rPr>
          <w:lang w:val="en-US"/>
        </w:rPr>
        <w:t>In case the GSM network only supports data services, the quality of service requirement compared to the general GSM/EDGE deployment changes.</w:t>
      </w:r>
    </w:p>
    <w:p>
      <w:pPr>
        <w:pStyle w:val="Normal"/>
        <w:rPr/>
      </w:pPr>
      <w:r>
        <w:rPr>
          <w:lang w:val="en-US"/>
        </w:rPr>
        <w:t>In a circuit switched call, the quality of service requirements need to be fulfilled in order for the service to work, e.g. a speech frame erasure rate below a certain target. For packet switched services running RLC acknowledge operation, with relaxed delay requirements, the control channel need to be operable at a low enough block error rate (BLER), and the data channel need to be operable at a BLER level where HARQ type I or type II can work.</w:t>
      </w:r>
    </w:p>
    <w:p>
      <w:pPr>
        <w:pStyle w:val="Normal"/>
        <w:rPr/>
      </w:pPr>
      <w:r>
        <w:rPr>
          <w:lang w:val="en-US"/>
        </w:rPr>
        <w:t>As these data services are targeting small data transmissions where devices are stationary or moving with a limited speed, idle mode mobility is furthermore foreseen to be sufficient for these devices. So although supported by the 3GPP standards, packet transfer mode handover is not expected to be used by these devices, and only idle mode autonomous cell reselection is expected to be used. For EC-GSM-IoT devices autonomous cell reselection is the only means defined to provide mobility between cells.</w:t>
      </w:r>
    </w:p>
    <w:p>
      <w:pPr>
        <w:pStyle w:val="Normal"/>
        <w:rPr/>
      </w:pPr>
      <w:r>
        <w:rPr>
          <w:lang w:val="en-US"/>
        </w:rPr>
        <w:t>These aspects provide a possibility to operate a GSM network in a tighter re-use frequency scenario of the broadcast carrier, where the SINR levels in the network will be reduced compared to traditional operation of the broadcast layer.</w:t>
      </w:r>
    </w:p>
    <w:p>
      <w:pPr>
        <w:pStyle w:val="Heading2"/>
        <w:rPr>
          <w:lang w:val="en-US"/>
        </w:rPr>
      </w:pPr>
      <w:bookmarkStart w:id="43" w:name="__RefHeading___Toc518035483"/>
      <w:bookmarkEnd w:id="43"/>
      <w:r>
        <w:rPr>
          <w:lang w:val="en-US"/>
        </w:rPr>
        <w:t>24.2</w:t>
        <w:tab/>
        <w:t>Simulation campaign</w:t>
      </w:r>
    </w:p>
    <w:p>
      <w:pPr>
        <w:pStyle w:val="Heading3"/>
        <w:rPr>
          <w:lang w:val="en-US"/>
        </w:rPr>
      </w:pPr>
      <w:bookmarkStart w:id="44" w:name="__RefHeading___Toc518035484"/>
      <w:bookmarkEnd w:id="44"/>
      <w:r>
        <w:rPr>
          <w:lang w:val="en-US"/>
        </w:rPr>
        <w:t>24.2.1</w:t>
        <w:tab/>
        <w:t>Introduction</w:t>
      </w:r>
    </w:p>
    <w:p>
      <w:pPr>
        <w:pStyle w:val="Normal"/>
        <w:rPr>
          <w:lang w:val="en-US"/>
        </w:rPr>
      </w:pPr>
      <w:r>
        <w:rPr>
          <w:lang w:val="en-US"/>
        </w:rPr>
        <w:t>To evaluate the impact of a tighter broadcast layer frequency re-use factor, three different re-use factors are investigated: 4/12, 3/9 and 1/3.</w:t>
      </w:r>
    </w:p>
    <w:p>
      <w:pPr>
        <w:pStyle w:val="Normal"/>
        <w:rPr>
          <w:lang w:val="en-US"/>
        </w:rPr>
      </w:pPr>
      <w:r>
        <w:rPr>
          <w:lang w:val="en-US"/>
        </w:rPr>
        <w:t>The system impact is evaluated by three main system aspects:</w:t>
      </w:r>
    </w:p>
    <w:p>
      <w:pPr>
        <w:pStyle w:val="B1"/>
        <w:rPr>
          <w:lang w:val="en-US"/>
        </w:rPr>
      </w:pPr>
      <w:r>
        <w:rPr>
          <w:lang w:val="en-US"/>
        </w:rPr>
        <w:t>-</w:t>
        <w:tab/>
        <w:t>Idle mode procedures</w:t>
      </w:r>
    </w:p>
    <w:p>
      <w:pPr>
        <w:pStyle w:val="B2"/>
        <w:rPr/>
      </w:pPr>
      <w:r>
        <w:rPr>
          <w:lang w:val="en-US"/>
        </w:rPr>
        <w:t>-</w:t>
        <w:tab/>
        <w:t>The impact on aspects of cell selection and cell reselection, including the impact on device synchronization to the FCCH and EC-SCH in terms of time to synchronize, residual frequency offset and residual time offset, is evaluated by means of network simulations. Impact on PLMN selection is presented based on link level and analytical analysis.</w:t>
      </w:r>
    </w:p>
    <w:p>
      <w:pPr>
        <w:pStyle w:val="B1"/>
        <w:rPr>
          <w:lang w:val="en-US"/>
        </w:rPr>
      </w:pPr>
      <w:r>
        <w:rPr>
          <w:lang w:val="en-US"/>
        </w:rPr>
        <w:t>-</w:t>
        <w:tab/>
        <w:t>Common control channels</w:t>
      </w:r>
    </w:p>
    <w:p>
      <w:pPr>
        <w:pStyle w:val="B2"/>
        <w:rPr/>
      </w:pPr>
      <w:r>
        <w:rPr>
          <w:lang w:val="en-US"/>
        </w:rPr>
        <w:t>-</w:t>
        <w:tab/>
        <w:t>The analysis on the common control channels have been investigated separately to, in detail, study the impact on random access channel, and access grant. Also some analysis on paging load is provided.</w:t>
      </w:r>
    </w:p>
    <w:p>
      <w:pPr>
        <w:pStyle w:val="B1"/>
        <w:rPr>
          <w:lang w:val="en-US"/>
        </w:rPr>
      </w:pPr>
      <w:r>
        <w:rPr>
          <w:lang w:val="en-US"/>
        </w:rPr>
        <w:t>-</w:t>
        <w:tab/>
        <w:t>Data traffic and control channel</w:t>
      </w:r>
    </w:p>
    <w:p>
      <w:pPr>
        <w:pStyle w:val="B2"/>
        <w:rPr/>
      </w:pPr>
      <w:r>
        <w:rPr>
          <w:lang w:val="en-US"/>
        </w:rPr>
        <w:t>-</w:t>
        <w:tab/>
        <w:t>The data traffic channel and the associated control channel are investigated where for example resource usage, data capacity and latency are evaluated.</w:t>
      </w:r>
    </w:p>
    <w:p>
      <w:pPr>
        <w:pStyle w:val="Normal"/>
        <w:rPr>
          <w:lang w:val="en-US"/>
        </w:rPr>
      </w:pPr>
      <w:r>
        <w:rPr>
          <w:lang w:val="en-US"/>
        </w:rPr>
        <w:t>In all evaluations, the working assumptions listed in the framework in Annex ZF.1 have been used, unless otherwise stated.</w:t>
      </w:r>
    </w:p>
    <w:p>
      <w:pPr>
        <w:pStyle w:val="Normal"/>
        <w:rPr/>
      </w:pPr>
      <w:r>
        <w:rPr>
          <w:lang w:val="en-US"/>
        </w:rPr>
        <w:t>Both GPRS and EC-GSM-IoT have been investigated. There is a significant difference in how these different MS behave in a network with regards to a tight frequency re-use, justifying separate evaluations:</w:t>
      </w:r>
    </w:p>
    <w:p>
      <w:pPr>
        <w:pStyle w:val="B1"/>
        <w:rPr/>
      </w:pPr>
      <w:r>
        <w:rPr>
          <w:lang w:val="en-US"/>
        </w:rPr>
        <w:t>-</w:t>
        <w:tab/>
      </w:r>
      <w:r>
        <w:rPr>
          <w:b/>
          <w:lang w:val="en-US"/>
        </w:rPr>
        <w:t>Coverage / interference performance:</w:t>
      </w:r>
      <w:r>
        <w:rPr>
          <w:lang w:val="en-US"/>
        </w:rPr>
        <w:t xml:space="preserve"> EC-GSM-IoT can operate in what is referred to as extended coverage (see 3GPP TS 43.064). The extended coverage is achieved by blind physical layer transmissions.that are collected by the receiver to achieve processing gain, and effectively operate at a lower SNR compared to not using the blind physical layer transmissions. The use of blind physical layer transmissions not only extend coverage but will also lower the operating point in an interference limited scenario in that an EC-GSM-IoT capable device can operate at a lower C/I. </w:t>
      </w:r>
    </w:p>
    <w:p>
      <w:pPr>
        <w:pStyle w:val="B1"/>
        <w:rPr/>
      </w:pPr>
      <w:r>
        <w:rPr>
          <w:lang w:val="en-US"/>
        </w:rPr>
        <w:t>-</w:t>
        <w:tab/>
      </w:r>
      <w:r>
        <w:rPr>
          <w:b/>
          <w:lang w:val="en-US"/>
        </w:rPr>
        <w:t xml:space="preserve">Idle mode procedures: </w:t>
      </w:r>
      <w:r>
        <w:rPr>
          <w:lang w:val="en-US"/>
        </w:rPr>
        <w:t>EC-GSM-IoT devices will select cells at a maximum coupling loss of 164 dB. In addition they should be functional in a low frequency reuse. Therefore they are designed to perform signal level measurements only including the wanted signal level, excluding sources from interference and nosie. They are also mandated to measure a sub-set of the logical channels of the BCCH carrier where power down regulation is not permitted. So in case the network uses BCCH power saving functionality, down-regulating the power of the broadcast carrier, will not impact the EC-GSM-IoT measurement accuracy.</w:t>
      </w:r>
    </w:p>
    <w:p>
      <w:pPr>
        <w:pStyle w:val="B1"/>
        <w:rPr/>
      </w:pPr>
      <w:r>
        <w:rPr>
          <w:lang w:val="en-US"/>
        </w:rPr>
        <w:t>-</w:t>
        <w:tab/>
      </w:r>
      <w:r>
        <w:rPr>
          <w:b/>
          <w:lang w:val="en-US"/>
        </w:rPr>
        <w:t>Common control channel:</w:t>
      </w:r>
      <w:r>
        <w:rPr>
          <w:lang w:val="en-US"/>
        </w:rPr>
        <w:t xml:space="preserve"> On the random access channel, an open-loop power control, as well as an adaptation of the coverage class used on the common control channel are used by EC-GSM-IoT MS which differs from non-EC-GSM-IoT MS where such adaptation is not used, and the power control only includes a coarse one power step approach to avoid too high signal levels at the BTS receiver.</w:t>
      </w:r>
    </w:p>
    <w:p>
      <w:pPr>
        <w:pStyle w:val="B1"/>
        <w:rPr>
          <w:lang w:val="en-US"/>
        </w:rPr>
      </w:pPr>
      <w:r>
        <w:rPr>
          <w:lang w:val="en-US"/>
        </w:rPr>
        <w:t>-</w:t>
        <w:tab/>
      </w:r>
      <w:r>
        <w:rPr>
          <w:b/>
          <w:lang w:val="en-US"/>
        </w:rPr>
        <w:t>Deployment</w:t>
      </w:r>
      <w:r>
        <w:rPr>
          <w:lang w:val="en-US"/>
        </w:rPr>
        <w:t>: EC-GSM-IoT devices are assumed to be placed in more challenging radio conditions, for example indoors behind different number of walls, or in a basement. Hence, the distance dependent path loss, and log-normal fading component is complemented with a model of building penetration loss in case EC-GSM-IoT is simulated. Even with the additional component of building penetration loss, the majority of devices are placed within GPRS/EGPRS coverage, but a small portion are also placed in extended coverage taking up proportionally more resources per user.</w:t>
      </w:r>
    </w:p>
    <w:p>
      <w:pPr>
        <w:pStyle w:val="FP"/>
        <w:rPr>
          <w:lang w:val="en-US"/>
        </w:rPr>
      </w:pPr>
      <w:r>
        <w:rPr>
          <w:lang w:val="en-US"/>
        </w:rPr>
      </w:r>
    </w:p>
    <w:p>
      <w:pPr>
        <w:pStyle w:val="Heading3"/>
        <w:rPr/>
      </w:pPr>
      <w:bookmarkStart w:id="45" w:name="__RefHeading___Toc518035485"/>
      <w:bookmarkEnd w:id="45"/>
      <w:r>
        <w:rPr>
          <w:lang w:val="en-US"/>
        </w:rPr>
        <w:t>24.2.2</w:t>
        <w:tab/>
        <w:t>Idle mode procedures</w:t>
      </w:r>
    </w:p>
    <w:p>
      <w:pPr>
        <w:pStyle w:val="Heading4"/>
        <w:ind w:left="1418" w:hanging="1418"/>
        <w:rPr>
          <w:lang w:val="en-US"/>
        </w:rPr>
      </w:pPr>
      <w:bookmarkStart w:id="46" w:name="__RefHeading___Toc518035486"/>
      <w:bookmarkEnd w:id="46"/>
      <w:r>
        <w:rPr>
          <w:lang w:val="en-US"/>
        </w:rPr>
        <w:t>24.2.2.1</w:t>
        <w:tab/>
        <w:t>General</w:t>
      </w:r>
    </w:p>
    <w:p>
      <w:pPr>
        <w:pStyle w:val="Heading5"/>
        <w:ind w:left="1701" w:hanging="1701"/>
        <w:rPr>
          <w:lang w:val="en-US"/>
        </w:rPr>
      </w:pPr>
      <w:bookmarkStart w:id="47" w:name="__RefHeading___Toc518035487"/>
      <w:bookmarkEnd w:id="47"/>
      <w:r>
        <w:rPr>
          <w:lang w:val="en-US"/>
        </w:rPr>
        <w:t>24.2.2.1.1</w:t>
        <w:tab/>
        <w:t>Simulator support</w:t>
      </w:r>
    </w:p>
    <w:p>
      <w:pPr>
        <w:pStyle w:val="Normal"/>
        <w:rPr/>
      </w:pPr>
      <w:r>
        <w:rPr>
          <w:lang w:eastAsia="ko-KR"/>
        </w:rPr>
        <w:t xml:space="preserve">To model idle mode procedures a GSM </w:t>
      </w:r>
      <w:r>
        <w:rPr>
          <w:lang w:val="en-US"/>
        </w:rPr>
        <w:t>link simulator has been integrated in a network simulator where a full GSM network can be configured and interference generated accordingly. The simulator has been used to evaluate GSM and EC-GSM-IoT cell selection including synchronization performance and supports e.g.:</w:t>
      </w:r>
    </w:p>
    <w:p>
      <w:pPr>
        <w:pStyle w:val="B1"/>
        <w:rPr>
          <w:lang w:val="en-US"/>
        </w:rPr>
      </w:pPr>
      <w:r>
        <w:rPr>
          <w:lang w:val="en-US"/>
        </w:rPr>
        <w:t>-</w:t>
        <w:tab/>
        <w:t>Modelling of the BCCH frequency layer with frequency reuses 1/3, 3/9 and 4/12</w:t>
      </w:r>
    </w:p>
    <w:p>
      <w:pPr>
        <w:pStyle w:val="B1"/>
        <w:rPr>
          <w:lang w:val="en-US"/>
        </w:rPr>
      </w:pPr>
      <w:r>
        <w:rPr>
          <w:lang w:val="en-US"/>
        </w:rPr>
        <w:t>-</w:t>
        <w:tab/>
        <w:t>A BSIC and TSC plan</w:t>
      </w:r>
    </w:p>
    <w:p>
      <w:pPr>
        <w:pStyle w:val="B1"/>
        <w:rPr/>
      </w:pPr>
      <w:r>
        <w:rPr>
          <w:lang w:val="en-US"/>
        </w:rPr>
        <w:t>-</w:t>
        <w:tab/>
        <w:t>A correct mapping of applicable logical channels upon the 51--multiframe</w:t>
      </w:r>
    </w:p>
    <w:p>
      <w:pPr>
        <w:pStyle w:val="B1"/>
        <w:rPr>
          <w:lang w:val="en-US"/>
        </w:rPr>
      </w:pPr>
      <w:r>
        <w:rPr>
          <w:lang w:val="en-US"/>
        </w:rPr>
        <w:t>-</w:t>
        <w:tab/>
        <w:t>Modelling of interferers and thermal noise on IQ level</w:t>
      </w:r>
    </w:p>
    <w:p>
      <w:pPr>
        <w:pStyle w:val="B1"/>
        <w:rPr>
          <w:lang w:val="en-US"/>
        </w:rPr>
      </w:pPr>
      <w:r>
        <w:rPr>
          <w:lang w:val="en-US"/>
        </w:rPr>
        <w:t>-</w:t>
        <w:tab/>
        <w:t>BTS TX and MS RX performance modelled on IQ/bit level</w:t>
      </w:r>
    </w:p>
    <w:p>
      <w:pPr>
        <w:pStyle w:val="Normal"/>
        <w:rPr>
          <w:lang w:eastAsia="ko-KR"/>
        </w:rPr>
      </w:pPr>
      <w:r>
        <w:rPr>
          <w:lang w:eastAsia="ko-KR"/>
        </w:rPr>
        <w:t>Annex ZF.2 elaborates on details of the simulator implementation.</w:t>
      </w:r>
    </w:p>
    <w:p>
      <w:pPr>
        <w:pStyle w:val="Normal"/>
        <w:rPr>
          <w:lang w:val="en-US"/>
        </w:rPr>
      </w:pPr>
      <w:r>
        <w:rPr>
          <w:lang w:eastAsia="ko-KR"/>
        </w:rPr>
        <w:t>In addition the simulator could be configured to evaluate a single BTS to MS link. This simulator mode was used to provide input to the PLMN selection analysis.</w:t>
      </w:r>
    </w:p>
    <w:p>
      <w:pPr>
        <w:pStyle w:val="Heading5"/>
        <w:ind w:left="1701" w:hanging="1701"/>
        <w:rPr>
          <w:lang w:val="en-US"/>
        </w:rPr>
      </w:pPr>
      <w:bookmarkStart w:id="48" w:name="__RefHeading___Toc518035488"/>
      <w:bookmarkEnd w:id="48"/>
      <w:r>
        <w:rPr>
          <w:lang w:val="en-US"/>
        </w:rPr>
        <w:t>24.2.2.1.2</w:t>
        <w:tab/>
        <w:t>Performance metrics</w:t>
      </w:r>
    </w:p>
    <w:p>
      <w:pPr>
        <w:pStyle w:val="Normal"/>
        <w:rPr/>
      </w:pPr>
      <w:r>
        <w:rPr>
          <w:lang w:val="en-US"/>
        </w:rPr>
        <w:t>The synchronization simulator has been used to investigate the ability of GSM and EC-GSM-IoT devices to synchronize to a GSM/EC-GSM-IoT network, to perform PLMN selection, to select a suitable cell based on RLA_C and RLA_EC measurments and to reconfirm the BSIC of the serving cell. To synchronize in this context refers to first successfully detect and synchronizing to the FCCH, and secondly to decode the (EC-)SCH to extract and confirm the BSIC of the camped on cell.</w:t>
      </w:r>
    </w:p>
    <w:p>
      <w:pPr>
        <w:pStyle w:val="Normal"/>
        <w:rPr>
          <w:lang w:val="en-US"/>
        </w:rPr>
      </w:pPr>
      <w:r>
        <w:rPr>
          <w:lang w:val="en-US"/>
        </w:rPr>
        <w:t>To characterize the synchronization performance of a GSM/EC-GSM-IoT network the following results were derived:</w:t>
      </w:r>
    </w:p>
    <w:p>
      <w:pPr>
        <w:pStyle w:val="B1"/>
        <w:rPr/>
      </w:pPr>
      <w:r>
        <w:rPr>
          <w:lang w:val="en-US"/>
        </w:rPr>
        <w:t>-</w:t>
        <w:tab/>
        <w:t>Percentage of all devices in a network that manages to synchronize within 12 51-multframes, i.e. within ~2 seconds.</w:t>
      </w:r>
    </w:p>
    <w:p>
      <w:pPr>
        <w:pStyle w:val="B1"/>
        <w:rPr>
          <w:lang w:val="en-US"/>
        </w:rPr>
      </w:pPr>
      <w:r>
        <w:rPr>
          <w:lang w:val="en-US"/>
        </w:rPr>
        <w:t>-</w:t>
        <w:tab/>
        <w:t xml:space="preserve">Time to synchronization, i.e. time until decoding of the (EC-)SCH including confirmation of the BSIC.  </w:t>
      </w:r>
    </w:p>
    <w:p>
      <w:pPr>
        <w:pStyle w:val="B1"/>
        <w:rPr/>
      </w:pPr>
      <w:r>
        <w:rPr>
          <w:lang w:val="en-US"/>
        </w:rPr>
        <w:t>-</w:t>
        <w:tab/>
        <w:t>Residual time offset after detection of and synchronization to the FCCH.</w:t>
      </w:r>
    </w:p>
    <w:p>
      <w:pPr>
        <w:pStyle w:val="B1"/>
        <w:rPr>
          <w:lang w:val="en-US"/>
        </w:rPr>
      </w:pPr>
      <w:r>
        <w:rPr>
          <w:lang w:val="en-US"/>
        </w:rPr>
        <w:t>-</w:t>
        <w:tab/>
        <w:t>Residual frequency offset after detection of and synchronization to the FCCH.</w:t>
      </w:r>
    </w:p>
    <w:p>
      <w:pPr>
        <w:pStyle w:val="Normal"/>
        <w:rPr/>
      </w:pPr>
      <w:r>
        <w:rPr>
          <w:lang w:val="en-US"/>
        </w:rPr>
        <w:t>For PLMN selection a worst case analysis was performed where the performance metric is the time needed to scan all ARFCNs in a set of supported frequency bands during the search e.g. for a HPLMN.</w:t>
      </w:r>
    </w:p>
    <w:p>
      <w:pPr>
        <w:pStyle w:val="Normal"/>
        <w:rPr>
          <w:lang w:val="en-US"/>
        </w:rPr>
      </w:pPr>
      <w:r>
        <w:rPr>
          <w:lang w:val="en-US"/>
        </w:rPr>
        <w:t xml:space="preserve">For cell selection the performance is presented in terms of the probability of selecting the strongest cell. </w:t>
      </w:r>
    </w:p>
    <w:p>
      <w:pPr>
        <w:pStyle w:val="Normal"/>
        <w:rPr/>
      </w:pPr>
      <w:r>
        <w:rPr>
          <w:lang w:val="en-US"/>
        </w:rPr>
        <w:t>In addition the impact on cell selection performance from configuring a BSIC plan using as few as 8 unique BSIC code points was investigated. The likelihood of synchronization to a neighbouring cell during the search for the serving cell was recorded. Two cases were distinguished, a first where the neighbour cell uses a BSIC code point different from the code point used by the serving cell, and a second where the neighbour cell reuses the BSIC code point used by the serving cell. In the former case the device was configured to continue its synchronization procedure. In the second case, known as BSIC confusion, the device will synchronize to and select a neighbour cell, but not detect a change in BSIC.</w:t>
      </w:r>
    </w:p>
    <w:p>
      <w:pPr>
        <w:pStyle w:val="Heading5"/>
        <w:ind w:left="1701" w:hanging="1701"/>
        <w:rPr>
          <w:lang w:val="en-US"/>
        </w:rPr>
      </w:pPr>
      <w:bookmarkStart w:id="49" w:name="__RefHeading___Toc518035489"/>
      <w:bookmarkEnd w:id="49"/>
      <w:r>
        <w:rPr>
          <w:lang w:val="en-US"/>
        </w:rPr>
        <w:t>24.2.2.1.3</w:t>
        <w:tab/>
        <w:t>Simulation assumptions</w:t>
      </w:r>
    </w:p>
    <w:p>
      <w:pPr>
        <w:pStyle w:val="Normal"/>
        <w:rPr>
          <w:lang w:eastAsia="ko-KR"/>
        </w:rPr>
      </w:pPr>
      <w:r>
        <w:rPr>
          <w:lang w:val="en-US"/>
        </w:rPr>
        <w:t xml:space="preserve">Simulation assumptions listed in the framework in Annex ZF.1 have been used, including the assumption that </w:t>
      </w:r>
      <w:r>
        <w:rPr>
          <w:lang w:eastAsia="ko-KR"/>
        </w:rPr>
        <w:t xml:space="preserve">GSM simulations were performed without building penetration loss and with a cell radius of 2500 meter to span the full GSM Maximum coupling loss of 144 dB, as claimed by </w:t>
      </w:r>
      <w:r>
        <w:rPr>
          <w:lang w:val="en-US"/>
        </w:rPr>
        <w:t>TR 45.820</w:t>
      </w:r>
      <w:r>
        <w:rPr>
          <w:lang w:eastAsia="ko-KR"/>
        </w:rPr>
        <w:t xml:space="preserve"> [1]. For the EC-GSM-IoT simulations the assumptions from the </w:t>
      </w:r>
      <w:r>
        <w:rPr>
          <w:lang w:val="en-US"/>
        </w:rPr>
        <w:t xml:space="preserve">TR 45.820 </w:t>
      </w:r>
      <w:r>
        <w:rPr>
          <w:lang w:eastAsia="ko-KR"/>
        </w:rPr>
        <w:t xml:space="preserve">[1] </w:t>
      </w:r>
      <w:r>
        <w:rPr>
          <w:lang w:val="en-US"/>
        </w:rPr>
        <w:t>was followed.</w:t>
      </w:r>
    </w:p>
    <w:p>
      <w:pPr>
        <w:pStyle w:val="Normal"/>
        <w:rPr>
          <w:lang w:val="en-US"/>
        </w:rPr>
      </w:pPr>
      <w:r>
        <w:rPr>
          <w:lang w:eastAsia="ko-KR"/>
        </w:rPr>
        <w:t xml:space="preserve">The logical channels modelled, e.g. the FCCH and (EC-)SCH, were modulated, encoded and mapped in the 51-multiframe as specified in TS 45.002 </w:t>
      </w:r>
      <w:r>
        <w:rPr>
          <w:lang w:val="en-US"/>
        </w:rPr>
        <w:t>[2]</w:t>
      </w:r>
      <w:r>
        <w:rPr>
          <w:lang w:eastAsia="ko-KR"/>
        </w:rPr>
        <w:t xml:space="preserve">, TS 45.003 </w:t>
      </w:r>
      <w:r>
        <w:rPr>
          <w:lang w:val="en-US"/>
        </w:rPr>
        <w:t>[3]</w:t>
      </w:r>
      <w:r>
        <w:rPr>
          <w:lang w:eastAsia="ko-KR"/>
        </w:rPr>
        <w:t xml:space="preserve"> and TS 45.004 </w:t>
      </w:r>
      <w:r>
        <w:rPr>
          <w:lang w:val="en-US"/>
        </w:rPr>
        <w:t>[4]</w:t>
      </w:r>
      <w:r>
        <w:rPr>
          <w:lang w:eastAsia="ko-KR"/>
        </w:rPr>
        <w:t>.</w:t>
      </w:r>
    </w:p>
    <w:p>
      <w:pPr>
        <w:pStyle w:val="Heading4"/>
        <w:ind w:left="1418" w:hanging="1418"/>
        <w:rPr>
          <w:lang w:val="en-US"/>
        </w:rPr>
      </w:pPr>
      <w:bookmarkStart w:id="50" w:name="__RefHeading___Toc518035490"/>
      <w:r>
        <w:rPr>
          <w:lang w:val="en-US"/>
        </w:rPr>
        <w:t>24.2.2.2</w:t>
        <w:tab/>
        <w:t>PLMN selection</w:t>
      </w:r>
      <w:bookmarkEnd w:id="50"/>
      <w:r>
        <w:rPr>
          <w:lang w:val="en-US"/>
        </w:rPr>
        <w:tab/>
      </w:r>
    </w:p>
    <w:p>
      <w:pPr>
        <w:pStyle w:val="Normal"/>
        <w:rPr/>
      </w:pPr>
      <w:r>
        <w:rPr>
          <w:lang w:val="en-US"/>
        </w:rPr>
        <w:t xml:space="preserve">When performing initial PLMN selection a device needs to scan all ARFCNs of its supported frequency bands. For a quad band device supporting GSM 850, 900, 1850 and 1900 frequency bands this implies that in total </w:t>
      </w:r>
      <w:r>
        <w:rPr>
          <w:lang w:val="en-US"/>
        </w:rPr>
        <w:t xml:space="preserve">124+174+374+299 </w:t>
      </w:r>
      <w:r>
        <w:rPr>
          <w:lang w:val="en-US"/>
        </w:rPr>
        <w:t xml:space="preserve"> </w:t>
      </w:r>
      <w:r>
        <w:rPr>
          <w:lang w:val="en-US"/>
        </w:rPr>
        <w:t xml:space="preserve">= </w:t>
      </w:r>
      <w:r>
        <w:rPr>
          <w:lang w:val="en-US"/>
        </w:rPr>
        <w:t xml:space="preserve"> </w:t>
      </w:r>
      <w:r>
        <w:rPr>
          <w:lang w:val="en-US"/>
        </w:rPr>
        <w:t>971ARFCNs</w:t>
      </w:r>
      <w:r>
        <w:rPr>
          <w:lang w:val="en-US"/>
        </w:rPr>
        <w:t xml:space="preserve"> needs to be scanned. The total time to do so may in a worst case scenario equate to 971 multipled by the time needed to connect to the system from the supported maximum coupling loss (MCL).</w:t>
      </w:r>
    </w:p>
    <w:p>
      <w:pPr>
        <w:pStyle w:val="Normal"/>
        <w:rPr/>
      </w:pPr>
      <w:r>
        <w:rPr>
          <w:lang w:val="en-US"/>
        </w:rPr>
        <w:t>It has been shown that an EC-GSM-IoT device can synchronize to a cell within at most two seconds when being at the edge of the system, i.e. at 164 dBs MCL. With this in mind the total time to scan the four mentioned frequency bands will require roughly 32 minutes.</w:t>
      </w:r>
    </w:p>
    <w:p>
      <w:pPr>
        <w:pStyle w:val="TH"/>
        <w:rPr>
          <w:lang w:val="en-US" w:eastAsia="en-US"/>
        </w:rPr>
      </w:pPr>
      <w:r>
        <w:rPr>
          <w:lang w:val="en-US" w:eastAsia="en-US"/>
        </w:rPr>
        <w:drawing>
          <wp:inline distT="0" distB="0" distL="0" distR="0">
            <wp:extent cx="3778885" cy="2521585"/>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8"/>
                    <a:srcRect l="-7" t="-10" r="-7" b="-10"/>
                    <a:stretch>
                      <a:fillRect/>
                    </a:stretch>
                  </pic:blipFill>
                  <pic:spPr bwMode="auto">
                    <a:xfrm>
                      <a:off x="0" y="0"/>
                      <a:ext cx="3778885" cy="2521585"/>
                    </a:xfrm>
                    <a:prstGeom prst="rect">
                      <a:avLst/>
                    </a:prstGeom>
                  </pic:spPr>
                </pic:pic>
              </a:graphicData>
            </a:graphic>
          </wp:inline>
        </w:drawing>
      </w:r>
    </w:p>
    <w:p>
      <w:pPr>
        <w:pStyle w:val="TF"/>
        <w:rPr>
          <w:lang w:val="en-US"/>
        </w:rPr>
      </w:pPr>
      <w:r>
        <w:rPr/>
        <w:t>Figure 24.2.2-1: Total time to synchronization when at 164 dB coupling loss</w:t>
      </w:r>
    </w:p>
    <w:p>
      <w:pPr>
        <w:pStyle w:val="Normal"/>
        <w:rPr/>
      </w:pPr>
      <w:r>
        <w:rPr>
          <w:lang w:val="en-US"/>
        </w:rPr>
        <w:t xml:space="preserve">The above reasoning is however based on an assumption that all bands and ARFCNs are scanned in sequence, and that the EC-SCH is used as qualifier for the presence of an EC-GSM-IoT system. If the ARFCNs are scanned in an interleaved manner the search time can be shorted to around 10 minutes with the FCCH as primary identifier for the presence of EC-GSM-IoT. </w:t>
      </w:r>
    </w:p>
    <w:p>
      <w:pPr>
        <w:pStyle w:val="Heading4"/>
        <w:ind w:left="1418" w:hanging="1418"/>
        <w:rPr>
          <w:lang w:val="en-US"/>
        </w:rPr>
      </w:pPr>
      <w:bookmarkStart w:id="51" w:name="__RefHeading___Toc518035491"/>
      <w:bookmarkEnd w:id="51"/>
      <w:r>
        <w:rPr>
          <w:lang w:val="en-US"/>
        </w:rPr>
        <w:t>24.2.2.3</w:t>
        <w:tab/>
        <w:t>Cell selection</w:t>
      </w:r>
    </w:p>
    <w:p>
      <w:pPr>
        <w:pStyle w:val="Heading5"/>
        <w:ind w:left="1701" w:hanging="1701"/>
        <w:rPr>
          <w:lang w:val="en-US"/>
        </w:rPr>
      </w:pPr>
      <w:bookmarkStart w:id="52" w:name="__RefHeading___Toc518035492"/>
      <w:bookmarkEnd w:id="52"/>
      <w:r>
        <w:rPr>
          <w:lang w:val="en-US"/>
        </w:rPr>
        <w:t>24.2.2.3.1</w:t>
        <w:tab/>
        <w:t>General</w:t>
      </w:r>
    </w:p>
    <w:p>
      <w:pPr>
        <w:pStyle w:val="Normal"/>
        <w:rPr/>
      </w:pPr>
      <w:r>
        <w:rPr>
          <w:lang w:eastAsia="sv-SE"/>
        </w:rPr>
        <w:t>When performing cell selection a GPRS device follows the procedures specified in 3GPP TSs 43.022 and 45.008. TS 43.022 mandate a device to select the strongest cell from a received signal strength perspective that qualifies as "suitable". TS 45.008 specify how the signal strength is to be measured in terms of RLA_C, which is an average signal strength estimate calculated over at least five samples during three to five seconds.</w:t>
      </w:r>
    </w:p>
    <w:p>
      <w:pPr>
        <w:pStyle w:val="Normal"/>
        <w:rPr>
          <w:lang w:eastAsia="sv-SE"/>
        </w:rPr>
      </w:pPr>
      <w:r>
        <w:rPr>
          <w:lang w:eastAsia="sv-SE"/>
        </w:rPr>
        <w:t>For EC-GSM-IoT the cell selection procedure has been updated to improve the support of signal strength measurements in an interference limited environment. TS 45.008 therefore specify a two-step approach as follows:</w:t>
      </w:r>
    </w:p>
    <w:p>
      <w:pPr>
        <w:pStyle w:val="B1"/>
        <w:rPr/>
      </w:pPr>
      <w:r>
        <w:rPr/>
        <w:t>1.</w:t>
        <w:tab/>
        <w:t xml:space="preserve">Measure the signal strength of each RF channel in the selected PLMN using RLA_C. </w:t>
      </w:r>
    </w:p>
    <w:p>
      <w:pPr>
        <w:pStyle w:val="B1"/>
        <w:rPr/>
      </w:pPr>
      <w:r>
        <w:rPr/>
        <w:t>2.</w:t>
        <w:tab/>
        <w:t>For each of the strongest RF channels measured RLA_EC for the strongest EC-BCCH carrier.</w:t>
      </w:r>
    </w:p>
    <w:p>
      <w:pPr>
        <w:pStyle w:val="Normal"/>
        <w:rPr/>
      </w:pPr>
      <w:r>
        <w:rPr>
          <w:lang w:eastAsia="sv-SE"/>
        </w:rPr>
        <w:t xml:space="preserve">In the second step only the RF channels that are no more than </w:t>
      </w:r>
      <w:r>
        <w:rPr/>
        <w:t>CELL_SELECTION_RLA_MARGIN dB below the strongest estimated RF channel needs to be considered.</w:t>
      </w:r>
    </w:p>
    <w:p>
      <w:pPr>
        <w:pStyle w:val="Normal"/>
        <w:rPr>
          <w:lang w:eastAsia="sv-SE"/>
        </w:rPr>
      </w:pPr>
      <w:r>
        <w:rPr/>
        <w:t>The next two sub-clauses present the cell selection performance that was recorded during a simulation campaign for evaluation of cell selection performance when following the mentioned procedures.</w:t>
      </w:r>
    </w:p>
    <w:p>
      <w:pPr>
        <w:pStyle w:val="Heading5"/>
        <w:ind w:left="1701" w:hanging="1701"/>
        <w:rPr/>
      </w:pPr>
      <w:bookmarkStart w:id="53" w:name="__RefHeading___Toc518035493"/>
      <w:bookmarkEnd w:id="53"/>
      <w:r>
        <w:rPr>
          <w:lang w:val="en-US"/>
        </w:rPr>
        <w:t>24.2.2.3.2</w:t>
        <w:tab/>
        <w:t>GPRS/EGPRS</w:t>
      </w:r>
    </w:p>
    <w:p>
      <w:pPr>
        <w:pStyle w:val="Normal"/>
        <w:rPr/>
      </w:pPr>
      <w:r>
        <w:rPr>
          <w:lang w:eastAsia="sv-SE"/>
        </w:rPr>
        <w:t>As EC-GSM-IoT is fully backwards compatible and intended to coexist with (E)GPRS devices also (E)GPRS cell selection performance was evaluated in 1/3, 3/9 and 4/12 frequency reuse scenarios. The table below summarizes the performance and it is seen that the cell selection procedure selects the best ARFCN with a likelihood of 87-88 %, and is fairly insensitive to the frequency reuse. This can be understood as a consequence of the symmetric cell plan used in the network simulator, leading to a similar power ratio between the simulated ARFCNs regardless of the frequency plan.</w:t>
      </w:r>
    </w:p>
    <w:p>
      <w:pPr>
        <w:pStyle w:val="Normal"/>
        <w:rPr/>
      </w:pPr>
      <w:r>
        <w:rPr>
          <w:lang w:eastAsia="sv-SE"/>
        </w:rPr>
        <w:t>After ARFCN selection it was assumed that a (E)GPRS device selects the cell to camp on based on the first BCCH carrier it manages to synchronize to and read BSIC on. In high reuse systems with low interference ratio a device more or less always selects the optimal cell to camp on. In the 1/3 frequency reuse scenario with a high degree of interference the likelihood of selecting the optimal BCCH carrier is reduced down to 83.6 %.</w:t>
      </w:r>
    </w:p>
    <w:p>
      <w:pPr>
        <w:pStyle w:val="Normal"/>
        <w:rPr/>
      </w:pPr>
      <w:r>
        <w:rPr>
          <w:lang w:eastAsia="sv-SE"/>
        </w:rPr>
        <w:t>The GPRS devices always manage to synchronize to and select a cell, even though it may not be an optimal cell from a signal strength perspective.</w:t>
      </w:r>
    </w:p>
    <w:p>
      <w:pPr>
        <w:pStyle w:val="TH"/>
        <w:rPr>
          <w:lang w:val="en-US"/>
        </w:rPr>
      </w:pPr>
      <w:r>
        <w:rPr>
          <w:lang w:val="en-US"/>
        </w:rPr>
        <w:t>Table 24.2.2-1: The probability for a (E)GPRS device to select the optimal ARFCN, the optimal BCCH carrier or any BCCH carrier.</w:t>
      </w:r>
    </w:p>
    <w:tbl>
      <w:tblPr>
        <w:tblW w:w="6390" w:type="dxa"/>
        <w:jc w:val="center"/>
        <w:tblInd w:w="0" w:type="dxa"/>
        <w:tblLayout w:type="fixed"/>
        <w:tblCellMar>
          <w:top w:w="0" w:type="dxa"/>
          <w:left w:w="108" w:type="dxa"/>
          <w:bottom w:w="0" w:type="dxa"/>
          <w:right w:w="108" w:type="dxa"/>
        </w:tblCellMar>
      </w:tblPr>
      <w:tblGrid>
        <w:gridCol w:w="3639"/>
        <w:gridCol w:w="917"/>
        <w:gridCol w:w="917"/>
        <w:gridCol w:w="917"/>
      </w:tblGrid>
      <w:tr>
        <w:trPr/>
        <w:tc>
          <w:tcPr>
            <w:tcW w:w="363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r>
      <w:tr>
        <w:trPr/>
        <w:tc>
          <w:tcPr>
            <w:tcW w:w="363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P(Best ARFCN selected)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87.2</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88.4</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87.9</w:t>
            </w:r>
          </w:p>
        </w:tc>
      </w:tr>
      <w:tr>
        <w:trPr>
          <w:trHeight w:val="79" w:hRule="atLeast"/>
        </w:trPr>
        <w:tc>
          <w:tcPr>
            <w:tcW w:w="363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P(Best BCCH carrier selected)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83.6</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87.9</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87.7</w:t>
            </w:r>
          </w:p>
        </w:tc>
      </w:tr>
      <w:tr>
        <w:trPr/>
        <w:tc>
          <w:tcPr>
            <w:tcW w:w="363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P(Any BCCH carrier selected)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r>
    </w:tbl>
    <w:p>
      <w:pPr>
        <w:pStyle w:val="Normal"/>
        <w:jc w:val="both"/>
        <w:rPr/>
      </w:pPr>
      <w:r>
        <w:rPr/>
      </w:r>
    </w:p>
    <w:p>
      <w:pPr>
        <w:pStyle w:val="Normal"/>
        <w:jc w:val="both"/>
        <w:rPr/>
      </w:pPr>
      <w:r>
        <w:rPr/>
        <w:t>The below figure depicts the CDF over the power of the selected BCCH carrier relative to the best BCCH carrier. For 3/9 and 4/12 reuse the curves are more or less identical. For 1/3 reuse the ratio is increased, or worsened, as a consequence of suboptimal BCCH carrier selections occurring even though the best ARFCN had been selected in the first step.</w:t>
      </w:r>
    </w:p>
    <w:p>
      <w:pPr>
        <w:pStyle w:val="TH"/>
        <w:rPr>
          <w:lang w:val="en-US" w:eastAsia="en-US"/>
        </w:rPr>
      </w:pPr>
      <w:r>
        <w:rPr>
          <w:lang w:val="en-US" w:eastAsia="en-US"/>
        </w:rPr>
        <w:drawing>
          <wp:inline distT="0" distB="0" distL="0" distR="0">
            <wp:extent cx="3359785" cy="252031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9"/>
                    <a:srcRect l="-5" t="-7" r="-5" b="-7"/>
                    <a:stretch>
                      <a:fillRect/>
                    </a:stretch>
                  </pic:blipFill>
                  <pic:spPr bwMode="auto">
                    <a:xfrm>
                      <a:off x="0" y="0"/>
                      <a:ext cx="3359785" cy="2520315"/>
                    </a:xfrm>
                    <a:prstGeom prst="rect">
                      <a:avLst/>
                    </a:prstGeom>
                  </pic:spPr>
                </pic:pic>
              </a:graphicData>
            </a:graphic>
          </wp:inline>
        </w:drawing>
      </w:r>
    </w:p>
    <w:p>
      <w:pPr>
        <w:pStyle w:val="TF"/>
        <w:rPr>
          <w:lang w:val="en-US"/>
        </w:rPr>
      </w:pPr>
      <w:r>
        <w:rPr/>
        <w:t>Figure 24.2.2-2: Selected BCCH carrier to best BCCH carrier power ratio</w:t>
      </w:r>
    </w:p>
    <w:p>
      <w:pPr>
        <w:pStyle w:val="Normal"/>
        <w:rPr>
          <w:lang w:val="en-US"/>
        </w:rPr>
      </w:pPr>
      <w:r>
        <w:rPr/>
        <w:t>Although the performance presented indicates a certain likelihood of selecting a suboptimal cell, the sourcing company believes that this in general is not a major issue in a PS only network. The cell selection performance depicted for 4/12 reuse should correspond to what typical GSM/EDGE networks and devices experiences today. The increase when going to 1/3 reuse in suboptimal selections is not dramatic, and is expected to be of minor concern but still deserves attention in case an operator strives to implement a 1/3 BCCH frequency reuse.</w:t>
      </w:r>
    </w:p>
    <w:p>
      <w:pPr>
        <w:pStyle w:val="Heading5"/>
        <w:ind w:left="1701" w:hanging="1701"/>
        <w:rPr>
          <w:lang w:val="en-US"/>
        </w:rPr>
      </w:pPr>
      <w:bookmarkStart w:id="54" w:name="__RefHeading___Toc518035494"/>
      <w:bookmarkEnd w:id="54"/>
      <w:r>
        <w:rPr>
          <w:lang w:val="en-US"/>
        </w:rPr>
        <w:t>24.2.2.3.3</w:t>
        <w:tab/>
        <w:t>EC-GSM-IoT</w:t>
      </w:r>
    </w:p>
    <w:p>
      <w:pPr>
        <w:pStyle w:val="Normal"/>
        <w:rPr/>
      </w:pPr>
      <w:r>
        <w:rPr/>
        <w:t>For EC-GSM-IoT the ARFCN selection performs similar to what was presented above for (E)GPRS. But what is important is that the BCCH carrier selection has improved as a consequence of the RLA_EC procedure. Higher propability numbers are observed for all studied scenarios. An improvement in the selected BCCH carrier relative to the best BCCH carrier power is also observed for the 1/3 reuse when comparing GSM with EC-GSM-IoT performance in figures 24.2.2-2 and 24.2.2-3.</w:t>
      </w:r>
    </w:p>
    <w:p>
      <w:pPr>
        <w:pStyle w:val="Normal"/>
        <w:rPr/>
      </w:pPr>
      <w:r>
        <w:rPr/>
        <w:t>It can again be noticed that in virtually all cases the device selects a cell, even though it is sub-optimal in ~10 % of the cases.</w:t>
      </w:r>
    </w:p>
    <w:p>
      <w:pPr>
        <w:pStyle w:val="TH"/>
        <w:rPr/>
      </w:pPr>
      <w:r>
        <w:rPr/>
        <w:t>Table 24.2.2-</w:t>
      </w:r>
      <w:r>
        <w:rPr>
          <w:lang w:val="en-US"/>
        </w:rPr>
        <w:t>2</w:t>
      </w:r>
      <w:r>
        <w:rPr/>
        <w:t>: The probability for an EC-GSM-Iot device to select the optimal ARFCN, the optimal BCCH carrier or any BCCH carrier.</w:t>
      </w:r>
    </w:p>
    <w:tbl>
      <w:tblPr>
        <w:tblW w:w="6390" w:type="dxa"/>
        <w:jc w:val="center"/>
        <w:tblInd w:w="0" w:type="dxa"/>
        <w:tblLayout w:type="fixed"/>
        <w:tblCellMar>
          <w:top w:w="0" w:type="dxa"/>
          <w:left w:w="108" w:type="dxa"/>
          <w:bottom w:w="0" w:type="dxa"/>
          <w:right w:w="108" w:type="dxa"/>
        </w:tblCellMar>
      </w:tblPr>
      <w:tblGrid>
        <w:gridCol w:w="3639"/>
        <w:gridCol w:w="917"/>
        <w:gridCol w:w="917"/>
        <w:gridCol w:w="917"/>
      </w:tblGrid>
      <w:tr>
        <w:trPr/>
        <w:tc>
          <w:tcPr>
            <w:tcW w:w="363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r>
      <w:tr>
        <w:trPr/>
        <w:tc>
          <w:tcPr>
            <w:tcW w:w="3639" w:type="dxa"/>
            <w:tcBorders>
              <w:top w:val="single" w:sz="4" w:space="0" w:color="000000"/>
              <w:left w:val="single" w:sz="4" w:space="0" w:color="000000"/>
              <w:bottom w:val="single" w:sz="4" w:space="0" w:color="000000"/>
              <w:right w:val="single" w:sz="4" w:space="0" w:color="000000"/>
            </w:tcBorders>
          </w:tcPr>
          <w:p>
            <w:pPr>
              <w:pStyle w:val="TAC"/>
              <w:rPr/>
            </w:pPr>
            <w:r>
              <w:rPr>
                <w:lang w:val="en-GB"/>
              </w:rPr>
              <w:t>P(Best ARFCN ranked 1</w:t>
            </w:r>
            <w:r>
              <w:rPr>
                <w:vertAlign w:val="superscript"/>
                <w:lang w:val="en-GB"/>
              </w:rPr>
              <w:t>st</w:t>
            </w:r>
            <w:r>
              <w:rPr>
                <w:lang w:val="en-GB"/>
              </w:rPr>
              <w:t>)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86.5</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85.8</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86.8</w:t>
            </w:r>
          </w:p>
        </w:tc>
      </w:tr>
      <w:tr>
        <w:trPr/>
        <w:tc>
          <w:tcPr>
            <w:tcW w:w="363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P(Best BCCH carrier selected)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89.3</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89.7</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90.1</w:t>
            </w:r>
          </w:p>
        </w:tc>
      </w:tr>
      <w:tr>
        <w:trPr/>
        <w:tc>
          <w:tcPr>
            <w:tcW w:w="3639" w:type="dxa"/>
            <w:tcBorders>
              <w:top w:val="single" w:sz="4" w:space="0" w:color="000000"/>
              <w:left w:val="single" w:sz="4" w:space="0" w:color="000000"/>
              <w:bottom w:val="single" w:sz="4" w:space="0" w:color="000000"/>
              <w:right w:val="single" w:sz="4" w:space="0" w:color="000000"/>
            </w:tcBorders>
          </w:tcPr>
          <w:p>
            <w:pPr>
              <w:pStyle w:val="TAC"/>
              <w:rPr/>
            </w:pPr>
            <w:r>
              <w:rPr>
                <w:lang w:val="en-GB"/>
              </w:rPr>
              <w:t>P(Any BCCH carrier selected)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w:t>
            </w:r>
          </w:p>
        </w:tc>
      </w:tr>
    </w:tbl>
    <w:p>
      <w:pPr>
        <w:pStyle w:val="FP"/>
        <w:rPr/>
      </w:pPr>
      <w:r>
        <w:rPr/>
      </w:r>
    </w:p>
    <w:p>
      <w:pPr>
        <w:pStyle w:val="TH"/>
        <w:rPr>
          <w:lang w:val="en-US" w:eastAsia="en-US"/>
        </w:rPr>
      </w:pPr>
      <w:r>
        <w:rPr>
          <w:lang w:val="en-US" w:eastAsia="en-US"/>
        </w:rPr>
        <w:drawing>
          <wp:inline distT="0" distB="0" distL="0" distR="0">
            <wp:extent cx="3359785" cy="2520315"/>
            <wp:effectExtent l="0" t="0" r="0" b="0"/>
            <wp:docPr id="1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
                    <pic:cNvPicPr>
                      <a:picLocks noChangeAspect="1" noChangeArrowheads="1"/>
                    </pic:cNvPicPr>
                  </pic:nvPicPr>
                  <pic:blipFill>
                    <a:blip r:embed="rId10"/>
                    <a:srcRect l="-5" t="-7" r="-5" b="-7"/>
                    <a:stretch>
                      <a:fillRect/>
                    </a:stretch>
                  </pic:blipFill>
                  <pic:spPr bwMode="auto">
                    <a:xfrm>
                      <a:off x="0" y="0"/>
                      <a:ext cx="3359785" cy="2520315"/>
                    </a:xfrm>
                    <a:prstGeom prst="rect">
                      <a:avLst/>
                    </a:prstGeom>
                  </pic:spPr>
                </pic:pic>
              </a:graphicData>
            </a:graphic>
          </wp:inline>
        </w:drawing>
      </w:r>
    </w:p>
    <w:p>
      <w:pPr>
        <w:pStyle w:val="TF"/>
        <w:rPr>
          <w:lang w:val="sv-SE"/>
        </w:rPr>
      </w:pPr>
      <w:r>
        <w:rPr/>
        <w:t>Figure 24.2.2-3: Selected BCCH carrier to best BCCH carrier power ratio.</w:t>
      </w:r>
    </w:p>
    <w:p>
      <w:pPr>
        <w:pStyle w:val="Normal"/>
        <w:rPr/>
      </w:pPr>
      <w:r>
        <w:rPr/>
        <w:t>Furthermore by increasing the number of samples taken when estimating RLA_EC from five to 10, the likelihood of selecting the best BCCH carrier improves further up to 92.6% in the critical 1/3 frequency reuse network, as seen in table 24.2.2.2-3</w:t>
      </w:r>
    </w:p>
    <w:p>
      <w:pPr>
        <w:pStyle w:val="TH"/>
        <w:rPr/>
      </w:pPr>
      <w:r>
        <w:rPr/>
        <w:t>Table 24.2.2-</w:t>
      </w:r>
      <w:r>
        <w:rPr>
          <w:lang w:val="en-US"/>
        </w:rPr>
        <w:t>3</w:t>
      </w:r>
      <w:r>
        <w:rPr/>
        <w:t>: The probability for an EC-GSM-Iot device to select the optimal ARFCN, the optimal BCCH carrier or any BCCH carrier when increasing the number of RLA_EC measurment samples.</w:t>
      </w:r>
    </w:p>
    <w:tbl>
      <w:tblPr>
        <w:tblW w:w="5473" w:type="dxa"/>
        <w:jc w:val="center"/>
        <w:tblInd w:w="0" w:type="dxa"/>
        <w:tblLayout w:type="fixed"/>
        <w:tblCellMar>
          <w:top w:w="0" w:type="dxa"/>
          <w:left w:w="108" w:type="dxa"/>
          <w:bottom w:w="0" w:type="dxa"/>
          <w:right w:w="108" w:type="dxa"/>
        </w:tblCellMar>
      </w:tblPr>
      <w:tblGrid>
        <w:gridCol w:w="3639"/>
        <w:gridCol w:w="917"/>
        <w:gridCol w:w="917"/>
      </w:tblGrid>
      <w:tr>
        <w:trPr/>
        <w:tc>
          <w:tcPr>
            <w:tcW w:w="363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Number of samples taken for RLA_EC</w:t>
            </w:r>
          </w:p>
        </w:tc>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5</w:t>
            </w:r>
          </w:p>
        </w:tc>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10</w:t>
            </w:r>
          </w:p>
        </w:tc>
      </w:tr>
      <w:tr>
        <w:trPr/>
        <w:tc>
          <w:tcPr>
            <w:tcW w:w="3639" w:type="dxa"/>
            <w:tcBorders>
              <w:top w:val="single" w:sz="4" w:space="0" w:color="000000"/>
              <w:left w:val="single" w:sz="4" w:space="0" w:color="000000"/>
              <w:bottom w:val="single" w:sz="4" w:space="0" w:color="000000"/>
              <w:right w:val="single" w:sz="4" w:space="0" w:color="000000"/>
            </w:tcBorders>
          </w:tcPr>
          <w:p>
            <w:pPr>
              <w:pStyle w:val="TAC"/>
              <w:rPr/>
            </w:pPr>
            <w:r>
              <w:rPr>
                <w:lang w:val="en-GB"/>
              </w:rPr>
              <w:t>P(Best ARFCN ranked 1</w:t>
            </w:r>
            <w:r>
              <w:rPr>
                <w:vertAlign w:val="superscript"/>
                <w:lang w:val="en-GB"/>
              </w:rPr>
              <w:t>st</w:t>
            </w:r>
            <w:r>
              <w:rPr>
                <w:lang w:val="en-GB"/>
              </w:rPr>
              <w:t>)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86.5</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86.5</w:t>
            </w:r>
          </w:p>
        </w:tc>
      </w:tr>
      <w:tr>
        <w:trPr/>
        <w:tc>
          <w:tcPr>
            <w:tcW w:w="363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P(Best BCCH carrier selected)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89.3</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92.6</w:t>
            </w:r>
          </w:p>
        </w:tc>
      </w:tr>
      <w:tr>
        <w:trPr/>
        <w:tc>
          <w:tcPr>
            <w:tcW w:w="363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P(Any BCCH carrier selected) [%]</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w:t>
            </w:r>
          </w:p>
        </w:tc>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w:t>
            </w:r>
          </w:p>
        </w:tc>
      </w:tr>
    </w:tbl>
    <w:p>
      <w:pPr>
        <w:pStyle w:val="FP"/>
        <w:rPr/>
      </w:pPr>
      <w:r>
        <w:rPr/>
      </w:r>
    </w:p>
    <w:p>
      <w:pPr>
        <w:pStyle w:val="Heading4"/>
        <w:ind w:left="1418" w:hanging="1418"/>
        <w:rPr>
          <w:lang w:val="en-US"/>
        </w:rPr>
      </w:pPr>
      <w:bookmarkStart w:id="55" w:name="__RefHeading___Toc518035495"/>
      <w:r>
        <w:rPr>
          <w:lang w:val="en-US"/>
        </w:rPr>
        <w:t>24.2.2.4</w:t>
        <w:tab/>
        <w:t>Cell reconfirmation</w:t>
      </w:r>
      <w:bookmarkEnd w:id="55"/>
      <w:r>
        <w:rPr>
          <w:lang w:val="en-US"/>
        </w:rPr>
        <w:tab/>
      </w:r>
    </w:p>
    <w:p>
      <w:pPr>
        <w:pStyle w:val="Heading5"/>
        <w:ind w:left="1701" w:hanging="1701"/>
        <w:rPr>
          <w:lang w:val="en-US"/>
        </w:rPr>
      </w:pPr>
      <w:bookmarkStart w:id="56" w:name="__RefHeading___Toc518035496"/>
      <w:bookmarkEnd w:id="56"/>
      <w:r>
        <w:rPr>
          <w:lang w:val="en-US"/>
        </w:rPr>
        <w:t>24.2.2.4.1</w:t>
        <w:tab/>
        <w:t>GPRS/EGPRS</w:t>
      </w:r>
    </w:p>
    <w:p>
      <w:pPr>
        <w:pStyle w:val="Normal"/>
        <w:rPr/>
      </w:pPr>
      <w:r>
        <w:rPr>
          <w:lang w:eastAsia="ko-KR"/>
        </w:rPr>
        <w:t xml:space="preserve">One important trigger for cell reselecton is failure to reconfirm the serving cell. Annex ZF.5 presents an analysis of GSM/EDGE performance in terms of cell reconfirmation when a devices wakes up e.g. after eDRX or PSM in a reduced BCCH frequency allocation network. A summary of the results is presented in </w:t>
      </w:r>
      <w:r>
        <w:rPr>
          <w:lang w:val="en-US"/>
        </w:rPr>
        <w:t>table 24.2.2-4,</w:t>
      </w:r>
      <w:r>
        <w:rPr>
          <w:lang w:eastAsia="ko-KR"/>
        </w:rPr>
        <w:t xml:space="preserve"> </w:t>
      </w:r>
      <w:r>
        <w:rPr>
          <w:lang w:val="en-US"/>
        </w:rPr>
        <w:t>figure 24.2.2-4, figure 24.2.2-5 and figure 24.2.2-6.</w:t>
      </w:r>
    </w:p>
    <w:p>
      <w:pPr>
        <w:pStyle w:val="Normal"/>
        <w:rPr/>
      </w:pPr>
      <w:r>
        <w:rPr>
          <w:lang w:val="en-US"/>
        </w:rPr>
        <w:t>The overall synchronization success rate and time to synchronization to the serving cell are presented in below table for the investigated frequency reuse scenarios.</w:t>
      </w:r>
    </w:p>
    <w:p>
      <w:pPr>
        <w:pStyle w:val="TH"/>
        <w:rPr>
          <w:lang w:val="en-US"/>
        </w:rPr>
      </w:pPr>
      <w:bookmarkStart w:id="57" w:name="_Ref450828267"/>
      <w:r>
        <w:rPr>
          <w:lang w:val="en-US"/>
        </w:rPr>
        <w:t>Table</w:t>
      </w:r>
      <w:bookmarkEnd w:id="57"/>
      <w:r>
        <w:rPr>
          <w:lang w:val="en-US"/>
        </w:rPr>
        <w:t xml:space="preserve"> 24.2.2-4: Successful synchronization ratio.</w:t>
      </w:r>
    </w:p>
    <w:tbl>
      <w:tblPr>
        <w:tblW w:w="4428" w:type="dxa"/>
        <w:jc w:val="center"/>
        <w:tblInd w:w="0" w:type="dxa"/>
        <w:tblLayout w:type="fixed"/>
        <w:tblCellMar>
          <w:top w:w="0" w:type="dxa"/>
          <w:left w:w="108" w:type="dxa"/>
          <w:bottom w:w="0" w:type="dxa"/>
          <w:right w:w="108" w:type="dxa"/>
        </w:tblCellMar>
      </w:tblPr>
      <w:tblGrid>
        <w:gridCol w:w="1707"/>
        <w:gridCol w:w="907"/>
        <w:gridCol w:w="907"/>
        <w:gridCol w:w="907"/>
      </w:tblGrid>
      <w:tr>
        <w:trPr/>
        <w:tc>
          <w:tcPr>
            <w:tcW w:w="17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9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c>
          <w:tcPr>
            <w:tcW w:w="9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9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r>
      <w:tr>
        <w:trPr/>
        <w:tc>
          <w:tcPr>
            <w:tcW w:w="17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Success rate</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99.9 %</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99.9 %</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98.7 %</w:t>
            </w:r>
          </w:p>
        </w:tc>
      </w:tr>
      <w:tr>
        <w:trPr/>
        <w:tc>
          <w:tcPr>
            <w:tcW w:w="17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Synch time, 50th </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0.031 s</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0.031 s</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0.033 s</w:t>
            </w:r>
          </w:p>
        </w:tc>
      </w:tr>
      <w:tr>
        <w:trPr/>
        <w:tc>
          <w:tcPr>
            <w:tcW w:w="17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Synch time, 99th </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0.093 s</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0.123 s</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0.321 s</w:t>
            </w:r>
          </w:p>
        </w:tc>
      </w:tr>
    </w:tbl>
    <w:p>
      <w:pPr>
        <w:pStyle w:val="FP"/>
        <w:rPr/>
      </w:pPr>
      <w:r>
        <w:rPr/>
      </w:r>
    </w:p>
    <w:p>
      <w:pPr>
        <w:pStyle w:val="Normal"/>
        <w:rPr/>
      </w:pPr>
      <w:r>
        <w:rPr/>
        <w:t xml:space="preserve">The next two figures depicts CDFs over the time until synchronization </w:t>
      </w:r>
      <w:r>
        <w:rPr>
          <w:lang w:val="en-US"/>
        </w:rPr>
        <w:t>to the serving cell</w:t>
      </w:r>
      <w:r>
        <w:rPr/>
        <w:t xml:space="preserve">, the synchronization time and frequency offsets after FCCH detection. </w:t>
      </w:r>
    </w:p>
    <w:p>
      <w:pPr>
        <w:pStyle w:val="TH"/>
        <w:rPr>
          <w:lang w:eastAsia="ko-KR"/>
        </w:rPr>
      </w:pPr>
      <w:r>
        <w:rPr>
          <w:lang w:val="en-US" w:eastAsia="en-US"/>
        </w:rPr>
        <w:drawing>
          <wp:inline distT="0" distB="0" distL="0" distR="0">
            <wp:extent cx="3319780" cy="2518410"/>
            <wp:effectExtent l="0" t="0" r="0" b="0"/>
            <wp:docPr id="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
                    <pic:cNvPicPr>
                      <a:picLocks noChangeAspect="1" noChangeArrowheads="1"/>
                    </pic:cNvPicPr>
                  </pic:nvPicPr>
                  <pic:blipFill>
                    <a:blip r:embed="rId11"/>
                    <a:srcRect l="-5" t="-7" r="-5" b="-7"/>
                    <a:stretch>
                      <a:fillRect/>
                    </a:stretch>
                  </pic:blipFill>
                  <pic:spPr bwMode="auto">
                    <a:xfrm>
                      <a:off x="0" y="0"/>
                      <a:ext cx="3319780" cy="2518410"/>
                    </a:xfrm>
                    <a:prstGeom prst="rect">
                      <a:avLst/>
                    </a:prstGeom>
                  </pic:spPr>
                </pic:pic>
              </a:graphicData>
            </a:graphic>
          </wp:inline>
        </w:drawing>
      </w:r>
    </w:p>
    <w:p>
      <w:pPr>
        <w:pStyle w:val="TF"/>
        <w:rPr/>
      </w:pPr>
      <w:r>
        <w:rPr/>
        <w:t>Figure 24.2.2-4: Total time to synchronization for 1/3, 3/9 and 4/12 frequency reuse</w:t>
      </w:r>
    </w:p>
    <w:p>
      <w:pPr>
        <w:pStyle w:val="TH"/>
        <w:rPr/>
      </w:pPr>
      <w:r>
        <w:rPr>
          <w:lang w:val="en-US" w:eastAsia="en-US"/>
        </w:rPr>
        <w:drawing>
          <wp:inline distT="0" distB="0" distL="0" distR="0">
            <wp:extent cx="2653030" cy="1979295"/>
            <wp:effectExtent l="0" t="0" r="0" b="0"/>
            <wp:docPr id="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
                    <pic:cNvPicPr>
                      <a:picLocks noChangeAspect="1" noChangeArrowheads="1"/>
                    </pic:cNvPicPr>
                  </pic:nvPicPr>
                  <pic:blipFill>
                    <a:blip r:embed="rId12"/>
                    <a:srcRect l="-5" t="-7" r="-5" b="-7"/>
                    <a:stretch>
                      <a:fillRect/>
                    </a:stretch>
                  </pic:blipFill>
                  <pic:spPr bwMode="auto">
                    <a:xfrm>
                      <a:off x="0" y="0"/>
                      <a:ext cx="2653030" cy="1979295"/>
                    </a:xfrm>
                    <a:prstGeom prst="rect">
                      <a:avLst/>
                    </a:prstGeom>
                  </pic:spPr>
                </pic:pic>
              </a:graphicData>
            </a:graphic>
          </wp:inline>
        </w:drawing>
      </w:r>
      <w:r>
        <w:rPr>
          <w:lang w:val="en-US" w:eastAsia="en-US"/>
        </w:rPr>
        <w:drawing>
          <wp:inline distT="0" distB="0" distL="0" distR="0">
            <wp:extent cx="2653030" cy="1979295"/>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13"/>
                    <a:srcRect l="-5" t="-7" r="-5" b="-7"/>
                    <a:stretch>
                      <a:fillRect/>
                    </a:stretch>
                  </pic:blipFill>
                  <pic:spPr bwMode="auto">
                    <a:xfrm>
                      <a:off x="0" y="0"/>
                      <a:ext cx="2653030" cy="1979295"/>
                    </a:xfrm>
                    <a:prstGeom prst="rect">
                      <a:avLst/>
                    </a:prstGeom>
                  </pic:spPr>
                </pic:pic>
              </a:graphicData>
            </a:graphic>
          </wp:inline>
        </w:drawing>
      </w:r>
    </w:p>
    <w:p>
      <w:pPr>
        <w:pStyle w:val="TF"/>
        <w:rPr/>
      </w:pPr>
      <w:r>
        <w:rPr/>
        <w:t>Figure 24.2.2-5: Residual time (left) and frequency (right) offset after FCCH detection</w:t>
      </w:r>
    </w:p>
    <w:p>
      <w:pPr>
        <w:pStyle w:val="Caption"/>
        <w:jc w:val="both"/>
        <w:rPr/>
      </w:pPr>
      <w:r>
        <w:rPr>
          <w:b w:val="false"/>
        </w:rPr>
        <w:t>During the search for the serving cell FCCH and SCH a device may detect the FCCH from a neighboring cell and successfully decode its SCH and read the BSIC. The below figure depicts the likelihood of decoding neighboring cells SCH and BSIC. Since a cell reconfirmation scenario was studied each device was configured to continue its search for the serving cell SCH upon detecting that the decoded BSIC did not match the serving cell BSIC. As a result a device may decode neighboring SCHs multiple times before receiving the serving cell SCH and confirming its BSIC. This is illustrated in the below figure for the three studied frequency reuses.</w:t>
      </w:r>
    </w:p>
    <w:p>
      <w:pPr>
        <w:pStyle w:val="TH"/>
        <w:rPr>
          <w:lang w:val="en-US" w:eastAsia="en-US"/>
        </w:rPr>
      </w:pPr>
      <w:r>
        <w:rPr>
          <w:lang w:val="en-US" w:eastAsia="en-US"/>
        </w:rPr>
        <w:drawing>
          <wp:inline distT="0" distB="0" distL="0" distR="0">
            <wp:extent cx="3206115" cy="2519680"/>
            <wp:effectExtent l="0" t="0" r="0" b="0"/>
            <wp:docPr id="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
                    <pic:cNvPicPr>
                      <a:picLocks noChangeAspect="1" noChangeArrowheads="1"/>
                    </pic:cNvPicPr>
                  </pic:nvPicPr>
                  <pic:blipFill>
                    <a:blip r:embed="rId14"/>
                    <a:srcRect l="-5" t="-7" r="-5" b="-7"/>
                    <a:stretch>
                      <a:fillRect/>
                    </a:stretch>
                  </pic:blipFill>
                  <pic:spPr bwMode="auto">
                    <a:xfrm>
                      <a:off x="0" y="0"/>
                      <a:ext cx="3206115" cy="2519680"/>
                    </a:xfrm>
                    <a:prstGeom prst="rect">
                      <a:avLst/>
                    </a:prstGeom>
                  </pic:spPr>
                </pic:pic>
              </a:graphicData>
            </a:graphic>
          </wp:inline>
        </w:drawing>
      </w:r>
    </w:p>
    <w:p>
      <w:pPr>
        <w:pStyle w:val="TF"/>
        <w:rPr/>
      </w:pPr>
      <w:r>
        <w:rPr/>
        <w:t xml:space="preserve">Figure 24.2.2-6: Likelihood of decoding the BSIC of a neighboring cell </w:t>
      </w:r>
      <w:r>
        <w:rPr>
          <w:lang w:eastAsia="ko-KR"/>
        </w:rPr>
        <w:t>with different BSIC than the serving cell</w:t>
      </w:r>
      <w:r>
        <w:rPr/>
        <w:t>.</w:t>
      </w:r>
    </w:p>
    <w:p>
      <w:pPr>
        <w:pStyle w:val="Normal"/>
        <w:jc w:val="both"/>
        <w:rPr/>
      </w:pPr>
      <w:r>
        <w:rPr/>
        <w:t>In case a decoded neighboring</w:t>
      </w:r>
      <w:r>
        <w:rPr>
          <w:b/>
        </w:rPr>
        <w:t xml:space="preserve"> </w:t>
      </w:r>
      <w:r>
        <w:rPr/>
        <w:t>SCH is configured with the same BSIC as the serving cell a device will not detect that it has synchronized to new cell. This unwanted event is known as BSIC confusion. A BSIC plan based on eight unique BSICs was configured for each reuse. The BSIC plan for the 1/3 frequency reuse is illustrated in Annex ZF.2. The below table presents the likelihood of BSIC confusion for each reuse. It can be concluded that even for this tight BSIC plan, BSIC confusion is not an issue in case of stationary devices attempting to reconfirm the serving cell.</w:t>
      </w:r>
    </w:p>
    <w:p>
      <w:pPr>
        <w:pStyle w:val="TH"/>
        <w:rPr/>
      </w:pPr>
      <w:r>
        <w:rPr/>
        <w:t>Table 24.2.2-5: Likelihood of BSIC confusion.</w:t>
      </w:r>
    </w:p>
    <w:tbl>
      <w:tblPr>
        <w:tblW w:w="5069" w:type="dxa"/>
        <w:jc w:val="center"/>
        <w:tblInd w:w="0" w:type="dxa"/>
        <w:tblLayout w:type="fixed"/>
        <w:tblCellMar>
          <w:top w:w="0" w:type="dxa"/>
          <w:left w:w="108" w:type="dxa"/>
          <w:bottom w:w="0" w:type="dxa"/>
          <w:right w:w="108" w:type="dxa"/>
        </w:tblCellMar>
      </w:tblPr>
      <w:tblGrid>
        <w:gridCol w:w="2943"/>
        <w:gridCol w:w="667"/>
        <w:gridCol w:w="577"/>
        <w:gridCol w:w="882"/>
      </w:tblGrid>
      <w:tr>
        <w:trPr/>
        <w:tc>
          <w:tcPr>
            <w:tcW w:w="294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66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c>
          <w:tcPr>
            <w:tcW w:w="57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88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r>
      <w:tr>
        <w:trPr/>
        <w:tc>
          <w:tcPr>
            <w:tcW w:w="29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Likelihood of BSIC confusion</w:t>
            </w:r>
          </w:p>
        </w:tc>
        <w:tc>
          <w:tcPr>
            <w:tcW w:w="6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7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88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 0.1%</w:t>
            </w:r>
          </w:p>
        </w:tc>
      </w:tr>
    </w:tbl>
    <w:p>
      <w:pPr>
        <w:pStyle w:val="FP"/>
        <w:rPr>
          <w:lang w:val="en-US"/>
        </w:rPr>
      </w:pPr>
      <w:r>
        <w:rPr>
          <w:lang w:val="en-US"/>
        </w:rPr>
      </w:r>
    </w:p>
    <w:p>
      <w:pPr>
        <w:pStyle w:val="Heading4"/>
        <w:ind w:left="1418" w:hanging="1418"/>
        <w:rPr>
          <w:lang w:val="en-US"/>
        </w:rPr>
      </w:pPr>
      <w:bookmarkStart w:id="58" w:name="__RefHeading___Toc518035497"/>
      <w:bookmarkEnd w:id="58"/>
      <w:r>
        <w:rPr>
          <w:lang w:val="en-US"/>
        </w:rPr>
        <w:t>24.2.2.4.2</w:t>
        <w:tab/>
        <w:t>EC-GSM-IoT</w:t>
      </w:r>
    </w:p>
    <w:p>
      <w:pPr>
        <w:pStyle w:val="Normal"/>
        <w:rPr/>
      </w:pPr>
      <w:r>
        <w:rPr>
          <w:lang w:eastAsia="ko-KR"/>
        </w:rPr>
        <w:t>Annex ZF.5 also presents an analysis of EC-GSM-IoT performance in the mention cell reconfirmation scenario in a reduced BCCH frequency allocation. A summary of the results is presented in table 24.2.2-5, and figure 24.2.2-7, 24.2.2-8, and 24.2.2-9</w:t>
      </w:r>
      <w:r>
        <w:rPr>
          <w:lang w:val="en-US"/>
        </w:rPr>
        <w:t>.</w:t>
      </w:r>
    </w:p>
    <w:p>
      <w:pPr>
        <w:pStyle w:val="Normal"/>
        <w:rPr/>
      </w:pPr>
      <w:r>
        <w:rPr>
          <w:lang w:val="en-US"/>
        </w:rPr>
        <w:t>The overall synchronization success rate and time to synchronization to the serving cell are presented in below table for the investigated frequency reuse scenarios.</w:t>
      </w:r>
    </w:p>
    <w:p>
      <w:pPr>
        <w:pStyle w:val="TH"/>
        <w:rPr>
          <w:lang w:val="en-US"/>
        </w:rPr>
      </w:pPr>
      <w:r>
        <w:rPr>
          <w:lang w:val="en-US"/>
        </w:rPr>
        <w:t>Table 24.2.2-6: Successful synchronization ratio.</w:t>
      </w:r>
    </w:p>
    <w:tbl>
      <w:tblPr>
        <w:tblW w:w="4428" w:type="dxa"/>
        <w:jc w:val="center"/>
        <w:tblInd w:w="0" w:type="dxa"/>
        <w:tblLayout w:type="fixed"/>
        <w:tblCellMar>
          <w:top w:w="0" w:type="dxa"/>
          <w:left w:w="108" w:type="dxa"/>
          <w:bottom w:w="0" w:type="dxa"/>
          <w:right w:w="108" w:type="dxa"/>
        </w:tblCellMar>
      </w:tblPr>
      <w:tblGrid>
        <w:gridCol w:w="1707"/>
        <w:gridCol w:w="907"/>
        <w:gridCol w:w="907"/>
        <w:gridCol w:w="907"/>
      </w:tblGrid>
      <w:tr>
        <w:trPr/>
        <w:tc>
          <w:tcPr>
            <w:tcW w:w="17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9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c>
          <w:tcPr>
            <w:tcW w:w="9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9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r>
      <w:tr>
        <w:trPr/>
        <w:tc>
          <w:tcPr>
            <w:tcW w:w="17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Success rate</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99.2%</w:t>
            </w:r>
          </w:p>
        </w:tc>
      </w:tr>
      <w:tr>
        <w:trPr/>
        <w:tc>
          <w:tcPr>
            <w:tcW w:w="17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Synch time, 50th </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0.198 s</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0.199 s</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0.208 s</w:t>
            </w:r>
          </w:p>
        </w:tc>
      </w:tr>
      <w:tr>
        <w:trPr/>
        <w:tc>
          <w:tcPr>
            <w:tcW w:w="17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Synch time, 99th </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0.664 s</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0.709 s</w:t>
            </w:r>
          </w:p>
        </w:tc>
        <w:tc>
          <w:tcPr>
            <w:tcW w:w="9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1.411 s</w:t>
            </w:r>
          </w:p>
        </w:tc>
      </w:tr>
    </w:tbl>
    <w:p>
      <w:pPr>
        <w:pStyle w:val="FP"/>
        <w:rPr/>
      </w:pPr>
      <w:r>
        <w:rPr/>
      </w:r>
    </w:p>
    <w:p>
      <w:pPr>
        <w:pStyle w:val="Normal"/>
        <w:rPr/>
      </w:pPr>
      <w:r>
        <w:rPr>
          <w:lang w:eastAsia="ko-KR"/>
        </w:rPr>
        <w:t xml:space="preserve">Figure 24.2.2-7 and figure 24.2.2-8 </w:t>
      </w:r>
      <w:r>
        <w:rPr>
          <w:lang w:val="en-US"/>
        </w:rPr>
        <w:t xml:space="preserve">depicts CDFs over the time until synchronization to the serving cell, the synchronization time and frequency residual offsets after FCCH detection. </w:t>
      </w:r>
    </w:p>
    <w:p>
      <w:pPr>
        <w:pStyle w:val="TH"/>
        <w:rPr>
          <w:lang w:val="en-US"/>
        </w:rPr>
      </w:pPr>
      <w:r>
        <w:rPr>
          <w:lang w:val="en-US" w:eastAsia="en-US"/>
        </w:rPr>
        <w:drawing>
          <wp:inline distT="0" distB="0" distL="0" distR="0">
            <wp:extent cx="3359785" cy="2520315"/>
            <wp:effectExtent l="0" t="0" r="0" b="0"/>
            <wp:docPr id="2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
                    <pic:cNvPicPr>
                      <a:picLocks noChangeAspect="1" noChangeArrowheads="1"/>
                    </pic:cNvPicPr>
                  </pic:nvPicPr>
                  <pic:blipFill>
                    <a:blip r:embed="rId15"/>
                    <a:srcRect l="-5" t="-7" r="-5" b="-7"/>
                    <a:stretch>
                      <a:fillRect/>
                    </a:stretch>
                  </pic:blipFill>
                  <pic:spPr bwMode="auto">
                    <a:xfrm>
                      <a:off x="0" y="0"/>
                      <a:ext cx="3359785" cy="2520315"/>
                    </a:xfrm>
                    <a:prstGeom prst="rect">
                      <a:avLst/>
                    </a:prstGeom>
                  </pic:spPr>
                </pic:pic>
              </a:graphicData>
            </a:graphic>
          </wp:inline>
        </w:drawing>
      </w:r>
    </w:p>
    <w:p>
      <w:pPr>
        <w:pStyle w:val="TF"/>
        <w:rPr/>
      </w:pPr>
      <w:r>
        <w:rPr/>
        <w:t>Figure 24.2.2-7: Total time to synchronization for 1/3, 3/9 and 4/12 frequency reuse</w:t>
      </w:r>
    </w:p>
    <w:p>
      <w:pPr>
        <w:pStyle w:val="TH"/>
        <w:rPr/>
      </w:pPr>
      <w:r>
        <w:rPr>
          <w:lang w:val="en-US" w:eastAsia="en-US"/>
        </w:rPr>
        <w:drawing>
          <wp:inline distT="0" distB="0" distL="0" distR="0">
            <wp:extent cx="2639695" cy="1979295"/>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16"/>
                    <a:srcRect l="-5" t="-7" r="-5" b="-7"/>
                    <a:stretch>
                      <a:fillRect/>
                    </a:stretch>
                  </pic:blipFill>
                  <pic:spPr bwMode="auto">
                    <a:xfrm>
                      <a:off x="0" y="0"/>
                      <a:ext cx="2639695" cy="1979295"/>
                    </a:xfrm>
                    <a:prstGeom prst="rect">
                      <a:avLst/>
                    </a:prstGeom>
                  </pic:spPr>
                </pic:pic>
              </a:graphicData>
            </a:graphic>
          </wp:inline>
        </w:drawing>
      </w:r>
      <w:r>
        <w:rPr>
          <w:lang w:val="en-US" w:eastAsia="en-US"/>
        </w:rPr>
        <w:drawing>
          <wp:inline distT="0" distB="0" distL="0" distR="0">
            <wp:extent cx="2639695" cy="1979295"/>
            <wp:effectExtent l="0" t="0" r="0" b="0"/>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17"/>
                    <a:srcRect l="-5" t="-7" r="-5" b="-7"/>
                    <a:stretch>
                      <a:fillRect/>
                    </a:stretch>
                  </pic:blipFill>
                  <pic:spPr bwMode="auto">
                    <a:xfrm>
                      <a:off x="0" y="0"/>
                      <a:ext cx="2639695" cy="1979295"/>
                    </a:xfrm>
                    <a:prstGeom prst="rect">
                      <a:avLst/>
                    </a:prstGeom>
                  </pic:spPr>
                </pic:pic>
              </a:graphicData>
            </a:graphic>
          </wp:inline>
        </w:drawing>
      </w:r>
    </w:p>
    <w:p>
      <w:pPr>
        <w:pStyle w:val="TF"/>
        <w:rPr/>
      </w:pPr>
      <w:bookmarkStart w:id="59" w:name="_Ref450831211"/>
      <w:r>
        <w:rPr/>
        <w:t xml:space="preserve">Figure </w:t>
      </w:r>
      <w:bookmarkEnd w:id="59"/>
      <w:r>
        <w:rPr/>
        <w:t>24.2.2-8: Residual time (left) and frequency (right) synchronization offset after FCCH detection</w:t>
      </w:r>
    </w:p>
    <w:p>
      <w:pPr>
        <w:pStyle w:val="Normal"/>
        <w:rPr/>
      </w:pPr>
      <w:r>
        <w:rPr>
          <w:lang w:val="en-US"/>
        </w:rPr>
        <w:t xml:space="preserve">The overall impact on EC-GSM-IoT synchronization performance from going to 4/12 via 3/9 to 1/3 frequency reuse is limited both in case of time to synchronization and the residual time and frequency errors. </w:t>
      </w:r>
    </w:p>
    <w:p>
      <w:pPr>
        <w:pStyle w:val="Normal"/>
        <w:rPr/>
      </w:pPr>
      <w:r>
        <w:rPr>
          <w:lang w:val="en-US"/>
        </w:rPr>
        <w:t xml:space="preserve">The impact on performance from a BSIC and TSC plan using only 8 unique BSIC code points has also been investigated. For 4/12 and 3/9 frequency reuse no recordings of decoding of neighboring cells EC-SCH were made. For 1/3 frequency reuse around 7% of the users will decode the BSIC of at least one neighboring cell, as presented in </w:t>
      </w:r>
      <w:r>
        <w:rPr>
          <w:lang w:eastAsia="ko-KR"/>
        </w:rPr>
        <w:t>figure 24.2.2-9.  No occurrences of so called BSIC confusions were however recorded.</w:t>
      </w:r>
      <w:r>
        <w:rPr>
          <w:lang w:val="en-US"/>
        </w:rPr>
        <w:t xml:space="preserve"> Also these results indicate the feasibility for support of a reduced BCCH frequency allocation. </w:t>
      </w:r>
    </w:p>
    <w:p>
      <w:pPr>
        <w:pStyle w:val="TH"/>
        <w:rPr>
          <w:lang w:val="en-US"/>
        </w:rPr>
      </w:pPr>
      <w:r>
        <w:rPr>
          <w:lang w:val="en-US" w:eastAsia="en-US"/>
        </w:rPr>
        <w:drawing>
          <wp:inline distT="0" distB="0" distL="0" distR="0">
            <wp:extent cx="3347085" cy="2522220"/>
            <wp:effectExtent l="0" t="0" r="0" b="0"/>
            <wp:docPr id="2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
                    <pic:cNvPicPr>
                      <a:picLocks noChangeAspect="1" noChangeArrowheads="1"/>
                    </pic:cNvPicPr>
                  </pic:nvPicPr>
                  <pic:blipFill>
                    <a:blip r:embed="rId18"/>
                    <a:srcRect l="-5" t="-7" r="-5" b="-7"/>
                    <a:stretch>
                      <a:fillRect/>
                    </a:stretch>
                  </pic:blipFill>
                  <pic:spPr bwMode="auto">
                    <a:xfrm>
                      <a:off x="0" y="0"/>
                      <a:ext cx="3347085" cy="2522220"/>
                    </a:xfrm>
                    <a:prstGeom prst="rect">
                      <a:avLst/>
                    </a:prstGeom>
                  </pic:spPr>
                </pic:pic>
              </a:graphicData>
            </a:graphic>
          </wp:inline>
        </w:drawing>
      </w:r>
    </w:p>
    <w:p>
      <w:pPr>
        <w:pStyle w:val="TF"/>
        <w:rPr/>
      </w:pPr>
      <w:bookmarkStart w:id="60" w:name="_Ref450831214"/>
      <w:r>
        <w:rPr>
          <w:lang w:val="en-US"/>
        </w:rPr>
        <w:t xml:space="preserve">Figure </w:t>
      </w:r>
      <w:bookmarkEnd w:id="60"/>
      <w:r>
        <w:rPr>
          <w:lang w:val="en-US"/>
        </w:rPr>
        <w:t>24.2.2-9: L</w:t>
      </w:r>
      <w:r>
        <w:rPr>
          <w:lang w:eastAsia="ko-KR"/>
        </w:rPr>
        <w:t>ikelihood of detecting a neighbouring cell with different BSIC than the serving cell.</w:t>
      </w:r>
    </w:p>
    <w:p>
      <w:pPr>
        <w:pStyle w:val="Heading3"/>
        <w:rPr/>
      </w:pPr>
      <w:bookmarkStart w:id="61" w:name="__RefHeading___Toc518035498"/>
      <w:bookmarkEnd w:id="61"/>
      <w:r>
        <w:rPr>
          <w:lang w:val="en-US"/>
        </w:rPr>
        <w:t>24.2.3</w:t>
        <w:tab/>
        <w:t>Common control channel performance</w:t>
      </w:r>
    </w:p>
    <w:p>
      <w:pPr>
        <w:pStyle w:val="Heading4"/>
        <w:ind w:left="1418" w:hanging="1418"/>
        <w:rPr>
          <w:lang w:val="en-US"/>
        </w:rPr>
      </w:pPr>
      <w:bookmarkStart w:id="62" w:name="__RefHeading___Toc518035499"/>
      <w:bookmarkEnd w:id="62"/>
      <w:r>
        <w:rPr>
          <w:lang w:val="en-US"/>
        </w:rPr>
        <w:t>24.2.3.1</w:t>
        <w:tab/>
        <w:t>General</w:t>
      </w:r>
    </w:p>
    <w:p>
      <w:pPr>
        <w:pStyle w:val="Normal"/>
        <w:rPr>
          <w:lang w:val="en-US"/>
        </w:rPr>
      </w:pPr>
      <w:r>
        <w:rPr>
          <w:lang w:val="en-US"/>
        </w:rPr>
        <w:t>The simulator used is described in Annex ZF.3.</w:t>
      </w:r>
    </w:p>
    <w:p>
      <w:pPr>
        <w:pStyle w:val="Normal"/>
        <w:rPr>
          <w:lang w:val="en-US"/>
        </w:rPr>
      </w:pPr>
      <w:r>
        <w:rPr>
          <w:lang w:val="en-US"/>
        </w:rPr>
        <w:t>Simulation assumptions and a more extensive presentation of the results can be found in Annex ZF.6.</w:t>
      </w:r>
    </w:p>
    <w:p>
      <w:pPr>
        <w:pStyle w:val="Normal"/>
        <w:rPr>
          <w:lang w:val="en-US" w:eastAsia="ko-KR"/>
        </w:rPr>
      </w:pPr>
      <w:r>
        <w:rPr>
          <w:lang w:val="en-US" w:eastAsia="ko-KR"/>
        </w:rPr>
        <w:t>The results are presented showing:</w:t>
      </w:r>
    </w:p>
    <w:p>
      <w:pPr>
        <w:pStyle w:val="B1"/>
        <w:rPr>
          <w:lang w:val="en-US"/>
        </w:rPr>
      </w:pPr>
      <w:r>
        <w:rPr>
          <w:lang w:val="en-US"/>
        </w:rPr>
        <w:t>-</w:t>
        <w:tab/>
        <w:t>Resource Usage</w:t>
      </w:r>
    </w:p>
    <w:p>
      <w:pPr>
        <w:pStyle w:val="B2"/>
        <w:rPr/>
      </w:pPr>
      <w:r>
        <w:rPr>
          <w:lang w:val="en-US"/>
        </w:rPr>
        <w:t>-</w:t>
        <w:tab/>
        <w:t>This represents the average amount of bursts used per user, including all transmissions per system access attempt.</w:t>
      </w:r>
    </w:p>
    <w:p>
      <w:pPr>
        <w:pStyle w:val="B2"/>
        <w:rPr>
          <w:lang w:val="en-US"/>
        </w:rPr>
      </w:pPr>
      <w:r>
        <w:rPr>
          <w:lang w:val="en-US"/>
        </w:rPr>
        <w:t>-</w:t>
        <w:tab/>
        <w:t>Also, the % used of the overall resources available on a single TS used for (EC-)CCCH is shown.</w:t>
      </w:r>
    </w:p>
    <w:p>
      <w:pPr>
        <w:pStyle w:val="B1"/>
        <w:rPr>
          <w:lang w:val="en-US"/>
        </w:rPr>
      </w:pPr>
      <w:r>
        <w:rPr>
          <w:lang w:val="en-US"/>
        </w:rPr>
        <w:t>-</w:t>
        <w:tab/>
        <w:t>Common control signaling delay</w:t>
      </w:r>
    </w:p>
    <w:p>
      <w:pPr>
        <w:pStyle w:val="B2"/>
        <w:rPr/>
      </w:pPr>
      <w:r>
        <w:rPr>
          <w:lang w:val="en-US"/>
        </w:rPr>
        <w:t>-</w:t>
        <w:tab/>
        <w:t>The delay includes time from initial (EC-)RACH transmission to a received matching Immediate Assignment.</w:t>
      </w:r>
    </w:p>
    <w:p>
      <w:pPr>
        <w:pStyle w:val="B1"/>
        <w:rPr>
          <w:lang w:val="en-US"/>
        </w:rPr>
      </w:pPr>
      <w:r>
        <w:rPr>
          <w:lang w:val="en-US"/>
        </w:rPr>
        <w:t>-</w:t>
        <w:tab/>
        <w:t>Failed attempts</w:t>
      </w:r>
    </w:p>
    <w:p>
      <w:pPr>
        <w:pStyle w:val="B2"/>
        <w:rPr>
          <w:lang w:val="en-US"/>
        </w:rPr>
      </w:pPr>
      <w:r>
        <w:rPr>
          <w:lang w:val="en-US"/>
        </w:rPr>
        <w:t>-</w:t>
        <w:tab/>
        <w:t>This represents the percentage of the attempts that were not successful, after the maximum attempts.</w:t>
      </w:r>
    </w:p>
    <w:p>
      <w:pPr>
        <w:pStyle w:val="B1"/>
        <w:rPr/>
      </w:pPr>
      <w:r>
        <w:rPr>
          <w:lang w:val="en-US"/>
        </w:rPr>
        <w:t>-</w:t>
        <w:tab/>
        <w:t>Coverage class distribution (only applicable to EC-GSM-IoT)</w:t>
      </w:r>
    </w:p>
    <w:p>
      <w:pPr>
        <w:pStyle w:val="B2"/>
        <w:rPr>
          <w:lang w:val="en-US"/>
        </w:rPr>
      </w:pPr>
      <w:r>
        <w:rPr>
          <w:lang w:val="en-US"/>
        </w:rPr>
        <w:t>-</w:t>
        <w:tab/>
        <w:t>This shows the % of devices ending up in different coverage classes for 33 dBm and 23 dBm devices respectively, with the coverage class thresholds used in the simulations for the respective frequency re-use factor.</w:t>
      </w:r>
    </w:p>
    <w:p>
      <w:pPr>
        <w:pStyle w:val="Heading4"/>
        <w:ind w:left="1418" w:hanging="1418"/>
        <w:rPr>
          <w:lang w:val="en-US"/>
        </w:rPr>
      </w:pPr>
      <w:bookmarkStart w:id="63" w:name="__RefHeading___Toc518035500"/>
      <w:bookmarkEnd w:id="63"/>
      <w:r>
        <w:rPr>
          <w:lang w:val="en-US"/>
        </w:rPr>
        <w:t>24.2.3.2</w:t>
        <w:tab/>
        <w:t>GPRS/EGPRS</w:t>
      </w:r>
    </w:p>
    <w:p>
      <w:pPr>
        <w:pStyle w:val="Heading5"/>
        <w:ind w:left="1701" w:hanging="1701"/>
        <w:rPr/>
      </w:pPr>
      <w:bookmarkStart w:id="64" w:name="__RefHeading___Toc518035501"/>
      <w:bookmarkEnd w:id="64"/>
      <w:r>
        <w:rPr>
          <w:lang w:val="en-US"/>
        </w:rPr>
        <w:t>24.2.3.2.1</w:t>
        <w:tab/>
        <w:t>Resource usage</w:t>
      </w:r>
    </w:p>
    <w:p>
      <w:pPr>
        <w:pStyle w:val="Normal"/>
        <w:rPr/>
      </w:pPr>
      <w:r>
        <w:rPr>
          <w:lang w:val="en-US"/>
        </w:rPr>
        <w:t xml:space="preserve">There is a clear visible increase in the number of bursts required on average for a successful system access attempt when going from a 12 or 9 re-use to a 3 re-use. Still the increase is limited to around 15% on the DL and 20% on the UL. </w:t>
      </w:r>
    </w:p>
    <w:p>
      <w:pPr>
        <w:pStyle w:val="TH"/>
        <w:rPr/>
      </w:pPr>
      <w:r>
        <w:rPr/>
        <w:t>Table 24.2.3-</w:t>
      </w:r>
      <w:r>
        <w:rPr>
          <w:lang w:val="en-US"/>
        </w:rPr>
        <w:t>1</w:t>
      </w:r>
      <w:r>
        <w:rPr/>
        <w:t>: Resource usage for GPRS/EGPRS on the downlink and uplink</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UL [#bursts]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1710" w:type="dxa"/>
            <w:tcBorders>
              <w:top w:val="single" w:sz="4" w:space="0" w:color="000000"/>
              <w:left w:val="single" w:sz="4" w:space="0" w:color="000000"/>
              <w:bottom w:val="single" w:sz="4" w:space="0" w:color="000000"/>
              <w:right w:val="single" w:sz="4" w:space="0" w:color="000000"/>
            </w:tcBorders>
          </w:tcPr>
          <w:p>
            <w:pPr>
              <w:pStyle w:val="TAC"/>
              <w:rPr>
                <w:color w:val="FF0000"/>
                <w:lang w:val="en-GB"/>
              </w:rPr>
            </w:pPr>
            <w:r>
              <w:rPr>
                <w:lang w:val="en-GB"/>
              </w:rPr>
              <w:t>1.0</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4.6</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r>
    </w:tbl>
    <w:p>
      <w:pPr>
        <w:pStyle w:val="FP"/>
        <w:rPr>
          <w:lang w:val="en-US"/>
        </w:rPr>
      </w:pPr>
      <w:r>
        <w:rPr>
          <w:lang w:val="en-US"/>
        </w:rPr>
      </w:r>
    </w:p>
    <w:p>
      <w:pPr>
        <w:pStyle w:val="Normal"/>
        <w:rPr/>
      </w:pPr>
      <w:r>
        <w:rPr>
          <w:lang w:val="en-US"/>
        </w:rPr>
        <w:t>In table 24.2.3-2 the resource usage is instead presented as the resources used out of all resources available for CCCH. It is here assumed that AGCH and PCH can take up 9 blocks on the CCCH (as per maximum configuration, without BCCH Ext, and blocks reserved for access grant).</w:t>
      </w:r>
    </w:p>
    <w:p>
      <w:pPr>
        <w:pStyle w:val="TH"/>
        <w:rPr>
          <w:lang w:val="en-US"/>
        </w:rPr>
      </w:pPr>
      <w:r>
        <w:rPr>
          <w:lang w:val="en-US"/>
        </w:rPr>
        <w:t>Table 24.2.3-2: Resource usage for GPRS/EGPRS on the downlink and uplink</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UL [#bursts]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14.1%</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2.5%</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14.1%</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2.5%</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16.2%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r>
    </w:tbl>
    <w:p>
      <w:pPr>
        <w:pStyle w:val="FP"/>
        <w:rPr>
          <w:lang w:val="en-US"/>
        </w:rPr>
      </w:pPr>
      <w:r>
        <w:rPr>
          <w:lang w:val="en-US"/>
        </w:rPr>
      </w:r>
    </w:p>
    <w:p>
      <w:pPr>
        <w:pStyle w:val="Heading5"/>
        <w:ind w:left="1701" w:hanging="1701"/>
        <w:rPr>
          <w:lang w:val="en-US"/>
        </w:rPr>
      </w:pPr>
      <w:bookmarkStart w:id="65" w:name="__RefHeading___Toc518035502"/>
      <w:bookmarkEnd w:id="65"/>
      <w:r>
        <w:rPr>
          <w:lang w:val="en-US"/>
        </w:rPr>
        <w:t>24.2.3.2.2</w:t>
        <w:tab/>
        <w:t>Common control signaling delay</w:t>
      </w:r>
    </w:p>
    <w:p>
      <w:pPr>
        <w:pStyle w:val="Normal"/>
        <w:rPr>
          <w:lang w:val="en-US"/>
        </w:rPr>
      </w:pPr>
      <w:r>
        <w:rPr>
          <w:lang w:val="en-US"/>
        </w:rPr>
        <w:t>The common control signaling delay is shown in figure 24.2.3-1. As can be seen, the</w:t>
      </w:r>
      <w:r>
        <w:rPr>
          <w:lang w:eastAsia="ko-KR"/>
        </w:rPr>
        <w:t xml:space="preserve"> 95% of the users experience lower delay than 40 ms in all cases.</w:t>
      </w:r>
    </w:p>
    <w:p>
      <w:pPr>
        <w:pStyle w:val="TH"/>
        <w:rPr>
          <w:lang w:val="en-US"/>
        </w:rPr>
      </w:pPr>
      <w:r>
        <w:rPr>
          <w:lang w:val="en-US" w:eastAsia="en-US"/>
        </w:rPr>
        <w:drawing>
          <wp:inline distT="0" distB="0" distL="0" distR="0">
            <wp:extent cx="3778885" cy="2521585"/>
            <wp:effectExtent l="0" t="0" r="0" b="0"/>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19"/>
                    <a:srcRect l="-7" t="-10" r="-7" b="-10"/>
                    <a:stretch>
                      <a:fillRect/>
                    </a:stretch>
                  </pic:blipFill>
                  <pic:spPr bwMode="auto">
                    <a:xfrm>
                      <a:off x="0" y="0"/>
                      <a:ext cx="3778885" cy="2521585"/>
                    </a:xfrm>
                    <a:prstGeom prst="rect">
                      <a:avLst/>
                    </a:prstGeom>
                  </pic:spPr>
                </pic:pic>
              </a:graphicData>
            </a:graphic>
          </wp:inline>
        </w:drawing>
      </w:r>
    </w:p>
    <w:p>
      <w:pPr>
        <w:pStyle w:val="TF"/>
        <w:rPr/>
      </w:pPr>
      <w:r>
        <w:rPr/>
        <w:t>Figure 24.2.3-</w:t>
      </w:r>
      <w:r>
        <w:rPr>
          <w:lang w:val="en-US"/>
        </w:rPr>
        <w:t>1</w:t>
      </w:r>
      <w:r>
        <w:rPr/>
        <w:t>:</w:t>
      </w:r>
      <w:r>
        <w:rPr>
          <w:lang w:val="en-US"/>
        </w:rPr>
        <w:t xml:space="preserve"> Common control signaling delay, GPRS/EGPRS</w:t>
      </w:r>
    </w:p>
    <w:p>
      <w:pPr>
        <w:pStyle w:val="Heading5"/>
        <w:ind w:left="1701" w:hanging="1701"/>
        <w:rPr>
          <w:lang w:val="en-US"/>
        </w:rPr>
      </w:pPr>
      <w:bookmarkStart w:id="66" w:name="__RefHeading___Toc518035503"/>
      <w:bookmarkEnd w:id="66"/>
      <w:r>
        <w:rPr>
          <w:lang w:val="en-US"/>
        </w:rPr>
        <w:t>24.2.3.2.3</w:t>
        <w:tab/>
        <w:t>Failed attempts</w:t>
      </w:r>
    </w:p>
    <w:p>
      <w:pPr>
        <w:pStyle w:val="Normal"/>
        <w:rPr>
          <w:lang w:val="en-US"/>
        </w:rPr>
      </w:pPr>
      <w:r>
        <w:rPr>
          <w:lang w:val="en-US"/>
        </w:rPr>
        <w:t>The failed attempts in all scenarios were shown to be below 0.1%.</w:t>
      </w:r>
    </w:p>
    <w:p>
      <w:pPr>
        <w:pStyle w:val="Heading4"/>
        <w:ind w:left="1418" w:hanging="1418"/>
        <w:rPr>
          <w:lang w:val="en-US"/>
        </w:rPr>
      </w:pPr>
      <w:bookmarkStart w:id="67" w:name="__RefHeading___Toc518035504"/>
      <w:bookmarkEnd w:id="67"/>
      <w:r>
        <w:rPr>
          <w:lang w:val="en-US"/>
        </w:rPr>
        <w:t>24.2.3.3</w:t>
        <w:tab/>
        <w:t>EC-GSM-IoT</w:t>
      </w:r>
    </w:p>
    <w:p>
      <w:pPr>
        <w:pStyle w:val="Heading5"/>
        <w:ind w:left="1701" w:hanging="1701"/>
        <w:rPr/>
      </w:pPr>
      <w:bookmarkStart w:id="68" w:name="__RefHeading___Toc518035505"/>
      <w:bookmarkEnd w:id="68"/>
      <w:r>
        <w:rPr>
          <w:lang w:val="en-US"/>
        </w:rPr>
        <w:t>24.2.3.3.1</w:t>
        <w:tab/>
        <w:t>Resource usage</w:t>
      </w:r>
    </w:p>
    <w:p>
      <w:pPr>
        <w:pStyle w:val="Normal"/>
        <w:rPr/>
      </w:pPr>
      <w:r>
        <w:rPr>
          <w:lang w:val="en-US"/>
        </w:rPr>
        <w:t>As can be seen, the difference between 12 and 9 re-use is quite small, or not visible, while the change from a 9 re-use factor to a 3 re-use factor has a rather large relative impact on the results on the DL, and for 23 dBm devices on the UL. The reason that the resource usage is increased on the DL is due to the BCCH layer transmitting constantly on all resources. Using power savings on the BCCH layer up to 6 dB helps, but the overall interference situation still reflects a rather highly loaded system. On the UL, the requirement on constant transmission does not exist, but for 23 dBm devices, more would have to use repetitions to reach the network, which increases resources usage. Still, it should be noted that the out of coverage level is not different for 33 dBm devices and 23 dBm devices, implying that 23 dBm devices can cope with the network deployment, even if resource usage is significantly increased compared to the 33 dBm device deployment.</w:t>
      </w:r>
    </w:p>
    <w:p>
      <w:pPr>
        <w:pStyle w:val="TH"/>
        <w:rPr/>
      </w:pPr>
      <w:r>
        <w:rPr>
          <w:lang w:val="en-US"/>
        </w:rPr>
        <w:t>Table 24.2-3: Resource usage for EC-GSM</w:t>
      </w:r>
      <w:r>
        <w:rPr/>
        <w:t>-IoT on the downlink and uplink, 33 / 23 dBm</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Resource usage </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Resource usage </w:t>
              <w:br/>
              <w:t>UL [#bursts]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2.3 / 2.3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1.1 / 1.7</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2.3 / 2.3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1.1 / 1.8</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3.3 / 3.3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1.3 / 2.6</w:t>
            </w:r>
          </w:p>
        </w:tc>
      </w:tr>
    </w:tbl>
    <w:p>
      <w:pPr>
        <w:pStyle w:val="FP"/>
        <w:rPr>
          <w:lang w:val="en-US"/>
        </w:rPr>
      </w:pPr>
      <w:r>
        <w:rPr>
          <w:lang w:val="en-US"/>
        </w:rPr>
      </w:r>
    </w:p>
    <w:p>
      <w:pPr>
        <w:pStyle w:val="TH"/>
        <w:rPr/>
      </w:pPr>
      <w:r>
        <w:rPr>
          <w:lang w:val="en-US"/>
        </w:rPr>
        <w:t>Table 24.2-4: Percent of resources available for EC-GSM-IoT on the d</w:t>
      </w:r>
      <w:r>
        <w:rPr/>
        <w:t>ownlink and uplink, 33 / 23 dBm</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of resources</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 of resources </w:t>
            </w:r>
          </w:p>
          <w:p>
            <w:pPr>
              <w:pStyle w:val="TAH"/>
              <w:rPr>
                <w:lang w:val="en-US" w:eastAsia="en-US"/>
              </w:rPr>
            </w:pPr>
            <w:r>
              <w:rPr>
                <w:lang w:val="en-US" w:eastAsia="en-US"/>
              </w:rPr>
              <w:t>UL [#bursts]</w:t>
            </w:r>
            <w:r>
              <w:rPr>
                <w:vertAlign w:val="superscript"/>
                <w:lang w:val="en-US" w:eastAsia="en-US"/>
              </w:rPr>
              <w:t>1</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10.2 / 10.2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3.5 / 5.3</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10.2 / 10.2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3.5 / 5.6</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14.7 / 14.7</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4.1 / 8.2</w:t>
            </w:r>
          </w:p>
        </w:tc>
      </w:tr>
      <w:tr>
        <w:trPr/>
        <w:tc>
          <w:tcPr>
            <w:tcW w:w="4393"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US"/>
              </w:rPr>
              <w:t>NOTE1:</w:t>
              <w:tab/>
              <w:t>Considering that the EC-RACH is based on slotted ALOHA, the resource usage per user cannot directly be translated to overall resource usage. Hence, the estimate should be considered an upper limit (in case no collissions occur)</w:t>
            </w:r>
          </w:p>
        </w:tc>
      </w:tr>
    </w:tbl>
    <w:p>
      <w:pPr>
        <w:pStyle w:val="FP"/>
        <w:rPr>
          <w:lang w:val="en-US"/>
        </w:rPr>
      </w:pPr>
      <w:r>
        <w:rPr>
          <w:lang w:val="en-US"/>
        </w:rPr>
      </w:r>
    </w:p>
    <w:p>
      <w:pPr>
        <w:pStyle w:val="Heading5"/>
        <w:ind w:left="1701" w:hanging="1701"/>
        <w:rPr>
          <w:lang w:val="en-US"/>
        </w:rPr>
      </w:pPr>
      <w:bookmarkStart w:id="69" w:name="__RefHeading___Toc518035506"/>
      <w:bookmarkEnd w:id="69"/>
      <w:r>
        <w:rPr>
          <w:lang w:val="en-US"/>
        </w:rPr>
        <w:t>24.2.3.3.2</w:t>
        <w:tab/>
        <w:t>Common control signaling delay</w:t>
      </w:r>
    </w:p>
    <w:p>
      <w:pPr>
        <w:pStyle w:val="Normal"/>
        <w:rPr/>
      </w:pPr>
      <w:r>
        <w:rPr>
          <w:lang w:val="en-US"/>
        </w:rPr>
        <w:t>In figure 24.2.3-2 the delay seen on the common control channel is presented for both simulated cases of 100% 33 dBm MS penetration and 100% 23 dBm MS penetration. As can be seen, 95% of the users experience lower delay than 100 ms in all cases, except for 3-re-use where the 95 percentile is around 500 ms.</w:t>
      </w:r>
    </w:p>
    <w:p>
      <w:pPr>
        <w:pStyle w:val="TH"/>
        <w:rPr>
          <w:lang w:val="en-US" w:eastAsia="en-US"/>
        </w:rPr>
      </w:pPr>
      <w:r>
        <w:rPr>
          <w:lang w:val="en-US" w:eastAsia="en-US"/>
        </w:rPr>
        <w:drawing>
          <wp:inline distT="0" distB="0" distL="0" distR="0">
            <wp:extent cx="3780790" cy="2521585"/>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0"/>
                    <a:srcRect l="-5" t="-8" r="-5" b="-8"/>
                    <a:stretch>
                      <a:fillRect/>
                    </a:stretch>
                  </pic:blipFill>
                  <pic:spPr bwMode="auto">
                    <a:xfrm>
                      <a:off x="0" y="0"/>
                      <a:ext cx="3780790" cy="2521585"/>
                    </a:xfrm>
                    <a:prstGeom prst="rect">
                      <a:avLst/>
                    </a:prstGeom>
                  </pic:spPr>
                </pic:pic>
              </a:graphicData>
            </a:graphic>
          </wp:inline>
        </w:drawing>
      </w:r>
    </w:p>
    <w:p>
      <w:pPr>
        <w:pStyle w:val="TF"/>
        <w:rPr/>
      </w:pPr>
      <w:r>
        <w:rPr>
          <w:lang w:val="en-US" w:eastAsia="en-US"/>
        </w:rPr>
        <w:t xml:space="preserve">Figure 24.2.3-2: </w:t>
      </w:r>
      <w:r>
        <w:rPr>
          <w:lang w:val="en-US"/>
        </w:rPr>
        <w:t>Common control signaling delay, 33 dBm</w:t>
      </w:r>
    </w:p>
    <w:p>
      <w:pPr>
        <w:pStyle w:val="Heading5"/>
        <w:ind w:left="1701" w:hanging="1701"/>
        <w:rPr>
          <w:lang w:val="en-US"/>
        </w:rPr>
      </w:pPr>
      <w:bookmarkStart w:id="70" w:name="__RefHeading___Toc518035507"/>
      <w:bookmarkEnd w:id="70"/>
      <w:r>
        <w:rPr>
          <w:lang w:val="en-US"/>
        </w:rPr>
        <w:t>24.2.3.3.3</w:t>
        <w:tab/>
        <w:t>Failed attempts</w:t>
      </w:r>
    </w:p>
    <w:p>
      <w:pPr>
        <w:pStyle w:val="Normal"/>
        <w:rPr>
          <w:lang w:val="en-US"/>
        </w:rPr>
      </w:pPr>
      <w:r>
        <w:rPr>
          <w:lang w:val="en-US"/>
        </w:rPr>
        <w:t>The failed attempts in all scenarios were shown to be below 0.1%.</w:t>
      </w:r>
    </w:p>
    <w:p>
      <w:pPr>
        <w:pStyle w:val="Heading5"/>
        <w:ind w:left="1701" w:hanging="1701"/>
        <w:rPr>
          <w:lang w:val="en-US"/>
        </w:rPr>
      </w:pPr>
      <w:bookmarkStart w:id="71" w:name="__RefHeading___Toc518035508"/>
      <w:bookmarkEnd w:id="71"/>
      <w:r>
        <w:rPr>
          <w:lang w:val="en-US"/>
        </w:rPr>
        <w:t>24.2.3.3.4</w:t>
        <w:tab/>
        <w:t>Coverage class distribution</w:t>
      </w:r>
    </w:p>
    <w:p>
      <w:pPr>
        <w:pStyle w:val="Normal"/>
        <w:rPr>
          <w:lang w:val="en-US"/>
        </w:rPr>
      </w:pPr>
      <w:r>
        <w:rPr>
          <w:lang w:eastAsia="ko-KR"/>
        </w:rPr>
        <w:t>The coverage class distribution for the regular planner is shown in table 24.2.3-5 and table 24.2.3-6.</w:t>
      </w:r>
    </w:p>
    <w:p>
      <w:pPr>
        <w:pStyle w:val="TH"/>
        <w:rPr/>
      </w:pPr>
      <w:r>
        <w:rPr/>
        <w:t>Table 24.2.3-5: Coverage class distribution on UL for 33 dBm / 23 dBm [%]</w:t>
      </w:r>
    </w:p>
    <w:tbl>
      <w:tblPr>
        <w:tblW w:w="5264" w:type="dxa"/>
        <w:jc w:val="center"/>
        <w:tblInd w:w="0" w:type="dxa"/>
        <w:tblLayout w:type="fixed"/>
        <w:tblCellMar>
          <w:top w:w="0" w:type="dxa"/>
          <w:left w:w="108" w:type="dxa"/>
          <w:bottom w:w="0" w:type="dxa"/>
          <w:right w:w="108" w:type="dxa"/>
        </w:tblCellMar>
      </w:tblPr>
      <w:tblGrid>
        <w:gridCol w:w="966"/>
        <w:gridCol w:w="1167"/>
        <w:gridCol w:w="967"/>
        <w:gridCol w:w="967"/>
        <w:gridCol w:w="1197"/>
      </w:tblGrid>
      <w:tr>
        <w:trPr/>
        <w:tc>
          <w:tcPr>
            <w:tcW w:w="966"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116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CC1</w:t>
            </w:r>
          </w:p>
        </w:tc>
        <w:tc>
          <w:tcPr>
            <w:tcW w:w="96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CC2</w:t>
            </w:r>
          </w:p>
        </w:tc>
        <w:tc>
          <w:tcPr>
            <w:tcW w:w="96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CC3</w:t>
            </w:r>
          </w:p>
        </w:tc>
        <w:tc>
          <w:tcPr>
            <w:tcW w:w="119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CC4</w:t>
            </w:r>
          </w:p>
        </w:tc>
      </w:tr>
      <w:tr>
        <w:trPr>
          <w:trHeight w:val="193" w:hRule="atLeast"/>
        </w:trPr>
        <w:tc>
          <w:tcPr>
            <w:tcW w:w="966"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12</w:t>
            </w:r>
          </w:p>
        </w:tc>
        <w:tc>
          <w:tcPr>
            <w:tcW w:w="1167"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99.5 / 94.6</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0.4 / 4.0</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0.1 / 0.8</w:t>
            </w:r>
          </w:p>
        </w:tc>
        <w:tc>
          <w:tcPr>
            <w:tcW w:w="1197"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&lt;0.1 / 0.7</w:t>
            </w:r>
          </w:p>
        </w:tc>
      </w:tr>
      <w:tr>
        <w:trPr/>
        <w:tc>
          <w:tcPr>
            <w:tcW w:w="966"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w:t>
            </w:r>
          </w:p>
        </w:tc>
        <w:tc>
          <w:tcPr>
            <w:tcW w:w="11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99.4 / 94.0</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0.5 / 4.4</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 / 0.9</w:t>
            </w:r>
          </w:p>
        </w:tc>
        <w:tc>
          <w:tcPr>
            <w:tcW w:w="119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&lt;0.1 / 0.8</w:t>
            </w:r>
          </w:p>
        </w:tc>
      </w:tr>
      <w:tr>
        <w:trPr/>
        <w:tc>
          <w:tcPr>
            <w:tcW w:w="966"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3</w:t>
            </w:r>
          </w:p>
        </w:tc>
        <w:tc>
          <w:tcPr>
            <w:tcW w:w="11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99.1 / 93.0</w:t>
            </w:r>
          </w:p>
        </w:tc>
        <w:tc>
          <w:tcPr>
            <w:tcW w:w="967"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0.7 / 4.9 </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 / 1.1</w:t>
            </w:r>
          </w:p>
        </w:tc>
        <w:tc>
          <w:tcPr>
            <w:tcW w:w="119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&lt;0.1 / 1.0</w:t>
            </w:r>
          </w:p>
        </w:tc>
      </w:tr>
    </w:tbl>
    <w:p>
      <w:pPr>
        <w:pStyle w:val="FP"/>
        <w:rPr>
          <w:lang w:val="en-US"/>
        </w:rPr>
      </w:pPr>
      <w:r>
        <w:rPr>
          <w:lang w:val="en-US"/>
        </w:rPr>
      </w:r>
    </w:p>
    <w:p>
      <w:pPr>
        <w:pStyle w:val="TH"/>
        <w:rPr/>
      </w:pPr>
      <w:r>
        <w:rPr/>
        <w:t>Table 24.2.3-6: Coverage class distribution on DL for 33 dBm / 23 dBm [%]</w:t>
      </w:r>
    </w:p>
    <w:tbl>
      <w:tblPr>
        <w:tblW w:w="5264" w:type="dxa"/>
        <w:jc w:val="center"/>
        <w:tblInd w:w="0" w:type="dxa"/>
        <w:tblLayout w:type="fixed"/>
        <w:tblCellMar>
          <w:top w:w="0" w:type="dxa"/>
          <w:left w:w="108" w:type="dxa"/>
          <w:bottom w:w="0" w:type="dxa"/>
          <w:right w:w="108" w:type="dxa"/>
        </w:tblCellMar>
      </w:tblPr>
      <w:tblGrid>
        <w:gridCol w:w="966"/>
        <w:gridCol w:w="1167"/>
        <w:gridCol w:w="967"/>
        <w:gridCol w:w="967"/>
        <w:gridCol w:w="1197"/>
      </w:tblGrid>
      <w:tr>
        <w:trPr/>
        <w:tc>
          <w:tcPr>
            <w:tcW w:w="966"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116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CC1</w:t>
            </w:r>
          </w:p>
        </w:tc>
        <w:tc>
          <w:tcPr>
            <w:tcW w:w="96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CC2</w:t>
            </w:r>
          </w:p>
        </w:tc>
        <w:tc>
          <w:tcPr>
            <w:tcW w:w="96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CC3</w:t>
            </w:r>
          </w:p>
        </w:tc>
        <w:tc>
          <w:tcPr>
            <w:tcW w:w="119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CC4</w:t>
            </w:r>
          </w:p>
        </w:tc>
      </w:tr>
      <w:tr>
        <w:trPr>
          <w:trHeight w:val="193" w:hRule="atLeast"/>
        </w:trPr>
        <w:tc>
          <w:tcPr>
            <w:tcW w:w="966"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12</w:t>
            </w:r>
          </w:p>
        </w:tc>
        <w:tc>
          <w:tcPr>
            <w:tcW w:w="1167"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98.7 / 98.8</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1.2 / 1.1</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0.1 / 0.1</w:t>
            </w:r>
          </w:p>
        </w:tc>
        <w:tc>
          <w:tcPr>
            <w:tcW w:w="1197"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&lt;0.1 / &lt;0.1</w:t>
            </w:r>
          </w:p>
        </w:tc>
      </w:tr>
      <w:tr>
        <w:trPr/>
        <w:tc>
          <w:tcPr>
            <w:tcW w:w="966"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9</w:t>
            </w:r>
          </w:p>
        </w:tc>
        <w:tc>
          <w:tcPr>
            <w:tcW w:w="11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98.4 / 98.5</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 / 1.3</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 / 0.1</w:t>
            </w:r>
          </w:p>
        </w:tc>
        <w:tc>
          <w:tcPr>
            <w:tcW w:w="119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&lt;0.1 / &lt;0.1</w:t>
            </w:r>
          </w:p>
        </w:tc>
      </w:tr>
      <w:tr>
        <w:trPr/>
        <w:tc>
          <w:tcPr>
            <w:tcW w:w="966" w:type="dxa"/>
            <w:tcBorders>
              <w:top w:val="single" w:sz="4" w:space="0" w:color="000000"/>
              <w:left w:val="single" w:sz="4" w:space="0" w:color="000000"/>
              <w:bottom w:val="single" w:sz="4" w:space="0" w:color="000000"/>
              <w:right w:val="single" w:sz="4" w:space="0" w:color="000000"/>
            </w:tcBorders>
          </w:tcPr>
          <w:p>
            <w:pPr>
              <w:pStyle w:val="TAC"/>
              <w:rPr>
                <w:lang w:val="en-US" w:eastAsia="ko-KR"/>
              </w:rPr>
            </w:pPr>
            <w:r>
              <w:rPr>
                <w:lang w:val="en-US" w:eastAsia="ko-KR"/>
              </w:rPr>
              <w:t>3</w:t>
            </w:r>
          </w:p>
        </w:tc>
        <w:tc>
          <w:tcPr>
            <w:tcW w:w="11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95.6 / 95.8</w:t>
            </w:r>
          </w:p>
        </w:tc>
        <w:tc>
          <w:tcPr>
            <w:tcW w:w="9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3.1 / 3.1</w:t>
            </w:r>
          </w:p>
        </w:tc>
        <w:tc>
          <w:tcPr>
            <w:tcW w:w="967" w:type="dxa"/>
            <w:tcBorders>
              <w:top w:val="single" w:sz="4" w:space="0" w:color="000000"/>
              <w:left w:val="single" w:sz="4" w:space="0" w:color="000000"/>
              <w:bottom w:val="single" w:sz="4" w:space="0" w:color="000000"/>
              <w:right w:val="single" w:sz="4" w:space="0" w:color="000000"/>
            </w:tcBorders>
          </w:tcPr>
          <w:p>
            <w:pPr>
              <w:pStyle w:val="TAC"/>
              <w:rPr/>
            </w:pPr>
            <w:r>
              <w:rPr>
                <w:lang w:val="en-GB"/>
              </w:rPr>
              <w:t>1.3 / 1.2</w:t>
            </w:r>
          </w:p>
        </w:tc>
        <w:tc>
          <w:tcPr>
            <w:tcW w:w="119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&lt;0.1 / &lt;0.1</w:t>
            </w:r>
          </w:p>
        </w:tc>
      </w:tr>
    </w:tbl>
    <w:p>
      <w:pPr>
        <w:pStyle w:val="FP"/>
        <w:rPr>
          <w:lang w:val="en-US"/>
        </w:rPr>
      </w:pPr>
      <w:r>
        <w:rPr>
          <w:lang w:val="en-US"/>
        </w:rPr>
      </w:r>
    </w:p>
    <w:p>
      <w:pPr>
        <w:pStyle w:val="Heading3"/>
        <w:rPr>
          <w:lang w:val="en-US"/>
        </w:rPr>
      </w:pPr>
      <w:bookmarkStart w:id="72" w:name="__RefHeading___Toc518035509"/>
      <w:r>
        <w:rPr>
          <w:lang w:val="en-US"/>
        </w:rPr>
        <w:t>24.2.4</w:t>
        <w:tab/>
        <w:t>Data traffic and control channel performance</w:t>
      </w:r>
      <w:bookmarkEnd w:id="72"/>
      <w:r>
        <w:rPr>
          <w:lang w:val="en-US"/>
        </w:rPr>
        <w:t xml:space="preserve"> </w:t>
      </w:r>
    </w:p>
    <w:p>
      <w:pPr>
        <w:pStyle w:val="Heading4"/>
        <w:ind w:left="1418" w:hanging="1418"/>
        <w:rPr>
          <w:lang w:val="en-US"/>
        </w:rPr>
      </w:pPr>
      <w:bookmarkStart w:id="73" w:name="__RefHeading___Toc518035510"/>
      <w:bookmarkEnd w:id="73"/>
      <w:r>
        <w:rPr>
          <w:lang w:val="en-US"/>
        </w:rPr>
        <w:t>24.2.4.1</w:t>
        <w:tab/>
        <w:t>General</w:t>
      </w:r>
    </w:p>
    <w:p>
      <w:pPr>
        <w:pStyle w:val="Normal"/>
        <w:rPr>
          <w:lang w:val="en-US"/>
        </w:rPr>
      </w:pPr>
      <w:r>
        <w:rPr>
          <w:lang w:val="en-US"/>
        </w:rPr>
        <w:t>The simulator used is described in Annex ZF.4.</w:t>
      </w:r>
    </w:p>
    <w:p>
      <w:pPr>
        <w:pStyle w:val="Normal"/>
        <w:rPr>
          <w:lang w:val="en-US"/>
        </w:rPr>
      </w:pPr>
      <w:r>
        <w:rPr>
          <w:lang w:val="en-US"/>
        </w:rPr>
        <w:t>Simulation assumptions and a more extensive presentation of the results can be found in Annex ZF.7.</w:t>
      </w:r>
    </w:p>
    <w:p>
      <w:pPr>
        <w:pStyle w:val="Normal"/>
        <w:rPr/>
      </w:pPr>
      <w:r>
        <w:rPr>
          <w:lang w:val="en-US" w:eastAsia="ko-KR"/>
        </w:rPr>
        <w:t>The results are presented showing:</w:t>
      </w:r>
    </w:p>
    <w:p>
      <w:pPr>
        <w:pStyle w:val="B1"/>
        <w:rPr>
          <w:lang w:val="en-US"/>
        </w:rPr>
      </w:pPr>
      <w:r>
        <w:rPr>
          <w:lang w:val="en-US"/>
        </w:rPr>
        <w:t>-</w:t>
        <w:tab/>
        <w:t>Resource Usage</w:t>
      </w:r>
    </w:p>
    <w:p>
      <w:pPr>
        <w:pStyle w:val="B2"/>
        <w:rPr>
          <w:lang w:val="en-US"/>
        </w:rPr>
      </w:pPr>
      <w:r>
        <w:rPr>
          <w:lang w:val="en-US"/>
        </w:rPr>
        <w:t>-</w:t>
        <w:tab/>
        <w:t>Average amount of PDCH DL and UL TS resources required on average per cell in the system.</w:t>
      </w:r>
    </w:p>
    <w:p>
      <w:pPr>
        <w:pStyle w:val="B1"/>
        <w:rPr>
          <w:lang w:val="en-US"/>
        </w:rPr>
      </w:pPr>
      <w:r>
        <w:rPr>
          <w:lang w:val="en-US"/>
        </w:rPr>
        <w:t>-</w:t>
        <w:tab/>
        <w:t xml:space="preserve">Latency of MAR periodic reports </w:t>
      </w:r>
    </w:p>
    <w:p>
      <w:pPr>
        <w:pStyle w:val="B2"/>
        <w:rPr>
          <w:lang w:val="en-US"/>
        </w:rPr>
      </w:pPr>
      <w:r>
        <w:rPr>
          <w:lang w:val="en-US"/>
        </w:rPr>
        <w:t>-</w:t>
        <w:tab/>
        <w:t>The latency includes time to transfer the message excluding common control signaling delay.</w:t>
      </w:r>
    </w:p>
    <w:p>
      <w:pPr>
        <w:pStyle w:val="B1"/>
        <w:rPr/>
      </w:pPr>
      <w:r>
        <w:rPr>
          <w:lang w:val="en-US"/>
        </w:rPr>
        <w:t>-</w:t>
        <w:tab/>
        <w:t>Latency of DL application Ack</w:t>
      </w:r>
    </w:p>
    <w:p>
      <w:pPr>
        <w:pStyle w:val="B2"/>
        <w:rPr>
          <w:lang w:val="en-US"/>
        </w:rPr>
      </w:pPr>
      <w:r>
        <w:rPr>
          <w:lang w:val="en-US"/>
        </w:rPr>
        <w:t>-</w:t>
        <w:tab/>
        <w:t>Latency is measured from the time an application layer DL ACK is received at the base station until the time when the device has successfully received the application layer DL ACK.</w:t>
      </w:r>
    </w:p>
    <w:p>
      <w:pPr>
        <w:pStyle w:val="B1"/>
        <w:rPr>
          <w:lang w:val="en-US"/>
        </w:rPr>
      </w:pPr>
      <w:r>
        <w:rPr>
          <w:lang w:val="en-US"/>
        </w:rPr>
        <w:t>-</w:t>
        <w:tab/>
        <w:t>Failed attempts</w:t>
      </w:r>
    </w:p>
    <w:p>
      <w:pPr>
        <w:pStyle w:val="B2"/>
        <w:rPr/>
      </w:pPr>
      <w:r>
        <w:rPr>
          <w:lang w:val="en-US"/>
        </w:rPr>
        <w:t>-</w:t>
        <w:tab/>
        <w:t>The percentage of the attempts that were not successful, i.e. did not manage to get the report through during 20 seconds.</w:t>
      </w:r>
    </w:p>
    <w:p>
      <w:pPr>
        <w:pStyle w:val="B1"/>
        <w:rPr>
          <w:lang w:val="en-US"/>
        </w:rPr>
      </w:pPr>
      <w:r>
        <w:rPr>
          <w:lang w:val="en-US"/>
        </w:rPr>
        <w:t>-</w:t>
        <w:tab/>
        <w:t>Uplink capacity</w:t>
      </w:r>
    </w:p>
    <w:p>
      <w:pPr>
        <w:pStyle w:val="B2"/>
        <w:rPr/>
      </w:pPr>
      <w:r>
        <w:rPr>
          <w:lang w:val="en-US"/>
        </w:rPr>
        <w:t>-</w:t>
        <w:tab/>
        <w:t>Uplink capacity is defined as "spectral efficiency in number of reports/200 kHz/hour".</w:t>
      </w:r>
    </w:p>
    <w:p>
      <w:pPr>
        <w:pStyle w:val="B1"/>
        <w:rPr/>
      </w:pPr>
      <w:r>
        <w:rPr>
          <w:lang w:val="en-US"/>
        </w:rPr>
        <w:t>-</w:t>
        <w:tab/>
        <w:t>Coverage class distribution (only applicable to EC-GSM-IoT)</w:t>
      </w:r>
    </w:p>
    <w:p>
      <w:pPr>
        <w:pStyle w:val="B2"/>
        <w:rPr>
          <w:lang w:val="en-US"/>
        </w:rPr>
      </w:pPr>
      <w:r>
        <w:rPr>
          <w:lang w:val="en-US"/>
        </w:rPr>
        <w:t>-</w:t>
        <w:tab/>
        <w:t>This shows the % of devices ending up in different coverage classes for 33 dBm and 23 dBm devices respectively, with the coverage class thresholds used in the simulations for the respective frequency re-use factor.</w:t>
      </w:r>
    </w:p>
    <w:p>
      <w:pPr>
        <w:pStyle w:val="Heading4"/>
        <w:ind w:left="1418" w:hanging="1418"/>
        <w:rPr>
          <w:lang w:val="en-US"/>
        </w:rPr>
      </w:pPr>
      <w:bookmarkStart w:id="74" w:name="__RefHeading___Toc518035511"/>
      <w:bookmarkEnd w:id="74"/>
      <w:r>
        <w:rPr>
          <w:lang w:val="en-US"/>
        </w:rPr>
        <w:t>24.2.4.2</w:t>
        <w:tab/>
        <w:t>GPRS/EGPRS</w:t>
      </w:r>
    </w:p>
    <w:p>
      <w:pPr>
        <w:pStyle w:val="Heading5"/>
        <w:ind w:left="1701" w:hanging="1701"/>
        <w:rPr/>
      </w:pPr>
      <w:bookmarkStart w:id="75" w:name="__RefHeading___Toc518035512"/>
      <w:bookmarkEnd w:id="75"/>
      <w:r>
        <w:rPr>
          <w:lang w:val="en-US"/>
        </w:rPr>
        <w:t>24.2.4.2.1</w:t>
        <w:tab/>
        <w:t>PDCH resource usage</w:t>
      </w:r>
    </w:p>
    <w:p>
      <w:pPr>
        <w:pStyle w:val="Heading5"/>
        <w:ind w:left="1701" w:hanging="1701"/>
        <w:rPr/>
      </w:pPr>
      <w:bookmarkStart w:id="76" w:name="__RefHeading___Toc518035513"/>
      <w:bookmarkStart w:id="77" w:name="_Ref435548210"/>
      <w:r>
        <w:rPr/>
        <w:t>24.2.4.2.2</w:t>
        <w:tab/>
        <w:t>Latency</w:t>
      </w:r>
      <w:bookmarkEnd w:id="76"/>
      <w:r>
        <w:rPr/>
        <w:t xml:space="preserve"> </w:t>
      </w:r>
      <w:bookmarkEnd w:id="77"/>
    </w:p>
    <w:p>
      <w:pPr>
        <w:pStyle w:val="Normal"/>
        <w:rPr/>
      </w:pPr>
      <w:r>
        <w:rPr/>
        <w:t xml:space="preserve">The latency on uplink and downlink are shown in figure 24.2.4-1. </w:t>
      </w:r>
      <w:r>
        <w:rPr>
          <w:lang w:eastAsia="sv-SE"/>
        </w:rPr>
        <w:t xml:space="preserve">The delays are increasing with tighter frequency re-use, as expected. </w:t>
      </w:r>
      <w:r>
        <w:rPr/>
        <w:t xml:space="preserve">The "knees" visible in the uplink distribution are due to the three different packet sizes used in the traffic model. </w:t>
      </w:r>
    </w:p>
    <w:p>
      <w:pPr>
        <w:pStyle w:val="TH"/>
        <w:rPr>
          <w:lang w:val="en-US" w:eastAsia="en-US"/>
        </w:rPr>
      </w:pPr>
      <w:r>
        <w:rPr>
          <w:lang w:val="en-US" w:eastAsia="en-US"/>
        </w:rPr>
        <w:drawing>
          <wp:inline distT="0" distB="0" distL="0" distR="0">
            <wp:extent cx="2712720" cy="1802130"/>
            <wp:effectExtent l="0" t="0" r="0" b="0"/>
            <wp:docPr id="2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
                    <pic:cNvPicPr>
                      <a:picLocks noChangeAspect="1" noChangeArrowheads="1"/>
                    </pic:cNvPicPr>
                  </pic:nvPicPr>
                  <pic:blipFill>
                    <a:blip r:embed="rId21"/>
                    <a:srcRect l="-5" t="-8" r="-5" b="-8"/>
                    <a:stretch>
                      <a:fillRect/>
                    </a:stretch>
                  </pic:blipFill>
                  <pic:spPr bwMode="auto">
                    <a:xfrm>
                      <a:off x="0" y="0"/>
                      <a:ext cx="2712720" cy="1802130"/>
                    </a:xfrm>
                    <a:prstGeom prst="rect">
                      <a:avLst/>
                    </a:prstGeom>
                  </pic:spPr>
                </pic:pic>
              </a:graphicData>
            </a:graphic>
          </wp:inline>
        </w:drawing>
      </w:r>
      <w:r>
        <w:rPr>
          <w:lang w:val="en-US" w:eastAsia="en-US"/>
        </w:rPr>
        <w:drawing>
          <wp:inline distT="0" distB="0" distL="0" distR="0">
            <wp:extent cx="2705735" cy="1802130"/>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22"/>
                    <a:srcRect l="-5" t="-8" r="-5" b="-8"/>
                    <a:stretch>
                      <a:fillRect/>
                    </a:stretch>
                  </pic:blipFill>
                  <pic:spPr bwMode="auto">
                    <a:xfrm>
                      <a:off x="0" y="0"/>
                      <a:ext cx="2705735" cy="1802130"/>
                    </a:xfrm>
                    <a:prstGeom prst="rect">
                      <a:avLst/>
                    </a:prstGeom>
                  </pic:spPr>
                </pic:pic>
              </a:graphicData>
            </a:graphic>
          </wp:inline>
        </w:drawing>
      </w:r>
    </w:p>
    <w:p>
      <w:pPr>
        <w:pStyle w:val="TF"/>
        <w:rPr>
          <w:lang w:val="en-US" w:eastAsia="en-US"/>
        </w:rPr>
      </w:pPr>
      <w:r>
        <w:rPr>
          <w:lang w:val="en-US" w:eastAsia="en-US"/>
        </w:rPr>
        <w:t xml:space="preserve">Figure 24.2.4-1: Uplink (left) and downlink (right) transmission delay for </w:t>
      </w:r>
      <w:r>
        <w:rPr/>
        <w:t xml:space="preserve">33 dBm </w:t>
      </w:r>
    </w:p>
    <w:p>
      <w:pPr>
        <w:pStyle w:val="Heading5"/>
        <w:ind w:left="1701" w:hanging="1701"/>
        <w:rPr/>
      </w:pPr>
      <w:bookmarkStart w:id="78" w:name="__RefHeading___Toc518035514"/>
      <w:bookmarkStart w:id="79" w:name="_Ref435548257"/>
      <w:bookmarkEnd w:id="78"/>
      <w:r>
        <w:rPr/>
        <w:t>24.2.4.2.4</w:t>
        <w:tab/>
        <w:t>Failed Attempts</w:t>
      </w:r>
      <w:bookmarkEnd w:id="79"/>
    </w:p>
    <w:p>
      <w:pPr>
        <w:pStyle w:val="Normal"/>
        <w:rPr/>
      </w:pPr>
      <w:r>
        <w:rPr/>
        <w:t>No failed attempts were recorded.</w:t>
      </w:r>
    </w:p>
    <w:p>
      <w:pPr>
        <w:pStyle w:val="Heading5"/>
        <w:ind w:left="1701" w:hanging="1701"/>
        <w:rPr/>
      </w:pPr>
      <w:bookmarkStart w:id="80" w:name="__RefHeading___Toc518035515"/>
      <w:bookmarkStart w:id="81" w:name="_Ref435548269"/>
      <w:bookmarkEnd w:id="80"/>
      <w:r>
        <w:rPr/>
        <w:t>24.2.4.2.5</w:t>
        <w:tab/>
        <w:t>Capacity</w:t>
      </w:r>
      <w:bookmarkEnd w:id="81"/>
    </w:p>
    <w:p>
      <w:pPr>
        <w:pStyle w:val="Normal"/>
        <w:rPr/>
      </w:pPr>
      <w:r>
        <w:rPr/>
        <w:t>This definition is made with a standalone CIoT system in mind. The system in this evaluation serves only one traffic type (MTC traffic), but the event intensities and packet sizes differ on the downlink and uplink. On the downlink all packet sizes are the same (45 bytes), and have the intensity of 1.4 reports per sector and second. On the uplink the packet sizes are 'randomly' picked from 40, 150 or 1200 bytes and have the intensity of 3 reports per sector and second. Due to the mix of packet sizes and different intensities on uplink and downlink the capacity definition may be less meaningful, but anyway an attempt has been made to present the capacity for the combined intensity of 5.4 reports per sector and second. It should be noted that the measure is not really a capacity measure since it does not reflect the capacity limit of the system but rather at an assumed fixed load.</w:t>
      </w:r>
    </w:p>
    <w:p>
      <w:pPr>
        <w:pStyle w:val="TH"/>
        <w:rPr>
          <w:lang w:val="sv-SE"/>
        </w:rPr>
      </w:pPr>
      <w:r>
        <w:rPr>
          <w:lang w:val="sv-SE"/>
        </w:rPr>
        <w:t>Table 24.2.4-1: Capacity</w:t>
      </w:r>
    </w:p>
    <w:tbl>
      <w:tblPr>
        <w:tblW w:w="3260" w:type="dxa"/>
        <w:jc w:val="center"/>
        <w:tblInd w:w="0" w:type="dxa"/>
        <w:tblLayout w:type="fixed"/>
        <w:tblCellMar>
          <w:top w:w="0" w:type="dxa"/>
          <w:left w:w="108" w:type="dxa"/>
          <w:bottom w:w="0" w:type="dxa"/>
          <w:right w:w="108" w:type="dxa"/>
        </w:tblCellMar>
      </w:tblPr>
      <w:tblGrid>
        <w:gridCol w:w="917"/>
        <w:gridCol w:w="2343"/>
      </w:tblGrid>
      <w:tr>
        <w:trPr/>
        <w:tc>
          <w:tcPr>
            <w:tcW w:w="9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BCCH</w:t>
            </w:r>
          </w:p>
          <w:p>
            <w:pPr>
              <w:pStyle w:val="TAH"/>
              <w:rPr>
                <w:lang w:eastAsia="en-US"/>
              </w:rPr>
            </w:pPr>
            <w:r>
              <w:rPr>
                <w:lang w:eastAsia="en-US"/>
              </w:rPr>
              <w:t>Re-use</w:t>
            </w:r>
          </w:p>
        </w:tc>
        <w:tc>
          <w:tcPr>
            <w:tcW w:w="234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Capacity</w:t>
            </w:r>
          </w:p>
          <w:p>
            <w:pPr>
              <w:pStyle w:val="TAH"/>
              <w:rPr>
                <w:lang w:eastAsia="en-US"/>
              </w:rPr>
            </w:pPr>
            <w:r>
              <w:rPr>
                <w:lang w:eastAsia="en-US"/>
              </w:rPr>
              <w:t>[reports/200kHz/hour]</w:t>
            </w:r>
          </w:p>
        </w:tc>
      </w:tr>
      <w:tr>
        <w:trPr/>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23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1620</w:t>
            </w:r>
          </w:p>
        </w:tc>
      </w:tr>
      <w:tr>
        <w:trPr/>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23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2160</w:t>
            </w:r>
          </w:p>
        </w:tc>
      </w:tr>
      <w:tr>
        <w:trPr/>
        <w:tc>
          <w:tcPr>
            <w:tcW w:w="9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23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6480</w:t>
            </w:r>
          </w:p>
        </w:tc>
      </w:tr>
    </w:tbl>
    <w:p>
      <w:pPr>
        <w:pStyle w:val="FP"/>
        <w:rPr>
          <w:lang w:val="en-US"/>
        </w:rPr>
      </w:pPr>
      <w:r>
        <w:rPr>
          <w:lang w:val="en-US"/>
        </w:rPr>
      </w:r>
    </w:p>
    <w:p>
      <w:pPr>
        <w:pStyle w:val="Heading4"/>
        <w:ind w:left="1418" w:hanging="1418"/>
        <w:rPr>
          <w:lang w:val="en-US"/>
        </w:rPr>
      </w:pPr>
      <w:bookmarkStart w:id="82" w:name="__RefHeading___Toc518035516"/>
      <w:bookmarkEnd w:id="82"/>
      <w:r>
        <w:rPr>
          <w:lang w:val="en-US"/>
        </w:rPr>
        <w:t>24.2.4.3</w:t>
        <w:tab/>
        <w:t>EC-GSM-IoT</w:t>
      </w:r>
    </w:p>
    <w:p>
      <w:pPr>
        <w:pStyle w:val="Heading5"/>
        <w:ind w:left="1701" w:hanging="1701"/>
        <w:rPr>
          <w:lang w:val="en-US"/>
        </w:rPr>
      </w:pPr>
      <w:bookmarkStart w:id="83" w:name="__RefHeading___Toc518035517"/>
      <w:bookmarkEnd w:id="83"/>
      <w:r>
        <w:rPr>
          <w:lang w:val="en-US"/>
        </w:rPr>
        <w:t>24.2.4.3.1</w:t>
        <w:tab/>
        <w:t>PDCH resource usage</w:t>
      </w:r>
    </w:p>
    <w:p>
      <w:pPr>
        <w:pStyle w:val="Normal"/>
        <w:rPr/>
      </w:pPr>
      <w:r>
        <w:rPr>
          <w:lang w:val="en-US"/>
        </w:rPr>
        <w:t xml:space="preserve">As can be seen in Table 24.2.4-2 the downlink PDCH resource usage for EC-GSM-IoT is almost the same for a re-use factor of 9 and 12 for both 33 dBm and 23 dBm devices and for both SINR and carrier based downlink coverage class selection. When changing from 12 to 3 re-use the downlink PDCH resource usage is increased 2.0 times for SINR and 2.2 times for carrier based downlink coverage class selection.  </w:t>
      </w:r>
    </w:p>
    <w:p>
      <w:pPr>
        <w:pStyle w:val="Normal"/>
        <w:rPr/>
      </w:pPr>
      <w:r>
        <w:rPr>
          <w:lang w:val="en-US"/>
        </w:rPr>
        <w:t>The uplink PDCH resource usage is between 1.8 and 1.9 times higher for 23 dBm devices than 33 dBm devices. When changing from 12 to 3 re-use the uplink PDCH resource usage is increased between 6 and 10 %.</w:t>
      </w:r>
    </w:p>
    <w:p>
      <w:pPr>
        <w:pStyle w:val="TH"/>
        <w:rPr/>
      </w:pPr>
      <w:r>
        <w:rPr/>
        <w:t>Table 24.2.4-2: PDCH resource usage for EC-GSM-IoT on the downlink and uplink, 33 / 23 dBm</w:t>
      </w:r>
    </w:p>
    <w:tbl>
      <w:tblPr>
        <w:tblW w:w="7813" w:type="dxa"/>
        <w:jc w:val="center"/>
        <w:tblInd w:w="0" w:type="dxa"/>
        <w:tblLayout w:type="fixed"/>
        <w:tblCellMar>
          <w:top w:w="0" w:type="dxa"/>
          <w:left w:w="108" w:type="dxa"/>
          <w:bottom w:w="0" w:type="dxa"/>
          <w:right w:w="108" w:type="dxa"/>
        </w:tblCellMar>
      </w:tblPr>
      <w:tblGrid>
        <w:gridCol w:w="973"/>
        <w:gridCol w:w="1710"/>
        <w:gridCol w:w="1710"/>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3420"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Resource usage </w:t>
              <w:br/>
              <w:t>DL [#TS]</w:t>
            </w:r>
          </w:p>
        </w:tc>
        <w:tc>
          <w:tcPr>
            <w:tcW w:w="3420"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Resource usage </w:t>
              <w:br/>
              <w:t>UL [#TS]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SINR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Carrier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SINR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pPr>
            <w:r>
              <w:rPr>
                <w:b/>
                <w:lang w:val="en-US"/>
              </w:rPr>
              <w:t>Carrier CC DL</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0.35 / 0.35</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0.35 / 0.36</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0.85 / 1.60</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0.84 / 1.59</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0.37 / 0.37</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0.37 / 0.38</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0.85 / 1.59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0.85 / 1.60</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0.70 / 0.68</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0.75 / 0.73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0.91 / 1.69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0.92 / 1.68</w:t>
            </w:r>
          </w:p>
        </w:tc>
      </w:tr>
    </w:tbl>
    <w:p>
      <w:pPr>
        <w:pStyle w:val="Normal"/>
        <w:rPr>
          <w:lang w:val="en-US"/>
        </w:rPr>
      </w:pPr>
      <w:r>
        <w:rPr>
          <w:lang w:val="en-US"/>
        </w:rPr>
      </w:r>
    </w:p>
    <w:p>
      <w:pPr>
        <w:pStyle w:val="Heading5"/>
        <w:ind w:left="1701" w:hanging="1701"/>
        <w:rPr>
          <w:lang w:val="en-US"/>
        </w:rPr>
      </w:pPr>
      <w:bookmarkStart w:id="84" w:name="__RefHeading___Toc518035518"/>
      <w:bookmarkEnd w:id="84"/>
      <w:r>
        <w:rPr>
          <w:lang w:val="en-US"/>
        </w:rPr>
        <w:t>24.2.4.3.2</w:t>
        <w:tab/>
        <w:t>Latency of MAR periodic reports</w:t>
      </w:r>
    </w:p>
    <w:p>
      <w:pPr>
        <w:pStyle w:val="Normal"/>
        <w:rPr/>
      </w:pPr>
      <w:r>
        <w:rPr>
          <w:lang w:val="en-US"/>
        </w:rPr>
        <w:t>The latency of MAR periodic reports is represented by the latency of the data transfer, i.e. the common control signaling delay is not included. In Figure 24.2.4-2 it can be seen that few users will experience an increased delay when changing from 12 to 3 re-use. It can also be seen that 23 dBm devices will experience a larger delay than 33 dBm devices.</w:t>
      </w:r>
    </w:p>
    <w:p>
      <w:pPr>
        <w:pStyle w:val="TH"/>
        <w:rPr>
          <w:lang w:val="en-US" w:eastAsia="en-US"/>
        </w:rPr>
      </w:pPr>
      <w:r>
        <w:rPr>
          <w:lang w:val="en-US" w:eastAsia="en-US"/>
        </w:rPr>
        <w:drawing>
          <wp:inline distT="0" distB="0" distL="0" distR="0">
            <wp:extent cx="2926080" cy="2201545"/>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23"/>
                    <a:srcRect l="-11" t="-14" r="-11" b="-14"/>
                    <a:stretch>
                      <a:fillRect/>
                    </a:stretch>
                  </pic:blipFill>
                  <pic:spPr bwMode="auto">
                    <a:xfrm>
                      <a:off x="0" y="0"/>
                      <a:ext cx="2926080" cy="2201545"/>
                    </a:xfrm>
                    <a:prstGeom prst="rect">
                      <a:avLst/>
                    </a:prstGeom>
                  </pic:spPr>
                </pic:pic>
              </a:graphicData>
            </a:graphic>
          </wp:inline>
        </w:drawing>
      </w:r>
      <w:r>
        <w:rPr>
          <w:lang w:val="en-US" w:eastAsia="en-US"/>
        </w:rPr>
        <w:drawing>
          <wp:inline distT="0" distB="0" distL="0" distR="0">
            <wp:extent cx="2929255" cy="2204085"/>
            <wp:effectExtent l="0" t="0" r="0" b="0"/>
            <wp:docPr id="3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pic:cNvPicPr>
                      <a:picLocks noChangeAspect="1" noChangeArrowheads="1"/>
                    </pic:cNvPicPr>
                  </pic:nvPicPr>
                  <pic:blipFill>
                    <a:blip r:embed="rId24"/>
                    <a:srcRect l="-11" t="-14" r="-11" b="-14"/>
                    <a:stretch>
                      <a:fillRect/>
                    </a:stretch>
                  </pic:blipFill>
                  <pic:spPr bwMode="auto">
                    <a:xfrm>
                      <a:off x="0" y="0"/>
                      <a:ext cx="2929255" cy="2204085"/>
                    </a:xfrm>
                    <a:prstGeom prst="rect">
                      <a:avLst/>
                    </a:prstGeom>
                  </pic:spPr>
                </pic:pic>
              </a:graphicData>
            </a:graphic>
          </wp:inline>
        </w:drawing>
      </w:r>
    </w:p>
    <w:p>
      <w:pPr>
        <w:pStyle w:val="TF"/>
        <w:rPr/>
      </w:pPr>
      <w:r>
        <w:rPr>
          <w:lang w:val="en-US" w:eastAsia="en-US"/>
        </w:rPr>
        <w:t xml:space="preserve">Figure 24.2.4-2: Uplink transmission delay for </w:t>
      </w:r>
      <w:r>
        <w:rPr>
          <w:lang w:val="en-US"/>
        </w:rPr>
        <w:t>33 dBm (left) and 23 dBm (right)</w:t>
      </w:r>
    </w:p>
    <w:p>
      <w:pPr>
        <w:pStyle w:val="FP"/>
        <w:rPr>
          <w:lang w:val="en-US"/>
        </w:rPr>
      </w:pPr>
      <w:r>
        <w:rPr>
          <w:lang w:val="en-US"/>
        </w:rPr>
      </w:r>
    </w:p>
    <w:p>
      <w:pPr>
        <w:pStyle w:val="Heading5"/>
        <w:ind w:left="1701" w:hanging="1701"/>
        <w:rPr>
          <w:lang w:val="en-US"/>
        </w:rPr>
      </w:pPr>
      <w:bookmarkStart w:id="85" w:name="__RefHeading___Toc518035519"/>
      <w:bookmarkEnd w:id="85"/>
      <w:r>
        <w:rPr>
          <w:lang w:val="en-US"/>
        </w:rPr>
        <w:t>24.2.4.3.3</w:t>
        <w:tab/>
        <w:t>Latency of Downlink Application Ack</w:t>
      </w:r>
    </w:p>
    <w:p>
      <w:pPr>
        <w:pStyle w:val="Normal"/>
        <w:rPr/>
      </w:pPr>
      <w:r>
        <w:rPr>
          <w:lang w:val="en-US"/>
        </w:rPr>
        <w:t>A few users will experience an increased Downlink Application Ack delay when going to tighter re-use as seen in Figure 24.2.4-3. It can be noted that the Downlink Application Ack delay for 9 and 12 re-use is almost the same for the two downlink coverage class selection cases. However, for 3 re-use the delay is larger with carrier based selection compared to the SINR based selection.The Downlink Application Ack delay is almost the same for 23 dBm as for 33 dBm devices.</w:t>
      </w:r>
    </w:p>
    <w:p>
      <w:pPr>
        <w:pStyle w:val="TH"/>
        <w:rPr>
          <w:lang w:val="en-US" w:eastAsia="en-US"/>
        </w:rPr>
      </w:pPr>
      <w:r>
        <w:rPr>
          <w:lang w:val="en-US" w:eastAsia="en-US"/>
        </w:rPr>
        <w:drawing>
          <wp:inline distT="0" distB="0" distL="0" distR="0">
            <wp:extent cx="2932430" cy="2206625"/>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25"/>
                    <a:srcRect l="-11" t="-14" r="-11" b="-14"/>
                    <a:stretch>
                      <a:fillRect/>
                    </a:stretch>
                  </pic:blipFill>
                  <pic:spPr bwMode="auto">
                    <a:xfrm>
                      <a:off x="0" y="0"/>
                      <a:ext cx="2932430" cy="2206625"/>
                    </a:xfrm>
                    <a:prstGeom prst="rect">
                      <a:avLst/>
                    </a:prstGeom>
                  </pic:spPr>
                </pic:pic>
              </a:graphicData>
            </a:graphic>
          </wp:inline>
        </w:drawing>
      </w:r>
      <w:r>
        <w:rPr>
          <w:lang w:val="en-US" w:eastAsia="en-US"/>
        </w:rPr>
        <w:drawing>
          <wp:inline distT="0" distB="0" distL="0" distR="0">
            <wp:extent cx="2932430" cy="2206625"/>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26"/>
                    <a:srcRect l="-11" t="-14" r="-11" b="-14"/>
                    <a:stretch>
                      <a:fillRect/>
                    </a:stretch>
                  </pic:blipFill>
                  <pic:spPr bwMode="auto">
                    <a:xfrm>
                      <a:off x="0" y="0"/>
                      <a:ext cx="2932430" cy="2206625"/>
                    </a:xfrm>
                    <a:prstGeom prst="rect">
                      <a:avLst/>
                    </a:prstGeom>
                  </pic:spPr>
                </pic:pic>
              </a:graphicData>
            </a:graphic>
          </wp:inline>
        </w:drawing>
      </w:r>
    </w:p>
    <w:p>
      <w:pPr>
        <w:pStyle w:val="TF"/>
        <w:rPr/>
      </w:pPr>
      <w:r>
        <w:rPr>
          <w:lang w:val="en-US" w:eastAsia="en-US"/>
        </w:rPr>
        <w:t xml:space="preserve">Figure 24.2.4-3: Downlink Application Ack delay for </w:t>
      </w:r>
      <w:r>
        <w:rPr>
          <w:lang w:val="en-US"/>
        </w:rPr>
        <w:t>33 dBm (left) and 23 dBm (right)</w:t>
      </w:r>
    </w:p>
    <w:p>
      <w:pPr>
        <w:pStyle w:val="Heading5"/>
        <w:ind w:left="1701" w:hanging="1701"/>
        <w:rPr/>
      </w:pPr>
      <w:bookmarkStart w:id="86" w:name="__RefHeading___Toc518035520"/>
      <w:bookmarkEnd w:id="86"/>
      <w:r>
        <w:rPr>
          <w:lang w:val="en-US"/>
        </w:rPr>
        <w:t>24.2.4.3.3</w:t>
        <w:tab/>
        <w:t>Failed attempts</w:t>
      </w:r>
    </w:p>
    <w:p>
      <w:pPr>
        <w:pStyle w:val="Normal"/>
        <w:rPr>
          <w:lang w:val="en-US"/>
        </w:rPr>
      </w:pPr>
      <w:r>
        <w:rPr>
          <w:lang w:val="en-US"/>
        </w:rPr>
        <w:t>At the traffic load 6.81 users per cell and second and device output power of 33 dBm, the percentage of failed attempts (i.e., the report did not get delivered within 20 seconds) is found to be less than 0.1 % in all scenarios.</w:t>
      </w:r>
    </w:p>
    <w:p>
      <w:pPr>
        <w:pStyle w:val="Heading5"/>
        <w:ind w:left="1701" w:hanging="1701"/>
        <w:rPr>
          <w:lang w:val="en-US"/>
        </w:rPr>
      </w:pPr>
      <w:bookmarkStart w:id="87" w:name="__RefHeading___Toc518035521"/>
      <w:bookmarkEnd w:id="87"/>
      <w:r>
        <w:rPr>
          <w:lang w:val="en-US"/>
        </w:rPr>
        <w:t>24.2.4.3.4</w:t>
        <w:tab/>
        <w:t>Capacity</w:t>
      </w:r>
    </w:p>
    <w:p>
      <w:pPr>
        <w:pStyle w:val="Normal"/>
        <w:rPr/>
      </w:pPr>
      <w:r>
        <w:rPr>
          <w:lang w:val="en-US"/>
        </w:rPr>
        <w:t xml:space="preserve">Capacity is here calculated as </w:t>
      </w:r>
    </w:p>
    <w:p>
      <w:pPr>
        <w:pStyle w:val="Normal"/>
        <w:ind w:firstLine="284"/>
        <w:rPr>
          <w:lang w:val="en-US"/>
        </w:rPr>
      </w:pPr>
      <w:r>
        <w:rPr>
          <w:lang w:val="en-US"/>
        </w:rPr>
        <w:t>(#sent reports per sector per hour)*(1 - failed attempts)/reuse</w:t>
      </w:r>
    </w:p>
    <w:p>
      <w:pPr>
        <w:pStyle w:val="Normal"/>
        <w:rPr/>
      </w:pPr>
      <w:r>
        <w:rPr>
          <w:lang w:val="en-US"/>
        </w:rPr>
        <w:t xml:space="preserve">As can be seen from Table 24.2.4-3, the 3-reuse scenario has four times capacity  than the 12-reuse scenario, as expected considering the change in re-use factor, and the fact that almost no reports fails to be delivered. The capacity for the 23 dBm is a little higher than the capacity for the 33 dBm case and even higher than the theoretical capacity of 8172 for 6.81 users per cell and second due to randomization. </w:t>
      </w:r>
    </w:p>
    <w:p>
      <w:pPr>
        <w:pStyle w:val="Normal"/>
        <w:rPr>
          <w:lang w:val="en-US"/>
        </w:rPr>
      </w:pPr>
      <w:r>
        <w:rPr>
          <w:lang w:val="en-US"/>
        </w:rPr>
        <w:t>It should be noted that this measure is not really a capacity measure since it does not reflect the capacity limit of the system but rather at an assumed fixed load.</w:t>
      </w:r>
    </w:p>
    <w:p>
      <w:pPr>
        <w:pStyle w:val="TH"/>
        <w:rPr/>
      </w:pPr>
      <w:r>
        <w:rPr/>
        <w:t>Table 24.2.4-3: Capacity for EC-GSM-IoT at 6.81 users per cell and second</w:t>
      </w:r>
    </w:p>
    <w:tbl>
      <w:tblPr>
        <w:tblW w:w="6757" w:type="dxa"/>
        <w:jc w:val="center"/>
        <w:tblInd w:w="0" w:type="dxa"/>
        <w:tblLayout w:type="fixed"/>
        <w:tblCellMar>
          <w:top w:w="0" w:type="dxa"/>
          <w:left w:w="108" w:type="dxa"/>
          <w:bottom w:w="0" w:type="dxa"/>
          <w:right w:w="108" w:type="dxa"/>
        </w:tblCellMar>
      </w:tblPr>
      <w:tblGrid>
        <w:gridCol w:w="973"/>
        <w:gridCol w:w="1356"/>
        <w:gridCol w:w="1536"/>
        <w:gridCol w:w="1356"/>
        <w:gridCol w:w="1536"/>
      </w:tblGrid>
      <w:tr>
        <w:trPr/>
        <w:tc>
          <w:tcPr>
            <w:tcW w:w="973"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2892"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Capacity for 33 dBm devices</w:t>
            </w:r>
          </w:p>
          <w:p>
            <w:pPr>
              <w:pStyle w:val="TAH"/>
              <w:rPr>
                <w:lang w:val="en-US" w:eastAsia="en-US"/>
              </w:rPr>
            </w:pPr>
            <w:r>
              <w:rPr>
                <w:lang w:val="en-US" w:eastAsia="en-US"/>
              </w:rPr>
              <w:t>[reports/200kHz/hour]</w:t>
            </w:r>
          </w:p>
        </w:tc>
        <w:tc>
          <w:tcPr>
            <w:tcW w:w="2892"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Capacity for 23 dBm devices</w:t>
            </w:r>
          </w:p>
          <w:p>
            <w:pPr>
              <w:pStyle w:val="TAH"/>
              <w:rPr>
                <w:lang w:val="en-US" w:eastAsia="en-US"/>
              </w:rPr>
            </w:pPr>
            <w:r>
              <w:rPr>
                <w:lang w:val="en-US" w:eastAsia="en-US"/>
              </w:rPr>
              <w:t>[reports/200kHz/hour]</w:t>
            </w:r>
          </w:p>
        </w:tc>
      </w:tr>
      <w:tr>
        <w:trPr/>
        <w:tc>
          <w:tcPr>
            <w:tcW w:w="97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35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SINR CC DL</w:t>
            </w:r>
          </w:p>
        </w:tc>
        <w:tc>
          <w:tcPr>
            <w:tcW w:w="153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Carrier CC DL</w:t>
            </w:r>
          </w:p>
        </w:tc>
        <w:tc>
          <w:tcPr>
            <w:tcW w:w="135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SINR CC DL</w:t>
            </w:r>
          </w:p>
        </w:tc>
        <w:tc>
          <w:tcPr>
            <w:tcW w:w="1536"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Carrier CC DL</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2038</w:t>
            </w:r>
          </w:p>
        </w:tc>
        <w:tc>
          <w:tcPr>
            <w:tcW w:w="153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2038</w:t>
            </w:r>
          </w:p>
        </w:tc>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2055</w:t>
            </w:r>
          </w:p>
        </w:tc>
        <w:tc>
          <w:tcPr>
            <w:tcW w:w="153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2055</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2724</w:t>
            </w:r>
          </w:p>
        </w:tc>
        <w:tc>
          <w:tcPr>
            <w:tcW w:w="153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2725</w:t>
            </w:r>
          </w:p>
        </w:tc>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2738</w:t>
            </w:r>
          </w:p>
        </w:tc>
        <w:tc>
          <w:tcPr>
            <w:tcW w:w="153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2738</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8150</w:t>
            </w:r>
          </w:p>
        </w:tc>
        <w:tc>
          <w:tcPr>
            <w:tcW w:w="153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8150</w:t>
            </w:r>
          </w:p>
        </w:tc>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8220</w:t>
            </w:r>
          </w:p>
        </w:tc>
        <w:tc>
          <w:tcPr>
            <w:tcW w:w="153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8219</w:t>
            </w:r>
          </w:p>
        </w:tc>
      </w:tr>
    </w:tbl>
    <w:p>
      <w:pPr>
        <w:pStyle w:val="Normal"/>
        <w:rPr>
          <w:lang w:val="en-US"/>
        </w:rPr>
      </w:pPr>
      <w:r>
        <w:rPr>
          <w:lang w:val="en-US"/>
        </w:rPr>
      </w:r>
    </w:p>
    <w:p>
      <w:pPr>
        <w:pStyle w:val="Heading5"/>
        <w:ind w:left="1701" w:hanging="1701"/>
        <w:rPr/>
      </w:pPr>
      <w:bookmarkStart w:id="88" w:name="__RefHeading___Toc518035522"/>
      <w:bookmarkEnd w:id="88"/>
      <w:r>
        <w:rPr>
          <w:lang w:val="en-US"/>
        </w:rPr>
        <w:t>24.2.4.3.5</w:t>
        <w:tab/>
        <w:t>Coverage Class Distribution</w:t>
      </w:r>
    </w:p>
    <w:p>
      <w:pPr>
        <w:pStyle w:val="Normal"/>
        <w:rPr>
          <w:lang w:val="en-US"/>
        </w:rPr>
      </w:pPr>
      <w:r>
        <w:rPr>
          <w:lang w:val="en-US"/>
        </w:rPr>
        <w:t xml:space="preserve">Table 24.2.4-4 summarizes the DL and UL coverage class distribution for the 3, 9 and 12 re-use scenarios for 33 dBm and 23 dBm devices for both SINR and carrier based downlink coverage class selection. </w:t>
      </w:r>
    </w:p>
    <w:p>
      <w:pPr>
        <w:pStyle w:val="Normal"/>
        <w:rPr/>
      </w:pPr>
      <w:r>
        <w:rPr>
          <w:lang w:val="en-US"/>
        </w:rPr>
        <w:t>When changing from 12 to 3 re-use more devices need to use higher coverage classes. Due to the lower output power more 23 dBm devices will use higher coverage classes than 33 dBm devices.</w:t>
      </w:r>
    </w:p>
    <w:p>
      <w:pPr>
        <w:pStyle w:val="TH"/>
        <w:rPr/>
      </w:pPr>
      <w:r>
        <w:rPr/>
        <w:t>Table 24.2.4-4: EC-PDTCH coverage class distribution for 33 / 23 dBm [%]</w:t>
      </w:r>
    </w:p>
    <w:tbl>
      <w:tblPr>
        <w:tblW w:w="8762" w:type="dxa"/>
        <w:jc w:val="left"/>
        <w:tblInd w:w="-113" w:type="dxa"/>
        <w:tblLayout w:type="fixed"/>
        <w:tblCellMar>
          <w:top w:w="0" w:type="dxa"/>
          <w:left w:w="108" w:type="dxa"/>
          <w:bottom w:w="0" w:type="dxa"/>
          <w:right w:w="108" w:type="dxa"/>
        </w:tblCellMar>
      </w:tblPr>
      <w:tblGrid>
        <w:gridCol w:w="981"/>
        <w:gridCol w:w="1671"/>
        <w:gridCol w:w="1513"/>
        <w:gridCol w:w="1542"/>
        <w:gridCol w:w="1513"/>
        <w:gridCol w:w="1542"/>
      </w:tblGrid>
      <w:tr>
        <w:trPr/>
        <w:tc>
          <w:tcPr>
            <w:tcW w:w="981"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1671"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Coverage class</w:t>
            </w:r>
          </w:p>
        </w:tc>
        <w:tc>
          <w:tcPr>
            <w:tcW w:w="3055"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Distribution of users in DL</w:t>
            </w:r>
          </w:p>
          <w:p>
            <w:pPr>
              <w:pStyle w:val="TAH"/>
              <w:rPr>
                <w:lang w:val="en-US" w:eastAsia="en-US"/>
              </w:rPr>
            </w:pPr>
            <w:r>
              <w:rPr>
                <w:lang w:val="en-US" w:eastAsia="en-US"/>
              </w:rPr>
              <w:t>[%]</w:t>
            </w:r>
          </w:p>
        </w:tc>
        <w:tc>
          <w:tcPr>
            <w:tcW w:w="3055"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Distribution of users in UL</w:t>
            </w:r>
          </w:p>
          <w:p>
            <w:pPr>
              <w:pStyle w:val="TAH"/>
              <w:rPr>
                <w:lang w:val="en-US" w:eastAsia="en-US"/>
              </w:rPr>
            </w:pPr>
            <w:r>
              <w:rPr>
                <w:lang w:val="en-US" w:eastAsia="en-US"/>
              </w:rPr>
              <w:t>[%]</w:t>
            </w:r>
          </w:p>
        </w:tc>
      </w:tr>
      <w:tr>
        <w:trPr/>
        <w:tc>
          <w:tcPr>
            <w:tcW w:w="98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6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b/>
                <w:b/>
                <w:lang w:val="en-US"/>
              </w:rPr>
            </w:pPr>
            <w:r>
              <w:rPr>
                <w:b/>
                <w:lang w:val="en-US"/>
              </w:rPr>
            </w:r>
          </w:p>
        </w:tc>
        <w:tc>
          <w:tcPr>
            <w:tcW w:w="1513" w:type="dxa"/>
            <w:tcBorders>
              <w:top w:val="single" w:sz="4" w:space="0" w:color="000000"/>
              <w:left w:val="single" w:sz="4" w:space="0" w:color="000000"/>
              <w:bottom w:val="single" w:sz="12" w:space="0" w:color="000000"/>
              <w:right w:val="single" w:sz="4" w:space="0" w:color="000000"/>
            </w:tcBorders>
          </w:tcPr>
          <w:p>
            <w:pPr>
              <w:pStyle w:val="TAC"/>
              <w:rPr>
                <w:b/>
                <w:b/>
                <w:lang w:val="en-US"/>
              </w:rPr>
            </w:pPr>
            <w:r>
              <w:rPr>
                <w:b/>
                <w:lang w:val="en-US"/>
              </w:rPr>
              <w:t>SINR CC DL</w:t>
            </w:r>
          </w:p>
        </w:tc>
        <w:tc>
          <w:tcPr>
            <w:tcW w:w="1542" w:type="dxa"/>
            <w:tcBorders>
              <w:top w:val="single" w:sz="4" w:space="0" w:color="000000"/>
              <w:left w:val="single" w:sz="4" w:space="0" w:color="000000"/>
              <w:bottom w:val="single" w:sz="12" w:space="0" w:color="000000"/>
              <w:right w:val="single" w:sz="4" w:space="0" w:color="000000"/>
            </w:tcBorders>
          </w:tcPr>
          <w:p>
            <w:pPr>
              <w:pStyle w:val="TAC"/>
              <w:rPr>
                <w:b/>
                <w:b/>
                <w:lang w:val="en-US"/>
              </w:rPr>
            </w:pPr>
            <w:r>
              <w:rPr>
                <w:b/>
                <w:lang w:val="en-US"/>
              </w:rPr>
              <w:t>Carrier CC DL</w:t>
            </w:r>
          </w:p>
        </w:tc>
        <w:tc>
          <w:tcPr>
            <w:tcW w:w="1513" w:type="dxa"/>
            <w:tcBorders>
              <w:top w:val="single" w:sz="4" w:space="0" w:color="000000"/>
              <w:left w:val="single" w:sz="4" w:space="0" w:color="000000"/>
              <w:bottom w:val="single" w:sz="12" w:space="0" w:color="000000"/>
              <w:right w:val="single" w:sz="4" w:space="0" w:color="000000"/>
            </w:tcBorders>
          </w:tcPr>
          <w:p>
            <w:pPr>
              <w:pStyle w:val="TAC"/>
              <w:rPr>
                <w:b/>
                <w:b/>
                <w:lang w:val="en-US"/>
              </w:rPr>
            </w:pPr>
            <w:r>
              <w:rPr>
                <w:b/>
                <w:lang w:val="en-US"/>
              </w:rPr>
              <w:t>SINR CC DL</w:t>
            </w:r>
          </w:p>
        </w:tc>
        <w:tc>
          <w:tcPr>
            <w:tcW w:w="1542" w:type="dxa"/>
            <w:tcBorders>
              <w:top w:val="single" w:sz="4" w:space="0" w:color="000000"/>
              <w:left w:val="single" w:sz="4" w:space="0" w:color="000000"/>
              <w:bottom w:val="single" w:sz="12" w:space="0" w:color="000000"/>
              <w:right w:val="single" w:sz="4" w:space="0" w:color="000000"/>
            </w:tcBorders>
          </w:tcPr>
          <w:p>
            <w:pPr>
              <w:pStyle w:val="TAC"/>
              <w:rPr>
                <w:b/>
                <w:b/>
                <w:lang w:val="en-US"/>
              </w:rPr>
            </w:pPr>
            <w:r>
              <w:rPr>
                <w:b/>
                <w:lang w:val="en-US"/>
              </w:rPr>
              <w:t>Carrier CC DL</w:t>
            </w:r>
          </w:p>
        </w:tc>
      </w:tr>
      <w:tr>
        <w:trPr/>
        <w:tc>
          <w:tcPr>
            <w:tcW w:w="981"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98.2 / 98.3</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98.5 / 98.6</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 / 83.8</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 / 83.8</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lang w:val="en-GB"/>
              </w:rPr>
              <w:t>1.8 / 1.7</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1.5 / 1.4</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 / 9.2</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 / 9.2</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 / &lt;0.1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 / &lt;0.1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 / 3.9</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 / 3.9</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12" w:space="0" w:color="000000"/>
              <w:right w:val="single" w:sz="4" w:space="0" w:color="000000"/>
            </w:tcBorders>
          </w:tcPr>
          <w:p>
            <w:pPr>
              <w:pStyle w:val="TAC"/>
              <w:rPr/>
            </w:pPr>
            <w:r>
              <w:rPr>
                <w:lang w:val="en-US"/>
              </w:rPr>
              <w:t>CC4</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 / &lt;0.1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 / &lt;0.1</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0.2 / 3.1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0.2 / 3.1</w:t>
            </w:r>
          </w:p>
        </w:tc>
      </w:tr>
      <w:tr>
        <w:trPr/>
        <w:tc>
          <w:tcPr>
            <w:tcW w:w="981"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97.0 / 97.0</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 / 97.6</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 / 84.1</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 / 84.1</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3.0 / 3.0</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2.3 / 2.3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 / 9.0</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 / 9.0</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 / &lt;0.1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0.1 / 0.1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 / 3.8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 / 3.9</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US"/>
              </w:rPr>
              <w:t>CC4</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 / &lt;0.1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 / &lt;0.1</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0.2 / 3.1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0.2 / 3.0</w:t>
            </w:r>
          </w:p>
        </w:tc>
      </w:tr>
      <w:tr>
        <w:trPr/>
        <w:tc>
          <w:tcPr>
            <w:tcW w:w="981"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78.3 / 78.7</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86.4 / 86.5</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97.6 / 84.5</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97.6 / 84.4</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21.6 / 21.2</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11.1 / 11.1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1.7 / 8.8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1.7 / 8.9</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0.1 / 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1.3 / 1.3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 / 3.8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 / 3.8</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CC4</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 / &lt;0.1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1.2 / 1.1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0.2 / 2.9</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0.2 / 2.9</w:t>
            </w:r>
          </w:p>
        </w:tc>
      </w:tr>
    </w:tbl>
    <w:p>
      <w:pPr>
        <w:pStyle w:val="FP"/>
        <w:rPr>
          <w:lang w:val="en-US"/>
        </w:rPr>
      </w:pPr>
      <w:r>
        <w:rPr>
          <w:lang w:val="en-US"/>
        </w:rPr>
      </w:r>
    </w:p>
    <w:p>
      <w:pPr>
        <w:pStyle w:val="TH"/>
        <w:rPr/>
      </w:pPr>
      <w:r>
        <w:rPr/>
        <w:t xml:space="preserve">Table 24.2.4-5: BT_Threshold_DL for Carrier and SINR CC DL </w:t>
      </w:r>
    </w:p>
    <w:tbl>
      <w:tblPr>
        <w:tblW w:w="4507" w:type="dxa"/>
        <w:jc w:val="center"/>
        <w:tblInd w:w="0" w:type="dxa"/>
        <w:tblLayout w:type="fixed"/>
        <w:tblCellMar>
          <w:top w:w="0" w:type="dxa"/>
          <w:left w:w="108" w:type="dxa"/>
          <w:bottom w:w="0" w:type="dxa"/>
          <w:right w:w="108" w:type="dxa"/>
        </w:tblCellMar>
      </w:tblPr>
      <w:tblGrid>
        <w:gridCol w:w="973"/>
        <w:gridCol w:w="1767"/>
        <w:gridCol w:w="1767"/>
      </w:tblGrid>
      <w:tr>
        <w:trPr/>
        <w:tc>
          <w:tcPr>
            <w:tcW w:w="973" w:type="dxa"/>
            <w:vMerge w:val="restart"/>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 xml:space="preserve">BCCH </w:t>
              <w:br/>
              <w:t>Re-use</w:t>
            </w:r>
          </w:p>
        </w:tc>
        <w:tc>
          <w:tcPr>
            <w:tcW w:w="3534"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BT_Threshold_DL</w:t>
            </w:r>
          </w:p>
          <w:p>
            <w:pPr>
              <w:pStyle w:val="TAH"/>
              <w:rPr>
                <w:lang w:val="en-US" w:eastAsia="en-US"/>
              </w:rPr>
            </w:pPr>
            <w:r>
              <w:rPr>
                <w:lang w:val="en-US" w:eastAsia="en-US"/>
              </w:rPr>
              <w:t>[dB]</w:t>
            </w:r>
          </w:p>
        </w:tc>
      </w:tr>
      <w:tr>
        <w:trPr/>
        <w:tc>
          <w:tcPr>
            <w:tcW w:w="97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176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SINR CC DL</w:t>
            </w:r>
          </w:p>
        </w:tc>
        <w:tc>
          <w:tcPr>
            <w:tcW w:w="176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Carrier CC DL</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w:t>
            </w:r>
          </w:p>
        </w:tc>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-103</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w:t>
            </w:r>
          </w:p>
        </w:tc>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-101</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w:t>
            </w:r>
          </w:p>
        </w:tc>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-92</w:t>
            </w:r>
          </w:p>
        </w:tc>
      </w:tr>
    </w:tbl>
    <w:p>
      <w:pPr>
        <w:pStyle w:val="FP"/>
        <w:rPr>
          <w:lang w:val="en-US"/>
        </w:rPr>
      </w:pPr>
      <w:r>
        <w:rPr>
          <w:lang w:val="en-US"/>
        </w:rPr>
      </w:r>
    </w:p>
    <w:p>
      <w:pPr>
        <w:pStyle w:val="Heading2"/>
        <w:rPr>
          <w:lang w:val="en-US"/>
        </w:rPr>
      </w:pPr>
      <w:bookmarkStart w:id="89" w:name="__RefHeading___Toc518035523"/>
      <w:bookmarkEnd w:id="89"/>
      <w:r>
        <w:rPr>
          <w:lang w:val="en-US"/>
        </w:rPr>
        <w:t>24.3</w:t>
        <w:tab/>
        <w:t>Conclusion</w:t>
      </w:r>
    </w:p>
    <w:p>
      <w:pPr>
        <w:pStyle w:val="Normal"/>
        <w:rPr/>
      </w:pPr>
      <w:r>
        <w:rPr>
          <w:lang w:val="en-US"/>
        </w:rPr>
        <w:t>The impact on GPRS/EGPRS as well as EC-GSM-IoT when reducing the spectrum allocation from a 4/12 re-use BCCH layer, down to a 1/3 re-use has been investigated by means of link level and system level simulations. The main scope of the investigation has been to serve Machine-Type-Communication, which has been modeled with small packet data transfers with the devices being stationary in the network.</w:t>
      </w:r>
    </w:p>
    <w:p>
      <w:pPr>
        <w:pStyle w:val="Normal"/>
        <w:rPr/>
      </w:pPr>
      <w:r>
        <w:rPr>
          <w:lang w:val="en-US"/>
        </w:rPr>
        <w:t>The system impact has been evaluated by three main system aspects: Idle mode procedures, Common control channels and Data traffic channels and their associated control channels.</w:t>
      </w:r>
    </w:p>
    <w:p>
      <w:pPr>
        <w:pStyle w:val="Normal"/>
        <w:rPr/>
      </w:pPr>
      <w:r>
        <w:rPr>
          <w:lang w:val="en-US"/>
        </w:rPr>
        <w:t xml:space="preserve">It has been shown that the GSM system can operate well in these conditions. Comparing a 4/12 re-use and a 3/9 re-use the difference in system performance is usually low, or insignificant. </w:t>
      </w:r>
    </w:p>
    <w:p>
      <w:pPr>
        <w:pStyle w:val="Normal"/>
        <w:rPr>
          <w:lang w:val="en-US"/>
        </w:rPr>
      </w:pPr>
      <w:r>
        <w:rPr>
          <w:lang w:val="en-US"/>
        </w:rPr>
        <w:t>However, when comparing a 3/9 to a 1/3 re-use, a clear impact is typically seen in all metrics investigated, but the impact is still at acceptable levels, and typically the degradation is most visible for a small percent of the overall MS population. For example, the time to synchronize to a cell is increased by roughly 5% for the 50</w:t>
      </w:r>
      <w:r>
        <w:rPr>
          <w:vertAlign w:val="superscript"/>
          <w:lang w:val="en-US"/>
        </w:rPr>
        <w:t>th</w:t>
      </w:r>
      <w:r>
        <w:rPr>
          <w:lang w:val="en-US"/>
        </w:rPr>
        <w:t xml:space="preserve"> percentile, while roughly a doubling of the time is observed for the 99</w:t>
      </w:r>
      <w:r>
        <w:rPr>
          <w:vertAlign w:val="superscript"/>
          <w:lang w:val="en-US"/>
        </w:rPr>
        <w:t>th</w:t>
      </w:r>
      <w:r>
        <w:rPr>
          <w:lang w:val="en-US"/>
        </w:rPr>
        <w:t xml:space="preserve"> percentile. Resource usage on the common control channels and data traffic channels are roughly increased by 15-20% for GPRS/EGPRS, while for EC-GSM-IoT the impact is roughly 40-100%. For EC-GSM-IoT, the devices are operating both in a tight frequency re-use and being deployed in challenging coverage conditions which will increase the use of blind physical layer transmissions (used to combat both coverage and interference by increasing processing gain at the receiver), and by that increasing the resource usage. Either no, or an insignificant number (0.1%) of, failed attempts to synchronize to the network, perform packet access procedure, or completing application transfer have been observed.</w:t>
      </w:r>
      <w:r>
        <w:br w:type="page"/>
      </w:r>
    </w:p>
    <w:p>
      <w:pPr>
        <w:pStyle w:val="Heading9"/>
        <w:rPr/>
      </w:pPr>
      <w:bookmarkStart w:id="90" w:name="__RefHeading___Toc518035524"/>
      <w:bookmarkEnd w:id="90"/>
      <w:r>
        <w:rPr/>
        <w:t>Annex A:</w:t>
        <w:br/>
        <w:t>DCS1800 System scenarios</w:t>
      </w:r>
    </w:p>
    <w:p>
      <w:pPr>
        <w:pStyle w:val="Normal"/>
        <w:rPr>
          <w:lang w:val="sv-SE"/>
        </w:rPr>
      </w:pPr>
      <w:r>
        <w:rPr>
          <w:lang w:val="sv-SE"/>
        </w:rPr>
        <w:t>ETSI GSM TC</w:t>
        <w:tab/>
        <w:t>TDoc GSM 259/90</w:t>
      </w:r>
    </w:p>
    <w:p>
      <w:pPr>
        <w:pStyle w:val="Normal"/>
        <w:rPr/>
      </w:pPr>
      <w:r>
        <w:rPr/>
        <w:t>Corfu, 1-5 October 1990</w:t>
      </w:r>
    </w:p>
    <w:p>
      <w:pPr>
        <w:pStyle w:val="Normal"/>
        <w:rPr/>
      </w:pPr>
      <w:r>
        <w:rPr/>
        <w:t>Source: GSM2 Ad Hoc on DCS1800, Bristol</w:t>
      </w:r>
    </w:p>
    <w:p>
      <w:pPr>
        <w:pStyle w:val="Normal"/>
        <w:rPr>
          <w:b/>
          <w:b/>
        </w:rPr>
      </w:pPr>
      <w:r>
        <w:rPr>
          <w:b/>
        </w:rPr>
        <w:t>Title: DCS1800 - System Scenarios</w:t>
      </w:r>
    </w:p>
    <w:p>
      <w:pPr>
        <w:pStyle w:val="Heading1"/>
        <w:ind w:left="1134" w:hanging="1134"/>
        <w:rPr/>
      </w:pPr>
      <w:bookmarkStart w:id="91" w:name="__RefHeading___Toc518035525"/>
      <w:bookmarkEnd w:id="91"/>
      <w:r>
        <w:rPr/>
        <w:t>A.0</w:t>
        <w:tab/>
        <w:t>INTRODUCTION</w:t>
      </w:r>
    </w:p>
    <w:p>
      <w:pPr>
        <w:pStyle w:val="Normal"/>
        <w:rPr/>
      </w:pPr>
      <w:r>
        <w:rPr/>
        <w:t>This paper discusses system scenarios for DCS1800 operation primarily in respect of the GSM 05.05 series of recommendations. To develop the DCS1800 standard, all the relevant scenarios need to be considered for each part of GSM 05.05 and the most critical case identified. The process may then be iterated to arrive at final parameters that meet both service and implementation requirements.</w:t>
      </w:r>
    </w:p>
    <w:p>
      <w:pPr>
        <w:pStyle w:val="Normal"/>
        <w:rPr/>
      </w:pPr>
      <w:r>
        <w:rPr/>
        <w:t>Each scenario has three sections:</w:t>
      </w:r>
    </w:p>
    <w:p>
      <w:pPr>
        <w:pStyle w:val="B1"/>
        <w:rPr/>
      </w:pPr>
      <w:r>
        <w:rPr/>
        <w:t>a)</w:t>
        <w:tab/>
        <w:t>lists the system constraints such as the separation of the MS and BTS, antenna height etc;</w:t>
      </w:r>
    </w:p>
    <w:p>
      <w:pPr>
        <w:pStyle w:val="B1"/>
        <w:rPr/>
      </w:pPr>
      <w:r>
        <w:rPr/>
        <w:t>b)</w:t>
        <w:tab/>
        <w:t>lists those sections of 05.05 that are affected by the constraints;</w:t>
      </w:r>
    </w:p>
    <w:p>
      <w:pPr>
        <w:pStyle w:val="B1"/>
        <w:rPr/>
      </w:pPr>
      <w:r>
        <w:rPr/>
        <w:t>c)</w:t>
        <w:tab/>
        <w:t>lists the inputs required to examine the implications of the scenarios.</w:t>
      </w:r>
    </w:p>
    <w:p>
      <w:pPr>
        <w:pStyle w:val="Normal"/>
        <w:rPr/>
      </w:pPr>
      <w:r>
        <w:rPr/>
        <w:t>The following scenarios are discussed:</w:t>
      </w:r>
    </w:p>
    <w:p>
      <w:pPr>
        <w:pStyle w:val="B1"/>
        <w:rPr/>
      </w:pPr>
      <w:r>
        <w:rPr/>
        <w:t>1)</w:t>
        <w:tab/>
        <w:t>Single MS, single BTS;</w:t>
      </w:r>
    </w:p>
    <w:p>
      <w:pPr>
        <w:pStyle w:val="B1"/>
        <w:rPr/>
      </w:pPr>
      <w:r>
        <w:rPr/>
        <w:t>2)</w:t>
        <w:tab/>
        <w:t>Multiple MS and BTS where operation of BTS's is coordinated;</w:t>
      </w:r>
    </w:p>
    <w:p>
      <w:pPr>
        <w:pStyle w:val="B1"/>
        <w:rPr/>
      </w:pPr>
      <w:r>
        <w:rPr/>
        <w:t>3)</w:t>
        <w:tab/>
        <w:t>Multiple MS and BTS where operation of BTS's is uncoordinated;</w:t>
      </w:r>
    </w:p>
    <w:p>
      <w:pPr>
        <w:pStyle w:val="B1"/>
        <w:rPr/>
      </w:pPr>
      <w:r>
        <w:rPr/>
        <w:t>4)</w:t>
        <w:tab/>
        <w:t>Colocated MS;</w:t>
      </w:r>
    </w:p>
    <w:p>
      <w:pPr>
        <w:pStyle w:val="B1"/>
        <w:rPr/>
      </w:pPr>
      <w:r>
        <w:rPr/>
        <w:t>5)</w:t>
        <w:tab/>
        <w:t>Colocated BTS;</w:t>
      </w:r>
    </w:p>
    <w:p>
      <w:pPr>
        <w:pStyle w:val="B1"/>
        <w:rPr/>
      </w:pPr>
      <w:r>
        <w:rPr/>
        <w:t>6)</w:t>
        <w:tab/>
        <w:t>Colocation with other systems.</w:t>
      </w:r>
    </w:p>
    <w:p>
      <w:pPr>
        <w:pStyle w:val="Heading1"/>
        <w:ind w:left="1134" w:hanging="1134"/>
        <w:rPr/>
      </w:pPr>
      <w:bookmarkStart w:id="92" w:name="__RefHeading___Toc518035526"/>
      <w:bookmarkEnd w:id="92"/>
      <w:r>
        <w:rPr/>
        <w:t>A.1</w:t>
        <w:tab/>
        <w:t>SCENARIO 1 - SINGLE BTS AND MS</w:t>
      </w:r>
    </w:p>
    <w:p>
      <w:pPr>
        <w:pStyle w:val="Heading2"/>
        <w:rPr/>
      </w:pPr>
      <w:bookmarkStart w:id="93" w:name="__RefHeading___Toc518035527"/>
      <w:bookmarkEnd w:id="93"/>
      <w:r>
        <w:rPr/>
        <w:t>A.1.1</w:t>
        <w:tab/>
        <w:t>Constraints</w:t>
      </w:r>
    </w:p>
    <w:p>
      <w:pPr>
        <w:pStyle w:val="Normal"/>
        <w:rPr/>
      </w:pPr>
      <w:r>
        <w:rPr/>
        <w:t>Aside from the frequency bands, the main constraint is the physical separation of the MS and BTS. The extreme conditions are when the MS is close to or remote from the BTS.</w:t>
      </w:r>
    </w:p>
    <w:p>
      <w:pPr>
        <w:pStyle w:val="Heading3"/>
        <w:rPr/>
      </w:pPr>
      <w:bookmarkStart w:id="94" w:name="__RefHeading___Toc518035528"/>
      <w:bookmarkEnd w:id="94"/>
      <w:r>
        <w:rPr/>
        <w:t>A.1.1.1</w:t>
        <w:tab/>
        <w:t>Frequency Bands and Channel Arrangement (Clause 2 of GSM 05.05)</w:t>
      </w:r>
    </w:p>
    <w:p>
      <w:pPr>
        <w:pStyle w:val="Normal"/>
        <w:rPr/>
      </w:pPr>
      <w:r>
        <w:rPr/>
        <w:t>The system is required to operate in the following frequency bands:</w:t>
      </w:r>
    </w:p>
    <w:p>
      <w:pPr>
        <w:pStyle w:val="B1"/>
        <w:rPr/>
      </w:pPr>
      <w:r>
        <w:rPr/>
        <w:t>-</w:t>
        <w:tab/>
        <w:t>1 710 MHz to 1 785 MHz: mobile transmit, base receive;</w:t>
      </w:r>
    </w:p>
    <w:p>
      <w:pPr>
        <w:pStyle w:val="B1"/>
        <w:rPr/>
      </w:pPr>
      <w:r>
        <w:rPr/>
        <w:t>-</w:t>
        <w:tab/>
        <w:t>1 805 MHz to 1 880 MHz: base transmit, mobile receive;</w:t>
      </w:r>
    </w:p>
    <w:p>
      <w:pPr>
        <w:pStyle w:val="Normal"/>
        <w:rPr/>
      </w:pPr>
      <w:r>
        <w:rPr/>
        <w:t>with a carrier spacing of 200 kHz.</w:t>
      </w:r>
    </w:p>
    <w:p>
      <w:pPr>
        <w:pStyle w:val="Normal"/>
        <w:rPr/>
      </w:pPr>
      <w:r>
        <w:rPr/>
        <w:t>In order to ensure the compliance with the radio regulations outside the band, a guard band of 200 kHz between the edge of the band and the first carrier is needed at the bottom of each of the two subbands. Consequently , if we call F1(n) the nth carrier frequency in the lower band, and Fu(n) the nth carrier frequency in the upper band, we have:</w:t>
      </w:r>
    </w:p>
    <w:p>
      <w:pPr>
        <w:pStyle w:val="B1"/>
        <w:tabs>
          <w:tab w:val="clear" w:pos="284"/>
          <w:tab w:val="left" w:pos="3402" w:leader="none"/>
          <w:tab w:val="left" w:pos="4536" w:leader="none"/>
        </w:tabs>
        <w:rPr>
          <w:lang w:val="pt-BR"/>
        </w:rPr>
      </w:pPr>
      <w:r>
        <w:rPr>
          <w:lang w:val="pt-BR"/>
        </w:rPr>
        <w:t>-</w:t>
        <w:tab/>
        <w:t>Fl(n) = 1710.2 + 0.2*(n-512)</w:t>
        <w:tab/>
        <w:t>(MHz)</w:t>
        <w:tab/>
        <w:t>(512 &lt; n &lt; 885)</w:t>
      </w:r>
    </w:p>
    <w:p>
      <w:pPr>
        <w:pStyle w:val="B1"/>
        <w:tabs>
          <w:tab w:val="clear" w:pos="284"/>
          <w:tab w:val="left" w:pos="3402" w:leader="none"/>
          <w:tab w:val="left" w:pos="4536" w:leader="none"/>
        </w:tabs>
        <w:rPr>
          <w:lang w:val="pt-BR"/>
        </w:rPr>
      </w:pPr>
      <w:r>
        <w:rPr>
          <w:lang w:val="pt-BR"/>
        </w:rPr>
        <w:t>-</w:t>
        <w:tab/>
        <w:t>Fu(n) = Fl(n) + 95</w:t>
        <w:tab/>
        <w:t>(MHz)</w:t>
      </w:r>
    </w:p>
    <w:p>
      <w:pPr>
        <w:pStyle w:val="Normal"/>
        <w:rPr/>
      </w:pPr>
      <w:r>
        <w:rPr/>
        <w:t>The value n is called the ABSOLUTE RADIO FREQUENCY CHANNEL NUMBER (ARFCN). To protect other services, channels 512 and 885 will not normally be used, except for local arrangements.</w:t>
      </w:r>
    </w:p>
    <w:p>
      <w:pPr>
        <w:pStyle w:val="Heading3"/>
        <w:rPr/>
      </w:pPr>
      <w:bookmarkStart w:id="95" w:name="__RefHeading___Toc518035529"/>
      <w:bookmarkEnd w:id="95"/>
      <w:r>
        <w:rPr/>
        <w:t>A.1.1.2</w:t>
        <w:tab/>
        <w:t>Proximity</w:t>
      </w:r>
    </w:p>
    <w:p>
      <w:pPr>
        <w:pStyle w:val="Normal"/>
        <w:rPr/>
      </w:pPr>
      <w:r>
        <w:rPr/>
        <w:t>Table 1 shows examples of close proximity scenarios in urban and rural environments. Different antenna heights are considered; 15 m high antennas are assumed to have lower gain (10 dBi) than 30 m high antennas (18 dBi).</w:t>
      </w:r>
    </w:p>
    <w:p>
      <w:pPr>
        <w:pStyle w:val="TH"/>
        <w:rPr/>
      </w:pPr>
      <w:r>
        <w:rPr/>
        <w:t>Table 1: Worst case proximity scenarios</w:t>
      </w:r>
    </w:p>
    <w:tbl>
      <w:tblPr>
        <w:tblW w:w="9180" w:type="dxa"/>
        <w:jc w:val="center"/>
        <w:tblInd w:w="0" w:type="dxa"/>
        <w:tblLayout w:type="fixed"/>
        <w:tblCellMar>
          <w:top w:w="0" w:type="dxa"/>
          <w:left w:w="28" w:type="dxa"/>
          <w:bottom w:w="0" w:type="dxa"/>
          <w:right w:w="28" w:type="dxa"/>
        </w:tblCellMar>
      </w:tblPr>
      <w:tblGrid>
        <w:gridCol w:w="3510"/>
        <w:gridCol w:w="1134"/>
        <w:gridCol w:w="1276"/>
        <w:gridCol w:w="1276"/>
        <w:gridCol w:w="992"/>
        <w:gridCol w:w="992"/>
      </w:tblGrid>
      <w:tr>
        <w:trPr>
          <w:trHeight w:val="200" w:hRule="atLeast"/>
        </w:trPr>
        <w:tc>
          <w:tcPr>
            <w:tcW w:w="3510" w:type="dxa"/>
            <w:tcBorders>
              <w:top w:val="single" w:sz="6" w:space="0" w:color="000000"/>
            </w:tcBorders>
          </w:tcPr>
          <w:p>
            <w:pPr>
              <w:pStyle w:val="TAH"/>
              <w:snapToGrid w:val="false"/>
              <w:rPr>
                <w:lang w:eastAsia="en-US"/>
              </w:rPr>
            </w:pPr>
            <w:r>
              <w:rPr>
                <w:lang w:eastAsia="en-US"/>
              </w:rPr>
            </w:r>
          </w:p>
        </w:tc>
        <w:tc>
          <w:tcPr>
            <w:tcW w:w="1134" w:type="dxa"/>
            <w:tcBorders>
              <w:top w:val="single" w:sz="6" w:space="0" w:color="000000"/>
            </w:tcBorders>
          </w:tcPr>
          <w:p>
            <w:pPr>
              <w:pStyle w:val="TAH"/>
              <w:rPr>
                <w:lang w:eastAsia="en-US"/>
              </w:rPr>
            </w:pPr>
            <w:r>
              <w:rPr>
                <w:lang w:eastAsia="en-US"/>
              </w:rPr>
              <w:t>Rural</w:t>
            </w:r>
          </w:p>
        </w:tc>
        <w:tc>
          <w:tcPr>
            <w:tcW w:w="1276" w:type="dxa"/>
            <w:tcBorders>
              <w:top w:val="single" w:sz="6" w:space="0" w:color="000000"/>
            </w:tcBorders>
          </w:tcPr>
          <w:p>
            <w:pPr>
              <w:pStyle w:val="TAH"/>
              <w:snapToGrid w:val="false"/>
              <w:rPr>
                <w:lang w:eastAsia="en-US"/>
              </w:rPr>
            </w:pPr>
            <w:r>
              <w:rPr>
                <w:lang w:eastAsia="en-US"/>
              </w:rPr>
            </w:r>
          </w:p>
        </w:tc>
        <w:tc>
          <w:tcPr>
            <w:tcW w:w="1276" w:type="dxa"/>
            <w:tcBorders>
              <w:top w:val="single" w:sz="6" w:space="0" w:color="000000"/>
            </w:tcBorders>
          </w:tcPr>
          <w:p>
            <w:pPr>
              <w:pStyle w:val="TAH"/>
              <w:rPr>
                <w:lang w:eastAsia="en-US"/>
              </w:rPr>
            </w:pPr>
            <w:r>
              <w:rPr>
                <w:lang w:eastAsia="en-US"/>
              </w:rPr>
              <w:t>Urban</w:t>
            </w:r>
          </w:p>
        </w:tc>
        <w:tc>
          <w:tcPr>
            <w:tcW w:w="992" w:type="dxa"/>
            <w:tcBorders>
              <w:top w:val="single" w:sz="6" w:space="0" w:color="000000"/>
            </w:tcBorders>
          </w:tcPr>
          <w:p>
            <w:pPr>
              <w:pStyle w:val="TAH"/>
              <w:snapToGrid w:val="false"/>
              <w:rPr>
                <w:lang w:eastAsia="en-US"/>
              </w:rPr>
            </w:pPr>
            <w:r>
              <w:rPr>
                <w:lang w:eastAsia="en-US"/>
              </w:rPr>
            </w:r>
          </w:p>
        </w:tc>
        <w:tc>
          <w:tcPr>
            <w:tcW w:w="992" w:type="dxa"/>
            <w:tcBorders>
              <w:top w:val="single" w:sz="6" w:space="0" w:color="000000"/>
            </w:tcBorders>
          </w:tcPr>
          <w:p>
            <w:pPr>
              <w:pStyle w:val="TAH"/>
              <w:snapToGrid w:val="false"/>
              <w:rPr>
                <w:lang w:eastAsia="en-US"/>
              </w:rPr>
            </w:pPr>
            <w:r>
              <w:rPr>
                <w:lang w:eastAsia="en-US"/>
              </w:rPr>
            </w:r>
          </w:p>
        </w:tc>
      </w:tr>
      <w:tr>
        <w:trPr>
          <w:trHeight w:val="200" w:hRule="atLeast"/>
        </w:trPr>
        <w:tc>
          <w:tcPr>
            <w:tcW w:w="3510" w:type="dxa"/>
            <w:tcBorders/>
          </w:tcPr>
          <w:p>
            <w:pPr>
              <w:pStyle w:val="TAH"/>
              <w:snapToGrid w:val="false"/>
              <w:rPr>
                <w:lang w:eastAsia="en-US"/>
              </w:rPr>
            </w:pPr>
            <w:r>
              <w:rPr>
                <w:lang w:eastAsia="en-US"/>
              </w:rPr>
            </w:r>
          </w:p>
        </w:tc>
        <w:tc>
          <w:tcPr>
            <w:tcW w:w="1134" w:type="dxa"/>
            <w:tcBorders/>
          </w:tcPr>
          <w:p>
            <w:pPr>
              <w:pStyle w:val="TAH"/>
              <w:snapToGrid w:val="false"/>
              <w:rPr>
                <w:lang w:eastAsia="en-US"/>
              </w:rPr>
            </w:pPr>
            <w:r>
              <w:rPr>
                <w:lang w:eastAsia="en-US"/>
              </w:rPr>
            </w:r>
          </w:p>
        </w:tc>
        <w:tc>
          <w:tcPr>
            <w:tcW w:w="1276" w:type="dxa"/>
            <w:tcBorders/>
          </w:tcPr>
          <w:p>
            <w:pPr>
              <w:pStyle w:val="TAH"/>
              <w:rPr>
                <w:lang w:eastAsia="en-US"/>
              </w:rPr>
            </w:pPr>
            <w:r>
              <w:rPr>
                <w:lang w:eastAsia="en-US"/>
              </w:rPr>
              <w:t>Building</w:t>
            </w:r>
          </w:p>
        </w:tc>
        <w:tc>
          <w:tcPr>
            <w:tcW w:w="1276" w:type="dxa"/>
            <w:tcBorders/>
          </w:tcPr>
          <w:p>
            <w:pPr>
              <w:pStyle w:val="TAH"/>
              <w:rPr>
                <w:lang w:eastAsia="en-US"/>
              </w:rPr>
            </w:pPr>
            <w:r>
              <w:rPr>
                <w:lang w:eastAsia="en-US"/>
              </w:rPr>
              <w:t>Street</w:t>
            </w:r>
          </w:p>
        </w:tc>
        <w:tc>
          <w:tcPr>
            <w:tcW w:w="992" w:type="dxa"/>
            <w:tcBorders/>
          </w:tcPr>
          <w:p>
            <w:pPr>
              <w:pStyle w:val="TAH"/>
              <w:rPr>
                <w:lang w:eastAsia="en-US"/>
              </w:rPr>
            </w:pPr>
            <w:r>
              <w:rPr>
                <w:lang w:eastAsia="en-US"/>
              </w:rPr>
              <w:t>Building</w:t>
            </w:r>
          </w:p>
        </w:tc>
        <w:tc>
          <w:tcPr>
            <w:tcW w:w="992" w:type="dxa"/>
            <w:tcBorders/>
          </w:tcPr>
          <w:p>
            <w:pPr>
              <w:pStyle w:val="TAH"/>
              <w:rPr>
                <w:lang w:eastAsia="en-US"/>
              </w:rPr>
            </w:pPr>
            <w:r>
              <w:rPr>
                <w:lang w:eastAsia="en-US"/>
              </w:rPr>
              <w:t xml:space="preserve">Street </w:t>
            </w:r>
          </w:p>
        </w:tc>
      </w:tr>
      <w:tr>
        <w:trPr>
          <w:trHeight w:val="200" w:hRule="atLeast"/>
        </w:trPr>
        <w:tc>
          <w:tcPr>
            <w:tcW w:w="3510" w:type="dxa"/>
            <w:tcBorders>
              <w:bottom w:val="single" w:sz="6" w:space="0" w:color="000000"/>
            </w:tcBorders>
          </w:tcPr>
          <w:p>
            <w:pPr>
              <w:pStyle w:val="TAH"/>
              <w:snapToGrid w:val="false"/>
              <w:rPr>
                <w:lang w:eastAsia="en-US"/>
              </w:rPr>
            </w:pPr>
            <w:r>
              <w:rPr>
                <w:lang w:eastAsia="en-US"/>
              </w:rPr>
            </w:r>
          </w:p>
        </w:tc>
        <w:tc>
          <w:tcPr>
            <w:tcW w:w="1134" w:type="dxa"/>
            <w:tcBorders>
              <w:bottom w:val="single" w:sz="6" w:space="0" w:color="000000"/>
            </w:tcBorders>
          </w:tcPr>
          <w:p>
            <w:pPr>
              <w:pStyle w:val="TAH"/>
              <w:snapToGrid w:val="false"/>
              <w:rPr>
                <w:lang w:eastAsia="en-US"/>
              </w:rPr>
            </w:pPr>
            <w:r>
              <w:rPr>
                <w:lang w:eastAsia="en-US"/>
              </w:rPr>
            </w:r>
          </w:p>
        </w:tc>
        <w:tc>
          <w:tcPr>
            <w:tcW w:w="1276" w:type="dxa"/>
            <w:tcBorders>
              <w:bottom w:val="single" w:sz="6" w:space="0" w:color="000000"/>
            </w:tcBorders>
          </w:tcPr>
          <w:p>
            <w:pPr>
              <w:pStyle w:val="TAH"/>
              <w:rPr>
                <w:lang w:eastAsia="en-US"/>
              </w:rPr>
            </w:pPr>
            <w:r>
              <w:rPr>
                <w:lang w:eastAsia="en-US"/>
              </w:rPr>
              <w:t>(note 1)</w:t>
            </w:r>
          </w:p>
        </w:tc>
        <w:tc>
          <w:tcPr>
            <w:tcW w:w="1276" w:type="dxa"/>
            <w:tcBorders>
              <w:bottom w:val="single" w:sz="6" w:space="0" w:color="000000"/>
            </w:tcBorders>
          </w:tcPr>
          <w:p>
            <w:pPr>
              <w:pStyle w:val="TAH"/>
              <w:snapToGrid w:val="false"/>
              <w:rPr>
                <w:lang w:eastAsia="en-US"/>
              </w:rPr>
            </w:pPr>
            <w:r>
              <w:rPr>
                <w:lang w:eastAsia="en-US"/>
              </w:rPr>
            </w:r>
          </w:p>
        </w:tc>
        <w:tc>
          <w:tcPr>
            <w:tcW w:w="992" w:type="dxa"/>
            <w:tcBorders>
              <w:bottom w:val="single" w:sz="6" w:space="0" w:color="000000"/>
            </w:tcBorders>
          </w:tcPr>
          <w:p>
            <w:pPr>
              <w:pStyle w:val="TAH"/>
              <w:rPr>
                <w:lang w:eastAsia="en-US"/>
              </w:rPr>
            </w:pPr>
            <w:r>
              <w:rPr>
                <w:lang w:eastAsia="en-US"/>
              </w:rPr>
              <w:t>(note 1)</w:t>
            </w:r>
          </w:p>
        </w:tc>
        <w:tc>
          <w:tcPr>
            <w:tcW w:w="992" w:type="dxa"/>
            <w:tcBorders>
              <w:bottom w:val="single" w:sz="6" w:space="0" w:color="000000"/>
            </w:tcBorders>
          </w:tcPr>
          <w:p>
            <w:pPr>
              <w:pStyle w:val="TAH"/>
              <w:snapToGrid w:val="false"/>
              <w:rPr>
                <w:lang w:eastAsia="en-US"/>
              </w:rPr>
            </w:pPr>
            <w:r>
              <w:rPr>
                <w:lang w:eastAsia="en-US"/>
              </w:rPr>
            </w:r>
          </w:p>
        </w:tc>
      </w:tr>
      <w:tr>
        <w:trPr>
          <w:trHeight w:val="200" w:hRule="atLeast"/>
        </w:trPr>
        <w:tc>
          <w:tcPr>
            <w:tcW w:w="3510" w:type="dxa"/>
            <w:tcBorders/>
          </w:tcPr>
          <w:p>
            <w:pPr>
              <w:pStyle w:val="TAL"/>
              <w:rPr/>
            </w:pPr>
            <w:r>
              <w:rPr>
                <w:lang w:val="en-GB"/>
              </w:rPr>
              <w:t>BTS height, H</w:t>
            </w:r>
            <w:r>
              <w:rPr>
                <w:position w:val="-6"/>
                <w:lang w:val="en-GB"/>
              </w:rPr>
              <w:t>b</w:t>
            </w:r>
            <w:r>
              <w:rPr>
                <w:lang w:val="en-GB"/>
              </w:rPr>
              <w:t xml:space="preserve"> (m)</w:t>
            </w:r>
          </w:p>
        </w:tc>
        <w:tc>
          <w:tcPr>
            <w:tcW w:w="1134" w:type="dxa"/>
            <w:tcBorders/>
          </w:tcPr>
          <w:p>
            <w:pPr>
              <w:pStyle w:val="TAC"/>
              <w:rPr>
                <w:lang w:val="en-GB"/>
              </w:rPr>
            </w:pPr>
            <w:r>
              <w:rPr>
                <w:lang w:val="en-GB"/>
              </w:rPr>
              <w:t>20</w:t>
            </w:r>
          </w:p>
        </w:tc>
        <w:tc>
          <w:tcPr>
            <w:tcW w:w="1276" w:type="dxa"/>
            <w:tcBorders/>
          </w:tcPr>
          <w:p>
            <w:pPr>
              <w:pStyle w:val="TAC"/>
              <w:rPr>
                <w:lang w:val="en-GB"/>
              </w:rPr>
            </w:pPr>
            <w:r>
              <w:rPr>
                <w:lang w:val="en-GB"/>
              </w:rPr>
              <w:t>15</w:t>
            </w:r>
          </w:p>
        </w:tc>
        <w:tc>
          <w:tcPr>
            <w:tcW w:w="1276" w:type="dxa"/>
            <w:tcBorders/>
          </w:tcPr>
          <w:p>
            <w:pPr>
              <w:pStyle w:val="TAC"/>
              <w:rPr>
                <w:lang w:val="en-GB"/>
              </w:rPr>
            </w:pPr>
            <w:r>
              <w:rPr>
                <w:lang w:val="en-GB"/>
              </w:rPr>
              <w:t>15</w:t>
            </w:r>
          </w:p>
        </w:tc>
        <w:tc>
          <w:tcPr>
            <w:tcW w:w="992" w:type="dxa"/>
            <w:tcBorders/>
          </w:tcPr>
          <w:p>
            <w:pPr>
              <w:pStyle w:val="TAC"/>
              <w:rPr>
                <w:lang w:val="en-GB"/>
              </w:rPr>
            </w:pPr>
            <w:r>
              <w:rPr>
                <w:lang w:val="en-GB"/>
              </w:rPr>
              <w:t>30</w:t>
            </w:r>
          </w:p>
        </w:tc>
        <w:tc>
          <w:tcPr>
            <w:tcW w:w="992" w:type="dxa"/>
            <w:tcBorders/>
          </w:tcPr>
          <w:p>
            <w:pPr>
              <w:pStyle w:val="TAC"/>
              <w:rPr>
                <w:lang w:val="en-GB"/>
              </w:rPr>
            </w:pPr>
            <w:r>
              <w:rPr>
                <w:lang w:val="en-GB"/>
              </w:rPr>
              <w:t>30</w:t>
            </w:r>
          </w:p>
        </w:tc>
      </w:tr>
      <w:tr>
        <w:trPr>
          <w:trHeight w:val="200" w:hRule="atLeast"/>
        </w:trPr>
        <w:tc>
          <w:tcPr>
            <w:tcW w:w="3510" w:type="dxa"/>
            <w:tcBorders/>
          </w:tcPr>
          <w:p>
            <w:pPr>
              <w:pStyle w:val="TAL"/>
              <w:rPr/>
            </w:pPr>
            <w:r>
              <w:rPr>
                <w:lang w:val="en-GB"/>
              </w:rPr>
              <w:t>MS height, H</w:t>
            </w:r>
            <w:r>
              <w:rPr>
                <w:position w:val="-6"/>
                <w:lang w:val="en-GB"/>
              </w:rPr>
              <w:t>m</w:t>
            </w:r>
            <w:r>
              <w:rPr>
                <w:lang w:val="en-GB"/>
              </w:rPr>
              <w:t xml:space="preserve"> (m)</w:t>
            </w:r>
          </w:p>
        </w:tc>
        <w:tc>
          <w:tcPr>
            <w:tcW w:w="1134" w:type="dxa"/>
            <w:tcBorders/>
          </w:tcPr>
          <w:p>
            <w:pPr>
              <w:pStyle w:val="TAC"/>
              <w:rPr>
                <w:lang w:val="en-GB"/>
              </w:rPr>
            </w:pPr>
            <w:r>
              <w:rPr>
                <w:lang w:val="en-GB"/>
              </w:rPr>
              <w:t>1,5</w:t>
            </w:r>
          </w:p>
        </w:tc>
        <w:tc>
          <w:tcPr>
            <w:tcW w:w="1276" w:type="dxa"/>
            <w:tcBorders/>
          </w:tcPr>
          <w:p>
            <w:pPr>
              <w:pStyle w:val="TAC"/>
              <w:rPr>
                <w:lang w:val="en-GB"/>
              </w:rPr>
            </w:pPr>
            <w:r>
              <w:rPr>
                <w:lang w:val="en-GB"/>
              </w:rPr>
              <w:t>15</w:t>
            </w:r>
          </w:p>
        </w:tc>
        <w:tc>
          <w:tcPr>
            <w:tcW w:w="1276" w:type="dxa"/>
            <w:tcBorders/>
          </w:tcPr>
          <w:p>
            <w:pPr>
              <w:pStyle w:val="TAC"/>
              <w:rPr>
                <w:lang w:val="en-GB"/>
              </w:rPr>
            </w:pPr>
            <w:r>
              <w:rPr>
                <w:lang w:val="en-GB"/>
              </w:rPr>
              <w:t>1,5</w:t>
            </w:r>
          </w:p>
        </w:tc>
        <w:tc>
          <w:tcPr>
            <w:tcW w:w="992" w:type="dxa"/>
            <w:tcBorders/>
          </w:tcPr>
          <w:p>
            <w:pPr>
              <w:pStyle w:val="TAC"/>
              <w:rPr>
                <w:lang w:val="en-GB"/>
              </w:rPr>
            </w:pPr>
            <w:r>
              <w:rPr>
                <w:lang w:val="en-GB"/>
              </w:rPr>
              <w:t>20</w:t>
            </w:r>
          </w:p>
        </w:tc>
        <w:tc>
          <w:tcPr>
            <w:tcW w:w="992" w:type="dxa"/>
            <w:tcBorders/>
          </w:tcPr>
          <w:p>
            <w:pPr>
              <w:pStyle w:val="TAC"/>
              <w:rPr>
                <w:lang w:val="en-GB"/>
              </w:rPr>
            </w:pPr>
            <w:r>
              <w:rPr>
                <w:lang w:val="en-GB"/>
              </w:rPr>
              <w:t>1,5</w:t>
            </w:r>
          </w:p>
        </w:tc>
      </w:tr>
      <w:tr>
        <w:trPr>
          <w:trHeight w:val="200" w:hRule="atLeast"/>
        </w:trPr>
        <w:tc>
          <w:tcPr>
            <w:tcW w:w="3510" w:type="dxa"/>
            <w:tcBorders/>
          </w:tcPr>
          <w:p>
            <w:pPr>
              <w:pStyle w:val="TAL"/>
              <w:rPr>
                <w:position w:val="-8"/>
                <w:lang w:val="en-GB"/>
              </w:rPr>
            </w:pPr>
            <w:r>
              <w:rPr>
                <w:position w:val="-8"/>
                <w:lang w:val="en-GB"/>
              </w:rPr>
              <w:t>Horizontal separation (m) (note 4)</w:t>
            </w:r>
          </w:p>
        </w:tc>
        <w:tc>
          <w:tcPr>
            <w:tcW w:w="1134" w:type="dxa"/>
            <w:tcBorders/>
          </w:tcPr>
          <w:p>
            <w:pPr>
              <w:pStyle w:val="TAC"/>
              <w:rPr>
                <w:position w:val="-8"/>
                <w:lang w:val="en-GB"/>
              </w:rPr>
            </w:pPr>
            <w:r>
              <w:rPr>
                <w:position w:val="-8"/>
                <w:lang w:val="en-GB"/>
              </w:rPr>
              <w:t>30</w:t>
            </w:r>
          </w:p>
        </w:tc>
        <w:tc>
          <w:tcPr>
            <w:tcW w:w="1276" w:type="dxa"/>
            <w:tcBorders/>
          </w:tcPr>
          <w:p>
            <w:pPr>
              <w:pStyle w:val="TAC"/>
              <w:rPr>
                <w:position w:val="-8"/>
                <w:lang w:val="en-GB"/>
              </w:rPr>
            </w:pPr>
            <w:r>
              <w:rPr>
                <w:position w:val="-8"/>
                <w:lang w:val="en-GB"/>
              </w:rPr>
              <w:t>30</w:t>
            </w:r>
          </w:p>
        </w:tc>
        <w:tc>
          <w:tcPr>
            <w:tcW w:w="1276" w:type="dxa"/>
            <w:tcBorders/>
          </w:tcPr>
          <w:p>
            <w:pPr>
              <w:pStyle w:val="TAC"/>
              <w:rPr>
                <w:position w:val="-8"/>
                <w:lang w:val="en-GB"/>
              </w:rPr>
            </w:pPr>
            <w:r>
              <w:rPr>
                <w:position w:val="-8"/>
                <w:lang w:val="en-GB"/>
              </w:rPr>
              <w:t>15</w:t>
            </w:r>
          </w:p>
        </w:tc>
        <w:tc>
          <w:tcPr>
            <w:tcW w:w="992" w:type="dxa"/>
            <w:tcBorders/>
          </w:tcPr>
          <w:p>
            <w:pPr>
              <w:pStyle w:val="TAC"/>
              <w:rPr>
                <w:position w:val="-8"/>
                <w:lang w:val="en-GB"/>
              </w:rPr>
            </w:pPr>
            <w:r>
              <w:rPr>
                <w:position w:val="-8"/>
                <w:lang w:val="en-GB"/>
              </w:rPr>
              <w:t>60</w:t>
            </w:r>
          </w:p>
        </w:tc>
        <w:tc>
          <w:tcPr>
            <w:tcW w:w="992" w:type="dxa"/>
            <w:tcBorders/>
          </w:tcPr>
          <w:p>
            <w:pPr>
              <w:pStyle w:val="TAC"/>
              <w:rPr>
                <w:position w:val="-8"/>
                <w:lang w:val="en-GB"/>
              </w:rPr>
            </w:pPr>
            <w:r>
              <w:rPr>
                <w:position w:val="-8"/>
                <w:lang w:val="en-GB"/>
              </w:rPr>
              <w:t>15</w:t>
            </w:r>
          </w:p>
        </w:tc>
      </w:tr>
      <w:tr>
        <w:trPr>
          <w:trHeight w:val="200" w:hRule="atLeast"/>
        </w:trPr>
        <w:tc>
          <w:tcPr>
            <w:tcW w:w="3510" w:type="dxa"/>
            <w:tcBorders/>
          </w:tcPr>
          <w:p>
            <w:pPr>
              <w:pStyle w:val="TAL"/>
              <w:rPr>
                <w:position w:val="-8"/>
                <w:lang w:val="en-GB"/>
              </w:rPr>
            </w:pPr>
            <w:r>
              <w:rPr>
                <w:lang w:val="en-GB"/>
              </w:rPr>
              <w:t>BTS antenna gain, G</w:t>
            </w:r>
            <w:r>
              <w:rPr>
                <w:position w:val="-6"/>
                <w:lang w:val="en-GB"/>
              </w:rPr>
              <w:t xml:space="preserve">b </w:t>
            </w:r>
            <w:r>
              <w:rPr>
                <w:lang w:val="en-GB"/>
              </w:rPr>
              <w:t>(dB) (note 2)</w:t>
            </w:r>
          </w:p>
        </w:tc>
        <w:tc>
          <w:tcPr>
            <w:tcW w:w="1134" w:type="dxa"/>
            <w:tcBorders/>
          </w:tcPr>
          <w:p>
            <w:pPr>
              <w:pStyle w:val="TAC"/>
              <w:rPr>
                <w:lang w:val="en-GB"/>
              </w:rPr>
            </w:pPr>
            <w:r>
              <w:rPr>
                <w:lang w:val="en-GB"/>
              </w:rPr>
              <w:t>18</w:t>
            </w:r>
          </w:p>
        </w:tc>
        <w:tc>
          <w:tcPr>
            <w:tcW w:w="1276" w:type="dxa"/>
            <w:tcBorders/>
          </w:tcPr>
          <w:p>
            <w:pPr>
              <w:pStyle w:val="TAC"/>
              <w:rPr>
                <w:lang w:val="en-GB"/>
              </w:rPr>
            </w:pPr>
            <w:r>
              <w:rPr>
                <w:lang w:val="en-GB"/>
              </w:rPr>
              <w:t>10</w:t>
            </w:r>
          </w:p>
        </w:tc>
        <w:tc>
          <w:tcPr>
            <w:tcW w:w="1276" w:type="dxa"/>
            <w:tcBorders/>
          </w:tcPr>
          <w:p>
            <w:pPr>
              <w:pStyle w:val="TAC"/>
              <w:rPr>
                <w:lang w:val="en-GB"/>
              </w:rPr>
            </w:pPr>
            <w:r>
              <w:rPr>
                <w:lang w:val="en-GB"/>
              </w:rPr>
              <w:t>10</w:t>
            </w:r>
          </w:p>
        </w:tc>
        <w:tc>
          <w:tcPr>
            <w:tcW w:w="992" w:type="dxa"/>
            <w:tcBorders/>
          </w:tcPr>
          <w:p>
            <w:pPr>
              <w:pStyle w:val="TAC"/>
              <w:rPr>
                <w:lang w:val="en-GB"/>
              </w:rPr>
            </w:pPr>
            <w:r>
              <w:rPr>
                <w:lang w:val="en-GB"/>
              </w:rPr>
              <w:t>18</w:t>
            </w:r>
          </w:p>
        </w:tc>
        <w:tc>
          <w:tcPr>
            <w:tcW w:w="992" w:type="dxa"/>
            <w:tcBorders/>
          </w:tcPr>
          <w:p>
            <w:pPr>
              <w:pStyle w:val="TAC"/>
              <w:rPr>
                <w:lang w:val="en-GB"/>
              </w:rPr>
            </w:pPr>
            <w:r>
              <w:rPr>
                <w:lang w:val="en-GB"/>
              </w:rPr>
              <w:t>18</w:t>
            </w:r>
          </w:p>
        </w:tc>
      </w:tr>
      <w:tr>
        <w:trPr>
          <w:trHeight w:val="200" w:hRule="atLeast"/>
        </w:trPr>
        <w:tc>
          <w:tcPr>
            <w:tcW w:w="3510" w:type="dxa"/>
            <w:tcBorders/>
          </w:tcPr>
          <w:p>
            <w:pPr>
              <w:pStyle w:val="TAL"/>
              <w:rPr/>
            </w:pPr>
            <w:r>
              <w:rPr>
                <w:lang w:val="en-GB"/>
              </w:rPr>
              <w:t>BTS antenna gain, G'</w:t>
            </w:r>
            <w:r>
              <w:rPr>
                <w:position w:val="-6"/>
                <w:lang w:val="en-GB"/>
              </w:rPr>
              <w:t>b</w:t>
            </w:r>
            <w:r>
              <w:rPr>
                <w:lang w:val="en-GB"/>
              </w:rPr>
              <w:t xml:space="preserve"> (dB) (note 3)</w:t>
            </w:r>
          </w:p>
        </w:tc>
        <w:tc>
          <w:tcPr>
            <w:tcW w:w="1134" w:type="dxa"/>
            <w:tcBorders/>
          </w:tcPr>
          <w:p>
            <w:pPr>
              <w:pStyle w:val="TAC"/>
              <w:rPr>
                <w:lang w:val="en-GB"/>
              </w:rPr>
            </w:pPr>
            <w:r>
              <w:rPr>
                <w:lang w:val="en-GB"/>
              </w:rPr>
              <w:t>0</w:t>
            </w:r>
          </w:p>
        </w:tc>
        <w:tc>
          <w:tcPr>
            <w:tcW w:w="1276" w:type="dxa"/>
            <w:tcBorders/>
          </w:tcPr>
          <w:p>
            <w:pPr>
              <w:pStyle w:val="TAC"/>
              <w:rPr>
                <w:lang w:val="en-GB"/>
              </w:rPr>
            </w:pPr>
            <w:r>
              <w:rPr>
                <w:lang w:val="en-GB"/>
              </w:rPr>
              <w:t>10</w:t>
            </w:r>
          </w:p>
        </w:tc>
        <w:tc>
          <w:tcPr>
            <w:tcW w:w="1276" w:type="dxa"/>
            <w:tcBorders/>
          </w:tcPr>
          <w:p>
            <w:pPr>
              <w:pStyle w:val="TAC"/>
              <w:rPr>
                <w:lang w:val="en-GB"/>
              </w:rPr>
            </w:pPr>
            <w:r>
              <w:rPr>
                <w:lang w:val="en-GB"/>
              </w:rPr>
              <w:t>2</w:t>
            </w:r>
          </w:p>
        </w:tc>
        <w:tc>
          <w:tcPr>
            <w:tcW w:w="992" w:type="dxa"/>
            <w:tcBorders/>
          </w:tcPr>
          <w:p>
            <w:pPr>
              <w:pStyle w:val="TAC"/>
              <w:rPr>
                <w:lang w:val="en-GB"/>
              </w:rPr>
            </w:pPr>
            <w:r>
              <w:rPr>
                <w:lang w:val="en-GB"/>
              </w:rPr>
              <w:t>13</w:t>
            </w:r>
          </w:p>
        </w:tc>
        <w:tc>
          <w:tcPr>
            <w:tcW w:w="992" w:type="dxa"/>
            <w:tcBorders/>
          </w:tcPr>
          <w:p>
            <w:pPr>
              <w:pStyle w:val="TAC"/>
              <w:rPr>
                <w:lang w:val="en-GB"/>
              </w:rPr>
            </w:pPr>
            <w:r>
              <w:rPr>
                <w:lang w:val="en-GB"/>
              </w:rPr>
              <w:t>0</w:t>
            </w:r>
          </w:p>
        </w:tc>
      </w:tr>
      <w:tr>
        <w:trPr>
          <w:trHeight w:val="200" w:hRule="atLeast"/>
        </w:trPr>
        <w:tc>
          <w:tcPr>
            <w:tcW w:w="3510" w:type="dxa"/>
            <w:tcBorders/>
          </w:tcPr>
          <w:p>
            <w:pPr>
              <w:pStyle w:val="TAL"/>
              <w:rPr/>
            </w:pPr>
            <w:r>
              <w:rPr>
                <w:lang w:val="en-GB"/>
              </w:rPr>
              <w:t>MS antenna gain, G</w:t>
            </w:r>
            <w:r>
              <w:rPr>
                <w:position w:val="-6"/>
                <w:lang w:val="en-GB"/>
              </w:rPr>
              <w:t xml:space="preserve">m </w:t>
            </w:r>
            <w:r>
              <w:rPr>
                <w:lang w:val="en-GB"/>
              </w:rPr>
              <w:t>(dB)</w:t>
            </w:r>
          </w:p>
        </w:tc>
        <w:tc>
          <w:tcPr>
            <w:tcW w:w="1134" w:type="dxa"/>
            <w:tcBorders/>
          </w:tcPr>
          <w:p>
            <w:pPr>
              <w:pStyle w:val="TAC"/>
              <w:rPr>
                <w:lang w:val="en-GB"/>
              </w:rPr>
            </w:pPr>
            <w:r>
              <w:rPr>
                <w:lang w:val="en-GB"/>
              </w:rPr>
              <w:t>0</w:t>
            </w:r>
          </w:p>
        </w:tc>
        <w:tc>
          <w:tcPr>
            <w:tcW w:w="1276" w:type="dxa"/>
            <w:tcBorders/>
          </w:tcPr>
          <w:p>
            <w:pPr>
              <w:pStyle w:val="TAC"/>
              <w:rPr>
                <w:lang w:val="en-GB"/>
              </w:rPr>
            </w:pPr>
            <w:r>
              <w:rPr>
                <w:lang w:val="en-GB"/>
              </w:rPr>
              <w:t>0</w:t>
            </w:r>
          </w:p>
        </w:tc>
        <w:tc>
          <w:tcPr>
            <w:tcW w:w="1276" w:type="dxa"/>
            <w:tcBorders/>
          </w:tcPr>
          <w:p>
            <w:pPr>
              <w:pStyle w:val="TAC"/>
              <w:rPr>
                <w:lang w:val="en-GB"/>
              </w:rPr>
            </w:pPr>
            <w:r>
              <w:rPr>
                <w:lang w:val="en-GB"/>
              </w:rPr>
              <w:t>0</w:t>
            </w:r>
          </w:p>
        </w:tc>
        <w:tc>
          <w:tcPr>
            <w:tcW w:w="992" w:type="dxa"/>
            <w:tcBorders/>
          </w:tcPr>
          <w:p>
            <w:pPr>
              <w:pStyle w:val="TAC"/>
              <w:rPr>
                <w:lang w:val="en-GB"/>
              </w:rPr>
            </w:pPr>
            <w:r>
              <w:rPr>
                <w:lang w:val="en-GB"/>
              </w:rPr>
              <w:t>0</w:t>
            </w:r>
          </w:p>
        </w:tc>
        <w:tc>
          <w:tcPr>
            <w:tcW w:w="992" w:type="dxa"/>
            <w:tcBorders/>
          </w:tcPr>
          <w:p>
            <w:pPr>
              <w:pStyle w:val="TAC"/>
              <w:rPr>
                <w:lang w:val="en-GB"/>
              </w:rPr>
            </w:pPr>
            <w:r>
              <w:rPr>
                <w:lang w:val="en-GB"/>
              </w:rPr>
              <w:t>0</w:t>
            </w:r>
          </w:p>
        </w:tc>
      </w:tr>
      <w:tr>
        <w:trPr>
          <w:trHeight w:val="200" w:hRule="atLeast"/>
        </w:trPr>
        <w:tc>
          <w:tcPr>
            <w:tcW w:w="3510" w:type="dxa"/>
            <w:tcBorders/>
          </w:tcPr>
          <w:p>
            <w:pPr>
              <w:pStyle w:val="TAL"/>
              <w:rPr>
                <w:position w:val="-8"/>
                <w:lang w:val="en-GB"/>
              </w:rPr>
            </w:pPr>
            <w:r>
              <w:rPr>
                <w:position w:val="-8"/>
                <w:lang w:val="en-GB"/>
              </w:rPr>
              <w:t>Path loss into building (dB)</w:t>
            </w:r>
          </w:p>
        </w:tc>
        <w:tc>
          <w:tcPr>
            <w:tcW w:w="1134" w:type="dxa"/>
            <w:tcBorders/>
          </w:tcPr>
          <w:p>
            <w:pPr>
              <w:pStyle w:val="TAC"/>
              <w:snapToGrid w:val="false"/>
              <w:rPr>
                <w:position w:val="-8"/>
                <w:lang w:val="en-GB"/>
              </w:rPr>
            </w:pPr>
            <w:r>
              <w:rPr>
                <w:position w:val="-8"/>
                <w:lang w:val="en-GB"/>
              </w:rPr>
            </w:r>
          </w:p>
        </w:tc>
        <w:tc>
          <w:tcPr>
            <w:tcW w:w="1276" w:type="dxa"/>
            <w:tcBorders/>
          </w:tcPr>
          <w:p>
            <w:pPr>
              <w:pStyle w:val="TAC"/>
              <w:rPr>
                <w:position w:val="-8"/>
                <w:lang w:val="en-GB"/>
              </w:rPr>
            </w:pPr>
            <w:r>
              <w:rPr>
                <w:position w:val="-8"/>
                <w:lang w:val="en-GB"/>
              </w:rPr>
              <w:t>6</w:t>
            </w:r>
          </w:p>
        </w:tc>
        <w:tc>
          <w:tcPr>
            <w:tcW w:w="1276" w:type="dxa"/>
            <w:tcBorders/>
          </w:tcPr>
          <w:p>
            <w:pPr>
              <w:pStyle w:val="TAC"/>
              <w:snapToGrid w:val="false"/>
              <w:rPr>
                <w:position w:val="-8"/>
                <w:lang w:val="en-GB"/>
              </w:rPr>
            </w:pPr>
            <w:r>
              <w:rPr>
                <w:position w:val="-8"/>
                <w:lang w:val="en-GB"/>
              </w:rPr>
            </w:r>
          </w:p>
        </w:tc>
        <w:tc>
          <w:tcPr>
            <w:tcW w:w="992" w:type="dxa"/>
            <w:tcBorders/>
          </w:tcPr>
          <w:p>
            <w:pPr>
              <w:pStyle w:val="TAC"/>
              <w:rPr>
                <w:position w:val="-8"/>
                <w:lang w:val="en-GB"/>
              </w:rPr>
            </w:pPr>
            <w:r>
              <w:rPr>
                <w:position w:val="-8"/>
                <w:lang w:val="en-GB"/>
              </w:rPr>
              <w:t>6</w:t>
            </w:r>
          </w:p>
        </w:tc>
        <w:tc>
          <w:tcPr>
            <w:tcW w:w="992" w:type="dxa"/>
            <w:tcBorders/>
          </w:tcPr>
          <w:p>
            <w:pPr>
              <w:pStyle w:val="TAC"/>
              <w:snapToGrid w:val="false"/>
              <w:rPr>
                <w:position w:val="-8"/>
                <w:lang w:val="en-GB"/>
              </w:rPr>
            </w:pPr>
            <w:r>
              <w:rPr>
                <w:position w:val="-8"/>
                <w:lang w:val="en-GB"/>
              </w:rPr>
            </w:r>
          </w:p>
        </w:tc>
      </w:tr>
      <w:tr>
        <w:trPr>
          <w:trHeight w:val="200" w:hRule="atLeast"/>
        </w:trPr>
        <w:tc>
          <w:tcPr>
            <w:tcW w:w="3510" w:type="dxa"/>
            <w:tcBorders/>
          </w:tcPr>
          <w:p>
            <w:pPr>
              <w:pStyle w:val="TAL"/>
              <w:rPr>
                <w:position w:val="-8"/>
                <w:lang w:val="en-GB"/>
              </w:rPr>
            </w:pPr>
            <w:r>
              <w:rPr>
                <w:position w:val="-8"/>
                <w:lang w:val="en-GB"/>
              </w:rPr>
              <w:t>Cable/Connector Loss (dB)</w:t>
            </w:r>
          </w:p>
        </w:tc>
        <w:tc>
          <w:tcPr>
            <w:tcW w:w="1134" w:type="dxa"/>
            <w:tcBorders/>
          </w:tcPr>
          <w:p>
            <w:pPr>
              <w:pStyle w:val="TAC"/>
              <w:rPr>
                <w:position w:val="-8"/>
                <w:lang w:val="en-GB"/>
              </w:rPr>
            </w:pPr>
            <w:r>
              <w:rPr>
                <w:position w:val="-8"/>
                <w:lang w:val="en-GB"/>
              </w:rPr>
              <w:t>2</w:t>
            </w:r>
          </w:p>
        </w:tc>
        <w:tc>
          <w:tcPr>
            <w:tcW w:w="1276" w:type="dxa"/>
            <w:tcBorders/>
          </w:tcPr>
          <w:p>
            <w:pPr>
              <w:pStyle w:val="TAC"/>
              <w:rPr>
                <w:position w:val="-8"/>
                <w:lang w:val="en-GB"/>
              </w:rPr>
            </w:pPr>
            <w:r>
              <w:rPr>
                <w:position w:val="-8"/>
                <w:lang w:val="en-GB"/>
              </w:rPr>
              <w:t>2</w:t>
            </w:r>
          </w:p>
        </w:tc>
        <w:tc>
          <w:tcPr>
            <w:tcW w:w="1276" w:type="dxa"/>
            <w:tcBorders/>
          </w:tcPr>
          <w:p>
            <w:pPr>
              <w:pStyle w:val="TAC"/>
              <w:rPr>
                <w:position w:val="-8"/>
                <w:lang w:val="en-GB"/>
              </w:rPr>
            </w:pPr>
            <w:r>
              <w:rPr>
                <w:position w:val="-8"/>
                <w:lang w:val="en-GB"/>
              </w:rPr>
              <w:t>2</w:t>
            </w:r>
          </w:p>
        </w:tc>
        <w:tc>
          <w:tcPr>
            <w:tcW w:w="992" w:type="dxa"/>
            <w:tcBorders/>
          </w:tcPr>
          <w:p>
            <w:pPr>
              <w:pStyle w:val="TAC"/>
              <w:rPr>
                <w:position w:val="-8"/>
                <w:lang w:val="en-GB"/>
              </w:rPr>
            </w:pPr>
            <w:r>
              <w:rPr>
                <w:position w:val="-8"/>
                <w:lang w:val="en-GB"/>
              </w:rPr>
              <w:t>2</w:t>
            </w:r>
          </w:p>
        </w:tc>
        <w:tc>
          <w:tcPr>
            <w:tcW w:w="992" w:type="dxa"/>
            <w:tcBorders/>
          </w:tcPr>
          <w:p>
            <w:pPr>
              <w:pStyle w:val="TAC"/>
              <w:rPr>
                <w:position w:val="-8"/>
                <w:lang w:val="en-GB"/>
              </w:rPr>
            </w:pPr>
            <w:r>
              <w:rPr>
                <w:position w:val="-8"/>
                <w:lang w:val="en-GB"/>
              </w:rPr>
              <w:t>2</w:t>
            </w:r>
          </w:p>
        </w:tc>
      </w:tr>
      <w:tr>
        <w:trPr>
          <w:trHeight w:val="200" w:hRule="atLeast"/>
        </w:trPr>
        <w:tc>
          <w:tcPr>
            <w:tcW w:w="3510" w:type="dxa"/>
            <w:tcBorders/>
          </w:tcPr>
          <w:p>
            <w:pPr>
              <w:pStyle w:val="TAL"/>
              <w:rPr>
                <w:position w:val="-8"/>
                <w:lang w:val="en-GB"/>
              </w:rPr>
            </w:pPr>
            <w:r>
              <w:rPr>
                <w:position w:val="-8"/>
                <w:lang w:val="en-GB"/>
              </w:rPr>
              <w:t>Body Loss (dB)</w:t>
            </w:r>
          </w:p>
        </w:tc>
        <w:tc>
          <w:tcPr>
            <w:tcW w:w="1134" w:type="dxa"/>
            <w:tcBorders/>
          </w:tcPr>
          <w:p>
            <w:pPr>
              <w:pStyle w:val="TAC"/>
              <w:rPr>
                <w:position w:val="-8"/>
                <w:lang w:val="en-GB"/>
              </w:rPr>
            </w:pPr>
            <w:r>
              <w:rPr>
                <w:position w:val="-8"/>
                <w:lang w:val="en-GB"/>
              </w:rPr>
              <w:t>1</w:t>
            </w:r>
          </w:p>
        </w:tc>
        <w:tc>
          <w:tcPr>
            <w:tcW w:w="1276" w:type="dxa"/>
            <w:tcBorders/>
          </w:tcPr>
          <w:p>
            <w:pPr>
              <w:pStyle w:val="TAC"/>
              <w:rPr>
                <w:position w:val="-8"/>
                <w:lang w:val="en-GB"/>
              </w:rPr>
            </w:pPr>
            <w:r>
              <w:rPr>
                <w:position w:val="-8"/>
                <w:lang w:val="en-GB"/>
              </w:rPr>
              <w:t>1</w:t>
            </w:r>
          </w:p>
        </w:tc>
        <w:tc>
          <w:tcPr>
            <w:tcW w:w="1276" w:type="dxa"/>
            <w:tcBorders/>
          </w:tcPr>
          <w:p>
            <w:pPr>
              <w:pStyle w:val="TAC"/>
              <w:rPr>
                <w:position w:val="-8"/>
                <w:lang w:val="en-GB"/>
              </w:rPr>
            </w:pPr>
            <w:r>
              <w:rPr>
                <w:position w:val="-8"/>
                <w:lang w:val="en-GB"/>
              </w:rPr>
              <w:t>1</w:t>
            </w:r>
          </w:p>
        </w:tc>
        <w:tc>
          <w:tcPr>
            <w:tcW w:w="992" w:type="dxa"/>
            <w:tcBorders/>
          </w:tcPr>
          <w:p>
            <w:pPr>
              <w:pStyle w:val="TAC"/>
              <w:rPr>
                <w:position w:val="-8"/>
                <w:lang w:val="en-GB"/>
              </w:rPr>
            </w:pPr>
            <w:r>
              <w:rPr>
                <w:position w:val="-8"/>
                <w:lang w:val="en-GB"/>
              </w:rPr>
              <w:t>1</w:t>
            </w:r>
          </w:p>
        </w:tc>
        <w:tc>
          <w:tcPr>
            <w:tcW w:w="992" w:type="dxa"/>
            <w:tcBorders/>
          </w:tcPr>
          <w:p>
            <w:pPr>
              <w:pStyle w:val="TAC"/>
              <w:rPr>
                <w:position w:val="-8"/>
                <w:lang w:val="en-GB"/>
              </w:rPr>
            </w:pPr>
            <w:r>
              <w:rPr>
                <w:position w:val="-8"/>
                <w:lang w:val="en-GB"/>
              </w:rPr>
              <w:t>1</w:t>
            </w:r>
          </w:p>
        </w:tc>
      </w:tr>
      <w:tr>
        <w:trPr>
          <w:trHeight w:val="200" w:hRule="atLeast"/>
        </w:trPr>
        <w:tc>
          <w:tcPr>
            <w:tcW w:w="3510" w:type="dxa"/>
            <w:tcBorders/>
          </w:tcPr>
          <w:p>
            <w:pPr>
              <w:pStyle w:val="TAL"/>
              <w:snapToGrid w:val="false"/>
              <w:rPr>
                <w:position w:val="-8"/>
                <w:u w:val="single"/>
                <w:lang w:val="en-GB"/>
              </w:rPr>
            </w:pPr>
            <w:r>
              <w:rPr>
                <w:position w:val="-8"/>
                <w:u w:val="single"/>
                <w:lang w:val="en-GB"/>
              </w:rPr>
            </w:r>
          </w:p>
        </w:tc>
        <w:tc>
          <w:tcPr>
            <w:tcW w:w="1134" w:type="dxa"/>
            <w:tcBorders/>
          </w:tcPr>
          <w:p>
            <w:pPr>
              <w:pStyle w:val="TAC"/>
              <w:snapToGrid w:val="false"/>
              <w:rPr>
                <w:position w:val="-8"/>
                <w:u w:val="single"/>
                <w:lang w:val="en-GB"/>
              </w:rPr>
            </w:pPr>
            <w:r>
              <w:rPr>
                <w:position w:val="-8"/>
                <w:u w:val="single"/>
                <w:lang w:val="en-GB"/>
              </w:rPr>
            </w:r>
          </w:p>
        </w:tc>
        <w:tc>
          <w:tcPr>
            <w:tcW w:w="1276" w:type="dxa"/>
            <w:tcBorders/>
          </w:tcPr>
          <w:p>
            <w:pPr>
              <w:pStyle w:val="TAC"/>
              <w:snapToGrid w:val="false"/>
              <w:rPr>
                <w:position w:val="-8"/>
                <w:u w:val="single"/>
                <w:lang w:val="en-GB"/>
              </w:rPr>
            </w:pPr>
            <w:r>
              <w:rPr>
                <w:position w:val="-8"/>
                <w:u w:val="single"/>
                <w:lang w:val="en-GB"/>
              </w:rPr>
            </w:r>
          </w:p>
        </w:tc>
        <w:tc>
          <w:tcPr>
            <w:tcW w:w="1276" w:type="dxa"/>
            <w:tcBorders/>
          </w:tcPr>
          <w:p>
            <w:pPr>
              <w:pStyle w:val="TAC"/>
              <w:snapToGrid w:val="false"/>
              <w:rPr>
                <w:position w:val="-8"/>
                <w:u w:val="single"/>
                <w:lang w:val="en-GB"/>
              </w:rPr>
            </w:pPr>
            <w:r>
              <w:rPr>
                <w:position w:val="-8"/>
                <w:u w:val="single"/>
                <w:lang w:val="en-GB"/>
              </w:rPr>
            </w:r>
          </w:p>
        </w:tc>
        <w:tc>
          <w:tcPr>
            <w:tcW w:w="992" w:type="dxa"/>
            <w:tcBorders/>
          </w:tcPr>
          <w:p>
            <w:pPr>
              <w:pStyle w:val="TAC"/>
              <w:snapToGrid w:val="false"/>
              <w:rPr>
                <w:position w:val="-8"/>
                <w:u w:val="single"/>
                <w:lang w:val="en-GB"/>
              </w:rPr>
            </w:pPr>
            <w:r>
              <w:rPr>
                <w:position w:val="-8"/>
                <w:u w:val="single"/>
                <w:lang w:val="en-GB"/>
              </w:rPr>
            </w:r>
          </w:p>
        </w:tc>
        <w:tc>
          <w:tcPr>
            <w:tcW w:w="992" w:type="dxa"/>
            <w:tcBorders/>
          </w:tcPr>
          <w:p>
            <w:pPr>
              <w:pStyle w:val="TAC"/>
              <w:snapToGrid w:val="false"/>
              <w:rPr>
                <w:position w:val="-8"/>
                <w:u w:val="single"/>
                <w:lang w:val="en-GB"/>
              </w:rPr>
            </w:pPr>
            <w:r>
              <w:rPr>
                <w:position w:val="-8"/>
                <w:u w:val="single"/>
                <w:lang w:val="en-GB"/>
              </w:rPr>
            </w:r>
          </w:p>
        </w:tc>
      </w:tr>
      <w:tr>
        <w:trPr>
          <w:trHeight w:val="200" w:hRule="atLeast"/>
        </w:trPr>
        <w:tc>
          <w:tcPr>
            <w:tcW w:w="3510" w:type="dxa"/>
            <w:tcBorders>
              <w:top w:val="single" w:sz="6" w:space="0" w:color="000000"/>
              <w:bottom w:val="single" w:sz="4" w:space="0" w:color="000000"/>
            </w:tcBorders>
          </w:tcPr>
          <w:p>
            <w:pPr>
              <w:pStyle w:val="TAL"/>
              <w:rPr>
                <w:position w:val="-8"/>
                <w:lang w:val="en-GB"/>
              </w:rPr>
            </w:pPr>
            <w:r>
              <w:rPr>
                <w:position w:val="-6"/>
                <w:lang w:val="en-GB"/>
              </w:rPr>
              <w:t>Path loss - antenna gain (dB)</w:t>
            </w:r>
          </w:p>
        </w:tc>
        <w:tc>
          <w:tcPr>
            <w:tcW w:w="1134" w:type="dxa"/>
            <w:tcBorders>
              <w:top w:val="single" w:sz="6" w:space="0" w:color="000000"/>
              <w:bottom w:val="single" w:sz="4" w:space="0" w:color="000000"/>
            </w:tcBorders>
          </w:tcPr>
          <w:p>
            <w:pPr>
              <w:pStyle w:val="TAC"/>
              <w:rPr>
                <w:position w:val="-8"/>
                <w:lang w:val="en-GB"/>
              </w:rPr>
            </w:pPr>
            <w:r>
              <w:rPr>
                <w:position w:val="-8"/>
                <w:lang w:val="en-GB"/>
              </w:rPr>
              <w:t>71</w:t>
            </w:r>
          </w:p>
        </w:tc>
        <w:tc>
          <w:tcPr>
            <w:tcW w:w="1276" w:type="dxa"/>
            <w:tcBorders>
              <w:top w:val="single" w:sz="6" w:space="0" w:color="000000"/>
              <w:bottom w:val="single" w:sz="4" w:space="0" w:color="000000"/>
            </w:tcBorders>
          </w:tcPr>
          <w:p>
            <w:pPr>
              <w:pStyle w:val="TAC"/>
              <w:rPr>
                <w:position w:val="-8"/>
                <w:lang w:val="en-GB"/>
              </w:rPr>
            </w:pPr>
            <w:r>
              <w:rPr>
                <w:position w:val="-8"/>
                <w:lang w:val="en-GB"/>
              </w:rPr>
              <w:t>66</w:t>
            </w:r>
          </w:p>
        </w:tc>
        <w:tc>
          <w:tcPr>
            <w:tcW w:w="1276" w:type="dxa"/>
            <w:tcBorders>
              <w:top w:val="single" w:sz="6" w:space="0" w:color="000000"/>
              <w:bottom w:val="single" w:sz="4" w:space="0" w:color="000000"/>
            </w:tcBorders>
          </w:tcPr>
          <w:p>
            <w:pPr>
              <w:pStyle w:val="TAC"/>
              <w:rPr>
                <w:position w:val="-8"/>
                <w:lang w:val="en-GB"/>
              </w:rPr>
            </w:pPr>
            <w:r>
              <w:rPr>
                <w:position w:val="-8"/>
                <w:lang w:val="en-GB"/>
              </w:rPr>
              <w:t>65</w:t>
            </w:r>
          </w:p>
        </w:tc>
        <w:tc>
          <w:tcPr>
            <w:tcW w:w="992" w:type="dxa"/>
            <w:tcBorders>
              <w:top w:val="single" w:sz="6" w:space="0" w:color="000000"/>
              <w:bottom w:val="single" w:sz="4" w:space="0" w:color="000000"/>
            </w:tcBorders>
          </w:tcPr>
          <w:p>
            <w:pPr>
              <w:pStyle w:val="TAC"/>
              <w:rPr>
                <w:position w:val="-8"/>
                <w:lang w:val="en-GB"/>
              </w:rPr>
            </w:pPr>
            <w:r>
              <w:rPr>
                <w:position w:val="-8"/>
                <w:lang w:val="en-GB"/>
              </w:rPr>
              <w:t>69</w:t>
            </w:r>
          </w:p>
        </w:tc>
        <w:tc>
          <w:tcPr>
            <w:tcW w:w="992" w:type="dxa"/>
            <w:tcBorders>
              <w:top w:val="single" w:sz="6" w:space="0" w:color="000000"/>
              <w:bottom w:val="single" w:sz="4" w:space="0" w:color="000000"/>
            </w:tcBorders>
          </w:tcPr>
          <w:p>
            <w:pPr>
              <w:pStyle w:val="TAC"/>
              <w:rPr>
                <w:position w:val="-8"/>
                <w:lang w:val="en-GB"/>
              </w:rPr>
            </w:pPr>
            <w:r>
              <w:rPr>
                <w:position w:val="-8"/>
                <w:lang w:val="en-GB"/>
              </w:rPr>
              <w:t>71</w:t>
            </w:r>
          </w:p>
        </w:tc>
      </w:tr>
      <w:tr>
        <w:trPr>
          <w:trHeight w:val="200" w:hRule="atLeast"/>
        </w:trPr>
        <w:tc>
          <w:tcPr>
            <w:tcW w:w="9180" w:type="dxa"/>
            <w:gridSpan w:val="6"/>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 1:</w:t>
              <w:tab/>
              <w:t>Handset at height Hm in building.</w:t>
            </w:r>
          </w:p>
          <w:p>
            <w:pPr>
              <w:pStyle w:val="TAN"/>
              <w:rPr>
                <w:lang w:val="en-GB"/>
              </w:rPr>
            </w:pPr>
            <w:r>
              <w:rPr>
                <w:lang w:val="en-GB"/>
              </w:rPr>
              <w:t>NOTE 2:</w:t>
              <w:tab/>
              <w:t>Bore-sight gain.</w:t>
            </w:r>
          </w:p>
          <w:p>
            <w:pPr>
              <w:pStyle w:val="TAN"/>
              <w:rPr>
                <w:lang w:val="en-GB"/>
              </w:rPr>
            </w:pPr>
            <w:r>
              <w:rPr>
                <w:lang w:val="en-GB"/>
              </w:rPr>
              <w:t>NOTE 3:</w:t>
              <w:tab/>
              <w:t>Gain in direction of MS.</w:t>
            </w:r>
          </w:p>
          <w:p>
            <w:pPr>
              <w:pStyle w:val="TAN"/>
              <w:rPr/>
            </w:pPr>
            <w:r>
              <w:rPr>
                <w:lang w:val="en-GB"/>
              </w:rPr>
              <w:t>NOTE 4:</w:t>
              <w:tab/>
              <w:t>Horizontal separation between MS and BTS.</w:t>
            </w:r>
          </w:p>
        </w:tc>
      </w:tr>
    </w:tbl>
    <w:p>
      <w:pPr>
        <w:pStyle w:val="Normal"/>
        <w:rPr/>
      </w:pPr>
      <w:r>
        <w:rPr/>
      </w:r>
    </w:p>
    <w:p>
      <w:pPr>
        <w:pStyle w:val="B1"/>
        <w:rPr/>
      </w:pPr>
      <w:r>
        <w:rPr/>
        <w:tab/>
        <w:t>Path loss is assumed to be free space i.e. 37,5 + 20 log d(m) dB, where d is the length of the sloping line connecting the transmit and receive antennas.</w:t>
      </w:r>
    </w:p>
    <w:p>
      <w:pPr>
        <w:pStyle w:val="Normal"/>
        <w:rPr/>
      </w:pPr>
      <w:r>
        <w:rPr/>
        <w:t>These examples suggest that the worst (ie lowest) coupling loss occurs in urban areas where the MS is in a street below the BTS. The coupling loss is then 65 dB. The coupling loss is defined as that between the transmit and receive antenna connectors.</w:t>
      </w:r>
    </w:p>
    <w:p>
      <w:pPr>
        <w:pStyle w:val="Heading3"/>
        <w:rPr/>
      </w:pPr>
      <w:bookmarkStart w:id="96" w:name="__RefHeading___Toc518035530"/>
      <w:bookmarkEnd w:id="96"/>
      <w:r>
        <w:rPr/>
        <w:t>A.1.1.3</w:t>
        <w:tab/>
        <w:t>Range</w:t>
      </w:r>
    </w:p>
    <w:p>
      <w:pPr>
        <w:pStyle w:val="Normal"/>
        <w:rPr/>
      </w:pPr>
      <w:r>
        <w:rPr/>
        <w:t>Table 2 shows examples of range scenarios. The ranges quoted are the maximum anticipated for DCS1800 operation. In rural areas, this implies relatively flat terrain with little foliage loss. In urban areas, up to 1 km cells should be supported. In each case, an allowance must be made for in-building penetration loss. The figures shown are examples of those needed to achieve these cell sizes. In many situations, however, smaller cells may be used depending on the local conditions of terrain and traffic demand.</w:t>
      </w:r>
    </w:p>
    <w:p>
      <w:pPr>
        <w:pStyle w:val="TH"/>
        <w:rPr/>
      </w:pPr>
      <w:r>
        <w:rPr/>
        <w:t>Table 2: Worst case range scenarios</w:t>
      </w:r>
    </w:p>
    <w:tbl>
      <w:tblPr>
        <w:tblW w:w="9570" w:type="dxa"/>
        <w:jc w:val="center"/>
        <w:tblInd w:w="0" w:type="dxa"/>
        <w:tblLayout w:type="fixed"/>
        <w:tblCellMar>
          <w:top w:w="0" w:type="dxa"/>
          <w:left w:w="108" w:type="dxa"/>
          <w:bottom w:w="0" w:type="dxa"/>
          <w:right w:w="108" w:type="dxa"/>
        </w:tblCellMar>
      </w:tblPr>
      <w:tblGrid>
        <w:gridCol w:w="3190"/>
        <w:gridCol w:w="3190"/>
        <w:gridCol w:w="3190"/>
      </w:tblGrid>
      <w:tr>
        <w:trPr/>
        <w:tc>
          <w:tcPr>
            <w:tcW w:w="3190" w:type="dxa"/>
            <w:tcBorders>
              <w:top w:val="single" w:sz="6" w:space="0" w:color="000000"/>
              <w:bottom w:val="single" w:sz="6" w:space="0" w:color="000000"/>
            </w:tcBorders>
          </w:tcPr>
          <w:p>
            <w:pPr>
              <w:pStyle w:val="TAH"/>
              <w:snapToGrid w:val="false"/>
              <w:rPr>
                <w:lang w:eastAsia="en-US"/>
              </w:rPr>
            </w:pPr>
            <w:r>
              <w:rPr>
                <w:lang w:eastAsia="en-US"/>
              </w:rPr>
            </w:r>
          </w:p>
        </w:tc>
        <w:tc>
          <w:tcPr>
            <w:tcW w:w="3190" w:type="dxa"/>
            <w:tcBorders>
              <w:top w:val="single" w:sz="6" w:space="0" w:color="000000"/>
              <w:bottom w:val="single" w:sz="6" w:space="0" w:color="000000"/>
            </w:tcBorders>
          </w:tcPr>
          <w:p>
            <w:pPr>
              <w:pStyle w:val="TAH"/>
              <w:rPr>
                <w:lang w:eastAsia="en-US"/>
              </w:rPr>
            </w:pPr>
            <w:r>
              <w:rPr>
                <w:lang w:eastAsia="en-US"/>
              </w:rPr>
              <w:t>Rural</w:t>
            </w:r>
          </w:p>
        </w:tc>
        <w:tc>
          <w:tcPr>
            <w:tcW w:w="3190" w:type="dxa"/>
            <w:tcBorders>
              <w:top w:val="single" w:sz="6" w:space="0" w:color="000000"/>
              <w:bottom w:val="single" w:sz="6" w:space="0" w:color="000000"/>
            </w:tcBorders>
          </w:tcPr>
          <w:p>
            <w:pPr>
              <w:pStyle w:val="TAH"/>
              <w:rPr>
                <w:lang w:eastAsia="en-US"/>
              </w:rPr>
            </w:pPr>
            <w:r>
              <w:rPr>
                <w:lang w:eastAsia="en-US"/>
              </w:rPr>
              <w:t>Urban</w:t>
            </w:r>
          </w:p>
        </w:tc>
      </w:tr>
      <w:tr>
        <w:trPr/>
        <w:tc>
          <w:tcPr>
            <w:tcW w:w="3190" w:type="dxa"/>
            <w:tcBorders/>
          </w:tcPr>
          <w:p>
            <w:pPr>
              <w:pStyle w:val="TAL"/>
              <w:rPr/>
            </w:pPr>
            <w:r>
              <w:rPr>
                <w:lang w:val="en-GB"/>
              </w:rPr>
              <w:t>BTS height, H</w:t>
            </w:r>
            <w:r>
              <w:rPr>
                <w:position w:val="-6"/>
                <w:lang w:val="en-GB"/>
              </w:rPr>
              <w:t>b</w:t>
            </w:r>
            <w:r>
              <w:rPr>
                <w:lang w:val="en-GB"/>
              </w:rPr>
              <w:t xml:space="preserve"> (m)</w:t>
            </w:r>
          </w:p>
        </w:tc>
        <w:tc>
          <w:tcPr>
            <w:tcW w:w="3190" w:type="dxa"/>
            <w:tcBorders/>
          </w:tcPr>
          <w:p>
            <w:pPr>
              <w:pStyle w:val="TAC"/>
              <w:rPr>
                <w:lang w:val="en-GB"/>
              </w:rPr>
            </w:pPr>
            <w:r>
              <w:rPr>
                <w:lang w:val="en-GB"/>
              </w:rPr>
              <w:t>60</w:t>
            </w:r>
          </w:p>
        </w:tc>
        <w:tc>
          <w:tcPr>
            <w:tcW w:w="3190" w:type="dxa"/>
            <w:tcBorders/>
          </w:tcPr>
          <w:p>
            <w:pPr>
              <w:pStyle w:val="TAC"/>
              <w:rPr>
                <w:lang w:val="en-GB"/>
              </w:rPr>
            </w:pPr>
            <w:r>
              <w:rPr>
                <w:lang w:val="en-GB"/>
              </w:rPr>
              <w:t>50</w:t>
            </w:r>
          </w:p>
        </w:tc>
      </w:tr>
      <w:tr>
        <w:trPr/>
        <w:tc>
          <w:tcPr>
            <w:tcW w:w="3190" w:type="dxa"/>
            <w:tcBorders/>
          </w:tcPr>
          <w:p>
            <w:pPr>
              <w:pStyle w:val="TAL"/>
              <w:rPr/>
            </w:pPr>
            <w:r>
              <w:rPr>
                <w:lang w:val="en-GB"/>
              </w:rPr>
              <w:t>MS height, H</w:t>
            </w:r>
            <w:r>
              <w:rPr>
                <w:position w:val="-6"/>
                <w:lang w:val="en-GB"/>
              </w:rPr>
              <w:t>m</w:t>
            </w:r>
            <w:r>
              <w:rPr>
                <w:lang w:val="en-GB"/>
              </w:rPr>
              <w:t xml:space="preserve"> (m)</w:t>
            </w:r>
          </w:p>
        </w:tc>
        <w:tc>
          <w:tcPr>
            <w:tcW w:w="3190" w:type="dxa"/>
            <w:tcBorders/>
          </w:tcPr>
          <w:p>
            <w:pPr>
              <w:pStyle w:val="TAC"/>
              <w:rPr>
                <w:lang w:val="en-GB"/>
              </w:rPr>
            </w:pPr>
            <w:r>
              <w:rPr>
                <w:lang w:val="en-GB"/>
              </w:rPr>
              <w:t>1,5</w:t>
            </w:r>
          </w:p>
        </w:tc>
        <w:tc>
          <w:tcPr>
            <w:tcW w:w="3190" w:type="dxa"/>
            <w:tcBorders/>
          </w:tcPr>
          <w:p>
            <w:pPr>
              <w:pStyle w:val="TAC"/>
              <w:rPr>
                <w:lang w:val="en-GB"/>
              </w:rPr>
            </w:pPr>
            <w:r>
              <w:rPr>
                <w:lang w:val="en-GB"/>
              </w:rPr>
              <w:t>1,5</w:t>
            </w:r>
          </w:p>
        </w:tc>
      </w:tr>
      <w:tr>
        <w:trPr/>
        <w:tc>
          <w:tcPr>
            <w:tcW w:w="3190" w:type="dxa"/>
            <w:tcBorders/>
          </w:tcPr>
          <w:p>
            <w:pPr>
              <w:pStyle w:val="TAL"/>
              <w:rPr/>
            </w:pPr>
            <w:r>
              <w:rPr>
                <w:lang w:val="en-GB"/>
              </w:rPr>
              <w:t>BTS antenna gain, G</w:t>
            </w:r>
            <w:r>
              <w:rPr>
                <w:position w:val="-6"/>
                <w:lang w:val="en-GB"/>
              </w:rPr>
              <w:t xml:space="preserve">b </w:t>
            </w:r>
            <w:r>
              <w:rPr>
                <w:lang w:val="en-GB"/>
              </w:rPr>
              <w:t>(dB)</w:t>
            </w:r>
          </w:p>
        </w:tc>
        <w:tc>
          <w:tcPr>
            <w:tcW w:w="3190" w:type="dxa"/>
            <w:tcBorders/>
          </w:tcPr>
          <w:p>
            <w:pPr>
              <w:pStyle w:val="TAC"/>
              <w:rPr>
                <w:lang w:val="en-GB"/>
              </w:rPr>
            </w:pPr>
            <w:r>
              <w:rPr>
                <w:lang w:val="en-GB"/>
              </w:rPr>
              <w:t>18</w:t>
            </w:r>
          </w:p>
        </w:tc>
        <w:tc>
          <w:tcPr>
            <w:tcW w:w="3190" w:type="dxa"/>
            <w:tcBorders/>
          </w:tcPr>
          <w:p>
            <w:pPr>
              <w:pStyle w:val="TAC"/>
              <w:rPr>
                <w:lang w:val="en-GB"/>
              </w:rPr>
            </w:pPr>
            <w:r>
              <w:rPr>
                <w:lang w:val="en-GB"/>
              </w:rPr>
              <w:t>18</w:t>
            </w:r>
          </w:p>
        </w:tc>
      </w:tr>
      <w:tr>
        <w:trPr/>
        <w:tc>
          <w:tcPr>
            <w:tcW w:w="3190" w:type="dxa"/>
            <w:tcBorders/>
          </w:tcPr>
          <w:p>
            <w:pPr>
              <w:pStyle w:val="TAL"/>
              <w:rPr/>
            </w:pPr>
            <w:r>
              <w:rPr>
                <w:lang w:val="en-GB"/>
              </w:rPr>
              <w:t>MS antenna gain, G</w:t>
            </w:r>
            <w:r>
              <w:rPr>
                <w:position w:val="-6"/>
                <w:lang w:val="en-GB"/>
              </w:rPr>
              <w:t xml:space="preserve">m </w:t>
            </w:r>
            <w:r>
              <w:rPr>
                <w:lang w:val="en-GB"/>
              </w:rPr>
              <w:t>(dB)</w:t>
            </w:r>
          </w:p>
        </w:tc>
        <w:tc>
          <w:tcPr>
            <w:tcW w:w="3190" w:type="dxa"/>
            <w:tcBorders/>
          </w:tcPr>
          <w:p>
            <w:pPr>
              <w:pStyle w:val="TAC"/>
              <w:rPr>
                <w:lang w:val="en-GB"/>
              </w:rPr>
            </w:pPr>
            <w:r>
              <w:rPr>
                <w:lang w:val="en-GB"/>
              </w:rPr>
              <w:t>0</w:t>
            </w:r>
          </w:p>
        </w:tc>
        <w:tc>
          <w:tcPr>
            <w:tcW w:w="3190" w:type="dxa"/>
            <w:tcBorders/>
          </w:tcPr>
          <w:p>
            <w:pPr>
              <w:pStyle w:val="TAC"/>
              <w:rPr>
                <w:position w:val="-8"/>
                <w:lang w:val="en-GB"/>
              </w:rPr>
            </w:pPr>
            <w:r>
              <w:rPr>
                <w:lang w:val="en-GB"/>
              </w:rPr>
              <w:t>0</w:t>
            </w:r>
          </w:p>
        </w:tc>
      </w:tr>
      <w:tr>
        <w:trPr/>
        <w:tc>
          <w:tcPr>
            <w:tcW w:w="3190" w:type="dxa"/>
            <w:tcBorders/>
          </w:tcPr>
          <w:p>
            <w:pPr>
              <w:pStyle w:val="TAL"/>
              <w:rPr>
                <w:position w:val="-8"/>
                <w:lang w:val="en-GB"/>
              </w:rPr>
            </w:pPr>
            <w:r>
              <w:rPr>
                <w:position w:val="-8"/>
                <w:lang w:val="en-GB"/>
              </w:rPr>
              <w:t>Path loss into building (dB)</w:t>
            </w:r>
          </w:p>
        </w:tc>
        <w:tc>
          <w:tcPr>
            <w:tcW w:w="3190" w:type="dxa"/>
            <w:tcBorders/>
          </w:tcPr>
          <w:p>
            <w:pPr>
              <w:pStyle w:val="TAC"/>
              <w:rPr>
                <w:lang w:val="en-GB"/>
              </w:rPr>
            </w:pPr>
            <w:r>
              <w:rPr>
                <w:lang w:val="en-GB"/>
              </w:rPr>
              <w:t>[10]</w:t>
            </w:r>
          </w:p>
        </w:tc>
        <w:tc>
          <w:tcPr>
            <w:tcW w:w="3190" w:type="dxa"/>
            <w:tcBorders/>
          </w:tcPr>
          <w:p>
            <w:pPr>
              <w:pStyle w:val="TAC"/>
              <w:rPr>
                <w:lang w:val="en-GB"/>
              </w:rPr>
            </w:pPr>
            <w:r>
              <w:rPr>
                <w:lang w:val="en-GB"/>
              </w:rPr>
              <w:t>[15]</w:t>
            </w:r>
          </w:p>
        </w:tc>
      </w:tr>
      <w:tr>
        <w:trPr/>
        <w:tc>
          <w:tcPr>
            <w:tcW w:w="3190" w:type="dxa"/>
            <w:tcBorders>
              <w:bottom w:val="single" w:sz="6" w:space="0" w:color="000000"/>
            </w:tcBorders>
          </w:tcPr>
          <w:p>
            <w:pPr>
              <w:pStyle w:val="TAL"/>
              <w:rPr>
                <w:position w:val="-8"/>
                <w:lang w:val="en-GB"/>
              </w:rPr>
            </w:pPr>
            <w:r>
              <w:rPr>
                <w:position w:val="-8"/>
                <w:lang w:val="en-GB"/>
              </w:rPr>
              <w:t>Target range (km)</w:t>
            </w:r>
          </w:p>
        </w:tc>
        <w:tc>
          <w:tcPr>
            <w:tcW w:w="3190" w:type="dxa"/>
            <w:tcBorders>
              <w:bottom w:val="single" w:sz="6" w:space="0" w:color="000000"/>
            </w:tcBorders>
          </w:tcPr>
          <w:p>
            <w:pPr>
              <w:pStyle w:val="TAC"/>
              <w:rPr>
                <w:lang w:val="en-GB"/>
              </w:rPr>
            </w:pPr>
            <w:r>
              <w:rPr>
                <w:lang w:val="en-GB"/>
              </w:rPr>
              <w:t>8</w:t>
            </w:r>
          </w:p>
        </w:tc>
        <w:tc>
          <w:tcPr>
            <w:tcW w:w="3190" w:type="dxa"/>
            <w:tcBorders>
              <w:bottom w:val="single" w:sz="6" w:space="0" w:color="000000"/>
            </w:tcBorders>
          </w:tcPr>
          <w:p>
            <w:pPr>
              <w:pStyle w:val="TAC"/>
              <w:rPr>
                <w:lang w:val="en-GB"/>
              </w:rPr>
            </w:pPr>
            <w:r>
              <w:rPr>
                <w:lang w:val="en-GB"/>
              </w:rPr>
              <w:t>1</w:t>
            </w:r>
          </w:p>
        </w:tc>
      </w:tr>
    </w:tbl>
    <w:p>
      <w:pPr>
        <w:pStyle w:val="Normal"/>
        <w:rPr/>
      </w:pPr>
      <w:r>
        <w:rPr/>
      </w:r>
    </w:p>
    <w:p>
      <w:pPr>
        <w:pStyle w:val="TH"/>
        <w:rPr/>
      </w:pPr>
      <w:r>
        <w:rPr/>
        <w:t>A.1.2</w:t>
        <w:tab/>
        <w:t>05.05 Paragraphs Affected</w:t>
      </w:r>
    </w:p>
    <w:tbl>
      <w:tblPr>
        <w:tblW w:w="5214" w:type="dxa"/>
        <w:jc w:val="center"/>
        <w:tblInd w:w="0" w:type="dxa"/>
        <w:tblLayout w:type="fixed"/>
        <w:tblCellMar>
          <w:top w:w="0" w:type="dxa"/>
          <w:left w:w="108" w:type="dxa"/>
          <w:bottom w:w="0" w:type="dxa"/>
          <w:right w:w="108" w:type="dxa"/>
        </w:tblCellMar>
      </w:tblPr>
      <w:tblGrid>
        <w:gridCol w:w="1207"/>
        <w:gridCol w:w="4007"/>
      </w:tblGrid>
      <w:tr>
        <w:trPr/>
        <w:tc>
          <w:tcPr>
            <w:tcW w:w="1207" w:type="dxa"/>
            <w:tcBorders/>
          </w:tcPr>
          <w:p>
            <w:pPr>
              <w:pStyle w:val="TAH"/>
              <w:rPr>
                <w:lang w:eastAsia="en-US"/>
              </w:rPr>
            </w:pPr>
            <w:r>
              <w:rPr>
                <w:lang w:eastAsia="en-US"/>
              </w:rPr>
              <w:t>Paragraph</w:t>
            </w:r>
          </w:p>
        </w:tc>
        <w:tc>
          <w:tcPr>
            <w:tcW w:w="4007" w:type="dxa"/>
            <w:tcBorders/>
          </w:tcPr>
          <w:p>
            <w:pPr>
              <w:pStyle w:val="TAH"/>
              <w:rPr>
                <w:lang w:eastAsia="en-US"/>
              </w:rPr>
            </w:pPr>
            <w:r>
              <w:rPr>
                <w:lang w:eastAsia="en-US"/>
              </w:rPr>
              <w:t>Title</w:t>
            </w:r>
          </w:p>
        </w:tc>
      </w:tr>
      <w:tr>
        <w:trPr/>
        <w:tc>
          <w:tcPr>
            <w:tcW w:w="1207" w:type="dxa"/>
            <w:tcBorders/>
          </w:tcPr>
          <w:p>
            <w:pPr>
              <w:pStyle w:val="TAC"/>
              <w:rPr>
                <w:lang w:val="en-GB"/>
              </w:rPr>
            </w:pPr>
            <w:r>
              <w:rPr>
                <w:lang w:val="en-GB"/>
              </w:rPr>
              <w:t>2</w:t>
            </w:r>
          </w:p>
        </w:tc>
        <w:tc>
          <w:tcPr>
            <w:tcW w:w="4007" w:type="dxa"/>
            <w:tcBorders/>
          </w:tcPr>
          <w:p>
            <w:pPr>
              <w:pStyle w:val="TAL"/>
              <w:rPr>
                <w:lang w:val="en-GB"/>
              </w:rPr>
            </w:pPr>
            <w:r>
              <w:rPr>
                <w:lang w:val="en-GB"/>
              </w:rPr>
              <w:t>Frequency bands and channel arrangement</w:t>
            </w:r>
          </w:p>
        </w:tc>
      </w:tr>
      <w:tr>
        <w:trPr/>
        <w:tc>
          <w:tcPr>
            <w:tcW w:w="1207" w:type="dxa"/>
            <w:tcBorders/>
          </w:tcPr>
          <w:p>
            <w:pPr>
              <w:pStyle w:val="TAC"/>
              <w:rPr>
                <w:lang w:val="en-GB"/>
              </w:rPr>
            </w:pPr>
            <w:r>
              <w:rPr>
                <w:lang w:val="en-GB"/>
              </w:rPr>
              <w:t>4.1</w:t>
            </w:r>
          </w:p>
        </w:tc>
        <w:tc>
          <w:tcPr>
            <w:tcW w:w="4007" w:type="dxa"/>
            <w:tcBorders/>
          </w:tcPr>
          <w:p>
            <w:pPr>
              <w:pStyle w:val="TAL"/>
              <w:rPr/>
            </w:pPr>
            <w:r>
              <w:rPr>
                <w:lang w:val="en-GB"/>
              </w:rPr>
              <w:t>Output power</w:t>
            </w:r>
          </w:p>
        </w:tc>
      </w:tr>
      <w:tr>
        <w:trPr/>
        <w:tc>
          <w:tcPr>
            <w:tcW w:w="1207" w:type="dxa"/>
            <w:tcBorders/>
          </w:tcPr>
          <w:p>
            <w:pPr>
              <w:pStyle w:val="TAC"/>
              <w:rPr>
                <w:lang w:val="en-GB"/>
              </w:rPr>
            </w:pPr>
            <w:r>
              <w:rPr>
                <w:lang w:val="en-GB"/>
              </w:rPr>
              <w:t>6.1</w:t>
            </w:r>
          </w:p>
        </w:tc>
        <w:tc>
          <w:tcPr>
            <w:tcW w:w="4007" w:type="dxa"/>
            <w:tcBorders/>
          </w:tcPr>
          <w:p>
            <w:pPr>
              <w:pStyle w:val="TAL"/>
              <w:rPr>
                <w:lang w:val="en-GB"/>
              </w:rPr>
            </w:pPr>
            <w:r>
              <w:rPr>
                <w:lang w:val="en-GB"/>
              </w:rPr>
              <w:t>Nominal error rates (maximum receiver levels)</w:t>
            </w:r>
          </w:p>
        </w:tc>
      </w:tr>
      <w:tr>
        <w:trPr/>
        <w:tc>
          <w:tcPr>
            <w:tcW w:w="1207" w:type="dxa"/>
            <w:tcBorders/>
          </w:tcPr>
          <w:p>
            <w:pPr>
              <w:pStyle w:val="TAC"/>
              <w:rPr>
                <w:lang w:val="en-GB"/>
              </w:rPr>
            </w:pPr>
            <w:r>
              <w:rPr>
                <w:lang w:val="en-GB"/>
              </w:rPr>
              <w:t>6.2</w:t>
            </w:r>
          </w:p>
        </w:tc>
        <w:tc>
          <w:tcPr>
            <w:tcW w:w="4007" w:type="dxa"/>
            <w:tcBorders/>
          </w:tcPr>
          <w:p>
            <w:pPr>
              <w:pStyle w:val="TAL"/>
              <w:rPr>
                <w:lang w:val="en-GB"/>
              </w:rPr>
            </w:pPr>
            <w:r>
              <w:rPr>
                <w:lang w:val="en-GB"/>
              </w:rPr>
              <w:t>Reference sensitivity level</w:t>
            </w:r>
          </w:p>
        </w:tc>
      </w:tr>
    </w:tbl>
    <w:p>
      <w:pPr>
        <w:pStyle w:val="Normal"/>
        <w:rPr/>
      </w:pPr>
      <w:r>
        <w:rPr/>
      </w:r>
    </w:p>
    <w:p>
      <w:pPr>
        <w:pStyle w:val="Heading2"/>
        <w:rPr/>
      </w:pPr>
      <w:bookmarkStart w:id="97" w:name="__RefHeading___Toc518035531"/>
      <w:bookmarkEnd w:id="97"/>
      <w:r>
        <w:rPr/>
        <w:t>A.1.3</w:t>
        <w:tab/>
        <w:t>Inputs needed</w:t>
      </w:r>
    </w:p>
    <w:p>
      <w:pPr>
        <w:pStyle w:val="B1"/>
        <w:rPr/>
      </w:pPr>
      <w:r>
        <w:rPr/>
        <w:t>Working assumptions</w:t>
      </w:r>
    </w:p>
    <w:p>
      <w:pPr>
        <w:pStyle w:val="B1"/>
        <w:tabs>
          <w:tab w:val="clear" w:pos="284"/>
          <w:tab w:val="left" w:pos="4253" w:leader="none"/>
          <w:tab w:val="left" w:pos="6237" w:leader="none"/>
        </w:tabs>
        <w:rPr/>
      </w:pPr>
      <w:r>
        <w:rPr/>
        <w:tab/>
        <w:t>Propagation model</w:t>
        <w:tab/>
        <w:t>Hata model (down to 1 km)</w:t>
      </w:r>
    </w:p>
    <w:p>
      <w:pPr>
        <w:pStyle w:val="B1"/>
        <w:tabs>
          <w:tab w:val="clear" w:pos="284"/>
          <w:tab w:val="left" w:pos="4253" w:leader="none"/>
          <w:tab w:val="left" w:pos="6237" w:leader="none"/>
        </w:tabs>
        <w:rPr/>
      </w:pPr>
      <w:r>
        <w:rPr/>
        <w:tab/>
        <w:t>Free space (up to [200] m maximum)</w:t>
      </w:r>
    </w:p>
    <w:p>
      <w:pPr>
        <w:pStyle w:val="B1"/>
        <w:tabs>
          <w:tab w:val="clear" w:pos="284"/>
          <w:tab w:val="left" w:pos="4253" w:leader="none"/>
          <w:tab w:val="left" w:pos="6237" w:leader="none"/>
        </w:tabs>
        <w:rPr/>
      </w:pPr>
      <w:r>
        <w:rPr/>
        <w:tab/>
        <w:t>Log normal shadow margin</w:t>
        <w:tab/>
        <w:t>[6] dB</w:t>
      </w:r>
    </w:p>
    <w:p>
      <w:pPr>
        <w:pStyle w:val="B1"/>
        <w:tabs>
          <w:tab w:val="clear" w:pos="284"/>
          <w:tab w:val="left" w:pos="4253" w:leader="none"/>
          <w:tab w:val="left" w:pos="4395" w:leader="none"/>
          <w:tab w:val="left" w:pos="6237" w:leader="none"/>
        </w:tabs>
        <w:rPr/>
      </w:pPr>
      <w:r>
        <w:rPr/>
        <w:tab/>
        <w:t>Building penetration loss</w:t>
        <w:tab/>
        <w:t>-</w:t>
        <w:tab/>
        <w:t>urban</w:t>
        <w:tab/>
        <w:t>[15] dB</w:t>
      </w:r>
    </w:p>
    <w:p>
      <w:pPr>
        <w:pStyle w:val="B1"/>
        <w:tabs>
          <w:tab w:val="clear" w:pos="284"/>
          <w:tab w:val="left" w:pos="4253" w:leader="none"/>
          <w:tab w:val="left" w:pos="4395" w:leader="none"/>
          <w:tab w:val="left" w:pos="6237" w:leader="none"/>
        </w:tabs>
        <w:rPr/>
      </w:pPr>
      <w:r>
        <w:rPr/>
        <w:tab/>
      </w:r>
      <w:r>
        <w:rPr>
          <w:lang w:val="fr-FR"/>
        </w:rPr>
        <w:t>-</w:t>
        <w:tab/>
        <w:t>rural</w:t>
        <w:tab/>
        <w:t>[10] dB</w:t>
      </w:r>
    </w:p>
    <w:p>
      <w:pPr>
        <w:pStyle w:val="B1"/>
        <w:tabs>
          <w:tab w:val="clear" w:pos="284"/>
          <w:tab w:val="left" w:pos="4253" w:leader="none"/>
          <w:tab w:val="left" w:pos="6237" w:leader="none"/>
        </w:tabs>
        <w:rPr>
          <w:lang w:val="fr-FR"/>
        </w:rPr>
      </w:pPr>
      <w:r>
        <w:rPr>
          <w:lang w:val="fr-FR"/>
        </w:rPr>
        <w:tab/>
        <w:t>External noise (continuous and impulsive)</w:t>
        <w:tab/>
        <w:t>Negligible</w:t>
      </w:r>
    </w:p>
    <w:p>
      <w:pPr>
        <w:pStyle w:val="B1"/>
        <w:tabs>
          <w:tab w:val="clear" w:pos="284"/>
          <w:tab w:val="left" w:pos="4253" w:leader="none"/>
          <w:tab w:val="left" w:pos="6237" w:leader="none"/>
        </w:tabs>
        <w:rPr>
          <w:lang w:val="fr-FR"/>
        </w:rPr>
      </w:pPr>
      <w:r>
        <w:rPr>
          <w:lang w:val="fr-FR"/>
        </w:rPr>
        <w:tab/>
        <w:t>MS noise figure:</w:t>
        <w:tab/>
        <w:t>[12] dB</w:t>
      </w:r>
    </w:p>
    <w:p>
      <w:pPr>
        <w:pStyle w:val="B1"/>
        <w:tabs>
          <w:tab w:val="clear" w:pos="284"/>
          <w:tab w:val="left" w:pos="4253" w:leader="none"/>
          <w:tab w:val="left" w:pos="6237" w:leader="none"/>
        </w:tabs>
        <w:rPr>
          <w:lang w:val="fr-FR"/>
        </w:rPr>
      </w:pPr>
      <w:r>
        <w:rPr>
          <w:lang w:val="fr-FR"/>
        </w:rPr>
        <w:tab/>
        <w:t>BTS noise figure:</w:t>
        <w:tab/>
        <w:t>[8] dB</w:t>
      </w:r>
    </w:p>
    <w:p>
      <w:pPr>
        <w:pStyle w:val="B1"/>
        <w:tabs>
          <w:tab w:val="clear" w:pos="284"/>
          <w:tab w:val="left" w:pos="4253" w:leader="none"/>
          <w:tab w:val="left" w:pos="6237" w:leader="none"/>
        </w:tabs>
        <w:rPr/>
      </w:pPr>
      <w:r>
        <w:rPr>
          <w:lang w:val="fr-FR"/>
        </w:rPr>
        <w:tab/>
      </w:r>
      <w:r>
        <w:rPr/>
        <w:t>E</w:t>
      </w:r>
      <w:r>
        <w:rPr>
          <w:position w:val="-6"/>
        </w:rPr>
        <w:t>c</w:t>
      </w:r>
      <w:r>
        <w:rPr/>
        <w:t>/N</w:t>
      </w:r>
      <w:r>
        <w:rPr>
          <w:position w:val="-6"/>
        </w:rPr>
        <w:t>o:</w:t>
        <w:tab/>
      </w:r>
      <w:r>
        <w:rPr/>
        <w:t>6 dB + 2 dB (implementation margin)</w:t>
      </w:r>
    </w:p>
    <w:p>
      <w:pPr>
        <w:pStyle w:val="B1"/>
        <w:tabs>
          <w:tab w:val="clear" w:pos="284"/>
          <w:tab w:val="left" w:pos="4253" w:leader="none"/>
          <w:tab w:val="left" w:pos="6237" w:leader="none"/>
        </w:tabs>
        <w:rPr/>
      </w:pPr>
      <w:r>
        <w:rPr/>
        <w:tab/>
        <w:t>Location probability, P</w:t>
      </w:r>
      <w:r>
        <w:rPr>
          <w:position w:val="-6"/>
        </w:rPr>
        <w:t>s:</w:t>
      </w:r>
      <w:r>
        <w:rPr/>
        <w:tab/>
        <w:t>75% at cell boundary</w:t>
      </w:r>
    </w:p>
    <w:p>
      <w:pPr>
        <w:pStyle w:val="B1"/>
        <w:tabs>
          <w:tab w:val="clear" w:pos="284"/>
          <w:tab w:val="left" w:pos="4253" w:leader="none"/>
          <w:tab w:val="left" w:pos="6237" w:leader="none"/>
        </w:tabs>
        <w:rPr/>
      </w:pPr>
      <w:r>
        <w:rPr/>
        <w:tab/>
        <w:t>Implementation losses</w:t>
      </w:r>
    </w:p>
    <w:p>
      <w:pPr>
        <w:pStyle w:val="B1"/>
        <w:tabs>
          <w:tab w:val="clear" w:pos="284"/>
          <w:tab w:val="left" w:pos="4253" w:leader="none"/>
          <w:tab w:val="left" w:pos="6237" w:leader="none"/>
        </w:tabs>
        <w:rPr/>
      </w:pPr>
      <w:r>
        <w:rPr/>
        <w:tab/>
        <w:t>Body loss</w:t>
        <w:tab/>
        <w:t>[3] dB (typical)</w:t>
      </w:r>
    </w:p>
    <w:p>
      <w:pPr>
        <w:pStyle w:val="Heading1"/>
        <w:ind w:left="1134" w:hanging="1134"/>
        <w:rPr/>
      </w:pPr>
      <w:bookmarkStart w:id="98" w:name="__RefHeading___Toc518035532"/>
      <w:bookmarkEnd w:id="98"/>
      <w:r>
        <w:rPr/>
        <w:t>A.2</w:t>
        <w:tab/>
        <w:t>SCENARIO 2 - MULTIPLE MS AND BTS, COORDINATED</w:t>
      </w:r>
    </w:p>
    <w:p>
      <w:pPr>
        <w:pStyle w:val="Normal"/>
        <w:rPr/>
      </w:pPr>
      <w:r>
        <w:rPr/>
        <w:t>Coordinated operation is assumed ie BTS's belong to same PLMN.  Colocated MS's and colocated BTS's are dealt with in Scenarios 4 and 5, respectively.</w:t>
      </w:r>
    </w:p>
    <w:p>
      <w:pPr>
        <w:pStyle w:val="Heading2"/>
        <w:rPr/>
      </w:pPr>
      <w:bookmarkStart w:id="99" w:name="__RefHeading___Toc518035533"/>
      <w:bookmarkEnd w:id="99"/>
      <w:r>
        <w:rPr/>
        <w:t>A.2.1</w:t>
        <w:tab/>
        <w:t>Constraints</w:t>
      </w:r>
    </w:p>
    <w:p>
      <w:pPr>
        <w:pStyle w:val="Normal"/>
        <w:rPr/>
      </w:pPr>
      <w:r>
        <w:rPr/>
        <w:t>The constraints are the same as those for scenario 1.</w:t>
      </w:r>
    </w:p>
    <w:p>
      <w:pPr>
        <w:pStyle w:val="TH"/>
        <w:rPr/>
      </w:pPr>
      <w:r>
        <w:rPr/>
        <w:t>A.2.2</w:t>
        <w:tab/>
        <w:t>05.05 paragraphs affected</w:t>
      </w:r>
    </w:p>
    <w:tbl>
      <w:tblPr>
        <w:tblW w:w="7458" w:type="dxa"/>
        <w:jc w:val="center"/>
        <w:tblInd w:w="0" w:type="dxa"/>
        <w:tblLayout w:type="fixed"/>
        <w:tblCellMar>
          <w:top w:w="0" w:type="dxa"/>
          <w:left w:w="108" w:type="dxa"/>
          <w:bottom w:w="0" w:type="dxa"/>
          <w:right w:w="108" w:type="dxa"/>
        </w:tblCellMar>
      </w:tblPr>
      <w:tblGrid>
        <w:gridCol w:w="2376"/>
        <w:gridCol w:w="5082"/>
      </w:tblGrid>
      <w:tr>
        <w:trPr/>
        <w:tc>
          <w:tcPr>
            <w:tcW w:w="2376" w:type="dxa"/>
            <w:tcBorders/>
          </w:tcPr>
          <w:p>
            <w:pPr>
              <w:pStyle w:val="TAH"/>
              <w:rPr>
                <w:lang w:eastAsia="en-US"/>
              </w:rPr>
            </w:pPr>
            <w:r>
              <w:rPr>
                <w:lang w:eastAsia="en-US"/>
              </w:rPr>
              <w:t>Paragraph</w:t>
            </w:r>
          </w:p>
        </w:tc>
        <w:tc>
          <w:tcPr>
            <w:tcW w:w="5082" w:type="dxa"/>
            <w:tcBorders/>
          </w:tcPr>
          <w:p>
            <w:pPr>
              <w:pStyle w:val="TAH"/>
              <w:rPr>
                <w:lang w:eastAsia="en-US"/>
              </w:rPr>
            </w:pPr>
            <w:r>
              <w:rPr>
                <w:lang w:eastAsia="en-US"/>
              </w:rPr>
              <w:t>Title</w:t>
            </w:r>
          </w:p>
        </w:tc>
      </w:tr>
      <w:tr>
        <w:trPr/>
        <w:tc>
          <w:tcPr>
            <w:tcW w:w="2376" w:type="dxa"/>
            <w:tcBorders/>
          </w:tcPr>
          <w:p>
            <w:pPr>
              <w:pStyle w:val="TAC"/>
              <w:rPr>
                <w:lang w:val="en-GB"/>
              </w:rPr>
            </w:pPr>
            <w:r>
              <w:rPr>
                <w:lang w:val="en-GB"/>
              </w:rPr>
              <w:t>4.1</w:t>
            </w:r>
          </w:p>
        </w:tc>
        <w:tc>
          <w:tcPr>
            <w:tcW w:w="5082" w:type="dxa"/>
            <w:tcBorders/>
          </w:tcPr>
          <w:p>
            <w:pPr>
              <w:pStyle w:val="TAL"/>
              <w:rPr>
                <w:lang w:val="en-GB"/>
              </w:rPr>
            </w:pPr>
            <w:r>
              <w:rPr>
                <w:lang w:val="en-GB"/>
              </w:rPr>
              <w:t>Adaptive power control:</w:t>
            </w:r>
          </w:p>
          <w:p>
            <w:pPr>
              <w:pStyle w:val="TAL"/>
              <w:ind w:left="459" w:hanging="284"/>
              <w:rPr>
                <w:lang w:val="en-GB"/>
              </w:rPr>
            </w:pPr>
            <w:r>
              <w:rPr>
                <w:lang w:val="en-GB"/>
              </w:rPr>
              <w:t>-</w:t>
              <w:tab/>
              <w:t>reduces co- and adjacent- channel interference.</w:t>
            </w:r>
          </w:p>
          <w:p>
            <w:pPr>
              <w:pStyle w:val="TAL"/>
              <w:ind w:left="459" w:hanging="284"/>
              <w:rPr>
                <w:lang w:val="en-GB"/>
              </w:rPr>
            </w:pPr>
            <w:r>
              <w:rPr>
                <w:lang w:val="en-GB"/>
              </w:rPr>
              <w:t>-</w:t>
              <w:tab/>
              <w:t>controls near/far effect for multiple MS's to same BTS.</w:t>
            </w:r>
          </w:p>
        </w:tc>
      </w:tr>
      <w:tr>
        <w:trPr/>
        <w:tc>
          <w:tcPr>
            <w:tcW w:w="2376" w:type="dxa"/>
            <w:tcBorders/>
          </w:tcPr>
          <w:p>
            <w:pPr>
              <w:pStyle w:val="TAC"/>
              <w:rPr>
                <w:lang w:val="en-GB"/>
              </w:rPr>
            </w:pPr>
            <w:r>
              <w:rPr>
                <w:lang w:val="en-GB"/>
              </w:rPr>
              <w:t>4.2</w:t>
            </w:r>
          </w:p>
        </w:tc>
        <w:tc>
          <w:tcPr>
            <w:tcW w:w="5082" w:type="dxa"/>
            <w:tcBorders/>
          </w:tcPr>
          <w:p>
            <w:pPr>
              <w:pStyle w:val="TAL"/>
              <w:rPr/>
            </w:pPr>
            <w:r>
              <w:rPr>
                <w:lang w:val="en-GB"/>
              </w:rPr>
              <w:t>Output RF spectrum:</w:t>
            </w:r>
          </w:p>
          <w:p>
            <w:pPr>
              <w:pStyle w:val="TAL"/>
              <w:ind w:left="459" w:hanging="283"/>
              <w:rPr>
                <w:lang w:val="en-GB"/>
              </w:rPr>
            </w:pPr>
            <w:r>
              <w:rPr>
                <w:lang w:val="en-GB"/>
              </w:rPr>
              <w:t>-</w:t>
              <w:tab/>
              <w:t>to limit adjacent channel interference.</w:t>
            </w:r>
          </w:p>
        </w:tc>
      </w:tr>
      <w:tr>
        <w:trPr/>
        <w:tc>
          <w:tcPr>
            <w:tcW w:w="2376" w:type="dxa"/>
            <w:tcBorders/>
          </w:tcPr>
          <w:p>
            <w:pPr>
              <w:pStyle w:val="TAC"/>
              <w:rPr>
                <w:lang w:val="en-GB"/>
              </w:rPr>
            </w:pPr>
            <w:r>
              <w:rPr>
                <w:lang w:val="en-GB"/>
              </w:rPr>
              <w:t>4.3</w:t>
            </w:r>
          </w:p>
        </w:tc>
        <w:tc>
          <w:tcPr>
            <w:tcW w:w="5082" w:type="dxa"/>
            <w:tcBorders/>
          </w:tcPr>
          <w:p>
            <w:pPr>
              <w:pStyle w:val="TAL"/>
              <w:rPr>
                <w:lang w:val="en-GB"/>
              </w:rPr>
            </w:pPr>
            <w:r>
              <w:rPr>
                <w:lang w:val="en-GB"/>
              </w:rPr>
              <w:t>Spurious emissions (in-band):</w:t>
            </w:r>
          </w:p>
          <w:p>
            <w:pPr>
              <w:pStyle w:val="TAL"/>
              <w:ind w:left="459" w:hanging="283"/>
              <w:rPr>
                <w:lang w:val="en-GB"/>
              </w:rPr>
            </w:pPr>
            <w:r>
              <w:rPr>
                <w:lang w:val="en-GB"/>
              </w:rPr>
              <w:t>-</w:t>
              <w:tab/>
              <w:t>near/far effect to same BTS.</w:t>
            </w:r>
          </w:p>
          <w:p>
            <w:pPr>
              <w:pStyle w:val="TAL"/>
              <w:ind w:left="459" w:hanging="283"/>
              <w:rPr>
                <w:lang w:val="en-GB"/>
              </w:rPr>
            </w:pPr>
            <w:r>
              <w:rPr>
                <w:lang w:val="en-GB"/>
              </w:rPr>
              <w:t>-</w:t>
              <w:tab/>
              <w:t>see figure 2.1.</w:t>
            </w:r>
          </w:p>
        </w:tc>
      </w:tr>
      <w:tr>
        <w:trPr/>
        <w:tc>
          <w:tcPr>
            <w:tcW w:w="2376" w:type="dxa"/>
            <w:tcBorders/>
          </w:tcPr>
          <w:p>
            <w:pPr>
              <w:pStyle w:val="TAC"/>
              <w:rPr>
                <w:lang w:val="en-GB"/>
              </w:rPr>
            </w:pPr>
            <w:r>
              <w:rPr>
                <w:lang w:val="en-GB"/>
              </w:rPr>
              <w:t>4.5</w:t>
            </w:r>
          </w:p>
        </w:tc>
        <w:tc>
          <w:tcPr>
            <w:tcW w:w="5082" w:type="dxa"/>
            <w:tcBorders/>
          </w:tcPr>
          <w:p>
            <w:pPr>
              <w:pStyle w:val="TAL"/>
              <w:rPr>
                <w:lang w:val="en-GB"/>
              </w:rPr>
            </w:pPr>
            <w:r>
              <w:rPr>
                <w:lang w:val="en-GB"/>
              </w:rPr>
              <w:t>Output level dynamic operation:</w:t>
            </w:r>
          </w:p>
          <w:p>
            <w:pPr>
              <w:pStyle w:val="TAL"/>
              <w:ind w:left="459" w:hanging="283"/>
              <w:rPr>
                <w:lang w:val="en-GB"/>
              </w:rPr>
            </w:pPr>
            <w:r>
              <w:rPr>
                <w:lang w:val="en-GB"/>
              </w:rPr>
              <w:t>-</w:t>
              <w:tab/>
              <w:t>near/far effect to same BTS.</w:t>
            </w:r>
          </w:p>
          <w:p>
            <w:pPr>
              <w:pStyle w:val="TAL"/>
              <w:ind w:left="459" w:hanging="283"/>
              <w:rPr>
                <w:lang w:val="en-GB"/>
              </w:rPr>
            </w:pPr>
            <w:r>
              <w:rPr>
                <w:lang w:val="en-GB"/>
              </w:rPr>
              <w:t>-</w:t>
              <w:tab/>
              <w:t>required limits comparable with spurious.</w:t>
            </w:r>
          </w:p>
        </w:tc>
      </w:tr>
      <w:tr>
        <w:trPr/>
        <w:tc>
          <w:tcPr>
            <w:tcW w:w="2376" w:type="dxa"/>
            <w:tcBorders/>
          </w:tcPr>
          <w:p>
            <w:pPr>
              <w:pStyle w:val="TAC"/>
              <w:rPr/>
            </w:pPr>
            <w:r>
              <w:rPr>
                <w:lang w:val="en-GB"/>
              </w:rPr>
              <w:t>4.7.1</w:t>
            </w:r>
          </w:p>
        </w:tc>
        <w:tc>
          <w:tcPr>
            <w:tcW w:w="5082" w:type="dxa"/>
            <w:tcBorders/>
          </w:tcPr>
          <w:p>
            <w:pPr>
              <w:pStyle w:val="TAL"/>
              <w:rPr>
                <w:lang w:val="en-GB"/>
              </w:rPr>
            </w:pPr>
            <w:r>
              <w:rPr>
                <w:lang w:val="en-GB"/>
              </w:rPr>
              <w:t>Intermodulation attenuation, BTS</w:t>
            </w:r>
          </w:p>
          <w:p>
            <w:pPr>
              <w:pStyle w:val="TAL"/>
              <w:ind w:left="459" w:hanging="283"/>
              <w:rPr>
                <w:lang w:val="en-GB"/>
              </w:rPr>
            </w:pPr>
            <w:r>
              <w:rPr>
                <w:lang w:val="en-GB"/>
              </w:rPr>
              <w:t>-</w:t>
              <w:tab/>
              <w:t>see figure 2.2.</w:t>
            </w:r>
          </w:p>
        </w:tc>
      </w:tr>
      <w:tr>
        <w:trPr/>
        <w:tc>
          <w:tcPr>
            <w:tcW w:w="2376" w:type="dxa"/>
            <w:tcBorders/>
          </w:tcPr>
          <w:p>
            <w:pPr>
              <w:pStyle w:val="TAC"/>
              <w:rPr>
                <w:lang w:val="en-GB"/>
              </w:rPr>
            </w:pPr>
            <w:r>
              <w:rPr>
                <w:lang w:val="en-GB"/>
              </w:rPr>
              <w:t>4.7.2</w:t>
            </w:r>
          </w:p>
        </w:tc>
        <w:tc>
          <w:tcPr>
            <w:tcW w:w="5082" w:type="dxa"/>
            <w:tcBorders/>
          </w:tcPr>
          <w:p>
            <w:pPr>
              <w:pStyle w:val="TAL"/>
              <w:rPr>
                <w:lang w:val="en-GB"/>
              </w:rPr>
            </w:pPr>
            <w:r>
              <w:rPr>
                <w:lang w:val="en-GB"/>
              </w:rPr>
              <w:t>Intra BTS intermodulation attenuation:</w:t>
            </w:r>
          </w:p>
          <w:p>
            <w:pPr>
              <w:pStyle w:val="TAL"/>
              <w:ind w:left="459" w:hanging="283"/>
              <w:rPr>
                <w:lang w:val="en-GB"/>
              </w:rPr>
            </w:pPr>
            <w:r>
              <w:rPr>
                <w:lang w:val="en-GB"/>
              </w:rPr>
              <w:t>-</w:t>
              <w:tab/>
              <w:t>see figure 2.3.</w:t>
            </w:r>
          </w:p>
        </w:tc>
      </w:tr>
      <w:tr>
        <w:trPr/>
        <w:tc>
          <w:tcPr>
            <w:tcW w:w="2376" w:type="dxa"/>
            <w:tcBorders/>
          </w:tcPr>
          <w:p>
            <w:pPr>
              <w:pStyle w:val="TAC"/>
              <w:rPr>
                <w:lang w:val="en-GB"/>
              </w:rPr>
            </w:pPr>
            <w:r>
              <w:rPr>
                <w:lang w:val="en-GB"/>
              </w:rPr>
              <w:t>5.1</w:t>
            </w:r>
          </w:p>
        </w:tc>
        <w:tc>
          <w:tcPr>
            <w:tcW w:w="5082" w:type="dxa"/>
            <w:tcBorders/>
          </w:tcPr>
          <w:p>
            <w:pPr>
              <w:pStyle w:val="TAL"/>
              <w:rPr>
                <w:lang w:val="en-GB"/>
              </w:rPr>
            </w:pPr>
            <w:r>
              <w:rPr>
                <w:lang w:val="en-GB"/>
              </w:rPr>
              <w:t>Blocking, in-band:</w:t>
            </w:r>
          </w:p>
          <w:p>
            <w:pPr>
              <w:pStyle w:val="TAL"/>
              <w:ind w:left="459" w:hanging="283"/>
              <w:rPr>
                <w:lang w:val="en-GB"/>
              </w:rPr>
            </w:pPr>
            <w:r>
              <w:rPr>
                <w:lang w:val="en-GB"/>
              </w:rPr>
              <w:t>-</w:t>
              <w:tab/>
              <w:t>near/far effect.</w:t>
            </w:r>
          </w:p>
        </w:tc>
      </w:tr>
      <w:tr>
        <w:trPr/>
        <w:tc>
          <w:tcPr>
            <w:tcW w:w="2376" w:type="dxa"/>
            <w:tcBorders/>
          </w:tcPr>
          <w:p>
            <w:pPr>
              <w:pStyle w:val="TAC"/>
              <w:rPr>
                <w:lang w:val="en-GB"/>
              </w:rPr>
            </w:pPr>
            <w:r>
              <w:rPr>
                <w:lang w:val="en-GB"/>
              </w:rPr>
              <w:t>6.3</w:t>
            </w:r>
          </w:p>
        </w:tc>
        <w:tc>
          <w:tcPr>
            <w:tcW w:w="5082" w:type="dxa"/>
            <w:tcBorders/>
          </w:tcPr>
          <w:p>
            <w:pPr>
              <w:pStyle w:val="TAL"/>
              <w:rPr>
                <w:lang w:val="en-GB"/>
              </w:rPr>
            </w:pPr>
            <w:r>
              <w:rPr>
                <w:lang w:val="en-GB"/>
              </w:rPr>
              <w:t>Reference interference level</w:t>
            </w:r>
          </w:p>
        </w:tc>
      </w:tr>
    </w:tbl>
    <w:p>
      <w:pPr>
        <w:pStyle w:val="FP"/>
        <w:rPr/>
      </w:pPr>
      <w:r>
        <w:rPr/>
      </w:r>
    </w:p>
    <w:p>
      <w:pPr>
        <w:pStyle w:val="Heading2"/>
        <w:rPr/>
      </w:pPr>
      <w:bookmarkStart w:id="100" w:name="__RefHeading___Toc518035534"/>
      <w:bookmarkEnd w:id="100"/>
      <w:r>
        <w:rPr/>
        <w:t>A.2.3</w:t>
        <w:tab/>
        <w:t>Inputs needed</w:t>
      </w:r>
    </w:p>
    <w:p>
      <w:pPr>
        <w:pStyle w:val="B1"/>
        <w:tabs>
          <w:tab w:val="clear" w:pos="284"/>
          <w:tab w:val="left" w:pos="2552" w:leader="none"/>
        </w:tabs>
        <w:rPr/>
      </w:pPr>
      <w:r>
        <w:rPr/>
        <w:tab/>
        <w:t>Target Cluster size</w:t>
        <w:tab/>
        <w:t>Assume 9 cell, i.e. 3 site, 120° sectored.</w:t>
      </w:r>
    </w:p>
    <w:p>
      <w:pPr>
        <w:pStyle w:val="TH"/>
        <w:rPr/>
      </w:pPr>
      <w:r>
        <w:rPr/>
        <w:drawing>
          <wp:inline distT="0" distB="0" distL="0" distR="0">
            <wp:extent cx="2908935" cy="853440"/>
            <wp:effectExtent l="0" t="0" r="0" b="0"/>
            <wp:docPr id="33"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7" descr=""/>
                    <pic:cNvPicPr>
                      <a:picLocks noChangeAspect="1" noChangeArrowheads="1"/>
                    </pic:cNvPicPr>
                  </pic:nvPicPr>
                  <pic:blipFill>
                    <a:blip r:embed="rId27"/>
                    <a:srcRect l="-16" t="-54" r="-16" b="-54"/>
                    <a:stretch>
                      <a:fillRect/>
                    </a:stretch>
                  </pic:blipFill>
                  <pic:spPr bwMode="auto">
                    <a:xfrm>
                      <a:off x="0" y="0"/>
                      <a:ext cx="2908935" cy="853440"/>
                    </a:xfrm>
                    <a:prstGeom prst="rect">
                      <a:avLst/>
                    </a:prstGeom>
                  </pic:spPr>
                </pic:pic>
              </a:graphicData>
            </a:graphic>
          </wp:inline>
        </w:drawing>
      </w:r>
    </w:p>
    <w:p>
      <w:pPr>
        <w:pStyle w:val="TF"/>
        <w:rPr/>
      </w:pPr>
      <w:r>
        <w:rPr/>
        <w:t>Figure 2.1: Near/far effect</w:t>
      </w:r>
    </w:p>
    <w:p>
      <w:pPr>
        <w:pStyle w:val="NF"/>
        <w:rPr/>
      </w:pPr>
      <w:r>
        <w:rPr/>
      </w:r>
    </w:p>
    <w:p>
      <w:pPr>
        <w:pStyle w:val="TH"/>
        <w:rPr/>
      </w:pPr>
      <w:r>
        <w:rPr/>
        <w:drawing>
          <wp:inline distT="0" distB="0" distL="0" distR="0">
            <wp:extent cx="4281170" cy="1958340"/>
            <wp:effectExtent l="0" t="0" r="0" b="0"/>
            <wp:docPr id="34"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8" descr=""/>
                    <pic:cNvPicPr>
                      <a:picLocks noChangeAspect="1" noChangeArrowheads="1"/>
                    </pic:cNvPicPr>
                  </pic:nvPicPr>
                  <pic:blipFill>
                    <a:blip r:embed="rId28"/>
                    <a:srcRect l="-11" t="-23" r="-11" b="-23"/>
                    <a:stretch>
                      <a:fillRect/>
                    </a:stretch>
                  </pic:blipFill>
                  <pic:spPr bwMode="auto">
                    <a:xfrm>
                      <a:off x="0" y="0"/>
                      <a:ext cx="4281170" cy="1958340"/>
                    </a:xfrm>
                    <a:prstGeom prst="rect">
                      <a:avLst/>
                    </a:prstGeom>
                  </pic:spPr>
                </pic:pic>
              </a:graphicData>
            </a:graphic>
          </wp:inline>
        </w:drawing>
      </w:r>
    </w:p>
    <w:p>
      <w:pPr>
        <w:pStyle w:val="NF"/>
        <w:rPr/>
      </w:pPr>
      <w:r>
        <w:rPr/>
        <w:tab/>
        <w:t>3 cell, 120° sectored BTS;</w:t>
      </w:r>
    </w:p>
    <w:p>
      <w:pPr>
        <w:pStyle w:val="NF"/>
        <w:rPr/>
      </w:pPr>
      <w:r>
        <w:rPr/>
        <w:tab/>
        <w:t>400 kHz channel separation between;</w:t>
      </w:r>
    </w:p>
    <w:p>
      <w:pPr>
        <w:pStyle w:val="NF"/>
        <w:rPr/>
      </w:pPr>
      <w:r>
        <w:rPr/>
        <w:tab/>
        <w:t>sectors;</w:t>
      </w:r>
    </w:p>
    <w:p>
      <w:pPr>
        <w:pStyle w:val="NF"/>
        <w:rPr/>
      </w:pPr>
      <w:r>
        <w:rPr/>
        <w:tab/>
        <w:t>30 dB BTS transmitter/receiver coupling; or</w:t>
      </w:r>
    </w:p>
    <w:p>
      <w:pPr>
        <w:pStyle w:val="NF"/>
        <w:rPr/>
      </w:pPr>
      <w:r>
        <w:rPr/>
        <w:tab/>
        <w:t>transmitter/transmitter coupling.</w:t>
      </w:r>
    </w:p>
    <w:p>
      <w:pPr>
        <w:pStyle w:val="NF"/>
        <w:rPr/>
      </w:pPr>
      <w:r>
        <w:rPr/>
      </w:r>
    </w:p>
    <w:p>
      <w:pPr>
        <w:pStyle w:val="TF"/>
        <w:rPr/>
      </w:pPr>
      <w:r>
        <w:rPr/>
        <w:t>Figure 2.2: Scenario for Intermodulation distortion</w:t>
      </w:r>
    </w:p>
    <w:p>
      <w:pPr>
        <w:pStyle w:val="NF"/>
        <w:rPr/>
      </w:pPr>
      <w:r>
        <w:rPr/>
      </w:r>
    </w:p>
    <w:p>
      <w:pPr>
        <w:pStyle w:val="TH"/>
        <w:rPr/>
      </w:pPr>
      <w:r>
        <w:rPr/>
        <w:tab/>
      </w:r>
      <w:r>
        <w:rPr/>
        <w:drawing>
          <wp:inline distT="0" distB="0" distL="0" distR="0">
            <wp:extent cx="3391535" cy="1425575"/>
            <wp:effectExtent l="0" t="0" r="0" b="0"/>
            <wp:docPr id="35"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9" descr=""/>
                    <pic:cNvPicPr>
                      <a:picLocks noChangeAspect="1" noChangeArrowheads="1"/>
                    </pic:cNvPicPr>
                  </pic:nvPicPr>
                  <pic:blipFill>
                    <a:blip r:embed="rId29"/>
                    <a:srcRect l="-14" t="-32" r="-14" b="-32"/>
                    <a:stretch>
                      <a:fillRect/>
                    </a:stretch>
                  </pic:blipFill>
                  <pic:spPr bwMode="auto">
                    <a:xfrm>
                      <a:off x="0" y="0"/>
                      <a:ext cx="3391535" cy="1425575"/>
                    </a:xfrm>
                    <a:prstGeom prst="rect">
                      <a:avLst/>
                    </a:prstGeom>
                  </pic:spPr>
                </pic:pic>
              </a:graphicData>
            </a:graphic>
          </wp:inline>
        </w:drawing>
      </w:r>
    </w:p>
    <w:p>
      <w:pPr>
        <w:pStyle w:val="TF"/>
        <w:rPr>
          <w:lang w:val="en-US"/>
        </w:rPr>
      </w:pPr>
      <w:r>
        <w:rPr>
          <w:lang w:val="en-US"/>
        </w:rPr>
        <w:t>Figure 2.3: Intra BTS intermodulation attenuation</w:t>
      </w:r>
    </w:p>
    <w:p>
      <w:pPr>
        <w:pStyle w:val="Heading1"/>
        <w:ind w:left="1134" w:hanging="1134"/>
        <w:rPr/>
      </w:pPr>
      <w:bookmarkStart w:id="101" w:name="__RefHeading___Toc518035535"/>
      <w:bookmarkEnd w:id="101"/>
      <w:r>
        <w:rPr/>
        <w:t>A.3</w:t>
        <w:tab/>
        <w:t>SCENARIO 3 - MULTIPLE MS AND BTS, UNCOORDINATED</w:t>
      </w:r>
    </w:p>
    <w:p>
      <w:pPr>
        <w:pStyle w:val="Normal"/>
        <w:rPr/>
      </w:pPr>
      <w:r>
        <w:rPr/>
        <w:t>BTS's and MS's may belong to different DCS1800 networks.</w:t>
      </w:r>
    </w:p>
    <w:p>
      <w:pPr>
        <w:pStyle w:val="Heading2"/>
        <w:rPr/>
      </w:pPr>
      <w:bookmarkStart w:id="102" w:name="__RefHeading___Toc518035536"/>
      <w:bookmarkEnd w:id="102"/>
      <w:r>
        <w:rPr/>
        <w:t>A.3.1</w:t>
        <w:tab/>
        <w:t>Constraints</w:t>
      </w:r>
    </w:p>
    <w:p>
      <w:pPr>
        <w:pStyle w:val="Normal"/>
        <w:rPr/>
      </w:pPr>
      <w:r>
        <w:rPr/>
        <w:t>The constraints are as in scenario 2 except that the MS's and BTS's belong to different PLMNS's and their operation is uncoordinated.</w:t>
      </w:r>
    </w:p>
    <w:p>
      <w:pPr>
        <w:pStyle w:val="TH"/>
        <w:rPr/>
      </w:pPr>
      <w:r>
        <w:rPr/>
        <w:t>A.3.2</w:t>
        <w:tab/>
        <w:t>05.05 paragraphs affected</w:t>
      </w:r>
    </w:p>
    <w:tbl>
      <w:tblPr>
        <w:tblW w:w="5442" w:type="dxa"/>
        <w:jc w:val="center"/>
        <w:tblInd w:w="0" w:type="dxa"/>
        <w:tblLayout w:type="fixed"/>
        <w:tblCellMar>
          <w:top w:w="0" w:type="dxa"/>
          <w:left w:w="108" w:type="dxa"/>
          <w:bottom w:w="0" w:type="dxa"/>
          <w:right w:w="108" w:type="dxa"/>
        </w:tblCellMar>
      </w:tblPr>
      <w:tblGrid>
        <w:gridCol w:w="1207"/>
        <w:gridCol w:w="4235"/>
      </w:tblGrid>
      <w:tr>
        <w:trPr/>
        <w:tc>
          <w:tcPr>
            <w:tcW w:w="1207" w:type="dxa"/>
            <w:tcBorders/>
          </w:tcPr>
          <w:p>
            <w:pPr>
              <w:pStyle w:val="TAH"/>
              <w:rPr>
                <w:lang w:eastAsia="en-US"/>
              </w:rPr>
            </w:pPr>
            <w:r>
              <w:rPr>
                <w:lang w:eastAsia="en-US"/>
              </w:rPr>
              <w:t>Paragraph</w:t>
            </w:r>
          </w:p>
        </w:tc>
        <w:tc>
          <w:tcPr>
            <w:tcW w:w="4235" w:type="dxa"/>
            <w:tcBorders/>
          </w:tcPr>
          <w:p>
            <w:pPr>
              <w:pStyle w:val="TAH"/>
              <w:rPr>
                <w:lang w:eastAsia="en-US"/>
              </w:rPr>
            </w:pPr>
            <w:r>
              <w:rPr>
                <w:lang w:eastAsia="en-US"/>
              </w:rPr>
              <w:t>Title</w:t>
            </w:r>
          </w:p>
        </w:tc>
      </w:tr>
      <w:tr>
        <w:trPr/>
        <w:tc>
          <w:tcPr>
            <w:tcW w:w="1207" w:type="dxa"/>
            <w:tcBorders/>
          </w:tcPr>
          <w:p>
            <w:pPr>
              <w:pStyle w:val="TAC"/>
              <w:rPr>
                <w:lang w:val="en-GB"/>
              </w:rPr>
            </w:pPr>
            <w:r>
              <w:rPr>
                <w:lang w:val="en-GB"/>
              </w:rPr>
              <w:t>4.2</w:t>
            </w:r>
          </w:p>
        </w:tc>
        <w:tc>
          <w:tcPr>
            <w:tcW w:w="4235" w:type="dxa"/>
            <w:tcBorders/>
          </w:tcPr>
          <w:p>
            <w:pPr>
              <w:pStyle w:val="TAL"/>
              <w:rPr>
                <w:lang w:val="en-GB"/>
              </w:rPr>
            </w:pPr>
            <w:r>
              <w:rPr>
                <w:lang w:val="en-GB"/>
              </w:rPr>
              <w:t>Output RF spectrum</w:t>
            </w:r>
          </w:p>
        </w:tc>
      </w:tr>
      <w:tr>
        <w:trPr/>
        <w:tc>
          <w:tcPr>
            <w:tcW w:w="1207" w:type="dxa"/>
            <w:tcBorders/>
          </w:tcPr>
          <w:p>
            <w:pPr>
              <w:pStyle w:val="TAC"/>
              <w:rPr>
                <w:lang w:val="en-GB"/>
              </w:rPr>
            </w:pPr>
            <w:r>
              <w:rPr>
                <w:lang w:val="en-GB"/>
              </w:rPr>
              <w:t>4.3</w:t>
            </w:r>
          </w:p>
        </w:tc>
        <w:tc>
          <w:tcPr>
            <w:tcW w:w="4235" w:type="dxa"/>
            <w:tcBorders/>
          </w:tcPr>
          <w:p>
            <w:pPr>
              <w:pStyle w:val="TAL"/>
              <w:rPr>
                <w:lang w:val="en-GB"/>
              </w:rPr>
            </w:pPr>
            <w:r>
              <w:rPr>
                <w:lang w:val="en-GB"/>
              </w:rPr>
              <w:t>Spurious emissions (in-band, up and down links):</w:t>
            </w:r>
          </w:p>
          <w:p>
            <w:pPr>
              <w:pStyle w:val="TAL"/>
              <w:ind w:left="494" w:hanging="283"/>
              <w:rPr>
                <w:lang w:val="en-GB"/>
              </w:rPr>
            </w:pPr>
            <w:r>
              <w:rPr>
                <w:lang w:val="en-GB"/>
              </w:rPr>
              <w:t>-</w:t>
              <w:tab/>
              <w:t>near/far effect to same BTS.</w:t>
            </w:r>
          </w:p>
          <w:p>
            <w:pPr>
              <w:pStyle w:val="TAL"/>
              <w:ind w:left="494" w:hanging="283"/>
              <w:rPr>
                <w:lang w:val="en-GB"/>
              </w:rPr>
            </w:pPr>
            <w:r>
              <w:rPr>
                <w:lang w:val="en-GB"/>
              </w:rPr>
              <w:t>-</w:t>
              <w:tab/>
              <w:t>see figure 3.1.</w:t>
            </w:r>
          </w:p>
        </w:tc>
      </w:tr>
      <w:tr>
        <w:trPr/>
        <w:tc>
          <w:tcPr>
            <w:tcW w:w="1207" w:type="dxa"/>
            <w:tcBorders/>
          </w:tcPr>
          <w:p>
            <w:pPr>
              <w:pStyle w:val="TAC"/>
              <w:rPr>
                <w:lang w:val="en-GB"/>
              </w:rPr>
            </w:pPr>
            <w:r>
              <w:rPr>
                <w:lang w:val="en-GB"/>
              </w:rPr>
              <w:t>4.5</w:t>
            </w:r>
          </w:p>
        </w:tc>
        <w:tc>
          <w:tcPr>
            <w:tcW w:w="4235" w:type="dxa"/>
            <w:tcBorders/>
          </w:tcPr>
          <w:p>
            <w:pPr>
              <w:pStyle w:val="TAL"/>
              <w:rPr/>
            </w:pPr>
            <w:r>
              <w:rPr>
                <w:lang w:val="en-GB"/>
              </w:rPr>
              <w:t>Output level dynamic operation:</w:t>
            </w:r>
          </w:p>
          <w:p>
            <w:pPr>
              <w:pStyle w:val="TAL"/>
              <w:ind w:left="494" w:hanging="283"/>
              <w:rPr>
                <w:lang w:val="en-GB"/>
              </w:rPr>
            </w:pPr>
            <w:r>
              <w:rPr>
                <w:lang w:val="en-GB"/>
              </w:rPr>
              <w:t>-</w:t>
              <w:tab/>
              <w:t>near/far effect to same BTS.</w:t>
            </w:r>
          </w:p>
        </w:tc>
      </w:tr>
      <w:tr>
        <w:trPr/>
        <w:tc>
          <w:tcPr>
            <w:tcW w:w="1207" w:type="dxa"/>
            <w:tcBorders/>
          </w:tcPr>
          <w:p>
            <w:pPr>
              <w:pStyle w:val="TAC"/>
              <w:rPr>
                <w:lang w:val="en-GB"/>
              </w:rPr>
            </w:pPr>
            <w:r>
              <w:rPr>
                <w:lang w:val="en-GB"/>
              </w:rPr>
              <w:t>4.7</w:t>
            </w:r>
          </w:p>
        </w:tc>
        <w:tc>
          <w:tcPr>
            <w:tcW w:w="4235" w:type="dxa"/>
            <w:tcBorders/>
          </w:tcPr>
          <w:p>
            <w:pPr>
              <w:pStyle w:val="TAL"/>
              <w:rPr>
                <w:lang w:val="en-GB"/>
              </w:rPr>
            </w:pPr>
            <w:r>
              <w:rPr>
                <w:lang w:val="en-GB"/>
              </w:rPr>
              <w:t>Intermodulation:</w:t>
            </w:r>
          </w:p>
          <w:p>
            <w:pPr>
              <w:pStyle w:val="TAL"/>
              <w:ind w:left="494" w:hanging="283"/>
              <w:rPr>
                <w:lang w:val="en-GB"/>
              </w:rPr>
            </w:pPr>
            <w:r>
              <w:rPr>
                <w:lang w:val="en-GB"/>
              </w:rPr>
              <w:t>-</w:t>
              <w:tab/>
              <w:t>see figure 3.2.</w:t>
            </w:r>
          </w:p>
        </w:tc>
      </w:tr>
      <w:tr>
        <w:trPr/>
        <w:tc>
          <w:tcPr>
            <w:tcW w:w="1207" w:type="dxa"/>
            <w:tcBorders/>
          </w:tcPr>
          <w:p>
            <w:pPr>
              <w:pStyle w:val="TAC"/>
              <w:rPr>
                <w:lang w:val="en-GB"/>
              </w:rPr>
            </w:pPr>
            <w:r>
              <w:rPr>
                <w:lang w:val="en-GB"/>
              </w:rPr>
              <w:t>5.1</w:t>
            </w:r>
          </w:p>
        </w:tc>
        <w:tc>
          <w:tcPr>
            <w:tcW w:w="4235" w:type="dxa"/>
            <w:tcBorders/>
          </w:tcPr>
          <w:p>
            <w:pPr>
              <w:pStyle w:val="TAL"/>
              <w:rPr>
                <w:lang w:val="en-GB"/>
              </w:rPr>
            </w:pPr>
            <w:r>
              <w:rPr>
                <w:lang w:val="en-GB"/>
              </w:rPr>
              <w:t>Blocking, in-band, up and down links:</w:t>
            </w:r>
          </w:p>
          <w:p>
            <w:pPr>
              <w:pStyle w:val="TAL"/>
              <w:ind w:left="494" w:hanging="283"/>
              <w:rPr>
                <w:lang w:val="en-GB"/>
              </w:rPr>
            </w:pPr>
            <w:r>
              <w:rPr>
                <w:lang w:val="en-GB"/>
              </w:rPr>
              <w:t>-</w:t>
              <w:tab/>
              <w:t>see figure 3.1.</w:t>
            </w:r>
          </w:p>
        </w:tc>
      </w:tr>
      <w:tr>
        <w:trPr/>
        <w:tc>
          <w:tcPr>
            <w:tcW w:w="1207" w:type="dxa"/>
            <w:tcBorders/>
          </w:tcPr>
          <w:p>
            <w:pPr>
              <w:pStyle w:val="TAC"/>
              <w:rPr>
                <w:lang w:val="en-GB"/>
              </w:rPr>
            </w:pPr>
            <w:r>
              <w:rPr>
                <w:lang w:val="en-GB"/>
              </w:rPr>
              <w:t>5.2</w:t>
            </w:r>
          </w:p>
        </w:tc>
        <w:tc>
          <w:tcPr>
            <w:tcW w:w="4235" w:type="dxa"/>
            <w:tcBorders/>
          </w:tcPr>
          <w:p>
            <w:pPr>
              <w:pStyle w:val="TAL"/>
              <w:rPr>
                <w:lang w:val="en-GB"/>
              </w:rPr>
            </w:pPr>
            <w:r>
              <w:rPr>
                <w:lang w:val="en-GB"/>
              </w:rPr>
              <w:t>Intermodulation, in-band:</w:t>
            </w:r>
          </w:p>
          <w:p>
            <w:pPr>
              <w:pStyle w:val="TAL"/>
              <w:ind w:left="494" w:hanging="283"/>
              <w:rPr>
                <w:lang w:val="en-GB"/>
              </w:rPr>
            </w:pPr>
            <w:r>
              <w:rPr>
                <w:lang w:val="en-GB"/>
              </w:rPr>
              <w:t>-</w:t>
              <w:tab/>
              <w:t>see figure 3.2.</w:t>
            </w:r>
          </w:p>
        </w:tc>
      </w:tr>
      <w:tr>
        <w:trPr/>
        <w:tc>
          <w:tcPr>
            <w:tcW w:w="1207" w:type="dxa"/>
            <w:tcBorders/>
          </w:tcPr>
          <w:p>
            <w:pPr>
              <w:pStyle w:val="TAC"/>
              <w:rPr>
                <w:lang w:val="en-GB"/>
              </w:rPr>
            </w:pPr>
            <w:r>
              <w:rPr>
                <w:lang w:val="en-GB"/>
              </w:rPr>
              <w:t>5.3</w:t>
            </w:r>
          </w:p>
        </w:tc>
        <w:tc>
          <w:tcPr>
            <w:tcW w:w="4235" w:type="dxa"/>
            <w:tcBorders/>
          </w:tcPr>
          <w:p>
            <w:pPr>
              <w:pStyle w:val="TAL"/>
              <w:rPr>
                <w:lang w:val="en-GB"/>
              </w:rPr>
            </w:pPr>
            <w:r>
              <w:rPr>
                <w:lang w:val="en-GB"/>
              </w:rPr>
              <w:t>Spurious response rejection</w:t>
            </w:r>
          </w:p>
        </w:tc>
      </w:tr>
    </w:tbl>
    <w:p>
      <w:pPr>
        <w:pStyle w:val="FP"/>
        <w:rPr/>
      </w:pPr>
      <w:r>
        <w:rPr/>
      </w:r>
    </w:p>
    <w:p>
      <w:pPr>
        <w:pStyle w:val="Heading2"/>
        <w:rPr/>
      </w:pPr>
      <w:bookmarkStart w:id="103" w:name="__RefHeading___Toc518035537"/>
      <w:bookmarkEnd w:id="103"/>
      <w:r>
        <w:rPr/>
        <w:t>A.3.3</w:t>
        <w:tab/>
        <w:t>Inputs needed</w:t>
      </w:r>
    </w:p>
    <w:p>
      <w:pPr>
        <w:pStyle w:val="Normal"/>
        <w:rPr/>
      </w:pPr>
      <w:r>
        <w:rPr/>
        <w:t>Minimum frequency separation of carriers in BTS; assume 400 kHz as for cluster size of 9.</w:t>
      </w:r>
    </w:p>
    <w:p>
      <w:pPr>
        <w:pStyle w:val="TH"/>
        <w:rPr/>
      </w:pPr>
      <w:r>
        <w:rPr/>
        <w:drawing>
          <wp:inline distT="0" distB="0" distL="0" distR="0">
            <wp:extent cx="4996815" cy="830580"/>
            <wp:effectExtent l="0" t="0" r="0" b="0"/>
            <wp:docPr id="36"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0" descr=""/>
                    <pic:cNvPicPr>
                      <a:picLocks noChangeAspect="1" noChangeArrowheads="1"/>
                    </pic:cNvPicPr>
                  </pic:nvPicPr>
                  <pic:blipFill>
                    <a:blip r:embed="rId30"/>
                    <a:srcRect l="5957" t="21362" r="8813" b="24302"/>
                    <a:stretch>
                      <a:fillRect/>
                    </a:stretch>
                  </pic:blipFill>
                  <pic:spPr bwMode="auto">
                    <a:xfrm>
                      <a:off x="0" y="0"/>
                      <a:ext cx="4996815" cy="830580"/>
                    </a:xfrm>
                    <a:prstGeom prst="rect">
                      <a:avLst/>
                    </a:prstGeom>
                  </pic:spPr>
                </pic:pic>
              </a:graphicData>
            </a:graphic>
          </wp:inline>
        </w:drawing>
      </w:r>
    </w:p>
    <w:p>
      <w:pPr>
        <w:pStyle w:val="TF"/>
        <w:rPr/>
      </w:pPr>
      <w:r>
        <w:rPr/>
        <w:t>Figure 3.1: Blocking and Spurious</w:t>
      </w:r>
    </w:p>
    <w:p>
      <w:pPr>
        <w:pStyle w:val="NF"/>
        <w:rPr/>
      </w:pPr>
      <w:r>
        <w:rPr/>
      </w:r>
    </w:p>
    <w:p>
      <w:pPr>
        <w:pStyle w:val="TH"/>
        <w:rPr/>
      </w:pPr>
      <w:r>
        <w:rPr/>
        <w:tab/>
      </w:r>
      <w:r>
        <w:rPr/>
        <w:drawing>
          <wp:inline distT="0" distB="0" distL="0" distR="0">
            <wp:extent cx="4889500" cy="1155700"/>
            <wp:effectExtent l="0" t="0" r="0" b="0"/>
            <wp:docPr id="37"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1" descr=""/>
                    <pic:cNvPicPr>
                      <a:picLocks noChangeAspect="1" noChangeArrowheads="1"/>
                    </pic:cNvPicPr>
                  </pic:nvPicPr>
                  <pic:blipFill>
                    <a:blip r:embed="rId31"/>
                    <a:srcRect l="-10" t="-40" r="-10" b="-40"/>
                    <a:stretch>
                      <a:fillRect/>
                    </a:stretch>
                  </pic:blipFill>
                  <pic:spPr bwMode="auto">
                    <a:xfrm>
                      <a:off x="0" y="0"/>
                      <a:ext cx="4889500" cy="1155700"/>
                    </a:xfrm>
                    <a:prstGeom prst="rect">
                      <a:avLst/>
                    </a:prstGeom>
                  </pic:spPr>
                </pic:pic>
              </a:graphicData>
            </a:graphic>
          </wp:inline>
        </w:drawing>
      </w:r>
    </w:p>
    <w:p>
      <w:pPr>
        <w:pStyle w:val="NF"/>
        <w:rPr/>
      </w:pPr>
      <w:r>
        <w:rPr/>
      </w:r>
    </w:p>
    <w:p>
      <w:pPr>
        <w:pStyle w:val="TH"/>
        <w:rPr/>
      </w:pPr>
      <w:r>
        <w:rPr/>
        <w:drawing>
          <wp:inline distT="0" distB="0" distL="0" distR="0">
            <wp:extent cx="4169410" cy="1094740"/>
            <wp:effectExtent l="0" t="0" r="0" b="0"/>
            <wp:docPr id="38"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2" descr=""/>
                    <pic:cNvPicPr>
                      <a:picLocks noChangeAspect="1" noChangeArrowheads="1"/>
                    </pic:cNvPicPr>
                  </pic:nvPicPr>
                  <pic:blipFill>
                    <a:blip r:embed="rId32"/>
                    <a:srcRect l="-11" t="-42" r="-11" b="-42"/>
                    <a:stretch>
                      <a:fillRect/>
                    </a:stretch>
                  </pic:blipFill>
                  <pic:spPr bwMode="auto">
                    <a:xfrm>
                      <a:off x="0" y="0"/>
                      <a:ext cx="4169410" cy="1094740"/>
                    </a:xfrm>
                    <a:prstGeom prst="rect">
                      <a:avLst/>
                    </a:prstGeom>
                  </pic:spPr>
                </pic:pic>
              </a:graphicData>
            </a:graphic>
          </wp:inline>
        </w:drawing>
      </w:r>
    </w:p>
    <w:p>
      <w:pPr>
        <w:pStyle w:val="NF"/>
        <w:rPr/>
      </w:pPr>
      <w:r>
        <w:rPr/>
        <w:tab/>
        <w:t>BTS1 and BTS2 belong to different PLMN's.</w:t>
      </w:r>
    </w:p>
    <w:p>
      <w:pPr>
        <w:pStyle w:val="NF"/>
        <w:rPr/>
      </w:pPr>
      <w:r>
        <w:rPr/>
        <w:tab/>
        <w:t>MS1 affiliated to BTS1 PLMN; MS2 and MS3 affiliated to BTS2 PLMN.</w:t>
      </w:r>
    </w:p>
    <w:p>
      <w:pPr>
        <w:pStyle w:val="NF"/>
        <w:rPr/>
      </w:pPr>
      <w:r>
        <w:rPr/>
      </w:r>
    </w:p>
    <w:p>
      <w:pPr>
        <w:pStyle w:val="TH"/>
        <w:rPr/>
      </w:pPr>
      <w:r>
        <w:rPr/>
        <w:drawing>
          <wp:inline distT="0" distB="0" distL="0" distR="0">
            <wp:extent cx="4801870" cy="982345"/>
            <wp:effectExtent l="0" t="0" r="0" b="0"/>
            <wp:docPr id="3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3" descr=""/>
                    <pic:cNvPicPr>
                      <a:picLocks noChangeAspect="1" noChangeArrowheads="1"/>
                    </pic:cNvPicPr>
                  </pic:nvPicPr>
                  <pic:blipFill>
                    <a:blip r:embed="rId33"/>
                    <a:srcRect l="6034" t="23004" r="11034" b="23850"/>
                    <a:stretch>
                      <a:fillRect/>
                    </a:stretch>
                  </pic:blipFill>
                  <pic:spPr bwMode="auto">
                    <a:xfrm>
                      <a:off x="0" y="0"/>
                      <a:ext cx="4801870" cy="982345"/>
                    </a:xfrm>
                    <a:prstGeom prst="rect">
                      <a:avLst/>
                    </a:prstGeom>
                  </pic:spPr>
                </pic:pic>
              </a:graphicData>
            </a:graphic>
          </wp:inline>
        </w:drawing>
      </w:r>
    </w:p>
    <w:p>
      <w:pPr>
        <w:pStyle w:val="NF"/>
        <w:rPr/>
      </w:pPr>
      <w:r>
        <w:rPr/>
        <w:tab/>
        <w:t>Intermodulation products in BTS1 receiver.</w:t>
      </w:r>
    </w:p>
    <w:p>
      <w:pPr>
        <w:pStyle w:val="NF"/>
        <w:rPr/>
      </w:pPr>
      <w:r>
        <w:rPr/>
      </w:r>
    </w:p>
    <w:p>
      <w:pPr>
        <w:pStyle w:val="TF"/>
        <w:rPr/>
      </w:pPr>
      <w:r>
        <w:rPr/>
        <w:t>Figure 3.2: Intermodulation</w:t>
      </w:r>
    </w:p>
    <w:p>
      <w:pPr>
        <w:pStyle w:val="Heading1"/>
        <w:ind w:left="1134" w:hanging="1134"/>
        <w:rPr/>
      </w:pPr>
      <w:bookmarkStart w:id="104" w:name="__RefHeading___Toc518035538"/>
      <w:bookmarkEnd w:id="104"/>
      <w:r>
        <w:rPr/>
        <w:t>A.4</w:t>
        <w:tab/>
        <w:t>SCENARIO 4 - COLOCATED MS</w:t>
      </w:r>
    </w:p>
    <w:p>
      <w:pPr>
        <w:pStyle w:val="Normal"/>
        <w:rPr/>
      </w:pPr>
      <w:r>
        <w:rPr/>
        <w:t>Colocated MS which may be served by BTS from different networks ie MS's not synchronised.</w:t>
      </w:r>
    </w:p>
    <w:p>
      <w:pPr>
        <w:pStyle w:val="Heading2"/>
        <w:rPr/>
      </w:pPr>
      <w:bookmarkStart w:id="105" w:name="__RefHeading___Toc518035539"/>
      <w:bookmarkEnd w:id="105"/>
      <w:r>
        <w:rPr/>
        <w:t>A.4.1</w:t>
        <w:tab/>
        <w:t>Constraints</w:t>
      </w:r>
    </w:p>
    <w:p>
      <w:pPr>
        <w:pStyle w:val="Normal"/>
        <w:rPr/>
      </w:pPr>
      <w:r>
        <w:rPr/>
        <w:t>Minimum separation of MS</w:t>
        <w:tab/>
        <w:t>1 m.</w:t>
      </w:r>
    </w:p>
    <w:p>
      <w:pPr>
        <w:pStyle w:val="Normal"/>
        <w:rPr/>
      </w:pPr>
      <w:r>
        <w:rPr/>
        <w:t>Guard band between up and down links</w:t>
        <w:tab/>
        <w:t>20 MHz.</w:t>
      </w:r>
    </w:p>
    <w:p>
      <w:pPr>
        <w:pStyle w:val="Normal"/>
        <w:rPr/>
      </w:pPr>
      <w:r>
        <w:rPr/>
        <w:t>Bandwidth of up and downlink bands</w:t>
        <w:tab/>
        <w:t>75 MHz.</w:t>
      </w:r>
    </w:p>
    <w:p>
      <w:pPr>
        <w:pStyle w:val="TH"/>
        <w:rPr/>
      </w:pPr>
      <w:r>
        <w:rPr/>
        <w:t>A.4.2</w:t>
        <w:tab/>
        <w:t>05.05 paragraphs affected</w:t>
      </w:r>
    </w:p>
    <w:tbl>
      <w:tblPr>
        <w:tblW w:w="5070" w:type="dxa"/>
        <w:jc w:val="center"/>
        <w:tblInd w:w="0" w:type="dxa"/>
        <w:tblLayout w:type="fixed"/>
        <w:tblCellMar>
          <w:top w:w="0" w:type="dxa"/>
          <w:left w:w="108" w:type="dxa"/>
          <w:bottom w:w="0" w:type="dxa"/>
          <w:right w:w="108" w:type="dxa"/>
        </w:tblCellMar>
      </w:tblPr>
      <w:tblGrid>
        <w:gridCol w:w="1526"/>
        <w:gridCol w:w="3544"/>
      </w:tblGrid>
      <w:tr>
        <w:trPr/>
        <w:tc>
          <w:tcPr>
            <w:tcW w:w="1526" w:type="dxa"/>
            <w:tcBorders/>
          </w:tcPr>
          <w:p>
            <w:pPr>
              <w:pStyle w:val="TAH"/>
              <w:rPr>
                <w:lang w:eastAsia="en-US"/>
              </w:rPr>
            </w:pPr>
            <w:r>
              <w:rPr>
                <w:lang w:eastAsia="en-US"/>
              </w:rPr>
              <w:t>Paragraph</w:t>
            </w:r>
          </w:p>
        </w:tc>
        <w:tc>
          <w:tcPr>
            <w:tcW w:w="3544" w:type="dxa"/>
            <w:tcBorders/>
          </w:tcPr>
          <w:p>
            <w:pPr>
              <w:pStyle w:val="TAH"/>
              <w:rPr>
                <w:lang w:eastAsia="en-US"/>
              </w:rPr>
            </w:pPr>
            <w:r>
              <w:rPr>
                <w:lang w:eastAsia="en-US"/>
              </w:rPr>
              <w:t>Title</w:t>
            </w:r>
          </w:p>
        </w:tc>
      </w:tr>
      <w:tr>
        <w:trPr/>
        <w:tc>
          <w:tcPr>
            <w:tcW w:w="1526" w:type="dxa"/>
            <w:tcBorders/>
          </w:tcPr>
          <w:p>
            <w:pPr>
              <w:pStyle w:val="TAC"/>
              <w:rPr>
                <w:lang w:val="en-GB"/>
              </w:rPr>
            </w:pPr>
            <w:r>
              <w:rPr>
                <w:lang w:val="en-GB"/>
              </w:rPr>
              <w:t>4.3.3</w:t>
            </w:r>
          </w:p>
        </w:tc>
        <w:tc>
          <w:tcPr>
            <w:tcW w:w="3544" w:type="dxa"/>
            <w:tcBorders/>
          </w:tcPr>
          <w:p>
            <w:pPr>
              <w:pStyle w:val="TAL"/>
              <w:rPr>
                <w:lang w:val="en-GB"/>
              </w:rPr>
            </w:pPr>
            <w:r>
              <w:rPr>
                <w:lang w:val="en-GB"/>
              </w:rPr>
              <w:t>Spurious emissions, out-of-band.</w:t>
            </w:r>
          </w:p>
        </w:tc>
      </w:tr>
      <w:tr>
        <w:trPr/>
        <w:tc>
          <w:tcPr>
            <w:tcW w:w="1526" w:type="dxa"/>
            <w:tcBorders/>
          </w:tcPr>
          <w:p>
            <w:pPr>
              <w:pStyle w:val="TAC"/>
              <w:rPr>
                <w:lang w:val="en-GB"/>
              </w:rPr>
            </w:pPr>
            <w:r>
              <w:rPr>
                <w:lang w:val="en-GB"/>
              </w:rPr>
              <w:t>5.1</w:t>
            </w:r>
          </w:p>
        </w:tc>
        <w:tc>
          <w:tcPr>
            <w:tcW w:w="3544" w:type="dxa"/>
            <w:tcBorders/>
          </w:tcPr>
          <w:p>
            <w:pPr>
              <w:pStyle w:val="TAL"/>
              <w:rPr>
                <w:lang w:val="en-GB"/>
              </w:rPr>
            </w:pPr>
            <w:r>
              <w:rPr>
                <w:lang w:val="en-GB"/>
              </w:rPr>
              <w:t>Blocking, out-of-band.</w:t>
            </w:r>
          </w:p>
        </w:tc>
      </w:tr>
      <w:tr>
        <w:trPr/>
        <w:tc>
          <w:tcPr>
            <w:tcW w:w="1526" w:type="dxa"/>
            <w:tcBorders/>
          </w:tcPr>
          <w:p>
            <w:pPr>
              <w:pStyle w:val="TAC"/>
              <w:rPr>
                <w:lang w:val="en-GB"/>
              </w:rPr>
            </w:pPr>
            <w:r>
              <w:rPr>
                <w:lang w:val="en-GB"/>
              </w:rPr>
              <w:t>5.3</w:t>
            </w:r>
          </w:p>
        </w:tc>
        <w:tc>
          <w:tcPr>
            <w:tcW w:w="3544" w:type="dxa"/>
            <w:tcBorders/>
          </w:tcPr>
          <w:p>
            <w:pPr>
              <w:pStyle w:val="TAL"/>
              <w:rPr>
                <w:lang w:val="en-GB"/>
              </w:rPr>
            </w:pPr>
            <w:r>
              <w:rPr>
                <w:lang w:val="en-GB"/>
              </w:rPr>
              <w:t>Spurious response rejection.</w:t>
            </w:r>
          </w:p>
        </w:tc>
      </w:tr>
      <w:tr>
        <w:trPr/>
        <w:tc>
          <w:tcPr>
            <w:tcW w:w="1526" w:type="dxa"/>
            <w:tcBorders/>
          </w:tcPr>
          <w:p>
            <w:pPr>
              <w:pStyle w:val="TAC"/>
              <w:rPr>
                <w:lang w:val="en-GB"/>
              </w:rPr>
            </w:pPr>
            <w:r>
              <w:rPr>
                <w:lang w:val="en-GB"/>
              </w:rPr>
              <w:t>5.4</w:t>
            </w:r>
          </w:p>
        </w:tc>
        <w:tc>
          <w:tcPr>
            <w:tcW w:w="3544" w:type="dxa"/>
            <w:tcBorders/>
          </w:tcPr>
          <w:p>
            <w:pPr>
              <w:pStyle w:val="TAL"/>
              <w:rPr>
                <w:lang w:val="en-GB"/>
              </w:rPr>
            </w:pPr>
            <w:r>
              <w:rPr>
                <w:lang w:val="en-GB"/>
              </w:rPr>
              <w:t>Spurious emissions.</w:t>
            </w:r>
          </w:p>
        </w:tc>
      </w:tr>
      <w:tr>
        <w:trPr/>
        <w:tc>
          <w:tcPr>
            <w:tcW w:w="1526" w:type="dxa"/>
            <w:tcBorders/>
          </w:tcPr>
          <w:p>
            <w:pPr>
              <w:pStyle w:val="TAC"/>
              <w:rPr>
                <w:lang w:val="en-GB"/>
              </w:rPr>
            </w:pPr>
            <w:r>
              <w:rPr>
                <w:lang w:val="en-GB"/>
              </w:rPr>
              <w:t>[New</w:t>
              <w:tab/>
              <w:t>4.7.3</w:t>
            </w:r>
          </w:p>
        </w:tc>
        <w:tc>
          <w:tcPr>
            <w:tcW w:w="3544" w:type="dxa"/>
            <w:tcBorders/>
          </w:tcPr>
          <w:p>
            <w:pPr>
              <w:pStyle w:val="TAL"/>
              <w:rPr>
                <w:lang w:val="en-GB"/>
              </w:rPr>
            </w:pPr>
            <w:r>
              <w:rPr>
                <w:lang w:val="en-GB"/>
              </w:rPr>
              <w:t>Intermodulation between MS].</w:t>
            </w:r>
          </w:p>
          <w:p>
            <w:pPr>
              <w:pStyle w:val="TAL"/>
              <w:ind w:left="459" w:hanging="284"/>
              <w:rPr>
                <w:lang w:val="en-GB"/>
              </w:rPr>
            </w:pPr>
            <w:r>
              <w:rPr>
                <w:lang w:val="en-GB"/>
              </w:rPr>
              <w:t>-</w:t>
              <w:tab/>
              <w:t>see figure 4.1.</w:t>
            </w:r>
          </w:p>
        </w:tc>
      </w:tr>
    </w:tbl>
    <w:p>
      <w:pPr>
        <w:pStyle w:val="Normal"/>
        <w:rPr/>
      </w:pPr>
      <w:r>
        <w:rPr/>
      </w:r>
    </w:p>
    <w:p>
      <w:pPr>
        <w:pStyle w:val="TH"/>
        <w:rPr/>
      </w:pPr>
      <w:r>
        <w:rPr/>
        <w:drawing>
          <wp:inline distT="0" distB="0" distL="0" distR="0">
            <wp:extent cx="3033395" cy="1389380"/>
            <wp:effectExtent l="0" t="0" r="0" b="0"/>
            <wp:docPr id="40"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4" descr=""/>
                    <pic:cNvPicPr>
                      <a:picLocks noChangeAspect="1" noChangeArrowheads="1"/>
                    </pic:cNvPicPr>
                  </pic:nvPicPr>
                  <pic:blipFill>
                    <a:blip r:embed="rId34"/>
                    <a:srcRect l="-12" t="-32" r="-12" b="-32"/>
                    <a:stretch>
                      <a:fillRect/>
                    </a:stretch>
                  </pic:blipFill>
                  <pic:spPr bwMode="auto">
                    <a:xfrm>
                      <a:off x="0" y="0"/>
                      <a:ext cx="3033395" cy="1389380"/>
                    </a:xfrm>
                    <a:prstGeom prst="rect">
                      <a:avLst/>
                    </a:prstGeom>
                  </pic:spPr>
                </pic:pic>
              </a:graphicData>
            </a:graphic>
          </wp:inline>
        </w:drawing>
      </w:r>
    </w:p>
    <w:p>
      <w:pPr>
        <w:pStyle w:val="NF"/>
        <w:rPr/>
      </w:pPr>
      <w:r>
        <w:rPr/>
        <w:tab/>
        <w:t>Out-of-band intermods; MS1 and MS2 at full power.</w:t>
      </w:r>
    </w:p>
    <w:p>
      <w:pPr>
        <w:pStyle w:val="NF"/>
        <w:rPr/>
      </w:pPr>
      <w:r>
        <w:rPr/>
        <w:tab/>
        <w:t>Received signal at MS3 from BTS2 at reference sensitivity. By symmetry, MS1 will be affected by an I.M. product from MS2 and MS3 whenever MS3 is affected as shown above.</w:t>
      </w:r>
    </w:p>
    <w:p>
      <w:pPr>
        <w:pStyle w:val="NF"/>
        <w:rPr/>
      </w:pPr>
      <w:r>
        <w:rPr/>
      </w:r>
    </w:p>
    <w:p>
      <w:pPr>
        <w:pStyle w:val="TH"/>
        <w:rPr/>
      </w:pPr>
      <w:r>
        <w:rPr/>
        <w:drawing>
          <wp:inline distT="0" distB="0" distL="0" distR="0">
            <wp:extent cx="2964815" cy="744220"/>
            <wp:effectExtent l="0" t="0" r="0" b="0"/>
            <wp:docPr id="41"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5" descr=""/>
                    <pic:cNvPicPr>
                      <a:picLocks noChangeAspect="1" noChangeArrowheads="1"/>
                    </pic:cNvPicPr>
                  </pic:nvPicPr>
                  <pic:blipFill>
                    <a:blip r:embed="rId35"/>
                    <a:srcRect l="-10" t="-53" r="-10" b="-53"/>
                    <a:stretch>
                      <a:fillRect/>
                    </a:stretch>
                  </pic:blipFill>
                  <pic:spPr bwMode="auto">
                    <a:xfrm>
                      <a:off x="0" y="0"/>
                      <a:ext cx="2964815" cy="744220"/>
                    </a:xfrm>
                    <a:prstGeom prst="rect">
                      <a:avLst/>
                    </a:prstGeom>
                  </pic:spPr>
                </pic:pic>
              </a:graphicData>
            </a:graphic>
          </wp:inline>
        </w:drawing>
      </w:r>
    </w:p>
    <w:p>
      <w:pPr>
        <w:pStyle w:val="NF"/>
        <w:rPr/>
      </w:pPr>
      <w:r>
        <w:rPr/>
        <w:tab/>
        <w:t>In-band intermods.</w:t>
      </w:r>
    </w:p>
    <w:p>
      <w:pPr>
        <w:pStyle w:val="NF"/>
        <w:rPr/>
      </w:pPr>
      <w:r>
        <w:rPr/>
      </w:r>
    </w:p>
    <w:p>
      <w:pPr>
        <w:pStyle w:val="TF"/>
        <w:rPr/>
      </w:pPr>
      <w:r>
        <w:rPr/>
        <w:t>Figure 4.1: Intermodulation between MS</w:t>
      </w:r>
    </w:p>
    <w:p>
      <w:pPr>
        <w:pStyle w:val="Heading2"/>
        <w:rPr/>
      </w:pPr>
      <w:bookmarkStart w:id="106" w:name="__RefHeading___Toc518035540"/>
      <w:bookmarkEnd w:id="106"/>
      <w:r>
        <w:rPr/>
        <w:t>A.4.3</w:t>
        <w:tab/>
        <w:t>Inputs needed</w:t>
      </w:r>
    </w:p>
    <w:p>
      <w:pPr>
        <w:pStyle w:val="Normal"/>
        <w:rPr/>
      </w:pPr>
      <w:r>
        <w:rPr/>
        <w:t>Additional body losses; assume [3 dB].</w:t>
      </w:r>
    </w:p>
    <w:p>
      <w:pPr>
        <w:pStyle w:val="Heading1"/>
        <w:ind w:left="1134" w:hanging="1134"/>
        <w:rPr/>
      </w:pPr>
      <w:bookmarkStart w:id="107" w:name="__RefHeading___Toc518035541"/>
      <w:bookmarkEnd w:id="107"/>
      <w:r>
        <w:rPr/>
        <w:t>A.5</w:t>
        <w:tab/>
        <w:t>SCENARIO 5 - COLOCATED BTS</w:t>
      </w:r>
    </w:p>
    <w:p>
      <w:pPr>
        <w:pStyle w:val="Normal"/>
        <w:rPr/>
      </w:pPr>
      <w:r>
        <w:rPr/>
        <w:t>Two or more colocated BTS possibly from different PLMN's.</w:t>
      </w:r>
    </w:p>
    <w:p>
      <w:pPr>
        <w:pStyle w:val="Heading2"/>
        <w:rPr/>
      </w:pPr>
      <w:bookmarkStart w:id="108" w:name="__RefHeading___Toc518035542"/>
      <w:bookmarkEnd w:id="108"/>
      <w:r>
        <w:rPr/>
        <w:t>A.5.1</w:t>
        <w:tab/>
        <w:t>Constraints</w:t>
      </w:r>
    </w:p>
    <w:p>
      <w:pPr>
        <w:pStyle w:val="Normal"/>
        <w:rPr/>
      </w:pPr>
      <w:r>
        <w:rPr/>
        <w:t>Coupling between BTS's may result either from the co-siting of BTS's or from several  BTS's in close proximity with directional antenna. The maximum coupling between BTS' should be assumed to be [30] dB. This is defined as the loss between the transmitter combiner output and the receiver multi-coupler input.</w:t>
      </w:r>
    </w:p>
    <w:p>
      <w:pPr>
        <w:pStyle w:val="TH"/>
        <w:rPr/>
      </w:pPr>
      <w:r>
        <w:rPr/>
        <w:t>A.5.2</w:t>
        <w:tab/>
        <w:t>05.05 paragraphs affected</w:t>
      </w:r>
    </w:p>
    <w:tbl>
      <w:tblPr>
        <w:tblW w:w="5637" w:type="dxa"/>
        <w:jc w:val="center"/>
        <w:tblInd w:w="0" w:type="dxa"/>
        <w:tblLayout w:type="fixed"/>
        <w:tblCellMar>
          <w:top w:w="0" w:type="dxa"/>
          <w:left w:w="108" w:type="dxa"/>
          <w:bottom w:w="0" w:type="dxa"/>
          <w:right w:w="108" w:type="dxa"/>
        </w:tblCellMar>
      </w:tblPr>
      <w:tblGrid>
        <w:gridCol w:w="1207"/>
        <w:gridCol w:w="4430"/>
      </w:tblGrid>
      <w:tr>
        <w:trPr/>
        <w:tc>
          <w:tcPr>
            <w:tcW w:w="1207" w:type="dxa"/>
            <w:tcBorders/>
          </w:tcPr>
          <w:p>
            <w:pPr>
              <w:pStyle w:val="TAH"/>
              <w:rPr>
                <w:lang w:eastAsia="en-US"/>
              </w:rPr>
            </w:pPr>
            <w:r>
              <w:rPr>
                <w:lang w:eastAsia="en-US"/>
              </w:rPr>
              <w:t>Paragraph</w:t>
            </w:r>
          </w:p>
        </w:tc>
        <w:tc>
          <w:tcPr>
            <w:tcW w:w="4430" w:type="dxa"/>
            <w:tcBorders/>
          </w:tcPr>
          <w:p>
            <w:pPr>
              <w:pStyle w:val="TAH"/>
              <w:rPr>
                <w:lang w:eastAsia="en-US"/>
              </w:rPr>
            </w:pPr>
            <w:r>
              <w:rPr>
                <w:lang w:eastAsia="en-US"/>
              </w:rPr>
              <w:t>Title</w:t>
            </w:r>
          </w:p>
        </w:tc>
      </w:tr>
      <w:tr>
        <w:trPr/>
        <w:tc>
          <w:tcPr>
            <w:tcW w:w="1207" w:type="dxa"/>
            <w:tcBorders/>
          </w:tcPr>
          <w:p>
            <w:pPr>
              <w:pStyle w:val="TAC"/>
              <w:rPr>
                <w:lang w:val="en-GB"/>
              </w:rPr>
            </w:pPr>
            <w:r>
              <w:rPr>
                <w:lang w:val="en-GB"/>
              </w:rPr>
              <w:t>4.3</w:t>
            </w:r>
          </w:p>
        </w:tc>
        <w:tc>
          <w:tcPr>
            <w:tcW w:w="4430" w:type="dxa"/>
            <w:tcBorders/>
          </w:tcPr>
          <w:p>
            <w:pPr>
              <w:pStyle w:val="TAL"/>
              <w:rPr>
                <w:lang w:val="en-GB"/>
              </w:rPr>
            </w:pPr>
            <w:r>
              <w:rPr>
                <w:lang w:val="en-GB"/>
              </w:rPr>
              <w:t>Spurious emissions.</w:t>
            </w:r>
          </w:p>
        </w:tc>
      </w:tr>
      <w:tr>
        <w:trPr/>
        <w:tc>
          <w:tcPr>
            <w:tcW w:w="1207" w:type="dxa"/>
            <w:tcBorders/>
          </w:tcPr>
          <w:p>
            <w:pPr>
              <w:pStyle w:val="TAC"/>
              <w:rPr>
                <w:lang w:val="en-GB"/>
              </w:rPr>
            </w:pPr>
            <w:r>
              <w:rPr>
                <w:lang w:val="en-GB"/>
              </w:rPr>
              <w:t>4.7.1</w:t>
            </w:r>
          </w:p>
        </w:tc>
        <w:tc>
          <w:tcPr>
            <w:tcW w:w="4430" w:type="dxa"/>
            <w:tcBorders/>
          </w:tcPr>
          <w:p>
            <w:pPr>
              <w:pStyle w:val="TAL"/>
              <w:rPr>
                <w:lang w:val="en-GB"/>
              </w:rPr>
            </w:pPr>
            <w:r>
              <w:rPr>
                <w:lang w:val="en-GB"/>
              </w:rPr>
              <w:t>Intermodulation attenuation, BTS:</w:t>
            </w:r>
          </w:p>
          <w:p>
            <w:pPr>
              <w:pStyle w:val="TAL"/>
              <w:ind w:left="459" w:hanging="284"/>
              <w:rPr>
                <w:lang w:val="en-GB"/>
              </w:rPr>
            </w:pPr>
            <w:r>
              <w:rPr>
                <w:lang w:val="en-GB"/>
              </w:rPr>
              <w:t>-</w:t>
              <w:tab/>
              <w:t>(see figure 5.1).</w:t>
            </w:r>
          </w:p>
        </w:tc>
      </w:tr>
      <w:tr>
        <w:trPr/>
        <w:tc>
          <w:tcPr>
            <w:tcW w:w="1207" w:type="dxa"/>
            <w:tcBorders/>
          </w:tcPr>
          <w:p>
            <w:pPr>
              <w:pStyle w:val="TAC"/>
              <w:rPr>
                <w:lang w:val="en-GB"/>
              </w:rPr>
            </w:pPr>
            <w:r>
              <w:rPr>
                <w:lang w:val="en-GB"/>
              </w:rPr>
              <w:t>5.1</w:t>
            </w:r>
          </w:p>
        </w:tc>
        <w:tc>
          <w:tcPr>
            <w:tcW w:w="4430" w:type="dxa"/>
            <w:tcBorders/>
          </w:tcPr>
          <w:p>
            <w:pPr>
              <w:pStyle w:val="TAL"/>
              <w:rPr>
                <w:lang w:val="en-GB"/>
              </w:rPr>
            </w:pPr>
            <w:r>
              <w:rPr>
                <w:lang w:val="en-GB"/>
              </w:rPr>
              <w:t>Blocking:</w:t>
            </w:r>
          </w:p>
          <w:p>
            <w:pPr>
              <w:pStyle w:val="TAL"/>
              <w:ind w:left="459" w:hanging="284"/>
              <w:rPr>
                <w:lang w:val="en-GB"/>
              </w:rPr>
            </w:pPr>
            <w:r>
              <w:rPr>
                <w:lang w:val="en-GB"/>
              </w:rPr>
              <w:t>-</w:t>
              <w:tab/>
              <w:t>[30] dB coupling between BTS  TX - RX.</w:t>
            </w:r>
          </w:p>
          <w:p>
            <w:pPr>
              <w:pStyle w:val="TAL"/>
              <w:ind w:left="459" w:hanging="284"/>
              <w:rPr/>
            </w:pPr>
            <w:r>
              <w:rPr>
                <w:lang w:val="en-GB"/>
              </w:rPr>
              <w:t>-</w:t>
              <w:tab/>
              <w:t>[30] dB coupling between BTS  TX - TX.</w:t>
            </w:r>
          </w:p>
          <w:p>
            <w:pPr>
              <w:pStyle w:val="TAL"/>
              <w:ind w:left="459" w:hanging="284"/>
              <w:rPr>
                <w:lang w:val="en-GB"/>
              </w:rPr>
            </w:pPr>
            <w:r>
              <w:rPr>
                <w:lang w:val="en-GB"/>
              </w:rPr>
              <w:t>-</w:t>
              <w:tab/>
              <w:t>[30] dB coupling between BTS  RX - RX.</w:t>
            </w:r>
          </w:p>
          <w:p>
            <w:pPr>
              <w:pStyle w:val="TAL"/>
              <w:ind w:left="459" w:hanging="284"/>
              <w:rPr>
                <w:lang w:val="en-GB"/>
              </w:rPr>
            </w:pPr>
            <w:r>
              <w:rPr>
                <w:lang w:val="en-GB"/>
              </w:rPr>
              <w:t>-</w:t>
              <w:tab/>
              <w:t>BTS either same or different PLMN.</w:t>
            </w:r>
          </w:p>
        </w:tc>
      </w:tr>
      <w:tr>
        <w:trPr/>
        <w:tc>
          <w:tcPr>
            <w:tcW w:w="1207" w:type="dxa"/>
            <w:tcBorders/>
          </w:tcPr>
          <w:p>
            <w:pPr>
              <w:pStyle w:val="TAC"/>
              <w:rPr>
                <w:lang w:val="en-GB"/>
              </w:rPr>
            </w:pPr>
            <w:r>
              <w:rPr>
                <w:lang w:val="en-GB"/>
              </w:rPr>
              <w:t>5.3</w:t>
            </w:r>
          </w:p>
        </w:tc>
        <w:tc>
          <w:tcPr>
            <w:tcW w:w="4430" w:type="dxa"/>
            <w:tcBorders/>
          </w:tcPr>
          <w:p>
            <w:pPr>
              <w:pStyle w:val="TAL"/>
              <w:rPr>
                <w:lang w:val="en-GB"/>
              </w:rPr>
            </w:pPr>
            <w:r>
              <w:rPr>
                <w:lang w:val="en-GB"/>
              </w:rPr>
              <w:t>Spurious response rejection.</w:t>
            </w:r>
          </w:p>
        </w:tc>
      </w:tr>
      <w:tr>
        <w:trPr/>
        <w:tc>
          <w:tcPr>
            <w:tcW w:w="1207" w:type="dxa"/>
            <w:tcBorders/>
          </w:tcPr>
          <w:p>
            <w:pPr>
              <w:pStyle w:val="TAC"/>
              <w:rPr>
                <w:lang w:val="en-GB"/>
              </w:rPr>
            </w:pPr>
            <w:r>
              <w:rPr>
                <w:lang w:val="en-GB"/>
              </w:rPr>
              <w:t>5.4</w:t>
            </w:r>
          </w:p>
        </w:tc>
        <w:tc>
          <w:tcPr>
            <w:tcW w:w="4430" w:type="dxa"/>
            <w:tcBorders/>
          </w:tcPr>
          <w:p>
            <w:pPr>
              <w:pStyle w:val="TAL"/>
              <w:rPr>
                <w:lang w:val="en-GB"/>
              </w:rPr>
            </w:pPr>
            <w:r>
              <w:rPr>
                <w:lang w:val="en-GB"/>
              </w:rPr>
              <w:t>Spurious emissions.</w:t>
            </w:r>
          </w:p>
        </w:tc>
      </w:tr>
    </w:tbl>
    <w:p>
      <w:pPr>
        <w:pStyle w:val="FP"/>
        <w:rPr/>
      </w:pPr>
      <w:r>
        <w:rPr/>
      </w:r>
    </w:p>
    <w:p>
      <w:pPr>
        <w:pStyle w:val="Heading2"/>
        <w:rPr/>
      </w:pPr>
      <w:bookmarkStart w:id="109" w:name="__RefHeading___Toc518035543"/>
      <w:bookmarkEnd w:id="109"/>
      <w:r>
        <w:rPr/>
        <w:t>A.5.3</w:t>
        <w:tab/>
        <w:t>Inputs needed</w:t>
      </w:r>
    </w:p>
    <w:p>
      <w:pPr>
        <w:pStyle w:val="Normal"/>
        <w:rPr/>
      </w:pPr>
      <w:r>
        <w:rPr/>
        <w:t>None.</w:t>
      </w:r>
    </w:p>
    <w:p>
      <w:pPr>
        <w:pStyle w:val="TH"/>
        <w:rPr/>
      </w:pPr>
      <w:r>
        <w:rPr/>
        <w:drawing>
          <wp:inline distT="0" distB="0" distL="0" distR="0">
            <wp:extent cx="3872865" cy="1555115"/>
            <wp:effectExtent l="0" t="0" r="0" b="0"/>
            <wp:docPr id="42"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6" descr=""/>
                    <pic:cNvPicPr>
                      <a:picLocks noChangeAspect="1" noChangeArrowheads="1"/>
                    </pic:cNvPicPr>
                  </pic:nvPicPr>
                  <pic:blipFill>
                    <a:blip r:embed="rId36"/>
                    <a:srcRect l="-9" t="-27" r="349" b="-27"/>
                    <a:stretch>
                      <a:fillRect/>
                    </a:stretch>
                  </pic:blipFill>
                  <pic:spPr bwMode="auto">
                    <a:xfrm>
                      <a:off x="0" y="0"/>
                      <a:ext cx="3872865" cy="1555115"/>
                    </a:xfrm>
                    <a:prstGeom prst="rect">
                      <a:avLst/>
                    </a:prstGeom>
                  </pic:spPr>
                </pic:pic>
              </a:graphicData>
            </a:graphic>
          </wp:inline>
        </w:drawing>
      </w:r>
    </w:p>
    <w:p>
      <w:pPr>
        <w:pStyle w:val="NF"/>
        <w:rPr/>
      </w:pPr>
      <w:r>
        <w:rPr/>
        <w:tab/>
        <w:t>BTS3 different PLMN from BTS 1 and 2.</w:t>
      </w:r>
    </w:p>
    <w:p>
      <w:pPr>
        <w:pStyle w:val="NF"/>
        <w:rPr/>
      </w:pPr>
      <w:r>
        <w:rPr/>
        <w:tab/>
        <w:t>Intermodulation products at MS3 receiver.</w:t>
      </w:r>
    </w:p>
    <w:p>
      <w:pPr>
        <w:pStyle w:val="NF"/>
        <w:rPr/>
      </w:pPr>
      <w:r>
        <w:rPr/>
      </w:r>
    </w:p>
    <w:p>
      <w:pPr>
        <w:pStyle w:val="TF"/>
        <w:rPr/>
      </w:pPr>
      <w:r>
        <w:rPr/>
        <w:t>Figure 5.1: Intermodulation scenario</w:t>
      </w:r>
    </w:p>
    <w:p>
      <w:pPr>
        <w:pStyle w:val="Heading1"/>
        <w:ind w:left="1134" w:hanging="1134"/>
        <w:rPr/>
      </w:pPr>
      <w:bookmarkStart w:id="110" w:name="__RefHeading___Toc518035544"/>
      <w:bookmarkEnd w:id="110"/>
      <w:r>
        <w:rPr/>
        <w:t>A.6</w:t>
        <w:tab/>
        <w:t>SCENARIO 6 - COLOCATION WITH OTHER SYSTEMS</w:t>
      </w:r>
    </w:p>
    <w:p>
      <w:pPr>
        <w:pStyle w:val="Normal"/>
        <w:rPr/>
      </w:pPr>
      <w:r>
        <w:rPr/>
        <w:t>DCS1800 systems will have to work in the presence of other mobile radio systems.</w:t>
      </w:r>
    </w:p>
    <w:p>
      <w:pPr>
        <w:pStyle w:val="Heading2"/>
        <w:rPr/>
      </w:pPr>
      <w:bookmarkStart w:id="111" w:name="__RefHeading___Toc518035545"/>
      <w:bookmarkEnd w:id="111"/>
      <w:r>
        <w:rPr/>
        <w:t>A.6.1</w:t>
        <w:tab/>
        <w:t>Constraints</w:t>
      </w:r>
    </w:p>
    <w:p>
      <w:pPr>
        <w:pStyle w:val="Normal"/>
        <w:rPr/>
      </w:pPr>
      <w:r>
        <w:rPr/>
        <w:t>Operation of DCS1800 mobiles to be considered in close proximity with other systems.</w:t>
      </w:r>
    </w:p>
    <w:p>
      <w:pPr>
        <w:pStyle w:val="B1"/>
        <w:rPr/>
      </w:pPr>
      <w:r>
        <w:rPr/>
        <w:tab/>
        <w:t>GSM phase 1;</w:t>
      </w:r>
    </w:p>
    <w:p>
      <w:pPr>
        <w:pStyle w:val="B1"/>
        <w:rPr/>
      </w:pPr>
      <w:r>
        <w:rPr/>
        <w:tab/>
        <w:t>GSM phase 2;</w:t>
      </w:r>
    </w:p>
    <w:p>
      <w:pPr>
        <w:pStyle w:val="B1"/>
        <w:rPr/>
      </w:pPr>
      <w:r>
        <w:rPr/>
        <w:tab/>
      </w:r>
      <w:r>
        <w:rPr>
          <w:lang w:val="en-AU"/>
        </w:rPr>
        <w:t>DECT;</w:t>
      </w:r>
    </w:p>
    <w:p>
      <w:pPr>
        <w:pStyle w:val="B1"/>
        <w:rPr>
          <w:lang w:val="en-AU"/>
        </w:rPr>
      </w:pPr>
      <w:r>
        <w:rPr>
          <w:lang w:val="en-AU"/>
        </w:rPr>
        <w:tab/>
        <w:t>Analogue cellular (TACS, NMT450/900, C450, R2000); and</w:t>
      </w:r>
    </w:p>
    <w:p>
      <w:pPr>
        <w:pStyle w:val="B1"/>
        <w:rPr/>
      </w:pPr>
      <w:r>
        <w:rPr/>
        <w:tab/>
        <w:t>CT2 mobiles.</w:t>
      </w:r>
    </w:p>
    <w:p>
      <w:pPr>
        <w:pStyle w:val="TH"/>
        <w:rPr/>
      </w:pPr>
      <w:r>
        <w:rPr/>
        <w:t>A.6.2</w:t>
        <w:tab/>
        <w:t>05.05 paragraphs affected</w:t>
      </w:r>
    </w:p>
    <w:tbl>
      <w:tblPr>
        <w:tblW w:w="5245" w:type="dxa"/>
        <w:jc w:val="center"/>
        <w:tblInd w:w="0" w:type="dxa"/>
        <w:tblLayout w:type="fixed"/>
        <w:tblCellMar>
          <w:top w:w="0" w:type="dxa"/>
          <w:left w:w="108" w:type="dxa"/>
          <w:bottom w:w="0" w:type="dxa"/>
          <w:right w:w="108" w:type="dxa"/>
        </w:tblCellMar>
      </w:tblPr>
      <w:tblGrid>
        <w:gridCol w:w="1701"/>
        <w:gridCol w:w="3544"/>
      </w:tblGrid>
      <w:tr>
        <w:trPr/>
        <w:tc>
          <w:tcPr>
            <w:tcW w:w="1701" w:type="dxa"/>
            <w:tcBorders/>
          </w:tcPr>
          <w:p>
            <w:pPr>
              <w:pStyle w:val="TAH"/>
              <w:rPr>
                <w:lang w:eastAsia="en-US"/>
              </w:rPr>
            </w:pPr>
            <w:r>
              <w:rPr>
                <w:lang w:eastAsia="en-US"/>
              </w:rPr>
              <w:t>Paragraph</w:t>
            </w:r>
          </w:p>
        </w:tc>
        <w:tc>
          <w:tcPr>
            <w:tcW w:w="3544" w:type="dxa"/>
            <w:tcBorders/>
          </w:tcPr>
          <w:p>
            <w:pPr>
              <w:pStyle w:val="TAH"/>
              <w:rPr>
                <w:lang w:eastAsia="en-US"/>
              </w:rPr>
            </w:pPr>
            <w:r>
              <w:rPr>
                <w:lang w:eastAsia="en-US"/>
              </w:rPr>
              <w:t>Title</w:t>
            </w:r>
          </w:p>
        </w:tc>
      </w:tr>
      <w:tr>
        <w:trPr/>
        <w:tc>
          <w:tcPr>
            <w:tcW w:w="1701" w:type="dxa"/>
            <w:tcBorders/>
          </w:tcPr>
          <w:p>
            <w:pPr>
              <w:pStyle w:val="TAC"/>
              <w:rPr>
                <w:lang w:val="en-GB"/>
              </w:rPr>
            </w:pPr>
            <w:r>
              <w:rPr>
                <w:lang w:val="en-GB"/>
              </w:rPr>
              <w:t>4.3</w:t>
            </w:r>
          </w:p>
        </w:tc>
        <w:tc>
          <w:tcPr>
            <w:tcW w:w="3544" w:type="dxa"/>
            <w:tcBorders/>
          </w:tcPr>
          <w:p>
            <w:pPr>
              <w:pStyle w:val="TAL"/>
              <w:rPr>
                <w:lang w:val="en-GB"/>
              </w:rPr>
            </w:pPr>
            <w:r>
              <w:rPr>
                <w:lang w:val="en-GB"/>
              </w:rPr>
              <w:t>Spurious emissions, out-of-band</w:t>
            </w:r>
          </w:p>
        </w:tc>
      </w:tr>
      <w:tr>
        <w:trPr/>
        <w:tc>
          <w:tcPr>
            <w:tcW w:w="1701" w:type="dxa"/>
            <w:tcBorders/>
          </w:tcPr>
          <w:p>
            <w:pPr>
              <w:pStyle w:val="TAC"/>
              <w:rPr>
                <w:lang w:val="en-GB"/>
              </w:rPr>
            </w:pPr>
            <w:r>
              <w:rPr>
                <w:lang w:val="en-GB"/>
              </w:rPr>
              <w:t>5.1</w:t>
            </w:r>
          </w:p>
        </w:tc>
        <w:tc>
          <w:tcPr>
            <w:tcW w:w="3544" w:type="dxa"/>
            <w:tcBorders/>
          </w:tcPr>
          <w:p>
            <w:pPr>
              <w:pStyle w:val="TAL"/>
              <w:rPr>
                <w:lang w:val="en-GB"/>
              </w:rPr>
            </w:pPr>
            <w:r>
              <w:rPr>
                <w:lang w:val="en-GB"/>
              </w:rPr>
              <w:t>Blocking, out-of-band</w:t>
            </w:r>
          </w:p>
        </w:tc>
      </w:tr>
      <w:tr>
        <w:trPr/>
        <w:tc>
          <w:tcPr>
            <w:tcW w:w="1701" w:type="dxa"/>
            <w:tcBorders/>
          </w:tcPr>
          <w:p>
            <w:pPr>
              <w:pStyle w:val="TAC"/>
              <w:rPr>
                <w:lang w:val="en-GB"/>
              </w:rPr>
            </w:pPr>
            <w:r>
              <w:rPr>
                <w:lang w:val="en-GB"/>
              </w:rPr>
              <w:t>5.3</w:t>
            </w:r>
          </w:p>
        </w:tc>
        <w:tc>
          <w:tcPr>
            <w:tcW w:w="3544" w:type="dxa"/>
            <w:tcBorders/>
          </w:tcPr>
          <w:p>
            <w:pPr>
              <w:pStyle w:val="TAL"/>
              <w:rPr/>
            </w:pPr>
            <w:r>
              <w:rPr>
                <w:lang w:val="en-GB"/>
              </w:rPr>
              <w:t>Spurious response rejection</w:t>
            </w:r>
          </w:p>
        </w:tc>
      </w:tr>
      <w:tr>
        <w:trPr/>
        <w:tc>
          <w:tcPr>
            <w:tcW w:w="1701" w:type="dxa"/>
            <w:tcBorders/>
          </w:tcPr>
          <w:p>
            <w:pPr>
              <w:pStyle w:val="TAC"/>
              <w:rPr>
                <w:lang w:val="en-GB"/>
              </w:rPr>
            </w:pPr>
            <w:r>
              <w:rPr>
                <w:lang w:val="en-GB"/>
              </w:rPr>
              <w:t>5.4</w:t>
            </w:r>
          </w:p>
        </w:tc>
        <w:tc>
          <w:tcPr>
            <w:tcW w:w="3544" w:type="dxa"/>
            <w:tcBorders/>
          </w:tcPr>
          <w:p>
            <w:pPr>
              <w:pStyle w:val="TAL"/>
              <w:rPr>
                <w:lang w:val="en-GB"/>
              </w:rPr>
            </w:pPr>
            <w:r>
              <w:rPr>
                <w:lang w:val="en-GB"/>
              </w:rPr>
              <w:t>Spurious emissions</w:t>
            </w:r>
          </w:p>
        </w:tc>
      </w:tr>
    </w:tbl>
    <w:p>
      <w:pPr>
        <w:pStyle w:val="FP"/>
        <w:rPr/>
      </w:pPr>
      <w:r>
        <w:rPr/>
      </w:r>
    </w:p>
    <w:p>
      <w:pPr>
        <w:pStyle w:val="Heading2"/>
        <w:rPr/>
      </w:pPr>
      <w:bookmarkStart w:id="112" w:name="__RefHeading___Toc518035546"/>
      <w:bookmarkEnd w:id="112"/>
      <w:r>
        <w:rPr/>
        <w:t>A.6.3</w:t>
        <w:tab/>
        <w:t>Inputs needed</w:t>
      </w:r>
    </w:p>
    <w:p>
      <w:pPr>
        <w:pStyle w:val="Normal"/>
        <w:rPr/>
      </w:pPr>
      <w:r>
        <w:rPr/>
        <w:t>Performance specifications of other systems.</w:t>
      </w:r>
      <w:r>
        <w:br w:type="page"/>
      </w:r>
    </w:p>
    <w:p>
      <w:pPr>
        <w:pStyle w:val="B1"/>
        <w:tabs>
          <w:tab w:val="clear" w:pos="284"/>
          <w:tab w:val="right" w:pos="9639" w:leader="none"/>
        </w:tabs>
        <w:rPr/>
      </w:pPr>
      <w:r>
        <w:rPr/>
        <w:t>ETSI GSM TC</w:t>
        <w:tab/>
        <w:t>TDoc GSM 60/91</w:t>
      </w:r>
    </w:p>
    <w:p>
      <w:pPr>
        <w:pStyle w:val="B1"/>
        <w:rPr/>
      </w:pPr>
      <w:r>
        <w:rPr/>
        <w:t>Saarbrucken, 14-18 January 1991</w:t>
      </w:r>
    </w:p>
    <w:p>
      <w:pPr>
        <w:pStyle w:val="B1"/>
        <w:rPr>
          <w:b/>
          <w:b/>
        </w:rPr>
      </w:pPr>
      <w:r>
        <w:rPr>
          <w:b/>
        </w:rPr>
        <w:t>Source: GSM2</w:t>
      </w:r>
    </w:p>
    <w:p>
      <w:pPr>
        <w:pStyle w:val="Heading1"/>
        <w:ind w:left="1134" w:hanging="1134"/>
        <w:rPr/>
      </w:pPr>
      <w:bookmarkStart w:id="113" w:name="__RefHeading___Toc518035547"/>
      <w:bookmarkEnd w:id="113"/>
      <w:r>
        <w:rPr/>
        <w:t>A.7</w:t>
        <w:tab/>
        <w:t>Title: Justifications for the proposed Rec. 05.05_DCS</w:t>
      </w:r>
    </w:p>
    <w:p>
      <w:pPr>
        <w:pStyle w:val="H6"/>
        <w:rPr/>
      </w:pPr>
      <w:r>
        <w:rPr/>
        <w:t>I</w:t>
        <w:tab/>
        <w:t>INTRODUCTION</w:t>
      </w:r>
    </w:p>
    <w:p>
      <w:pPr>
        <w:pStyle w:val="Normal"/>
        <w:rPr/>
      </w:pPr>
      <w:r>
        <w:rPr/>
        <w:t>The DCS1800 system requirements are defined in a paper entitled 'DCS1800 - System Scenarios' (GSM TDoc 259/90) and the parameters chosen either meet these requirements or represent a compromise between them and what can be manufactured at an appropriate cost. Changes to the 900 MHz standard have only been made where there is a specific system advantage or cost saving. Consideration has been given to methods of measurement for the changed specifications.</w:t>
      </w:r>
    </w:p>
    <w:p>
      <w:pPr>
        <w:pStyle w:val="Normal"/>
        <w:rPr/>
      </w:pPr>
      <w:r>
        <w:rPr/>
        <w:t>Section II expands the scenarios paper into more detailed requirements for RF parameters. Section III follows the section numbering of GSM 05.05 and justifies the desired changes for DCS1800. The present document does not comment on simple changes from GSM900 to DCS1800 frequency bands since this change is assumed.</w:t>
      </w:r>
    </w:p>
    <w:p>
      <w:pPr>
        <w:pStyle w:val="H6"/>
        <w:rPr/>
      </w:pPr>
      <w:r>
        <w:rPr/>
        <w:t>II</w:t>
        <w:tab/>
        <w:t>METHODOLOGY</w:t>
      </w:r>
    </w:p>
    <w:p>
      <w:pPr>
        <w:pStyle w:val="Normal"/>
        <w:rPr/>
      </w:pPr>
      <w:r>
        <w:rPr/>
        <w:t>Unless otherwise stated the results of scenario calculations assume transmit powers of 39 dBm for the base and a 30 dBm for the mobile, both measured at their respective  antenna connectors. The equivalent noise bandwidth of the transmitted signal is taken to be 120 kHz and that of the receiver 180 kHz. Worst case scenarios usually involve a "near/far" problem of some kind, the component scenario assumptions (as given in the scenarios paper for "near" and "far" can be summarised as follows.</w:t>
      </w:r>
    </w:p>
    <w:p>
      <w:pPr>
        <w:pStyle w:val="TH"/>
        <w:rPr/>
      </w:pPr>
      <w:r>
        <w:rPr/>
      </w:r>
    </w:p>
    <w:tbl>
      <w:tblPr>
        <w:tblW w:w="6206" w:type="dxa"/>
        <w:jc w:val="center"/>
        <w:tblInd w:w="0" w:type="dxa"/>
        <w:tblLayout w:type="fixed"/>
        <w:tblCellMar>
          <w:top w:w="0" w:type="dxa"/>
          <w:left w:w="28" w:type="dxa"/>
          <w:bottom w:w="0" w:type="dxa"/>
          <w:right w:w="28" w:type="dxa"/>
        </w:tblCellMar>
      </w:tblPr>
      <w:tblGrid>
        <w:gridCol w:w="2635"/>
        <w:gridCol w:w="3571"/>
      </w:tblGrid>
      <w:tr>
        <w:trPr/>
        <w:tc>
          <w:tcPr>
            <w:tcW w:w="26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"Near"</w:t>
            </w:r>
          </w:p>
        </w:tc>
        <w:tc>
          <w:tcPr>
            <w:tcW w:w="357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Coupling loss (dB)</w:t>
            </w:r>
          </w:p>
        </w:tc>
      </w:tr>
      <w:tr>
        <w:trPr/>
        <w:tc>
          <w:tcPr>
            <w:tcW w:w="26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BTS -&gt; MS</w:t>
            </w:r>
          </w:p>
        </w:tc>
        <w:tc>
          <w:tcPr>
            <w:tcW w:w="35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w:t>
            </w:r>
          </w:p>
        </w:tc>
      </w:tr>
      <w:tr>
        <w:trPr/>
        <w:tc>
          <w:tcPr>
            <w:tcW w:w="26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MS -&gt; BTS</w:t>
            </w:r>
          </w:p>
        </w:tc>
        <w:tc>
          <w:tcPr>
            <w:tcW w:w="35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w:t>
            </w:r>
          </w:p>
        </w:tc>
      </w:tr>
      <w:tr>
        <w:trPr/>
        <w:tc>
          <w:tcPr>
            <w:tcW w:w="26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MS-&gt; MS</w:t>
            </w:r>
          </w:p>
        </w:tc>
        <w:tc>
          <w:tcPr>
            <w:tcW w:w="35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40.5</w:t>
            </w:r>
          </w:p>
        </w:tc>
      </w:tr>
      <w:tr>
        <w:trPr/>
        <w:tc>
          <w:tcPr>
            <w:tcW w:w="26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BTS -&gt; BTS</w:t>
            </w:r>
          </w:p>
        </w:tc>
        <w:tc>
          <w:tcPr>
            <w:tcW w:w="35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r>
    </w:tbl>
    <w:p>
      <w:pPr>
        <w:pStyle w:val="FP"/>
        <w:rPr/>
      </w:pPr>
      <w:r>
        <w:rPr/>
      </w:r>
    </w:p>
    <w:p>
      <w:pPr>
        <w:pStyle w:val="Normal"/>
        <w:rPr/>
      </w:pPr>
      <w:r>
        <w:rPr/>
        <w:t>The coupling loss is defined between antenna connectors. The powers and sensitivities are discussed in section III of this paper, they are quoted here to enable scenario calculations to be performed. The transmitter power and receiver sensitivity are measured at the respective antenna connectors.</w:t>
      </w:r>
    </w:p>
    <w:p>
      <w:pPr>
        <w:pStyle w:val="TH"/>
        <w:rPr/>
      </w:pPr>
      <w:r>
        <w:rPr/>
      </w:r>
    </w:p>
    <w:tbl>
      <w:tblPr>
        <w:tblW w:w="7992" w:type="dxa"/>
        <w:jc w:val="center"/>
        <w:tblInd w:w="0" w:type="dxa"/>
        <w:tblLayout w:type="fixed"/>
        <w:tblCellMar>
          <w:top w:w="0" w:type="dxa"/>
          <w:left w:w="28" w:type="dxa"/>
          <w:bottom w:w="0" w:type="dxa"/>
          <w:right w:w="28" w:type="dxa"/>
        </w:tblCellMar>
      </w:tblPr>
      <w:tblGrid>
        <w:gridCol w:w="720"/>
        <w:gridCol w:w="3312"/>
        <w:gridCol w:w="3960"/>
      </w:tblGrid>
      <w:tr>
        <w:trPr/>
        <w:tc>
          <w:tcPr>
            <w:tcW w:w="7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"Far"</w:t>
            </w:r>
          </w:p>
        </w:tc>
        <w:tc>
          <w:tcPr>
            <w:tcW w:w="331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Tx power (dBm)</w:t>
            </w:r>
          </w:p>
        </w:tc>
        <w:tc>
          <w:tcPr>
            <w:tcW w:w="396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Rx Sensitivity (dBm)</w:t>
            </w:r>
          </w:p>
        </w:tc>
      </w:tr>
      <w:tr>
        <w:trPr/>
        <w:tc>
          <w:tcPr>
            <w:tcW w:w="7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BTS</w:t>
            </w:r>
          </w:p>
        </w:tc>
        <w:tc>
          <w:tcPr>
            <w:tcW w:w="331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c>
          <w:tcPr>
            <w:tcW w:w="39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-104</w:t>
            </w:r>
          </w:p>
        </w:tc>
      </w:tr>
      <w:tr>
        <w:trPr/>
        <w:tc>
          <w:tcPr>
            <w:tcW w:w="7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MS</w:t>
            </w:r>
          </w:p>
        </w:tc>
        <w:tc>
          <w:tcPr>
            <w:tcW w:w="331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39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-100</w:t>
            </w:r>
          </w:p>
        </w:tc>
      </w:tr>
    </w:tbl>
    <w:p>
      <w:pPr>
        <w:pStyle w:val="FP"/>
        <w:rPr/>
      </w:pPr>
      <w:r>
        <w:rPr/>
      </w:r>
    </w:p>
    <w:p>
      <w:pPr>
        <w:pStyle w:val="Normal"/>
        <w:rPr/>
      </w:pPr>
      <w:r>
        <w:rPr/>
        <w:t>Scenarios can involve uncoordinated or co-ordinated entities (MS or BTS) depending on whether they are from the same PLMN. With uncoordinated operation handover and power control are not used in response to the proximity of the BTS and more severe near/far problems can arise, however, co-ordinated scenarios are often more likely spatially and more likely to occur at lower frequency offsets. Unco-ordinated scenarios become critical when they involve mobiles being simultaneously on the edge of their serving cell and close to another operator's BTS, also the transmitter and affected receiver will be in different operator frequency allocations. It is most important that the co-ordinated scenario requirements are met where possible.</w:t>
      </w:r>
    </w:p>
    <w:p>
      <w:pPr>
        <w:pStyle w:val="Normal"/>
        <w:rPr/>
      </w:pPr>
      <w:r>
        <w:rPr/>
        <w:t>The probability and consequences of the various scenarios must be taken into account when choosing the actual specification. For example, jamming a whole base station is a more serious consequence than jamming a single mobile and intermodulation scenarios which involve the co-location of 3 entities are consequently less likely than those which only involve 2.</w:t>
      </w:r>
    </w:p>
    <w:p>
      <w:pPr>
        <w:pStyle w:val="Normal"/>
        <w:rPr/>
      </w:pPr>
      <w:r>
        <w:rPr/>
        <w:t>The remainder of this section outlines the key scenario calculations which affect  the choice of parameters for GSM 05.05. Transmitted levels are those in the receiver bandwidth, although in many cases the test bandwidths are narrower because of the need to avoid switching transients affecting the measurement.</w:t>
      </w:r>
    </w:p>
    <w:p>
      <w:pPr>
        <w:pStyle w:val="Heading2"/>
        <w:rPr/>
      </w:pPr>
      <w:bookmarkStart w:id="114" w:name="__RefHeading___Toc518035548"/>
      <w:bookmarkEnd w:id="114"/>
      <w:r>
        <w:rPr/>
        <w:t>A.7.1</w:t>
        <w:tab/>
        <w:t>Transmitter</w:t>
      </w:r>
    </w:p>
    <w:p>
      <w:pPr>
        <w:pStyle w:val="Heading3"/>
        <w:rPr/>
      </w:pPr>
      <w:bookmarkStart w:id="115" w:name="__RefHeading___Toc518035549"/>
      <w:bookmarkEnd w:id="115"/>
      <w:r>
        <w:rPr/>
        <w:t>A.7.1.1</w:t>
        <w:tab/>
        <w:t>Modulation, Spurs and Noise</w:t>
      </w:r>
    </w:p>
    <w:p>
      <w:pPr>
        <w:pStyle w:val="Heading4"/>
        <w:ind w:left="1418" w:hanging="1418"/>
        <w:rPr/>
      </w:pPr>
      <w:bookmarkStart w:id="116" w:name="__RefHeading___Toc518035550"/>
      <w:bookmarkEnd w:id="116"/>
      <w:r>
        <w:rPr/>
        <w:t>A.7.1.1.1</w:t>
        <w:tab/>
        <w:t>Co-ordinated, BTS -&gt; MS (Scenario 2, figure 2.1)</w:t>
      </w:r>
    </w:p>
    <w:p>
      <w:pPr>
        <w:pStyle w:val="Normal"/>
        <w:rPr/>
      </w:pPr>
      <w:r>
        <w:rPr/>
        <w:t>Since the affected MS is close to its own base we only need to ensure adequate C/I at the BTS.</w:t>
      </w:r>
    </w:p>
    <w:p>
      <w:pPr>
        <w:pStyle w:val="Normal"/>
        <w:rPr/>
      </w:pPr>
      <w:r>
        <w:rPr/>
        <w:t xml:space="preserve">Max. Tx noise level in Rx bandwidth = [BTS power] - [Power control range] - [C/I margin] - [Multiple interferers margin] = 39 - 30 - 9 - 10 = </w:t>
      </w:r>
      <w:r>
        <w:rPr>
          <w:b/>
        </w:rPr>
        <w:t>-10 dBm</w:t>
      </w:r>
      <w:r>
        <w:rPr/>
        <w:t>.</w:t>
      </w:r>
    </w:p>
    <w:p>
      <w:pPr>
        <w:pStyle w:val="Normal"/>
        <w:rPr/>
      </w:pPr>
      <w:r>
        <w:rPr/>
        <w:t>(BTS dynamic power control is optional, in the worst case it will be employed on the link to the affected MS but the other link will be at full power).</w:t>
      </w:r>
    </w:p>
    <w:p>
      <w:pPr>
        <w:pStyle w:val="Heading4"/>
        <w:ind w:left="1418" w:hanging="1418"/>
        <w:rPr/>
      </w:pPr>
      <w:bookmarkStart w:id="117" w:name="__RefHeading___Toc518035551"/>
      <w:bookmarkEnd w:id="117"/>
      <w:r>
        <w:rPr/>
        <w:t>A.7.1.1.2</w:t>
        <w:tab/>
        <w:t>Uncoordinated, BTS -&gt; MS (Scenario 3, figure 3.1)</w:t>
      </w:r>
    </w:p>
    <w:p>
      <w:pPr>
        <w:pStyle w:val="Normal"/>
        <w:rPr/>
      </w:pPr>
      <w:r>
        <w:rPr/>
        <w:t xml:space="preserve">Max. Tx. level of </w:t>
      </w:r>
      <w:r>
        <w:rPr>
          <w:b/>
        </w:rPr>
        <w:t>noise</w:t>
      </w:r>
      <w:r>
        <w:rPr/>
        <w:t xml:space="preserve"> in Rx. bandwidth = [MS sensitivity] - [C/I margin] - [Multiple interferers margin] + [Coupling loss] = -100 - 9 -10 + 65 = </w:t>
      </w:r>
      <w:r>
        <w:rPr>
          <w:b/>
        </w:rPr>
        <w:t>-54 dBm</w:t>
      </w:r>
      <w:r>
        <w:rPr/>
        <w:t>.</w:t>
      </w:r>
    </w:p>
    <w:p>
      <w:pPr>
        <w:pStyle w:val="Normal"/>
        <w:rPr/>
      </w:pPr>
      <w:r>
        <w:rPr/>
        <w:t xml:space="preserve">Max. Tx level of </w:t>
      </w:r>
      <w:r>
        <w:rPr>
          <w:b/>
        </w:rPr>
        <w:t>spur</w:t>
      </w:r>
      <w:r>
        <w:rPr/>
        <w:t xml:space="preserve"> in Rx bandwidth = [MS sensitivity] - [C/I margin] + [Coupling loss] = -100 - 9 + 65 = </w:t>
      </w:r>
      <w:r>
        <w:rPr>
          <w:b/>
        </w:rPr>
        <w:t>-44 dBm</w:t>
      </w:r>
      <w:r>
        <w:rPr/>
        <w:t>.</w:t>
      </w:r>
    </w:p>
    <w:p>
      <w:pPr>
        <w:pStyle w:val="Heading3"/>
        <w:rPr/>
      </w:pPr>
      <w:bookmarkStart w:id="118" w:name="__RefHeading___Toc518035552"/>
      <w:bookmarkEnd w:id="118"/>
      <w:r>
        <w:rPr>
          <w:sz w:val="24"/>
        </w:rPr>
        <w:t>A.7.1.1.3</w:t>
        <w:tab/>
        <w:t>Co-ordinated &amp; Uncoordinated MS -&gt; BTS (Scenarios 2 and 3,</w:t>
      </w:r>
      <w:r>
        <w:rPr/>
        <w:t xml:space="preserve"> figures 2.1 and 3.1)</w:t>
      </w:r>
    </w:p>
    <w:p>
      <w:pPr>
        <w:pStyle w:val="Normal"/>
        <w:rPr/>
      </w:pPr>
      <w:r>
        <w:rPr/>
        <w:t xml:space="preserve">Max. Tx level in Rx bandwidth = [BTS sensitivity] - [C/I margin] + [Coupling loss] = -104 - 9 + 65 = </w:t>
      </w:r>
      <w:r>
        <w:rPr>
          <w:b/>
        </w:rPr>
        <w:noBreakHyphen/>
        <w:t>48 dBm</w:t>
      </w:r>
      <w:r>
        <w:rPr/>
        <w:t>.</w:t>
      </w:r>
    </w:p>
    <w:p>
      <w:pPr>
        <w:pStyle w:val="Normal"/>
        <w:rPr/>
      </w:pPr>
      <w:r>
        <w:rPr/>
        <w:t>Although the absolute spec. is the same the MS may find it easier to meet scenario 2 because it will be powered down.</w:t>
      </w:r>
    </w:p>
    <w:p>
      <w:pPr>
        <w:pStyle w:val="Heading4"/>
        <w:ind w:left="1418" w:hanging="1418"/>
        <w:rPr/>
      </w:pPr>
      <w:bookmarkStart w:id="119" w:name="__RefHeading___Toc518035553"/>
      <w:bookmarkEnd w:id="119"/>
      <w:r>
        <w:rPr/>
        <w:t>A.7.1.1.4</w:t>
        <w:tab/>
        <w:t>Co-ordinated &amp; Uncoordinated MS-&gt;MS (Scenario 4)</w:t>
      </w:r>
    </w:p>
    <w:p>
      <w:pPr>
        <w:pStyle w:val="Normal"/>
        <w:rPr/>
      </w:pPr>
      <w:r>
        <w:rPr/>
        <w:t xml:space="preserve">Max Tx level in Rx bandwidth = [MS sensitivity] - [C/I margin] + [Coupling loss] = -100 - 9 + 40.5 = </w:t>
      </w:r>
      <w:r>
        <w:rPr>
          <w:b/>
        </w:rPr>
        <w:noBreakHyphen/>
        <w:t>68.5 dBm</w:t>
      </w:r>
      <w:r>
        <w:rPr/>
        <w:t>.</w:t>
      </w:r>
    </w:p>
    <w:p>
      <w:pPr>
        <w:pStyle w:val="Heading4"/>
        <w:ind w:left="1418" w:hanging="1418"/>
        <w:rPr/>
      </w:pPr>
      <w:bookmarkStart w:id="120" w:name="__RefHeading___Toc518035554"/>
      <w:bookmarkEnd w:id="120"/>
      <w:r>
        <w:rPr/>
        <w:t>A.7.1.1.5</w:t>
        <w:tab/>
        <w:t>Co-ordinated &amp; Uncoordinated BTS-&gt;BTS (Scenario 5)</w:t>
      </w:r>
    </w:p>
    <w:p>
      <w:pPr>
        <w:pStyle w:val="Normal"/>
        <w:rPr/>
      </w:pPr>
      <w:r>
        <w:rPr/>
        <w:t xml:space="preserve">Max Tx level </w:t>
      </w:r>
      <w:r>
        <w:rPr>
          <w:b/>
        </w:rPr>
        <w:t>noise</w:t>
      </w:r>
      <w:r>
        <w:rPr/>
        <w:t xml:space="preserve"> in Rx bandwidth= [BTS sensitivity] - [C/I margin] - [Multiple interferers margin] + [Coupling loss] = -104 - 9 - 10 + 30 = </w:t>
      </w:r>
      <w:r>
        <w:rPr>
          <w:b/>
        </w:rPr>
        <w:t>-93 dBm</w:t>
      </w:r>
      <w:r>
        <w:rPr/>
        <w:t>.</w:t>
      </w:r>
    </w:p>
    <w:p>
      <w:pPr>
        <w:pStyle w:val="Heading3"/>
        <w:rPr/>
      </w:pPr>
      <w:bookmarkStart w:id="121" w:name="__RefHeading___Toc518035555"/>
      <w:bookmarkEnd w:id="121"/>
      <w:r>
        <w:rPr/>
        <w:t>A.7.1.2</w:t>
        <w:tab/>
        <w:t>Switching Transients</w:t>
      </w:r>
    </w:p>
    <w:p>
      <w:pPr>
        <w:pStyle w:val="Normal"/>
        <w:rPr/>
      </w:pPr>
      <w:r>
        <w:rPr/>
        <w:t>The peak level of transients in a 5 pole synchronously tuned measurement filter of bandwidth 100 kHz simulates their effect on the receiver. The transients only effect a few bits per timeslot and have approximately 20 dB less effect than continuous interference. Their peak level falls off at 20 dB decade both with increasing frequency offset and measurement bandwidth.</w:t>
      </w:r>
    </w:p>
    <w:p>
      <w:pPr>
        <w:pStyle w:val="Heading4"/>
        <w:ind w:left="1418" w:hanging="1418"/>
        <w:rPr/>
      </w:pPr>
      <w:bookmarkStart w:id="122" w:name="__RefHeading___Toc518035556"/>
      <w:bookmarkEnd w:id="122"/>
      <w:r>
        <w:rPr/>
        <w:t>A.7.1.2.1</w:t>
        <w:tab/>
        <w:t>Uncoordinated MS -&gt; BTS (Scenario 3, figure 3.1)</w:t>
      </w:r>
    </w:p>
    <w:p>
      <w:pPr>
        <w:pStyle w:val="Normal"/>
        <w:rPr/>
      </w:pPr>
      <w:r>
        <w:rPr/>
        <w:t xml:space="preserve">Max. peak level in effective Rx BW at MS = [Base sensitivity] - [C/I margin] + [Coupling loss] + [Transient margin] = -104 - 9 +65 + 20 = </w:t>
      </w:r>
      <w:r>
        <w:rPr>
          <w:b/>
        </w:rPr>
        <w:t>-28 dBm</w:t>
      </w:r>
      <w:r>
        <w:rPr/>
        <w:t>.</w:t>
      </w:r>
    </w:p>
    <w:p>
      <w:pPr>
        <w:pStyle w:val="Heading4"/>
        <w:ind w:left="1418" w:hanging="1418"/>
        <w:rPr/>
      </w:pPr>
      <w:bookmarkStart w:id="123" w:name="__RefHeading___Toc518035557"/>
      <w:bookmarkEnd w:id="123"/>
      <w:r>
        <w:rPr/>
        <w:t>A.7.1.2.2</w:t>
        <w:tab/>
        <w:t>Uncoordinated BTS -&gt; MS (Scenario 3, figure 3.1)</w:t>
      </w:r>
    </w:p>
    <w:p>
      <w:pPr>
        <w:pStyle w:val="Normal"/>
        <w:rPr/>
      </w:pPr>
      <w:r>
        <w:rPr/>
        <w:t xml:space="preserve">Max. peak level in effective Rx BW at BTS = [MS sensitivity] - [C/I margin] + [Coupling loss] + [Transient margin] = </w:t>
        <w:noBreakHyphen/>
        <w:t xml:space="preserve">100 - 9 + 65 + 20 = </w:t>
      </w:r>
      <w:r>
        <w:rPr>
          <w:b/>
        </w:rPr>
        <w:t>-24 dBm</w:t>
      </w:r>
      <w:r>
        <w:rPr/>
        <w:t>.</w:t>
      </w:r>
    </w:p>
    <w:p>
      <w:pPr>
        <w:pStyle w:val="Heading3"/>
        <w:rPr/>
      </w:pPr>
      <w:bookmarkStart w:id="124" w:name="__RefHeading___Toc518035558"/>
      <w:bookmarkEnd w:id="124"/>
      <w:r>
        <w:rPr/>
        <w:t>A.7.1.3</w:t>
        <w:tab/>
        <w:t>Intermodulation</w:t>
      </w:r>
    </w:p>
    <w:p>
      <w:pPr>
        <w:pStyle w:val="Heading4"/>
        <w:ind w:left="1418" w:hanging="1418"/>
        <w:rPr/>
      </w:pPr>
      <w:bookmarkStart w:id="125" w:name="__RefHeading___Toc518035559"/>
      <w:bookmarkEnd w:id="125"/>
      <w:r>
        <w:rPr/>
        <w:t>A.7.1.3.1</w:t>
        <w:tab/>
        <w:t>Co-ordinated, BTS -&gt; MS (Scenario 2, figures 2.2 and 2.3)</w:t>
      </w:r>
    </w:p>
    <w:p>
      <w:pPr>
        <w:pStyle w:val="Normal"/>
        <w:rPr/>
      </w:pPr>
      <w:r>
        <w:rPr/>
        <w:t>(Level of input signal 30 dB below wanted transmission).</w:t>
      </w:r>
    </w:p>
    <w:p>
      <w:pPr>
        <w:pStyle w:val="Normal"/>
        <w:rPr/>
      </w:pPr>
      <w:r>
        <w:rPr/>
        <w:t xml:space="preserve">Required IM attenuation in BTS = [C/I margin] + [BTS power control range] + [margin for other IMs] = 9 + 30 + 3 = </w:t>
      </w:r>
      <w:r>
        <w:rPr>
          <w:b/>
        </w:rPr>
        <w:t>42 dB</w:t>
      </w:r>
      <w:r>
        <w:rPr/>
        <w:t>.</w:t>
      </w:r>
    </w:p>
    <w:p>
      <w:pPr>
        <w:pStyle w:val="Heading4"/>
        <w:ind w:left="1418" w:hanging="1418"/>
        <w:rPr/>
      </w:pPr>
      <w:bookmarkStart w:id="126" w:name="__RefHeading___Toc518035560"/>
      <w:bookmarkEnd w:id="126"/>
      <w:r>
        <w:rPr/>
        <w:t>A.7.1.3.2</w:t>
        <w:tab/>
        <w:t>Uncoordinated, BTS -&gt;MS (Scenario 3, figure 3.2 top)</w:t>
      </w:r>
    </w:p>
    <w:p>
      <w:pPr>
        <w:pStyle w:val="Normal"/>
        <w:rPr/>
      </w:pPr>
      <w:r>
        <w:rPr/>
        <w:t>(Level of input signal 30 dB below wanted transmission).</w:t>
      </w:r>
    </w:p>
    <w:p>
      <w:pPr>
        <w:pStyle w:val="Normal"/>
        <w:rPr/>
      </w:pPr>
      <w:r>
        <w:rPr/>
        <w:t>Required IM attenuation in BTS = [BTS power] - {[Max. allowed level at MS1] + [coupling loss BTS2</w:t>
        <w:noBreakHyphen/>
        <w:t xml:space="preserve">&gt;MS1]} = 39 </w:t>
        <w:noBreakHyphen/>
        <w:t xml:space="preserve">{{-100 - 9 - 3} + 65} = </w:t>
      </w:r>
      <w:r>
        <w:rPr>
          <w:b/>
        </w:rPr>
        <w:t>86 dB</w:t>
      </w:r>
      <w:r>
        <w:rPr/>
        <w:t>.</w:t>
      </w:r>
    </w:p>
    <w:p>
      <w:pPr>
        <w:pStyle w:val="Heading4"/>
        <w:ind w:left="1418" w:hanging="1418"/>
        <w:rPr/>
      </w:pPr>
      <w:bookmarkStart w:id="127" w:name="__RefHeading___Toc518035561"/>
      <w:bookmarkEnd w:id="127"/>
      <w:r>
        <w:rPr/>
        <w:t>A.7.1.3.3</w:t>
        <w:tab/>
        <w:t>Uncoordinated, MS&amp;MS-&gt; BTS (Scenario 4, figure 4.1 bottom)</w:t>
      </w:r>
    </w:p>
    <w:p>
      <w:pPr>
        <w:pStyle w:val="Normal"/>
        <w:rPr/>
      </w:pPr>
      <w:r>
        <w:rPr/>
        <w:t>(Level of input signal 40,5 dB below wanted transmission).</w:t>
      </w:r>
    </w:p>
    <w:p>
      <w:pPr>
        <w:pStyle w:val="Normal"/>
        <w:rPr/>
      </w:pPr>
      <w:r>
        <w:rPr/>
        <w:t xml:space="preserve">Required IM attenuation in MS = [MS power] - {[Max. allowed level at BTS2] + [coupling loss MS-&gt;BTS2]} = 30 </w:t>
        <w:noBreakHyphen/>
        <w:t>{{</w:t>
        <w:noBreakHyphen/>
        <w:t xml:space="preserve">104 - 9 - 3} + 65} = </w:t>
      </w:r>
      <w:r>
        <w:rPr>
          <w:b/>
        </w:rPr>
        <w:t>81 dB</w:t>
      </w:r>
      <w:r>
        <w:rPr/>
        <w:t>.</w:t>
      </w:r>
    </w:p>
    <w:p>
      <w:pPr>
        <w:pStyle w:val="Heading4"/>
        <w:ind w:left="1418" w:hanging="1418"/>
        <w:rPr/>
      </w:pPr>
      <w:bookmarkStart w:id="128" w:name="__RefHeading___Toc518035562"/>
      <w:bookmarkEnd w:id="128"/>
      <w:r>
        <w:rPr/>
        <w:t>A.7.1.3.4</w:t>
        <w:tab/>
        <w:t>Uncoordinated MS&amp;MS-&gt; MS (Scenario 4, figure 4.1 top)</w:t>
      </w:r>
    </w:p>
    <w:p>
      <w:pPr>
        <w:pStyle w:val="Normal"/>
        <w:rPr/>
      </w:pPr>
      <w:r>
        <w:rPr/>
        <w:t>(Level of input signal 40,5 dB below wanted transmission).</w:t>
      </w:r>
    </w:p>
    <w:p>
      <w:pPr>
        <w:pStyle w:val="Normal"/>
        <w:rPr/>
      </w:pPr>
      <w:r>
        <w:rPr/>
        <w:t xml:space="preserve">Required IM attenuation in MS = [MS power] - {[Max. allowed level at MS3] + [coupling loss MS-&gt;MS3]} = 30 </w:t>
        <w:noBreakHyphen/>
        <w:t>{{</w:t>
        <w:noBreakHyphen/>
        <w:t xml:space="preserve">100 - 9 - 3} + 40,5} = </w:t>
      </w:r>
      <w:r>
        <w:rPr>
          <w:b/>
        </w:rPr>
        <w:t>101,5 dB</w:t>
      </w:r>
      <w:r>
        <w:rPr/>
        <w:t>.</w:t>
      </w:r>
    </w:p>
    <w:p>
      <w:pPr>
        <w:pStyle w:val="Heading2"/>
        <w:rPr/>
      </w:pPr>
      <w:bookmarkStart w:id="129" w:name="__RefHeading___Toc518035563"/>
      <w:bookmarkEnd w:id="129"/>
      <w:r>
        <w:rPr/>
        <w:t>A.7.2</w:t>
        <w:tab/>
        <w:t>Receiver</w:t>
      </w:r>
    </w:p>
    <w:p>
      <w:pPr>
        <w:pStyle w:val="Heading3"/>
        <w:rPr/>
      </w:pPr>
      <w:bookmarkStart w:id="130" w:name="__RefHeading___Toc518035564"/>
      <w:bookmarkEnd w:id="130"/>
      <w:r>
        <w:rPr/>
        <w:t>A.7.2.1</w:t>
        <w:tab/>
        <w:t>Blocking</w:t>
      </w:r>
    </w:p>
    <w:p>
      <w:pPr>
        <w:pStyle w:val="Heading3"/>
        <w:rPr/>
      </w:pPr>
      <w:bookmarkStart w:id="131" w:name="__RefHeading___Toc518035565"/>
      <w:bookmarkEnd w:id="131"/>
      <w:r>
        <w:rPr>
          <w:sz w:val="24"/>
        </w:rPr>
        <w:t>A.7.2.1.1</w:t>
        <w:tab/>
        <w:t>Co-ordinated &amp; Uncoordinated BTS-&gt; MS (Scenarios 2 and 3,</w:t>
      </w:r>
      <w:r>
        <w:rPr/>
        <w:t xml:space="preserve"> figures 2.1 and 3.1)</w:t>
      </w:r>
    </w:p>
    <w:p>
      <w:pPr>
        <w:pStyle w:val="Normal"/>
        <w:rPr/>
      </w:pPr>
      <w:r>
        <w:rPr/>
        <w:t xml:space="preserve">Max. level at MS receiver = [BTS power] + [Multiple interferers margin] - [Coupling loss] = 39 + 10 - 65 = </w:t>
      </w:r>
      <w:r>
        <w:rPr>
          <w:b/>
        </w:rPr>
        <w:noBreakHyphen/>
        <w:t>16 dBm</w:t>
      </w:r>
      <w:r>
        <w:rPr/>
        <w:t>.</w:t>
      </w:r>
    </w:p>
    <w:p>
      <w:pPr>
        <w:pStyle w:val="Heading4"/>
        <w:ind w:left="1418" w:hanging="1418"/>
        <w:rPr/>
      </w:pPr>
      <w:bookmarkStart w:id="132" w:name="__RefHeading___Toc518035566"/>
      <w:bookmarkEnd w:id="132"/>
      <w:r>
        <w:rPr/>
        <w:t>A.7.2.1.2</w:t>
        <w:tab/>
        <w:t>Co-ordinated MS-&gt; BTS (Scenario 2, figure 2.1)</w:t>
      </w:r>
    </w:p>
    <w:p>
      <w:pPr>
        <w:pStyle w:val="Normal"/>
        <w:rPr/>
      </w:pPr>
      <w:r>
        <w:rPr/>
        <w:t xml:space="preserve">Max level at BTS receiver = [MS power] - [Power control range] - [Coupling loss] = 30 - 20 - 65 = </w:t>
      </w:r>
      <w:r>
        <w:rPr>
          <w:b/>
        </w:rPr>
        <w:t>-55 dBm</w:t>
      </w:r>
      <w:r>
        <w:rPr/>
        <w:t>.</w:t>
      </w:r>
    </w:p>
    <w:p>
      <w:pPr>
        <w:pStyle w:val="Heading4"/>
        <w:ind w:left="1418" w:hanging="1418"/>
        <w:rPr/>
      </w:pPr>
      <w:bookmarkStart w:id="133" w:name="__RefHeading___Toc518035567"/>
      <w:bookmarkEnd w:id="133"/>
      <w:r>
        <w:rPr/>
        <w:t>A.7.2.1.3</w:t>
        <w:tab/>
        <w:t>Uncoordinated MS-&gt; BTS (Scenario 3, figure 3.1)</w:t>
      </w:r>
    </w:p>
    <w:p>
      <w:pPr>
        <w:pStyle w:val="Normal"/>
        <w:rPr/>
      </w:pPr>
      <w:r>
        <w:rPr/>
        <w:t xml:space="preserve">Max level at BTS receiver = [MS power] - [Coupling loss] = 30 - 65 = </w:t>
      </w:r>
      <w:r>
        <w:rPr>
          <w:b/>
        </w:rPr>
        <w:t>-35 dBm</w:t>
      </w:r>
      <w:r>
        <w:rPr/>
        <w:t>.</w:t>
      </w:r>
    </w:p>
    <w:p>
      <w:pPr>
        <w:pStyle w:val="Heading4"/>
        <w:ind w:left="1418" w:hanging="1418"/>
        <w:rPr/>
      </w:pPr>
      <w:bookmarkStart w:id="134" w:name="__RefHeading___Toc518035568"/>
      <w:bookmarkEnd w:id="134"/>
      <w:r>
        <w:rPr/>
        <w:t>A.7.2.1.4</w:t>
        <w:tab/>
        <w:t>Co-ordinated &amp; Uncoordinated MS-&gt; MS (Scenario 4)</w:t>
      </w:r>
    </w:p>
    <w:p>
      <w:pPr>
        <w:pStyle w:val="Normal"/>
        <w:rPr/>
      </w:pPr>
      <w:r>
        <w:rPr/>
        <w:t xml:space="preserve">Max. level at MS receiver = [MS power] - [Coupling loss] = 30 - 40,5 = </w:t>
      </w:r>
      <w:r>
        <w:rPr>
          <w:b/>
        </w:rPr>
        <w:t>-10,5 dBm</w:t>
      </w:r>
      <w:r>
        <w:rPr/>
        <w:t>.</w:t>
      </w:r>
    </w:p>
    <w:p>
      <w:pPr>
        <w:pStyle w:val="Heading4"/>
        <w:ind w:left="1418" w:hanging="1418"/>
        <w:rPr/>
      </w:pPr>
      <w:bookmarkStart w:id="135" w:name="__RefHeading___Toc518035569"/>
      <w:bookmarkEnd w:id="135"/>
      <w:r>
        <w:rPr/>
        <w:t>A.7.2.1.5</w:t>
        <w:tab/>
        <w:t>Co-ordinated &amp; Uncoordinated BTS-&gt; BTS (Scenario 5)</w:t>
      </w:r>
    </w:p>
    <w:p>
      <w:pPr>
        <w:pStyle w:val="Normal"/>
        <w:rPr/>
      </w:pPr>
      <w:r>
        <w:rPr/>
        <w:t>Max. level at BTS receiver = [BTS power] + [Multiple interferers margin] - [Coupling loss] = 39 +10 - 30 = </w:t>
      </w:r>
      <w:r>
        <w:rPr>
          <w:b/>
        </w:rPr>
        <w:t>19 dBm</w:t>
      </w:r>
      <w:r>
        <w:rPr/>
        <w:t>.</w:t>
      </w:r>
    </w:p>
    <w:p>
      <w:pPr>
        <w:pStyle w:val="Heading3"/>
        <w:rPr/>
      </w:pPr>
      <w:bookmarkStart w:id="136" w:name="__RefHeading___Toc518035570"/>
      <w:bookmarkEnd w:id="136"/>
      <w:r>
        <w:rPr/>
        <w:t>A.7.2.2</w:t>
        <w:tab/>
        <w:t>Intermodulation</w:t>
      </w:r>
    </w:p>
    <w:p>
      <w:pPr>
        <w:pStyle w:val="Heading4"/>
        <w:ind w:left="1418" w:hanging="1418"/>
        <w:rPr/>
      </w:pPr>
      <w:bookmarkStart w:id="137" w:name="__RefHeading___Toc518035571"/>
      <w:bookmarkEnd w:id="137"/>
      <w:r>
        <w:rPr/>
        <w:t>A.7.2.2.1</w:t>
        <w:tab/>
        <w:t>Co-ordinated &amp; Uncoordinated BTS-&gt; MS (Scenarios 2 and 3, figure 3.2 middle)</w:t>
      </w:r>
    </w:p>
    <w:p>
      <w:pPr>
        <w:pStyle w:val="Normal"/>
        <w:rPr/>
      </w:pPr>
      <w:r>
        <w:rPr/>
        <w:t xml:space="preserve">Max. received level at MS1 = [BTS power] - [Coupling loss BTS2-&gt;MS1] + [Margin for other IMs] = 39 - 65 + 3 = </w:t>
      </w:r>
      <w:r>
        <w:rPr>
          <w:b/>
        </w:rPr>
        <w:noBreakHyphen/>
        <w:t>23 dBm</w:t>
      </w:r>
      <w:r>
        <w:rPr/>
        <w:t>.</w:t>
      </w:r>
    </w:p>
    <w:p>
      <w:pPr>
        <w:pStyle w:val="Normal"/>
        <w:rPr/>
      </w:pPr>
      <w:r>
        <w:rPr/>
        <w:t>Required IM attenuation in MS is 42 dB for scenario 2 and 86 dB for scenario 3. TheGSM 05.05 clause 5.2 test simulates scenario 3.</w:t>
      </w:r>
    </w:p>
    <w:p>
      <w:pPr>
        <w:pStyle w:val="Heading4"/>
        <w:ind w:left="1418" w:hanging="1418"/>
        <w:rPr/>
      </w:pPr>
      <w:bookmarkStart w:id="138" w:name="__RefHeading___Toc518035572"/>
      <w:bookmarkEnd w:id="138"/>
      <w:r>
        <w:rPr/>
        <w:t>A.7.2.2.2</w:t>
        <w:tab/>
        <w:t>Co-ordinated MS &amp; MS -&gt; BTS (Scenario 4)</w:t>
      </w:r>
    </w:p>
    <w:p>
      <w:pPr>
        <w:pStyle w:val="Normal"/>
        <w:rPr/>
      </w:pPr>
      <w:r>
        <w:rPr/>
        <w:t xml:space="preserve">Max. received level at BTS1 = [MS power] - [MS power control range] - [Coupling loss MS-&gt; BTS1] + [Margin for other IMs] = 30 - 20 - 65 + 3 = </w:t>
      </w:r>
      <w:r>
        <w:rPr>
          <w:b/>
        </w:rPr>
        <w:t>-52 dBm</w:t>
      </w:r>
      <w:r>
        <w:rPr/>
        <w:t>.</w:t>
      </w:r>
    </w:p>
    <w:p>
      <w:pPr>
        <w:pStyle w:val="Heading4"/>
        <w:ind w:left="1418" w:hanging="1418"/>
        <w:rPr/>
      </w:pPr>
      <w:bookmarkStart w:id="139" w:name="__RefHeading___Toc518035573"/>
      <w:bookmarkEnd w:id="139"/>
      <w:r>
        <w:rPr/>
        <w:t>A.7.2.2.3</w:t>
        <w:tab/>
        <w:t>Uncoordinated MS &amp; MS -&gt; BTS (Scenario 4, figure 3.2 lower)</w:t>
      </w:r>
    </w:p>
    <w:p>
      <w:pPr>
        <w:pStyle w:val="Normal"/>
        <w:rPr/>
      </w:pPr>
      <w:r>
        <w:rPr/>
        <w:t xml:space="preserve">Max. received level at BTS1 = [MS power] - [Coupling loss MS-&gt; BTS1] + [Margin for other IM's] = 30 - 65 + 3 = </w:t>
      </w:r>
      <w:r>
        <w:rPr>
          <w:b/>
        </w:rPr>
        <w:noBreakHyphen/>
        <w:t>32 dBm</w:t>
      </w:r>
      <w:r>
        <w:rPr/>
        <w:t>.</w:t>
      </w:r>
    </w:p>
    <w:p>
      <w:pPr>
        <w:pStyle w:val="Heading3"/>
        <w:rPr/>
      </w:pPr>
      <w:bookmarkStart w:id="140" w:name="__RefHeading___Toc518035574"/>
      <w:bookmarkEnd w:id="140"/>
      <w:r>
        <w:rPr/>
        <w:t>A.7.2.3</w:t>
        <w:tab/>
        <w:t>Maximum level</w:t>
      </w:r>
    </w:p>
    <w:p>
      <w:pPr>
        <w:pStyle w:val="Heading4"/>
        <w:ind w:left="1418" w:hanging="1418"/>
        <w:rPr/>
      </w:pPr>
      <w:bookmarkStart w:id="141" w:name="__RefHeading___Toc518035575"/>
      <w:bookmarkEnd w:id="141"/>
      <w:r>
        <w:rPr/>
        <w:t>A.7.2.3.1</w:t>
        <w:tab/>
        <w:t>Co-ordinated MS -&gt; BTS (Scenario 1)</w:t>
      </w:r>
    </w:p>
    <w:p>
      <w:pPr>
        <w:pStyle w:val="Normal"/>
        <w:rPr/>
      </w:pPr>
      <w:r>
        <w:rPr/>
        <w:t xml:space="preserve">Max level at BTS = [MS power]  - [Coupling loss] = 30 - 65 = </w:t>
      </w:r>
      <w:r>
        <w:rPr>
          <w:b/>
        </w:rPr>
        <w:t>-35 dBm</w:t>
      </w:r>
      <w:r>
        <w:rPr/>
        <w:t>.</w:t>
      </w:r>
    </w:p>
    <w:p>
      <w:pPr>
        <w:pStyle w:val="Normal"/>
        <w:rPr/>
      </w:pPr>
      <w:r>
        <w:rPr/>
        <w:t>(The BTS must be capable of decoding the RACH which is at full power).</w:t>
      </w:r>
    </w:p>
    <w:p>
      <w:pPr>
        <w:pStyle w:val="Heading4"/>
        <w:ind w:left="1418" w:hanging="1418"/>
        <w:rPr/>
      </w:pPr>
      <w:bookmarkStart w:id="142" w:name="__RefHeading___Toc518035576"/>
      <w:bookmarkEnd w:id="142"/>
      <w:r>
        <w:rPr/>
        <w:t>A.7.2.3.2</w:t>
        <w:tab/>
        <w:t>Co-ordinated BTS -&gt; MS (Scenario 1)</w:t>
      </w:r>
    </w:p>
    <w:p>
      <w:pPr>
        <w:pStyle w:val="Normal"/>
        <w:rPr/>
      </w:pPr>
      <w:r>
        <w:rPr/>
        <w:t xml:space="preserve">Max level at MS = [BTS power] - [Coupling loss] = 39 - 65 = </w:t>
      </w:r>
      <w:r>
        <w:rPr>
          <w:b/>
        </w:rPr>
        <w:t>-26 dBm</w:t>
      </w:r>
      <w:r>
        <w:rPr/>
        <w:t>.</w:t>
      </w:r>
    </w:p>
    <w:p>
      <w:pPr>
        <w:pStyle w:val="Normal"/>
        <w:rPr/>
      </w:pPr>
      <w:r>
        <w:rPr/>
        <w:t>(BTS dynamic power control is optional, in the worst case it will not be employed, also the MS must be capable of decoding the BCCH carrier).</w:t>
      </w:r>
    </w:p>
    <w:p>
      <w:pPr>
        <w:pStyle w:val="H6"/>
        <w:rPr>
          <w:lang w:val="en-US"/>
        </w:rPr>
      </w:pPr>
      <w:r>
        <w:rPr>
          <w:lang w:val="en-US"/>
        </w:rPr>
        <w:t>III</w:t>
        <w:tab/>
        <w:t>JUSTIFICATIONS</w:t>
      </w:r>
    </w:p>
    <w:p>
      <w:pPr>
        <w:pStyle w:val="Heading2"/>
        <w:rPr>
          <w:lang w:val="en-US"/>
        </w:rPr>
      </w:pPr>
      <w:bookmarkStart w:id="143" w:name="__RefHeading___Toc518035577"/>
      <w:bookmarkEnd w:id="143"/>
      <w:r>
        <w:rPr>
          <w:lang w:val="en-US"/>
        </w:rPr>
        <w:t>A.8.1</w:t>
        <w:tab/>
        <w:t>SCOPE</w:t>
      </w:r>
    </w:p>
    <w:p>
      <w:pPr>
        <w:pStyle w:val="Normal"/>
        <w:rPr>
          <w:lang w:val="en-US"/>
        </w:rPr>
      </w:pPr>
      <w:r>
        <w:rPr>
          <w:lang w:val="en-US"/>
        </w:rPr>
      </w:r>
    </w:p>
    <w:p>
      <w:pPr>
        <w:pStyle w:val="Heading2"/>
        <w:rPr/>
      </w:pPr>
      <w:bookmarkStart w:id="144" w:name="__RefHeading___Toc518035578"/>
      <w:bookmarkEnd w:id="144"/>
      <w:r>
        <w:rPr/>
        <w:t>A.8.2</w:t>
        <w:tab/>
        <w:t>FREQUENCY BANDS AND CHANNEL ARRANGEMENT</w:t>
      </w:r>
    </w:p>
    <w:p>
      <w:pPr>
        <w:pStyle w:val="Normal"/>
        <w:rPr/>
      </w:pPr>
      <w:r>
        <w:rPr/>
        <w:t>The up and downlink frequencies have been changed to cover the 1,8 GHz band. The 374 carrier frequencies have been assigned ARFCNs starting at 512.</w:t>
      </w:r>
    </w:p>
    <w:p>
      <w:pPr>
        <w:pStyle w:val="Heading2"/>
        <w:rPr/>
      </w:pPr>
      <w:bookmarkStart w:id="145" w:name="__RefHeading___Toc518035579"/>
      <w:bookmarkEnd w:id="145"/>
      <w:r>
        <w:rPr/>
        <w:t>A.8.3</w:t>
        <w:tab/>
        <w:t>REFERENCE CONFIGURATION</w:t>
      </w:r>
    </w:p>
    <w:p>
      <w:pPr>
        <w:pStyle w:val="Normal"/>
        <w:rPr/>
      </w:pPr>
      <w:r>
        <w:rPr/>
      </w:r>
    </w:p>
    <w:p>
      <w:pPr>
        <w:pStyle w:val="Heading2"/>
        <w:rPr/>
      </w:pPr>
      <w:bookmarkStart w:id="146" w:name="__RefHeading___Toc518035580"/>
      <w:bookmarkEnd w:id="146"/>
      <w:r>
        <w:rPr/>
        <w:t>A.8.4</w:t>
        <w:tab/>
        <w:t>TRANSMITTER CHARACTERISTICS</w:t>
      </w:r>
    </w:p>
    <w:p>
      <w:pPr>
        <w:pStyle w:val="Heading3"/>
        <w:rPr/>
      </w:pPr>
      <w:bookmarkStart w:id="147" w:name="__RefHeading___Toc518035581"/>
      <w:bookmarkEnd w:id="147"/>
      <w:r>
        <w:rPr/>
        <w:t>A.8.4.1</w:t>
        <w:tab/>
        <w:t>Output power</w:t>
      </w:r>
    </w:p>
    <w:p>
      <w:pPr>
        <w:pStyle w:val="Heading4"/>
        <w:ind w:left="1418" w:hanging="1418"/>
        <w:rPr/>
      </w:pPr>
      <w:bookmarkStart w:id="148" w:name="__RefHeading___Toc518035582"/>
      <w:bookmarkEnd w:id="148"/>
      <w:r>
        <w:rPr/>
        <w:t>A.8.4.1.1</w:t>
        <w:tab/>
        <w:t>Mobile Station</w:t>
      </w:r>
    </w:p>
    <w:p>
      <w:pPr>
        <w:pStyle w:val="Normal"/>
        <w:rPr/>
      </w:pPr>
      <w:r>
        <w:rPr/>
        <w:t>MS power classes of 1 and ¼W have been chosen for DCS1800 defined in the same way as for GSM900. With a 30 m antenna height Hata's model predicts that the higher MS power class will not quite meet the target ranges given in the system scenarios paper both for urban and rural areas. The requirement for a cheap, small, low power handset is also an important constraint. It is felt that the chosen power classes represent a reasonable compromise between these conflicting requirements.</w:t>
      </w:r>
    </w:p>
    <w:p>
      <w:pPr>
        <w:pStyle w:val="Normal"/>
        <w:rPr/>
      </w:pPr>
      <w:r>
        <w:rPr/>
        <w:t>A 20 dB power control range has been chosen for both classes of mobile since it is believed that this will give most of the available improvement in uplink co-channel interference.</w:t>
      </w:r>
    </w:p>
    <w:p>
      <w:pPr>
        <w:pStyle w:val="Normal"/>
        <w:rPr/>
      </w:pPr>
      <w:r>
        <w:rPr/>
        <w:t>Since the chosen power classes and hence power control levels are even numbers in dBm they will not fit into the existing numbering scheme, so a new one has been used. These numbers are only of editorial significance.</w:t>
      </w:r>
    </w:p>
    <w:p>
      <w:pPr>
        <w:pStyle w:val="Normal"/>
        <w:rPr/>
      </w:pPr>
      <w:r>
        <w:rPr/>
        <w:t>The absolute tolerance on power control levels below 13 dBm has been increased by:</w:t>
      </w:r>
    </w:p>
    <w:p>
      <w:pPr>
        <w:pStyle w:val="B1"/>
        <w:rPr/>
      </w:pPr>
      <w:r>
        <w:rPr/>
        <w:t>-</w:t>
        <w:tab/>
        <w:t>1 dB because of manufacturers' concerns about implementation.</w:t>
      </w:r>
    </w:p>
    <w:p>
      <w:pPr>
        <w:pStyle w:val="Heading4"/>
        <w:ind w:left="1418" w:hanging="1418"/>
        <w:rPr/>
      </w:pPr>
      <w:bookmarkStart w:id="149" w:name="__RefHeading___Toc518035583"/>
      <w:bookmarkEnd w:id="149"/>
      <w:r>
        <w:rPr/>
        <w:t>A.8.4.1.2</w:t>
        <w:tab/>
        <w:t>Base Station</w:t>
      </w:r>
    </w:p>
    <w:p>
      <w:pPr>
        <w:pStyle w:val="Normal"/>
        <w:rPr/>
      </w:pPr>
      <w:r>
        <w:rPr/>
        <w:t>Following GSM900, the BTS power classes are specified at the combiner input. In order to provide the operator some flexibility four power classes have been specified in the range 34 dBm to 43 dBm. In fact the four lowest power classes from GSM900 have been retained although the numbering has been changed. The 39 dBm BTS power measured at the antenna connector might typically match a 30 dBm mobile.</w:t>
      </w:r>
    </w:p>
    <w:p>
      <w:pPr>
        <w:pStyle w:val="Normal"/>
        <w:rPr/>
      </w:pPr>
      <w:r>
        <w:rPr/>
        <w:t>The tolerance on the BTS static power control step size has been relaxed to simplify implementation, control of the BTS power to an accuracy of less than 1dB was felt to be unnecessary.</w:t>
      </w:r>
    </w:p>
    <w:p>
      <w:pPr>
        <w:pStyle w:val="Normal"/>
        <w:rPr/>
      </w:pPr>
      <w:r>
        <w:rPr/>
        <w:t>The penultimate paragraph has been reworded because a class 1 mobile no longer has 15 power steps.</w:t>
      </w:r>
    </w:p>
    <w:p>
      <w:pPr>
        <w:pStyle w:val="Heading3"/>
        <w:rPr/>
      </w:pPr>
      <w:bookmarkStart w:id="150" w:name="__RefHeading___Toc518035584"/>
      <w:bookmarkEnd w:id="150"/>
      <w:r>
        <w:rPr/>
        <w:t>A.8.4.2</w:t>
        <w:tab/>
        <w:t>Output RF spectrum</w:t>
      </w:r>
    </w:p>
    <w:p>
      <w:pPr>
        <w:pStyle w:val="Normal"/>
        <w:rPr/>
      </w:pPr>
      <w:r>
        <w:rPr/>
        <w:t>The BTS is not tested in frequency hopping mode. If the BTS uses baseband frequency hopping then it would add little to test in FH mode; if it uses RF hopping then the test will be complicated by permissible intermodulation products (see subclause 4.7) from BTSs which do not de-activate unallocated timeslots.</w:t>
      </w:r>
    </w:p>
    <w:p>
      <w:pPr>
        <w:pStyle w:val="Heading4"/>
        <w:ind w:left="1418" w:hanging="1418"/>
        <w:rPr/>
      </w:pPr>
      <w:bookmarkStart w:id="151" w:name="__RefHeading___Toc518035585"/>
      <w:bookmarkEnd w:id="151"/>
      <w:r>
        <w:rPr/>
        <w:t>A.8.4.2.1</w:t>
        <w:tab/>
        <w:t>Spectrum due to the modulation</w:t>
      </w:r>
    </w:p>
    <w:p>
      <w:pPr>
        <w:pStyle w:val="Normal"/>
        <w:rPr/>
      </w:pPr>
      <w:r>
        <w:rPr/>
        <w:t>The relaxation for MSs with integral antennas has been removed.</w:t>
      </w:r>
    </w:p>
    <w:p>
      <w:pPr>
        <w:pStyle w:val="Normal"/>
        <w:rPr/>
      </w:pPr>
      <w:r>
        <w:rPr/>
        <w:t>The measurement has been extended to cover the whole transmit band and beyond 1 800 kHz from carrier measurements are only taken on DCS1800 carrier frequencies using a 100 kHz bandwidth. This technique still avoids permissible switching transients, is fairly quick and closely reflects the receiver bandwidth and hence the system scenario.  It is now a measurement of broadband noise as well as modulation.</w:t>
      </w:r>
    </w:p>
    <w:p>
      <w:pPr>
        <w:pStyle w:val="Normal"/>
        <w:rPr/>
      </w:pPr>
      <w:r>
        <w:rPr/>
        <w:t>The technique proposed in CR 30 for counting spur exceptions in FH mode  for GSM 05.05 is also included here.</w:t>
      </w:r>
    </w:p>
    <w:p>
      <w:pPr>
        <w:pStyle w:val="Normal"/>
        <w:rPr/>
      </w:pPr>
      <w:r>
        <w:rPr/>
        <w:t>The table has been split into those parts which apply to the mobile and those which apply to the base reflecting the difference in their respective scenario requirements.</w:t>
      </w:r>
    </w:p>
    <w:p>
      <w:pPr>
        <w:pStyle w:val="Normal"/>
        <w:rPr/>
      </w:pPr>
      <w:r>
        <w:rPr/>
        <w:t>When operating at full power, the table below shows the frequency offset at which scenario requirements are met.</w:t>
      </w:r>
    </w:p>
    <w:p>
      <w:pPr>
        <w:pStyle w:val="TH"/>
        <w:rPr/>
      </w:pPr>
      <w:r>
        <w:rPr/>
      </w:r>
    </w:p>
    <w:tbl>
      <w:tblPr>
        <w:tblW w:w="7891" w:type="dxa"/>
        <w:jc w:val="center"/>
        <w:tblInd w:w="0" w:type="dxa"/>
        <w:tblLayout w:type="fixed"/>
        <w:tblCellMar>
          <w:top w:w="0" w:type="dxa"/>
          <w:left w:w="28" w:type="dxa"/>
          <w:bottom w:w="0" w:type="dxa"/>
          <w:right w:w="28" w:type="dxa"/>
        </w:tblCellMar>
      </w:tblPr>
      <w:tblGrid>
        <w:gridCol w:w="1440"/>
        <w:gridCol w:w="2635"/>
        <w:gridCol w:w="3816"/>
      </w:tblGrid>
      <w:tr>
        <w:trPr/>
        <w:tc>
          <w:tcPr>
            <w:tcW w:w="1440"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26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39 dBm BTS at ant. conn.</w:t>
            </w:r>
          </w:p>
        </w:tc>
        <w:tc>
          <w:tcPr>
            <w:tcW w:w="381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30 dBm MS</w:t>
            </w:r>
          </w:p>
        </w:tc>
      </w:tr>
      <w:tr>
        <w:trPr/>
        <w:tc>
          <w:tcPr>
            <w:tcW w:w="144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Scenario 2 </w:t>
            </w:r>
          </w:p>
        </w:tc>
        <w:tc>
          <w:tcPr>
            <w:tcW w:w="2635" w:type="dxa"/>
            <w:tcBorders>
              <w:top w:val="single" w:sz="6" w:space="0" w:color="000000"/>
              <w:left w:val="single" w:sz="6" w:space="0" w:color="000000"/>
              <w:bottom w:val="single" w:sz="6" w:space="0" w:color="000000"/>
              <w:right w:val="single" w:sz="6" w:space="0" w:color="000000"/>
            </w:tcBorders>
          </w:tcPr>
          <w:p>
            <w:pPr>
              <w:pStyle w:val="TAL"/>
              <w:rPr/>
            </w:pPr>
            <w:r>
              <w:rPr>
                <w:lang w:val="en-GB"/>
              </w:rPr>
              <w:t>400 kHz (1.1.1)</w:t>
            </w:r>
          </w:p>
        </w:tc>
        <w:tc>
          <w:tcPr>
            <w:tcW w:w="381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400 kHz (1.1.3)</w:t>
            </w:r>
          </w:p>
        </w:tc>
      </w:tr>
      <w:tr>
        <w:trPr/>
        <w:tc>
          <w:tcPr>
            <w:tcW w:w="144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Scenario 3</w:t>
            </w:r>
          </w:p>
        </w:tc>
        <w:tc>
          <w:tcPr>
            <w:tcW w:w="263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missed by 10dB </w:t>
            </w:r>
          </w:p>
          <w:p>
            <w:pPr>
              <w:pStyle w:val="TAL"/>
              <w:rPr>
                <w:lang w:val="en-GB"/>
              </w:rPr>
            </w:pPr>
            <w:r>
              <w:rPr>
                <w:lang w:val="en-GB"/>
              </w:rPr>
              <w:t>at 6 MHz (1.1.2)</w:t>
            </w:r>
          </w:p>
        </w:tc>
        <w:tc>
          <w:tcPr>
            <w:tcW w:w="381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 MHz (1.1.3)</w:t>
            </w:r>
          </w:p>
        </w:tc>
      </w:tr>
    </w:tbl>
    <w:p>
      <w:pPr>
        <w:pStyle w:val="FP"/>
        <w:rPr/>
      </w:pPr>
      <w:r>
        <w:rPr/>
      </w:r>
    </w:p>
    <w:p>
      <w:pPr>
        <w:pStyle w:val="Normal"/>
        <w:rPr/>
      </w:pPr>
      <w:r>
        <w:rPr/>
        <w:t xml:space="preserve">The figures in brackets are the relevant scenario requirement sub-section numbers in section II of the present document. </w:t>
      </w:r>
    </w:p>
    <w:p>
      <w:pPr>
        <w:pStyle w:val="Normal"/>
        <w:rPr/>
      </w:pPr>
      <w:r>
        <w:rPr/>
        <w:t>Exceptions i and ii below the table define the maximum number of exception channels appropriate to the frequency bands tested. For the BTS permissible intermodulation products must be avoided.</w:t>
      </w:r>
    </w:p>
    <w:p>
      <w:pPr>
        <w:pStyle w:val="Normal"/>
        <w:rPr/>
      </w:pPr>
      <w:r>
        <w:rPr/>
        <w:t>Since the table entries are relative, as the power level of the transmitter is reduced, the absolute specification becomes tighter. Exceptions iii and iv stop the transmitters having to exceed the requirement of scenario 3. Further relaxations are permitted at low frequency offsets; for the MS scenario 3 is unlikely below 600 kHz and the requirement of scenario 2 is used; for the BTS, the 10 dB multiple interferers margin is excessive below 1 800 kHz and the minimum level is increased by 5 dB.</w:t>
      </w:r>
    </w:p>
    <w:p>
      <w:pPr>
        <w:pStyle w:val="Heading4"/>
        <w:ind w:left="1418" w:hanging="1418"/>
        <w:rPr/>
      </w:pPr>
      <w:bookmarkStart w:id="152" w:name="__RefHeading___Toc518035586"/>
      <w:bookmarkEnd w:id="152"/>
      <w:r>
        <w:rPr/>
        <w:t>A.8.4.2.2</w:t>
        <w:tab/>
        <w:t>Spectrum due to switching transients</w:t>
      </w:r>
    </w:p>
    <w:p>
      <w:pPr>
        <w:pStyle w:val="Normal"/>
        <w:rPr/>
      </w:pPr>
      <w:r>
        <w:rPr/>
        <w:t>a) Mobile Station</w:t>
      </w:r>
    </w:p>
    <w:p>
      <w:pPr>
        <w:pStyle w:val="B1"/>
        <w:rPr/>
      </w:pPr>
      <w:r>
        <w:rPr/>
        <w:tab/>
        <w:t>The table has been modified in accordance with the new mobile power classes. The transients are always above the modulation at 400 kHz offset and so the table collapses to a single row.</w:t>
      </w:r>
    </w:p>
    <w:p>
      <w:pPr>
        <w:pStyle w:val="B1"/>
        <w:rPr/>
      </w:pPr>
      <w:r>
        <w:rPr/>
        <w:tab/>
        <w:t>Requirement 1.2.1 for scenario 3 becomes -38,5 dBm in 30 kHz. The current specification meets this requirement at offsets above 2.4 MHz while the 4.2.1 test only meets scenario 3 at offsets above 6 MHz. The specification on transients is not the limiting case and need not be changed.</w:t>
      </w:r>
    </w:p>
    <w:p>
      <w:pPr>
        <w:pStyle w:val="Normal"/>
        <w:rPr/>
      </w:pPr>
      <w:r>
        <w:rPr/>
        <w:t>b) Base Station</w:t>
      </w:r>
    </w:p>
    <w:p>
      <w:pPr>
        <w:pStyle w:val="B1"/>
        <w:rPr/>
      </w:pPr>
      <w:r>
        <w:rPr/>
        <w:tab/>
        <w:t>Requirement 1.2.2 for scenario 3 becomes -34,5 dBm in 30 kHz. With the current specification a 39 dBm BTS meets this requirement at 600 kHz. Again no change is proposed. This figure assumes that "dBc" means relative to the on-carrier power in 30 kHz; a possible ambiguity in the wording has been removed.</w:t>
      </w:r>
    </w:p>
    <w:p>
      <w:pPr>
        <w:pStyle w:val="Heading3"/>
        <w:rPr/>
      </w:pPr>
      <w:bookmarkStart w:id="153" w:name="__RefHeading___Toc518035587"/>
      <w:bookmarkEnd w:id="153"/>
      <w:r>
        <w:rPr/>
        <w:t>A.8.4.3</w:t>
        <w:tab/>
        <w:t>Spurious emissions</w:t>
      </w:r>
    </w:p>
    <w:p>
      <w:pPr>
        <w:pStyle w:val="Heading4"/>
        <w:ind w:left="1418" w:hanging="1418"/>
        <w:rPr/>
      </w:pPr>
      <w:bookmarkStart w:id="154" w:name="__RefHeading___Toc518035588"/>
      <w:bookmarkEnd w:id="154"/>
      <w:r>
        <w:rPr/>
        <w:t>A.8.4.3.1</w:t>
        <w:tab/>
        <w:t>Principle of the specification</w:t>
      </w:r>
    </w:p>
    <w:p>
      <w:pPr>
        <w:pStyle w:val="Normal"/>
        <w:rPr/>
      </w:pPr>
      <w:r>
        <w:rPr/>
        <w:t>Although 4.2.1 now covers the whole transmit band, the in band part of 4.3.1 is still required to check the behaviour of switching transients beyond 1800 kHz and to catch any spurs missed in 4.2.1.</w:t>
      </w:r>
    </w:p>
    <w:p>
      <w:pPr>
        <w:pStyle w:val="Heading4"/>
        <w:ind w:left="1418" w:hanging="1418"/>
        <w:rPr/>
      </w:pPr>
      <w:bookmarkStart w:id="155" w:name="__RefHeading___Toc518035589"/>
      <w:bookmarkEnd w:id="155"/>
      <w:r>
        <w:rPr/>
        <w:t>A.8.4.3.2</w:t>
        <w:tab/>
        <w:t>Base Station</w:t>
      </w:r>
    </w:p>
    <w:p>
      <w:pPr>
        <w:pStyle w:val="Normal"/>
        <w:rPr/>
      </w:pPr>
      <w:r>
        <w:rPr/>
        <w:t>The protection of frequencies outside the DCS1800 band is unchanged, but the spurious emissions in the transmit band are only permitted up to -36 dBm which is below the CEPT limit of -30 dBm but the same as GSM 05.05. The same applies to the MS transmit band in 4.3.3. The new base receive band is given the same protection as before measured in the modified conditions of 4.2.1, this meets scenario requirement 1.1.5 scaled to a measurement bandwidth of 100 kHz. The GSM900 base receive band is also protected but only when the co-siting of GSM and DCS BTSs occurs.</w:t>
      </w:r>
    </w:p>
    <w:p>
      <w:pPr>
        <w:pStyle w:val="Heading4"/>
        <w:ind w:left="1418" w:hanging="1418"/>
        <w:rPr/>
      </w:pPr>
      <w:bookmarkStart w:id="156" w:name="__RefHeading___Toc518035590"/>
      <w:bookmarkEnd w:id="156"/>
      <w:r>
        <w:rPr/>
        <w:t>A.8.4.3.3</w:t>
        <w:tab/>
        <w:t>Mobile Station</w:t>
      </w:r>
    </w:p>
    <w:p>
      <w:pPr>
        <w:pStyle w:val="Normal"/>
        <w:rPr/>
      </w:pPr>
      <w:r>
        <w:rPr/>
        <w:t>This section consists of two blanket specifications one for transmit mode and one for idle mode Specific tests of the MS receive band are also given.</w:t>
      </w:r>
    </w:p>
    <w:p>
      <w:pPr>
        <w:pStyle w:val="Normal"/>
        <w:rPr/>
      </w:pPr>
      <w:r>
        <w:rPr/>
        <w:t>When allocated a channel, the transmit band and out-of-band specifications are the same as for the BTS in 4.3.2. These are consistent with 4.2.1 and the CEPT specifications for spurious emissions.</w:t>
      </w:r>
    </w:p>
    <w:p>
      <w:pPr>
        <w:pStyle w:val="Normal"/>
        <w:rPr/>
      </w:pPr>
      <w:r>
        <w:rPr/>
        <w:t>In idle mode the CEPT specification below 1 GHz is also applied to the DCS transmit and receive bands using a 100 kHz measurement bandwidth, this specification also exceeds scenario requirement 1.1.3 for the MS transmit band. however, the number of mobiles in idle mode may be quite large.</w:t>
      </w:r>
    </w:p>
    <w:p>
      <w:pPr>
        <w:pStyle w:val="Normal"/>
        <w:rPr/>
      </w:pPr>
      <w:r>
        <w:rPr/>
        <w:t>The test of the MS receive band meets scenario requirement 1.1.4 and uses the modified conditions of 4.2.1. 5 exception channels are permitted for discrete spurious, it is rather unlikely that two MS will be one metre apart and receiving at one of these exception channels. Protection of the GSM900 MS receive band is also provided. The specification is 6 dB tighter reflecting the reduced propagation loss between colocated MS at 900 MHz. The dependence of this test on power class has been removed since all mobiles are hand portables. No extra testing of the MS receive band in idle mode is made because it is unlikely to be worse than when allocated a channel.</w:t>
      </w:r>
    </w:p>
    <w:p>
      <w:pPr>
        <w:pStyle w:val="Heading3"/>
        <w:rPr/>
      </w:pPr>
      <w:bookmarkStart w:id="157" w:name="__RefHeading___Toc518035591"/>
      <w:bookmarkEnd w:id="157"/>
      <w:r>
        <w:rPr/>
        <w:t>A.8.4.4</w:t>
        <w:tab/>
        <w:t>Radio frequency tolerance</w:t>
      </w:r>
    </w:p>
    <w:p>
      <w:pPr>
        <w:pStyle w:val="Heading3"/>
        <w:rPr/>
      </w:pPr>
      <w:bookmarkStart w:id="158" w:name="__RefHeading___Toc518035592"/>
      <w:bookmarkEnd w:id="158"/>
      <w:r>
        <w:rPr/>
        <w:t>A.8.4.5</w:t>
        <w:tab/>
        <w:t>Output level dynamic operation</w:t>
      </w:r>
    </w:p>
    <w:p>
      <w:pPr>
        <w:pStyle w:val="Heading4"/>
        <w:ind w:left="1418" w:hanging="1418"/>
        <w:rPr/>
      </w:pPr>
      <w:bookmarkStart w:id="159" w:name="__RefHeading___Toc518035593"/>
      <w:bookmarkEnd w:id="159"/>
      <w:r>
        <w:rPr/>
        <w:t>A.8.4.5.1</w:t>
        <w:tab/>
        <w:t>Base station</w:t>
      </w:r>
    </w:p>
    <w:p>
      <w:pPr>
        <w:pStyle w:val="Normal"/>
        <w:rPr/>
      </w:pPr>
      <w:r>
        <w:rPr/>
        <w:t>This specification only affects the interference experienced by co-channel cells in the same PLMN. The requirement on the relative power level of unactivated timeslots has been relaxed from -70 dBc to -30 dBc in line with the BTS power control range. It is understood that "dBc" includes the static but not dynamic power control.The specification has been extended to cover the whole transmit band because the residual power may not be highest on carrier.</w:t>
      </w:r>
    </w:p>
    <w:p>
      <w:pPr>
        <w:pStyle w:val="Normal"/>
        <w:rPr/>
      </w:pPr>
      <w:r>
        <w:rPr/>
        <w:t xml:space="preserve">The measurement bandwidth is specified as </w:t>
      </w:r>
      <w:r>
        <w:rPr>
          <w:b/>
        </w:rPr>
        <w:t>at least</w:t>
      </w:r>
      <w:r>
        <w:rPr/>
        <w:t xml:space="preserve"> 300 kHz due to problems with ringing of the measurement filter just after an active burst has finished.</w:t>
      </w:r>
    </w:p>
    <w:p>
      <w:pPr>
        <w:pStyle w:val="Heading4"/>
        <w:ind w:left="1418" w:hanging="1418"/>
        <w:rPr>
          <w:lang w:val="en-US"/>
        </w:rPr>
      </w:pPr>
      <w:bookmarkStart w:id="160" w:name="__RefHeading___Toc518035594"/>
      <w:bookmarkEnd w:id="160"/>
      <w:r>
        <w:rPr>
          <w:lang w:val="en-US"/>
        </w:rPr>
        <w:t>A.8.4.5.2</w:t>
        <w:tab/>
        <w:t>Mobile station:</w:t>
      </w:r>
    </w:p>
    <w:p>
      <w:pPr>
        <w:pStyle w:val="Normal"/>
        <w:rPr/>
      </w:pPr>
      <w:r>
        <w:rPr/>
        <w:t>The power level between active bursts from the MS affects the serving BTS receiver. The power measured in 100 kHz on carrier will be similar to that measured in the receiver bandwidth which must be less than -48 dBm to meet scenario requirement 1.1.3. The absolute specification has been tightened from -36 dBm to -47 dBm in line with this requirement but the relative specification has been retained. Allowing 10 dB for the peak-to-mean ratio of the power between active bursts if it is noise-like,  the relative specification will meet this scenario requirement for a 1W MS.</w:t>
      </w:r>
    </w:p>
    <w:p>
      <w:pPr>
        <w:pStyle w:val="Heading3"/>
        <w:rPr/>
      </w:pPr>
      <w:bookmarkStart w:id="161" w:name="__RefHeading___Toc518035595"/>
      <w:bookmarkEnd w:id="161"/>
      <w:r>
        <w:rPr/>
        <w:t>A.8.4.6</w:t>
        <w:tab/>
        <w:t>Phase accuracy</w:t>
      </w:r>
    </w:p>
    <w:p>
      <w:pPr>
        <w:pStyle w:val="Heading3"/>
        <w:rPr/>
      </w:pPr>
      <w:bookmarkStart w:id="162" w:name="__RefHeading___Toc518035596"/>
      <w:bookmarkEnd w:id="162"/>
      <w:r>
        <w:rPr/>
        <w:t>A.8.4.7</w:t>
        <w:tab/>
        <w:t>Intermodulation attenuation</w:t>
      </w:r>
    </w:p>
    <w:p>
      <w:pPr>
        <w:pStyle w:val="Normal"/>
        <w:rPr/>
      </w:pPr>
      <w:r>
        <w:rPr/>
        <w:t>The definition of intermodulation attenuation has been moved from subclause 4.7.1 to subclause 4.7 to make it clear that it applies to subclauses 4.7.1, 4.7.2 and 4.7.3. A note concerning possible problems with VHF broadcast signals has been added because these are at the difference between the DCS up and downlink frequencies.</w:t>
      </w:r>
    </w:p>
    <w:p>
      <w:pPr>
        <w:pStyle w:val="Heading4"/>
        <w:ind w:left="1418" w:hanging="1418"/>
        <w:rPr/>
      </w:pPr>
      <w:bookmarkStart w:id="163" w:name="__RefHeading___Toc518035597"/>
      <w:bookmarkEnd w:id="163"/>
      <w:r>
        <w:rPr/>
        <w:t>A.8.4.7.1</w:t>
        <w:tab/>
        <w:t>Base transceiver station</w:t>
      </w:r>
    </w:p>
    <w:p>
      <w:pPr>
        <w:pStyle w:val="Heading4"/>
        <w:ind w:left="1418" w:hanging="1418"/>
        <w:rPr/>
      </w:pPr>
      <w:bookmarkStart w:id="164" w:name="__RefHeading___Toc518035598"/>
      <w:bookmarkEnd w:id="164"/>
      <w:r>
        <w:rPr/>
        <w:t>A.8.4.7.2</w:t>
        <w:tab/>
        <w:t>Intra BTS intermodulation attenuation</w:t>
      </w:r>
    </w:p>
    <w:p>
      <w:pPr>
        <w:pStyle w:val="Heading4"/>
        <w:ind w:left="1418" w:hanging="1418"/>
        <w:rPr/>
      </w:pPr>
      <w:bookmarkStart w:id="165" w:name="__RefHeading___Toc518035599"/>
      <w:bookmarkEnd w:id="165"/>
      <w:r>
        <w:rPr/>
        <w:t>A.8.4.7.3</w:t>
        <w:tab/>
        <w:t>Intermodulation between MS</w:t>
      </w:r>
    </w:p>
    <w:p>
      <w:pPr>
        <w:pStyle w:val="Normal"/>
        <w:rPr/>
      </w:pPr>
      <w:r>
        <w:rPr/>
        <w:t>Section 4.7.3 of the 900 MHz specification concerned the mobile PBX. The mobile PBX is no longer included in GSM 02.06, there is no type approval for it and consequently the original subclause 4.7.3 text has been removed. The new section 4.7.3 relates to intermodulation between MS transmitters, an area which was not covered in the 900 MHz standard.</w:t>
      </w:r>
    </w:p>
    <w:p>
      <w:pPr>
        <w:pStyle w:val="Normal"/>
        <w:rPr/>
      </w:pPr>
      <w:r>
        <w:rPr/>
        <w:t>In the proposed measurement, the level of the interfering signal simulates that from a very close MS and the required IM attenuation is to protect MS or BS receivers in the vicinity. MS transmit intermods are covered by scenario requirements 1.3.3 and 1.3.4. If the product lands in the BTS receive band 81 dB IM attenuation is required, if the product lands in the MS receive band 101,5 dB IM attenuation is required in the MS transmitter which produces the IM.</w:t>
      </w:r>
    </w:p>
    <w:p>
      <w:pPr>
        <w:pStyle w:val="Normal"/>
        <w:rPr/>
      </w:pPr>
      <w:r>
        <w:rPr/>
        <w:t>Both these scenarios require the co-location of 3 objects (MS or BTS)  with the correct frequency relationship. Experiments performed by manufacturers on 900 MHz PA's indicate that 50 dB attenuation is achievable at all frequency offsets. A tighter specification would require the use of an isolator or more linearity in the PA design. A specification of 50 dB tested at 800 kHz offset was agreed.</w:t>
      </w:r>
    </w:p>
    <w:p>
      <w:pPr>
        <w:pStyle w:val="Heading2"/>
        <w:rPr/>
      </w:pPr>
      <w:bookmarkStart w:id="166" w:name="__RefHeading___Toc518035600"/>
      <w:bookmarkEnd w:id="166"/>
      <w:r>
        <w:rPr/>
        <w:t>A.8.5</w:t>
        <w:tab/>
        <w:t>RECEIVER CHARACTERISTICS</w:t>
      </w:r>
    </w:p>
    <w:p>
      <w:pPr>
        <w:pStyle w:val="Normal"/>
        <w:rPr/>
      </w:pPr>
      <w:r>
        <w:rPr/>
        <w:t>A clarification of the of the measurement point for the receiver specifications in line with that for the transmitter has been made.</w:t>
      </w:r>
    </w:p>
    <w:p>
      <w:pPr>
        <w:pStyle w:val="Heading3"/>
        <w:rPr/>
      </w:pPr>
      <w:bookmarkStart w:id="167" w:name="__RefHeading___Toc518035601"/>
      <w:bookmarkEnd w:id="167"/>
      <w:r>
        <w:rPr/>
        <w:t>A.8.5.1</w:t>
        <w:tab/>
        <w:t>Blocking characteristics</w:t>
      </w:r>
    </w:p>
    <w:p>
      <w:pPr>
        <w:pStyle w:val="Normal"/>
        <w:rPr/>
      </w:pPr>
      <w:r>
        <w:rPr/>
        <w:t>The MS blocking specification close to the received channel has not been changed, this is limited by the receive synthesizer phase noise. At higher frequency offsets the blocking specification relates to the DCS1800 band and the feasibility of the receive filter. The proposed specification is shown below, the dashed line shows a possible receive filter frequency response.</w:t>
      </w:r>
    </w:p>
    <w:p>
      <w:pPr>
        <w:pStyle w:val="Normal"/>
        <w:rPr/>
      </w:pPr>
      <w:r>
        <w:rPr/>
        <w:t>The blocking specification at &gt; 3 MHz offset in the receive band misses the scenario requirement  2.1.1 (-16 dBm) by 10 dB, but the transmit band specification meets scenario requirement 2.1.4 (-10,5 dBm). Power consumption considerations make it undesirable to tighten the receive band specification. The outside the DCS1800 band the 0 dBm specification has been retained. The combination of these proposals amounts to a filter specification over the MS receive band as shown below.</w:t>
      </w:r>
    </w:p>
    <w:p>
      <w:pPr>
        <w:pStyle w:val="TH"/>
        <w:rPr/>
      </w:pPr>
      <w:r>
        <w:rPr/>
        <w:drawing>
          <wp:inline distT="0" distB="0" distL="0" distR="0">
            <wp:extent cx="5640705" cy="4064635"/>
            <wp:effectExtent l="0" t="0" r="0" b="0"/>
            <wp:docPr id="43"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7" descr=""/>
                    <pic:cNvPicPr>
                      <a:picLocks noChangeAspect="1" noChangeArrowheads="1"/>
                    </pic:cNvPicPr>
                  </pic:nvPicPr>
                  <pic:blipFill>
                    <a:blip r:embed="rId37"/>
                    <a:srcRect l="-6" t="-9" r="-6" b="-9"/>
                    <a:stretch>
                      <a:fillRect/>
                    </a:stretch>
                  </pic:blipFill>
                  <pic:spPr bwMode="auto">
                    <a:xfrm>
                      <a:off x="0" y="0"/>
                      <a:ext cx="5640705" cy="4064635"/>
                    </a:xfrm>
                    <a:prstGeom prst="rect">
                      <a:avLst/>
                    </a:prstGeom>
                  </pic:spPr>
                </pic:pic>
              </a:graphicData>
            </a:graphic>
          </wp:inline>
        </w:drawing>
      </w:r>
    </w:p>
    <w:p>
      <w:pPr>
        <w:pStyle w:val="FP"/>
        <w:rPr/>
      </w:pPr>
      <w:r>
        <w:rPr/>
      </w:r>
    </w:p>
    <w:p>
      <w:pPr>
        <w:pStyle w:val="Normal"/>
        <w:rPr/>
      </w:pPr>
      <w:r>
        <w:rPr/>
        <w:t>The BTS blocking requirement has been significantly relaxed because the MS power classes are lower. Scenario requirement 2.1.2 is -55 dBm which considers blocking from the bases own MS's. Requirement 2.1.3 is -35 dBm which is for mobiles from other operators. The proposal meets the scenario requirements even at 600 kHz offset and exceeds it by 10 dB beyond 800 kHz.</w:t>
      </w:r>
    </w:p>
    <w:p>
      <w:pPr>
        <w:pStyle w:val="Normal"/>
        <w:rPr/>
      </w:pPr>
      <w:r>
        <w:rPr/>
        <w:t>The consequence of failing to meet this scenario is that the whole base station is blocked. For this reason it is desirable for the base station to exceed the scenario requirement if possible.</w:t>
      </w:r>
    </w:p>
    <w:p>
      <w:pPr>
        <w:pStyle w:val="Normal"/>
        <w:rPr/>
      </w:pPr>
      <w:r>
        <w:rPr/>
        <w:t>The out-of-band specification has not been changed, although it does not meet scenario requirement 2.1.5 (19 dBm). This is because the 30 dB coupling loss assumption between base stations is rather pessimistic, it corresponds to two 18 dBi antennas on boresight 17 m apart. Under these circumstances, operators may need to adopt specific mutual arrangements (eg. extra operator specific receive filters) which need not form part of the DCS1800 standard.</w:t>
      </w:r>
    </w:p>
    <w:p>
      <w:pPr>
        <w:pStyle w:val="Heading3"/>
        <w:rPr/>
      </w:pPr>
      <w:bookmarkStart w:id="168" w:name="__RefHeading___Toc518035602"/>
      <w:bookmarkEnd w:id="168"/>
      <w:r>
        <w:rPr/>
        <w:t>A.8.5.2</w:t>
        <w:tab/>
        <w:t>Intermodulation characteristics</w:t>
      </w:r>
    </w:p>
    <w:p>
      <w:pPr>
        <w:pStyle w:val="Normal"/>
        <w:rPr/>
      </w:pPr>
      <w:r>
        <w:rPr/>
        <w:t>The 900 MHz standard for handportables limits the maximum level to -49 dBm. Any tightening of this specification will increase the power consumption of the receiver. Since DCS1800 is designed for handportables this figure is now applied to all MSs. The proposed level of -49 dBm for the MS fails to meet scenario requirement 2.2.1 by 23 dB, but the only consequence is that the MS is de-sensed when close to a BTS with the appropriate transmitters active.</w:t>
      </w:r>
    </w:p>
    <w:p>
      <w:pPr>
        <w:pStyle w:val="Normal"/>
        <w:rPr/>
      </w:pPr>
      <w:r>
        <w:rPr/>
        <w:t>The worst case for BTS receiver IMs is when two MSs approach the base, the scenario requirement is covered in subclauses 2.2.2 and 2.2.3 and is -55 dBm for co-ordinated mobiles and -35 dBm for uncoordinated.</w:t>
      </w:r>
    </w:p>
    <w:p>
      <w:pPr>
        <w:pStyle w:val="Normal"/>
        <w:rPr/>
      </w:pPr>
      <w:r>
        <w:rPr/>
        <w:t>Again -49 dBm has been proposed since the probability of the uncoordinated scenario is low both spatially and spectrally. If the coupling loss between both MSs and the BTS increases by 1dB the level of a third order IM product will reduce by 3 dB, thus if the coupling loss assumption between MS and BTS is increased by 5 dB to 70 dB then the scenario would be met.</w:t>
      </w:r>
    </w:p>
    <w:p>
      <w:pPr>
        <w:pStyle w:val="Normal"/>
        <w:rPr/>
      </w:pPr>
      <w:r>
        <w:rPr/>
        <w:t>A note concerning the VHF broadcast problem has been added as in subclause 4.7 for transmiiter intermodulation.</w:t>
      </w:r>
    </w:p>
    <w:p>
      <w:pPr>
        <w:pStyle w:val="Heading3"/>
        <w:rPr/>
      </w:pPr>
      <w:bookmarkStart w:id="169" w:name="__RefHeading___Toc518035603"/>
      <w:bookmarkEnd w:id="169"/>
      <w:r>
        <w:rPr/>
        <w:t>A.8.5.3</w:t>
        <w:tab/>
        <w:t>Spurious response rejection</w:t>
      </w:r>
    </w:p>
    <w:p>
      <w:pPr>
        <w:pStyle w:val="Normal"/>
        <w:rPr/>
      </w:pPr>
      <w:r>
        <w:rPr/>
        <w:t>This section concerns exceptions to the blocking specification due to spurs in the receive synthesizer and mixer causing spurious responses. The numbers of exception channels has been doubled to reflect the wider receive band. For the BTS the in-band blocking specification can cover frequency offsets of 95 MHz depending on the receive frequency and including the 20 MHz extension of the receive band defined in subclause 5.1. Thus the boundary between parts a and b of the specification has  been moved from 45 MHz to 95 MHz because the receive band is now 50 MHz wider.</w:t>
      </w:r>
    </w:p>
    <w:p>
      <w:pPr>
        <w:pStyle w:val="Normal"/>
        <w:rPr/>
      </w:pPr>
      <w:r>
        <w:rPr/>
        <w:t>Following the above logic the breakpoint between parts a and b for the MS should occur at -95 MHz and +115 MHz but in the interests of simplicity the same breakpoint is proposed as for the BTS.</w:t>
      </w:r>
    </w:p>
    <w:p>
      <w:pPr>
        <w:pStyle w:val="Heading3"/>
        <w:rPr/>
      </w:pPr>
      <w:bookmarkStart w:id="170" w:name="__RefHeading___Toc518035604"/>
      <w:bookmarkEnd w:id="170"/>
      <w:r>
        <w:rPr/>
        <w:t>A.8.5.4</w:t>
        <w:tab/>
        <w:t>Spurious emissions</w:t>
      </w:r>
    </w:p>
    <w:p>
      <w:pPr>
        <w:pStyle w:val="Normal"/>
        <w:rPr/>
      </w:pPr>
      <w:r>
        <w:rPr/>
        <w:t>Since the MS receiver spurious emissions are covered by the idle mode aspect of 4.3.3 this section now only refers to the BTS.</w:t>
      </w:r>
    </w:p>
    <w:p>
      <w:pPr>
        <w:pStyle w:val="Heading2"/>
        <w:rPr/>
      </w:pPr>
      <w:bookmarkStart w:id="171" w:name="__RefHeading___Toc518035605"/>
      <w:bookmarkEnd w:id="171"/>
      <w:r>
        <w:rPr/>
        <w:t>A.8.6</w:t>
        <w:tab/>
        <w:t>TRANSMITTER/RECEIVER PERFORMANCE</w:t>
      </w:r>
    </w:p>
    <w:p>
      <w:pPr>
        <w:pStyle w:val="Heading3"/>
        <w:rPr/>
      </w:pPr>
      <w:bookmarkStart w:id="172" w:name="__RefHeading___Toc518035606"/>
      <w:bookmarkEnd w:id="172"/>
      <w:r>
        <w:rPr/>
        <w:t>A.8.6.1</w:t>
        <w:tab/>
        <w:t>Nominal error rates (NER)</w:t>
      </w:r>
    </w:p>
    <w:p>
      <w:pPr>
        <w:pStyle w:val="Normal"/>
        <w:rPr/>
      </w:pPr>
      <w:r>
        <w:rPr/>
        <w:t xml:space="preserve">The scenario requirement for the maximum received level at the MS is -26 dBm (requirement 2.3.2). The figure of </w:t>
        <w:noBreakHyphen/>
        <w:t>23 dBm is also in approximate alignment with the blocking specification at &gt;3 MHz.</w:t>
      </w:r>
    </w:p>
    <w:p>
      <w:pPr>
        <w:pStyle w:val="Normal"/>
        <w:rPr/>
      </w:pPr>
      <w:r>
        <w:rPr/>
        <w:t>The required NER for the static channel above at -23 dBm has been increased to ½% in line with CR 28</w:t>
      </w:r>
    </w:p>
    <w:p>
      <w:pPr>
        <w:pStyle w:val="Normal"/>
        <w:rPr/>
      </w:pPr>
      <w:r>
        <w:rPr/>
        <w:t>Under multipath conditions the peak signal level exceeds the mean level. In order to prevent significant clipping the maximum level under multipath conditions has been set to -40 dBm. Multipath reception conditions occur when there is no line of sight path and the received signal level is likely to be lower.</w:t>
      </w:r>
    </w:p>
    <w:p>
      <w:pPr>
        <w:pStyle w:val="Normal"/>
        <w:rPr/>
      </w:pPr>
      <w:r>
        <w:rPr/>
        <w:t>The same specifications have been applied to the BTS receiver.</w:t>
      </w:r>
    </w:p>
    <w:p>
      <w:pPr>
        <w:pStyle w:val="Heading3"/>
        <w:rPr/>
      </w:pPr>
      <w:bookmarkStart w:id="173" w:name="__RefHeading___Toc518035607"/>
      <w:bookmarkEnd w:id="173"/>
      <w:r>
        <w:rPr/>
        <w:t>A.8.6.2</w:t>
        <w:tab/>
        <w:t>Reference sensitivity level</w:t>
      </w:r>
    </w:p>
    <w:p>
      <w:pPr>
        <w:pStyle w:val="Normal"/>
        <w:rPr/>
      </w:pPr>
      <w:r>
        <w:rPr/>
        <w:t>Simulations of TU50 and HT100 at 1,8 GHz have been performed and table 1 has been modified appropriately. The RA130 results at 1,8 GHz are taken from the RA250 results at 900 MHz. Allowance has been made for enhanced bad frame indication in accordance with CR 27.</w:t>
      </w:r>
    </w:p>
    <w:p>
      <w:pPr>
        <w:pStyle w:val="Normal"/>
        <w:rPr/>
      </w:pPr>
      <w:r>
        <w:rPr/>
        <w:t>The MS sensitivity has been relaxed by 2 dB to simplify the MS at the expense of a slightly higher BTS power requirement, to balance the up and downlinks.</w:t>
      </w:r>
    </w:p>
    <w:p>
      <w:pPr>
        <w:pStyle w:val="Heading3"/>
        <w:rPr/>
      </w:pPr>
      <w:bookmarkStart w:id="174" w:name="__RefHeading___Toc518035608"/>
      <w:bookmarkEnd w:id="174"/>
      <w:r>
        <w:rPr/>
        <w:t>A.8.6.3</w:t>
        <w:tab/>
        <w:t>Reference interference level</w:t>
      </w:r>
    </w:p>
    <w:p>
      <w:pPr>
        <w:pStyle w:val="Normal"/>
        <w:rPr/>
      </w:pPr>
      <w:r>
        <w:rPr/>
        <w:t>TU1.5 and RA 130 results at 1,8 GHz in table 2 are taken from TU3 and RA250 in GSM 05.05 respectively. TU 50 at 1,8 GHz has been simulated and the results are incorporated in the table. Allowance has been made for enhanced bad frame indication in accordance with CR 27.</w:t>
      </w:r>
    </w:p>
    <w:p>
      <w:pPr>
        <w:pStyle w:val="Normal"/>
        <w:rPr/>
      </w:pPr>
      <w:r>
        <w:rPr/>
        <w:t>The effect of doubling the Doppler spread is in general to improve the performance without FH due to increased decorrelation between bursts and to slightly degrade performance with FH because the channel is less stationary during the burst.</w:t>
      </w:r>
    </w:p>
    <w:p>
      <w:pPr>
        <w:pStyle w:val="Heading3"/>
        <w:rPr/>
      </w:pPr>
      <w:bookmarkStart w:id="175" w:name="__RefHeading___Toc518035609"/>
      <w:bookmarkEnd w:id="175"/>
      <w:r>
        <w:rPr/>
        <w:t>A.8.6.4</w:t>
        <w:tab/>
        <w:t>Erroneous frame indication performance</w:t>
      </w:r>
      <w:r>
        <w:br w:type="page"/>
      </w:r>
    </w:p>
    <w:p>
      <w:pPr>
        <w:pStyle w:val="Heading9"/>
        <w:rPr/>
      </w:pPr>
      <w:bookmarkStart w:id="176" w:name="__RefHeading___Toc518035610"/>
      <w:bookmarkEnd w:id="176"/>
      <w:r>
        <w:rPr/>
        <w:t>Annex B:</w:t>
        <w:br/>
        <w:t>GSM900 Small Cell System scenarios</w:t>
      </w:r>
    </w:p>
    <w:p>
      <w:pPr>
        <w:pStyle w:val="B1"/>
        <w:tabs>
          <w:tab w:val="clear" w:pos="284"/>
          <w:tab w:val="right" w:pos="9639" w:leader="none"/>
        </w:tabs>
        <w:rPr/>
      </w:pPr>
      <w:r>
        <w:rPr/>
        <w:t>ETSI/STC/SMG2</w:t>
        <w:tab/>
        <w:t>T.Doc 104/92 - Rev. 1</w:t>
      </w:r>
    </w:p>
    <w:p>
      <w:pPr>
        <w:pStyle w:val="B1"/>
        <w:rPr/>
      </w:pPr>
      <w:r>
        <w:rPr/>
        <w:t>Strasbourg</w:t>
      </w:r>
    </w:p>
    <w:p>
      <w:pPr>
        <w:pStyle w:val="B1"/>
        <w:rPr/>
      </w:pPr>
      <w:r>
        <w:rPr/>
        <w:t>1 - 4 September 1992</w:t>
      </w:r>
    </w:p>
    <w:p>
      <w:pPr>
        <w:pStyle w:val="Normal"/>
        <w:rPr>
          <w:b/>
          <w:b/>
        </w:rPr>
      </w:pPr>
      <w:r>
        <w:rPr>
          <w:b/>
        </w:rPr>
        <w:t>Title: Small Cell System Scenarios for GSM900.</w:t>
      </w:r>
    </w:p>
    <w:p>
      <w:pPr>
        <w:pStyle w:val="Normal"/>
        <w:rPr/>
      </w:pPr>
      <w:r>
        <w:rPr/>
        <w:t>Source: Vodafone, UK</w:t>
      </w:r>
    </w:p>
    <w:p>
      <w:pPr>
        <w:pStyle w:val="Normal"/>
        <w:rPr/>
      </w:pPr>
      <w:r>
        <w:rPr/>
        <w:t>Introduction</w:t>
      </w:r>
    </w:p>
    <w:p>
      <w:pPr>
        <w:pStyle w:val="Normal"/>
        <w:rPr/>
      </w:pPr>
      <w:r>
        <w:rPr/>
        <w:t>Small cells are defined in GSM 03.30 as having antennas above median roof height but below maximum, whereas Large cells have antennas above the maximum roof height. Median roof heights vary with location, in particular between City Centre and Suburban locations. Suburban median roof heights vary with type of housing and may often be characteristic of a particular country but are likely to fall between 8 m and 20 m.</w:t>
      </w:r>
    </w:p>
    <w:p>
      <w:pPr>
        <w:pStyle w:val="Normal"/>
        <w:rPr/>
      </w:pPr>
      <w:r>
        <w:rPr/>
        <w:t>Small cells feature much lower antennas than large cells and as such the minimum coupling loss between base and mobile antenna is significantly decreased. In practice small cells are likely to operate at a lower transmit power level, being aimed at providing limited coverage, but not necessarily capacity, in urban/suburban environments.</w:t>
      </w:r>
    </w:p>
    <w:p>
      <w:pPr>
        <w:pStyle w:val="Normal"/>
        <w:rPr/>
      </w:pPr>
      <w:r>
        <w:rPr/>
        <w:t>This paper presents the results of applying the propagation loss at 100m BTS to MS antenna separation from the GSM 03.30 Small Cell example, to the system scenarios in TDoc GSM 61/91 which details system scenarios for DCS1800. The results are presented in a similar manner as TDoc GSM 60/91 and will be applicable to a 75% location probability.</w:t>
      </w:r>
    </w:p>
    <w:p>
      <w:pPr>
        <w:pStyle w:val="Normal"/>
        <w:rPr/>
      </w:pPr>
      <w:r>
        <w:rPr/>
        <w:t>A further set of results is presented for the worst case scenario where the agreed Minimum Coupling Loss (MCL) of 59 dB from T.Doc SMG 49/91 is used.</w:t>
      </w:r>
    </w:p>
    <w:p>
      <w:pPr>
        <w:pStyle w:val="Normal"/>
        <w:rPr/>
      </w:pPr>
      <w:r>
        <w:rPr/>
        <w:t>Both sets of results assume a Class 2 coordinated and uncoordinated MS but the effect of MS power control is taken into account for the coordinated MS.</w:t>
      </w:r>
    </w:p>
    <w:p>
      <w:pPr>
        <w:pStyle w:val="Normal"/>
        <w:rPr/>
      </w:pPr>
      <w:r>
        <w:rPr>
          <w:b/>
        </w:rPr>
        <w:t>Small Cell Example</w:t>
      </w:r>
    </w:p>
    <w:p>
      <w:pPr>
        <w:pStyle w:val="Normal"/>
        <w:rPr/>
      </w:pPr>
      <w:r>
        <w:rPr/>
        <w:t>The definition of the small cell example in GSM 03.30 annex A.4 is as follows.</w:t>
      </w:r>
    </w:p>
    <w:p>
      <w:pPr>
        <w:pStyle w:val="TH"/>
        <w:rPr/>
      </w:pPr>
      <w:r>
        <w:rPr/>
      </w:r>
    </w:p>
    <w:tbl>
      <w:tblPr>
        <w:tblW w:w="5637" w:type="dxa"/>
        <w:jc w:val="center"/>
        <w:tblInd w:w="0" w:type="dxa"/>
        <w:tblLayout w:type="fixed"/>
        <w:tblCellMar>
          <w:top w:w="0" w:type="dxa"/>
          <w:left w:w="28" w:type="dxa"/>
          <w:bottom w:w="0" w:type="dxa"/>
          <w:right w:w="28" w:type="dxa"/>
        </w:tblCellMar>
      </w:tblPr>
      <w:tblGrid>
        <w:gridCol w:w="3301"/>
        <w:gridCol w:w="1202"/>
        <w:gridCol w:w="1134"/>
      </w:tblGrid>
      <w:tr>
        <w:trPr/>
        <w:tc>
          <w:tcPr>
            <w:tcW w:w="3301" w:type="dxa"/>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t>Base TX Configuration</w:t>
            </w:r>
          </w:p>
        </w:tc>
        <w:tc>
          <w:tcPr>
            <w:tcW w:w="1202" w:type="dxa"/>
            <w:tcBorders>
              <w:top w:val="single" w:sz="4" w:space="0" w:color="000000"/>
              <w:left w:val="single" w:sz="4" w:space="0" w:color="000000"/>
              <w:bottom w:val="single" w:sz="4" w:space="0" w:color="000000"/>
              <w:right w:val="single" w:sz="4" w:space="0" w:color="000000"/>
            </w:tcBorders>
          </w:tcPr>
          <w:p>
            <w:pPr>
              <w:pStyle w:val="TAH"/>
              <w:snapToGrid w:val="false"/>
              <w:rPr>
                <w:lang w:val="fr-FR" w:eastAsia="en-US"/>
              </w:rPr>
            </w:pPr>
            <w:r>
              <w:rPr>
                <w:lang w:val="fr-FR"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lang w:val="fr-FR" w:eastAsia="en-US"/>
              </w:rPr>
            </w:pPr>
            <w:r>
              <w:rPr>
                <w:lang w:val="fr-FR" w:eastAsia="en-US"/>
              </w:rPr>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w:t>
            </w:r>
          </w:p>
        </w:tc>
        <w:tc>
          <w:tcPr>
            <w:tcW w:w="120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+16 dBi</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(BAG)</w:t>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Height:</w:t>
            </w:r>
          </w:p>
        </w:tc>
        <w:tc>
          <w:tcPr>
            <w:tcW w:w="120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17 m</w:t>
            </w:r>
          </w:p>
        </w:tc>
        <w:tc>
          <w:tcPr>
            <w:tcW w:w="11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Roof Height</w:t>
            </w:r>
          </w:p>
        </w:tc>
        <w:tc>
          <w:tcPr>
            <w:tcW w:w="120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 m</w:t>
            </w:r>
          </w:p>
        </w:tc>
        <w:tc>
          <w:tcPr>
            <w:tcW w:w="11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Feeder Loss:</w:t>
            </w:r>
          </w:p>
        </w:tc>
        <w:tc>
          <w:tcPr>
            <w:tcW w:w="120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2 dB</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(BFL)</w:t>
            </w:r>
          </w:p>
        </w:tc>
      </w:tr>
    </w:tbl>
    <w:p>
      <w:pPr>
        <w:pStyle w:val="FP"/>
        <w:rPr>
          <w:lang w:val="fr-FR"/>
        </w:rPr>
      </w:pPr>
      <w:r>
        <w:rPr>
          <w:lang w:val="fr-FR"/>
        </w:rPr>
      </w:r>
    </w:p>
    <w:p>
      <w:pPr>
        <w:pStyle w:val="TH"/>
        <w:rPr>
          <w:lang w:val="fr-FR"/>
        </w:rPr>
      </w:pPr>
      <w:r>
        <w:rPr>
          <w:lang w:val="fr-FR"/>
        </w:rPr>
      </w:r>
    </w:p>
    <w:tbl>
      <w:tblPr>
        <w:tblW w:w="5778" w:type="dxa"/>
        <w:jc w:val="center"/>
        <w:tblInd w:w="0" w:type="dxa"/>
        <w:tblLayout w:type="fixed"/>
        <w:tblCellMar>
          <w:top w:w="0" w:type="dxa"/>
          <w:left w:w="28" w:type="dxa"/>
          <w:bottom w:w="0" w:type="dxa"/>
          <w:right w:w="28" w:type="dxa"/>
        </w:tblCellMar>
      </w:tblPr>
      <w:tblGrid>
        <w:gridCol w:w="3301"/>
        <w:gridCol w:w="1202"/>
        <w:gridCol w:w="1275"/>
      </w:tblGrid>
      <w:tr>
        <w:trPr/>
        <w:tc>
          <w:tcPr>
            <w:tcW w:w="3301" w:type="dxa"/>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t>Mobile RX Configuration</w:t>
            </w:r>
          </w:p>
        </w:tc>
        <w:tc>
          <w:tcPr>
            <w:tcW w:w="1202" w:type="dxa"/>
            <w:tcBorders>
              <w:top w:val="single" w:sz="4" w:space="0" w:color="000000"/>
              <w:left w:val="single" w:sz="4" w:space="0" w:color="000000"/>
              <w:bottom w:val="single" w:sz="4" w:space="0" w:color="000000"/>
              <w:right w:val="single" w:sz="4" w:space="0" w:color="000000"/>
            </w:tcBorders>
          </w:tcPr>
          <w:p>
            <w:pPr>
              <w:pStyle w:val="TAH"/>
              <w:snapToGrid w:val="false"/>
              <w:rPr>
                <w:lang w:val="fr-FR" w:eastAsia="en-US"/>
              </w:rPr>
            </w:pPr>
            <w:r>
              <w:rPr>
                <w:lang w:val="fr-FR"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H"/>
              <w:snapToGrid w:val="false"/>
              <w:rPr>
                <w:lang w:val="fr-FR" w:eastAsia="en-US"/>
              </w:rPr>
            </w:pPr>
            <w:r>
              <w:rPr>
                <w:lang w:val="fr-FR" w:eastAsia="en-US"/>
              </w:rPr>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w:t>
            </w:r>
          </w:p>
        </w:tc>
        <w:tc>
          <w:tcPr>
            <w:tcW w:w="1202" w:type="dxa"/>
            <w:tcBorders>
              <w:top w:val="single" w:sz="4" w:space="0" w:color="000000"/>
              <w:left w:val="single" w:sz="4" w:space="0" w:color="000000"/>
              <w:bottom w:val="single" w:sz="4" w:space="0" w:color="000000"/>
              <w:right w:val="single" w:sz="4" w:space="0" w:color="000000"/>
            </w:tcBorders>
          </w:tcPr>
          <w:p>
            <w:pPr>
              <w:pStyle w:val="TAC"/>
              <w:rPr/>
            </w:pPr>
            <w:r>
              <w:rPr>
                <w:lang w:val="en-GB"/>
              </w:rPr>
              <w:t>2 dBi</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(MAG)</w:t>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Height</w:t>
            </w:r>
          </w:p>
        </w:tc>
        <w:tc>
          <w:tcPr>
            <w:tcW w:w="120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 m</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Feeder Loss:</w:t>
            </w:r>
          </w:p>
        </w:tc>
        <w:tc>
          <w:tcPr>
            <w:tcW w:w="120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 dB</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(MFL)</w:t>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Propagation Loss</w:t>
            </w:r>
          </w:p>
        </w:tc>
        <w:tc>
          <w:tcPr>
            <w:tcW w:w="1202"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en-US"/>
              </w:rPr>
            </w:pPr>
            <w:r>
              <w:rPr>
                <w:lang w:val="en-GB" w:eastAsia="en-US"/>
              </w:rPr>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301"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Loss (dB) = 132,8 + 38 log(d/km)</w:t>
            </w:r>
          </w:p>
        </w:tc>
        <w:tc>
          <w:tcPr>
            <w:tcW w:w="1202"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r>
          </w:p>
        </w:tc>
      </w:tr>
    </w:tbl>
    <w:p>
      <w:pPr>
        <w:pStyle w:val="FP"/>
        <w:rPr>
          <w:lang w:val="sv-SE"/>
        </w:rPr>
      </w:pPr>
      <w:r>
        <w:rPr>
          <w:lang w:val="sv-SE"/>
        </w:rPr>
      </w:r>
    </w:p>
    <w:p>
      <w:pPr>
        <w:pStyle w:val="Normal"/>
        <w:rPr/>
      </w:pPr>
      <w:r>
        <w:rPr/>
        <w:t>The coupling loss for this scenario is then:</w:t>
      </w:r>
    </w:p>
    <w:p>
      <w:pPr>
        <w:pStyle w:val="B1"/>
        <w:rPr/>
      </w:pPr>
      <w:r>
        <w:rPr/>
        <w:t>132,8 + 38 log(d/km) - BAG + BFL - MAG + MFL= 80,8 dB at a MS to base separation of 100 m.</w:t>
      </w:r>
    </w:p>
    <w:p>
      <w:pPr>
        <w:pStyle w:val="Normal"/>
        <w:rPr/>
      </w:pPr>
      <w:r>
        <w:rPr/>
        <w:t>The system scenarios at 100 m are presented in Appendix 1.</w:t>
      </w:r>
    </w:p>
    <w:p>
      <w:pPr>
        <w:pStyle w:val="Normal"/>
        <w:rPr>
          <w:b/>
          <w:b/>
        </w:rPr>
      </w:pPr>
      <w:r>
        <w:rPr>
          <w:b/>
        </w:rPr>
        <w:t>Minimum Coupling Loss Case</w:t>
      </w:r>
    </w:p>
    <w:p>
      <w:pPr>
        <w:pStyle w:val="Normal"/>
        <w:rPr/>
      </w:pPr>
      <w:r>
        <w:rPr/>
        <w:t>The system scenarios based on the same small cell example as above but using a MCL of 59 dB are presented in Appendix 2.</w:t>
      </w:r>
    </w:p>
    <w:p>
      <w:pPr>
        <w:pStyle w:val="Normal"/>
        <w:rPr/>
      </w:pPr>
      <w:r>
        <w:rPr/>
        <w:t>It should be noted that this produces worse case figures, assuming operation at limit sensitivity, i.e. in a noise limited environment. For the small cell case the MS at least, is likely to be operating in an interference limited environment with an effective sensitivity worse than limit sensitivity.</w:t>
      </w:r>
    </w:p>
    <w:p>
      <w:pPr>
        <w:pStyle w:val="TH"/>
        <w:rPr/>
      </w:pPr>
      <w:r>
        <w:rPr/>
        <w:t>Appendix 1: System Scenarios for Small Cell GSM900</w:t>
      </w:r>
    </w:p>
    <w:tbl>
      <w:tblPr>
        <w:tblW w:w="4906" w:type="dxa"/>
        <w:jc w:val="center"/>
        <w:tblInd w:w="0" w:type="dxa"/>
        <w:tblLayout w:type="fixed"/>
        <w:tblCellMar>
          <w:top w:w="0" w:type="dxa"/>
          <w:left w:w="30" w:type="dxa"/>
          <w:bottom w:w="0" w:type="dxa"/>
          <w:right w:w="30" w:type="dxa"/>
        </w:tblCellMar>
      </w:tblPr>
      <w:tblGrid>
        <w:gridCol w:w="2539"/>
        <w:gridCol w:w="2367"/>
      </w:tblGrid>
      <w:tr>
        <w:trPr/>
        <w:tc>
          <w:tcPr>
            <w:tcW w:w="2539" w:type="dxa"/>
            <w:tcBorders>
              <w:top w:val="single" w:sz="6" w:space="0" w:color="000000"/>
              <w:left w:val="single" w:sz="6" w:space="0" w:color="000000"/>
            </w:tcBorders>
          </w:tcPr>
          <w:p>
            <w:pPr>
              <w:pStyle w:val="TAH"/>
              <w:rPr>
                <w:lang w:eastAsia="en-US"/>
              </w:rPr>
            </w:pPr>
            <w:r>
              <w:rPr>
                <w:lang w:eastAsia="en-US"/>
              </w:rPr>
              <w:t>Near</w:t>
            </w:r>
          </w:p>
        </w:tc>
        <w:tc>
          <w:tcPr>
            <w:tcW w:w="2367" w:type="dxa"/>
            <w:tcBorders>
              <w:top w:val="single" w:sz="6" w:space="0" w:color="000000"/>
              <w:left w:val="single" w:sz="6" w:space="0" w:color="000000"/>
              <w:right w:val="single" w:sz="6" w:space="0" w:color="000000"/>
            </w:tcBorders>
          </w:tcPr>
          <w:p>
            <w:pPr>
              <w:pStyle w:val="TAH"/>
              <w:rPr>
                <w:lang w:eastAsia="en-US"/>
              </w:rPr>
            </w:pPr>
            <w:r>
              <w:rPr>
                <w:lang w:eastAsia="en-US"/>
              </w:rPr>
              <w:t>Coupling loss</w:t>
            </w:r>
          </w:p>
        </w:tc>
      </w:tr>
      <w:tr>
        <w:trPr>
          <w:trHeight w:val="214" w:hRule="atLeast"/>
        </w:trPr>
        <w:tc>
          <w:tcPr>
            <w:tcW w:w="2539" w:type="dxa"/>
            <w:tcBorders>
              <w:top w:val="single" w:sz="6" w:space="0" w:color="000000"/>
              <w:left w:val="single" w:sz="6" w:space="0" w:color="000000"/>
              <w:bottom w:val="single" w:sz="6" w:space="0" w:color="000000"/>
            </w:tcBorders>
          </w:tcPr>
          <w:p>
            <w:pPr>
              <w:pStyle w:val="TAH"/>
              <w:rPr>
                <w:lang w:eastAsia="en-US"/>
              </w:rPr>
            </w:pPr>
            <w:r>
              <w:rPr>
                <w:lang w:eastAsia="en-US"/>
              </w:rPr>
              <w:t>BTS -&gt; MS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81</w:t>
            </w:r>
          </w:p>
        </w:tc>
      </w:tr>
      <w:tr>
        <w:trPr>
          <w:trHeight w:val="214" w:hRule="atLeast"/>
        </w:trPr>
        <w:tc>
          <w:tcPr>
            <w:tcW w:w="253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 -&gt; BTS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81</w:t>
            </w:r>
          </w:p>
        </w:tc>
      </w:tr>
      <w:tr>
        <w:trPr>
          <w:trHeight w:val="214" w:hRule="atLeast"/>
        </w:trPr>
        <w:tc>
          <w:tcPr>
            <w:tcW w:w="253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 -&gt; MS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r>
      <w:tr>
        <w:trPr>
          <w:trHeight w:val="214" w:hRule="atLeast"/>
        </w:trPr>
        <w:tc>
          <w:tcPr>
            <w:tcW w:w="2539" w:type="dxa"/>
            <w:tcBorders>
              <w:top w:val="single" w:sz="6" w:space="0" w:color="000000"/>
              <w:left w:val="single" w:sz="6" w:space="0" w:color="000000"/>
              <w:bottom w:val="single" w:sz="6" w:space="0" w:color="000000"/>
            </w:tcBorders>
          </w:tcPr>
          <w:p>
            <w:pPr>
              <w:pStyle w:val="TAH"/>
              <w:rPr>
                <w:lang w:eastAsia="en-US"/>
              </w:rPr>
            </w:pPr>
            <w:r>
              <w:rPr>
                <w:lang w:eastAsia="en-US"/>
              </w:rPr>
              <w:t>BTS -&gt; BTS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w:t>
            </w:r>
          </w:p>
        </w:tc>
      </w:tr>
    </w:tbl>
    <w:p>
      <w:pPr>
        <w:pStyle w:val="FP"/>
        <w:rPr/>
      </w:pPr>
      <w:r>
        <w:rPr/>
      </w:r>
    </w:p>
    <w:p>
      <w:pPr>
        <w:pStyle w:val="TH"/>
        <w:rPr/>
      </w:pPr>
      <w:r>
        <w:rPr/>
      </w:r>
    </w:p>
    <w:tbl>
      <w:tblPr>
        <w:tblW w:w="7303" w:type="dxa"/>
        <w:jc w:val="center"/>
        <w:tblInd w:w="0" w:type="dxa"/>
        <w:tblLayout w:type="fixed"/>
        <w:tblCellMar>
          <w:top w:w="0" w:type="dxa"/>
          <w:left w:w="30" w:type="dxa"/>
          <w:bottom w:w="0" w:type="dxa"/>
          <w:right w:w="30" w:type="dxa"/>
        </w:tblCellMar>
      </w:tblPr>
      <w:tblGrid>
        <w:gridCol w:w="2539"/>
        <w:gridCol w:w="2367"/>
        <w:gridCol w:w="2397"/>
      </w:tblGrid>
      <w:tr>
        <w:trPr>
          <w:trHeight w:val="214" w:hRule="atLeast"/>
        </w:trPr>
        <w:tc>
          <w:tcPr>
            <w:tcW w:w="2539" w:type="dxa"/>
            <w:tcBorders>
              <w:top w:val="single" w:sz="6" w:space="0" w:color="000000"/>
              <w:left w:val="single" w:sz="6" w:space="0" w:color="000000"/>
            </w:tcBorders>
          </w:tcPr>
          <w:p>
            <w:pPr>
              <w:pStyle w:val="TAH"/>
              <w:rPr>
                <w:lang w:eastAsia="en-US"/>
              </w:rPr>
            </w:pPr>
            <w:r>
              <w:rPr>
                <w:lang w:eastAsia="en-US"/>
              </w:rPr>
              <w:t>Far</w:t>
            </w:r>
          </w:p>
        </w:tc>
        <w:tc>
          <w:tcPr>
            <w:tcW w:w="2367" w:type="dxa"/>
            <w:tcBorders>
              <w:top w:val="single" w:sz="6" w:space="0" w:color="000000"/>
              <w:left w:val="single" w:sz="6" w:space="0" w:color="000000"/>
              <w:right w:val="single" w:sz="6" w:space="0" w:color="000000"/>
            </w:tcBorders>
          </w:tcPr>
          <w:p>
            <w:pPr>
              <w:pStyle w:val="TAH"/>
              <w:rPr>
                <w:lang w:eastAsia="en-US"/>
              </w:rPr>
            </w:pPr>
            <w:r>
              <w:rPr>
                <w:lang w:eastAsia="en-US"/>
              </w:rPr>
              <w:t>Tx power (dBm</w:t>
            </w:r>
          </w:p>
        </w:tc>
        <w:tc>
          <w:tcPr>
            <w:tcW w:w="2397" w:type="dxa"/>
            <w:tcBorders>
              <w:top w:val="single" w:sz="6" w:space="0" w:color="000000"/>
              <w:right w:val="single" w:sz="6" w:space="0" w:color="000000"/>
            </w:tcBorders>
          </w:tcPr>
          <w:p>
            <w:pPr>
              <w:pStyle w:val="TAH"/>
              <w:rPr>
                <w:lang w:eastAsia="en-US"/>
              </w:rPr>
            </w:pPr>
            <w:r>
              <w:rPr>
                <w:lang w:eastAsia="en-US"/>
              </w:rPr>
              <w:t>Rx Sensitivity (dBm)</w:t>
            </w:r>
          </w:p>
        </w:tc>
      </w:tr>
      <w:tr>
        <w:trPr>
          <w:trHeight w:val="214" w:hRule="atLeast"/>
        </w:trPr>
        <w:tc>
          <w:tcPr>
            <w:tcW w:w="2539" w:type="dxa"/>
            <w:tcBorders>
              <w:top w:val="single" w:sz="6" w:space="0" w:color="000000"/>
              <w:left w:val="single" w:sz="6" w:space="0" w:color="000000"/>
              <w:bottom w:val="single" w:sz="6" w:space="0" w:color="000000"/>
            </w:tcBorders>
          </w:tcPr>
          <w:p>
            <w:pPr>
              <w:pStyle w:val="TAH"/>
              <w:rPr>
                <w:lang w:eastAsia="en-US"/>
              </w:rPr>
            </w:pPr>
            <w:r>
              <w:rPr>
                <w:lang w:eastAsia="en-US"/>
              </w:rPr>
              <w:t>BTS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38</w:t>
            </w:r>
          </w:p>
        </w:tc>
        <w:tc>
          <w:tcPr>
            <w:tcW w:w="2397" w:type="dxa"/>
            <w:tcBorders>
              <w:top w:val="single" w:sz="6" w:space="0" w:color="000000"/>
              <w:bottom w:val="single" w:sz="6" w:space="0" w:color="000000"/>
              <w:right w:val="single" w:sz="6" w:space="0" w:color="000000"/>
            </w:tcBorders>
          </w:tcPr>
          <w:p>
            <w:pPr>
              <w:pStyle w:val="TAC"/>
              <w:rPr>
                <w:lang w:val="en-GB"/>
              </w:rPr>
            </w:pPr>
            <w:r>
              <w:rPr>
                <w:lang w:val="en-GB"/>
              </w:rPr>
              <w:t>-104</w:t>
            </w:r>
          </w:p>
        </w:tc>
      </w:tr>
      <w:tr>
        <w:trPr>
          <w:trHeight w:val="214" w:hRule="atLeast"/>
        </w:trPr>
        <w:tc>
          <w:tcPr>
            <w:tcW w:w="2539" w:type="dxa"/>
            <w:tcBorders>
              <w:top w:val="single" w:sz="6" w:space="0" w:color="000000"/>
              <w:left w:val="single" w:sz="6" w:space="0" w:color="000000"/>
              <w:bottom w:val="single" w:sz="6" w:space="0" w:color="000000"/>
            </w:tcBorders>
          </w:tcPr>
          <w:p>
            <w:pPr>
              <w:pStyle w:val="TAH"/>
              <w:rPr>
                <w:lang w:eastAsia="en-US"/>
              </w:rPr>
            </w:pPr>
            <w:r>
              <w:rPr>
                <w:lang w:eastAsia="en-US"/>
              </w:rPr>
              <w:t>MS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c>
          <w:tcPr>
            <w:tcW w:w="2397" w:type="dxa"/>
            <w:tcBorders>
              <w:top w:val="single" w:sz="6" w:space="0" w:color="000000"/>
              <w:bottom w:val="single" w:sz="6" w:space="0" w:color="000000"/>
              <w:right w:val="single" w:sz="6" w:space="0" w:color="000000"/>
            </w:tcBorders>
          </w:tcPr>
          <w:p>
            <w:pPr>
              <w:pStyle w:val="TAC"/>
              <w:rPr>
                <w:lang w:val="en-GB"/>
              </w:rPr>
            </w:pPr>
            <w:r>
              <w:rPr>
                <w:lang w:val="en-GB"/>
              </w:rPr>
              <w:t>-104</w:t>
            </w:r>
          </w:p>
        </w:tc>
      </w:tr>
    </w:tbl>
    <w:p>
      <w:pPr>
        <w:pStyle w:val="FP"/>
        <w:rPr/>
      </w:pPr>
      <w:r>
        <w:rPr/>
      </w:r>
    </w:p>
    <w:p>
      <w:pPr>
        <w:pStyle w:val="TH"/>
        <w:rPr/>
      </w:pPr>
      <w:r>
        <w:rPr/>
      </w:r>
    </w:p>
    <w:tbl>
      <w:tblPr>
        <w:tblW w:w="4906" w:type="dxa"/>
        <w:jc w:val="center"/>
        <w:tblInd w:w="0" w:type="dxa"/>
        <w:tblLayout w:type="fixed"/>
        <w:tblCellMar>
          <w:top w:w="0" w:type="dxa"/>
          <w:left w:w="108" w:type="dxa"/>
          <w:bottom w:w="0" w:type="dxa"/>
          <w:right w:w="108" w:type="dxa"/>
        </w:tblCellMar>
      </w:tblPr>
      <w:tblGrid>
        <w:gridCol w:w="2539"/>
        <w:gridCol w:w="2367"/>
      </w:tblGrid>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power control range</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power control range</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26</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lang w:val="en-GB"/>
              </w:rPr>
              <w:t>C/I margin</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Multiple interferers margin</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3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Transient margin</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3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margin for other IMs</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r>
    </w:tbl>
    <w:p>
      <w:pPr>
        <w:pStyle w:val="FP"/>
        <w:rPr/>
      </w:pPr>
      <w:r>
        <w:rPr/>
      </w:r>
    </w:p>
    <w:p>
      <w:pPr>
        <w:pStyle w:val="NO"/>
        <w:rPr/>
      </w:pPr>
      <w:r>
        <w:rPr/>
        <w:t>NOTE:</w:t>
        <w:tab/>
        <w:t>All results are in dBm except for subclause 1.3 where the results are dB.</w:t>
      </w:r>
    </w:p>
    <w:p>
      <w:pPr>
        <w:pStyle w:val="Heading1"/>
        <w:ind w:left="1134" w:hanging="1134"/>
        <w:rPr/>
      </w:pPr>
      <w:bookmarkStart w:id="177" w:name="__RefHeading___Toc518035611"/>
      <w:bookmarkEnd w:id="177"/>
      <w:r>
        <w:rPr/>
        <w:t>B.1</w:t>
        <w:tab/>
        <w:t>Transmitter</w:t>
      </w:r>
    </w:p>
    <w:p>
      <w:pPr>
        <w:pStyle w:val="Heading2"/>
        <w:rPr/>
      </w:pPr>
      <w:bookmarkStart w:id="178" w:name="__RefHeading___Toc518035612"/>
      <w:bookmarkEnd w:id="178"/>
      <w:r>
        <w:rPr/>
        <w:t>B.1.1</w:t>
        <w:tab/>
        <w:t>Modulation, Spurs and Noise</w:t>
      </w:r>
    </w:p>
    <w:p>
      <w:pPr>
        <w:pStyle w:val="Heading3"/>
        <w:rPr/>
      </w:pPr>
      <w:bookmarkStart w:id="179" w:name="__RefHeading___Toc518035613"/>
      <w:bookmarkEnd w:id="179"/>
      <w:r>
        <w:rPr/>
        <w:t>B.1.1.1</w:t>
        <w:tab/>
        <w:t>Co-ordinated, BTS -&gt; MS</w:t>
      </w:r>
    </w:p>
    <w:p>
      <w:pPr>
        <w:pStyle w:val="Normal"/>
        <w:rPr/>
      </w:pPr>
      <w:r>
        <w:rPr/>
        <w:t xml:space="preserve">Max. Tx noise level in RX bandwidth = [BTS power] - [Pwr control range] - [C/I margin]-[Multiple interferers margin] = </w:t>
        <w:noBreakHyphen/>
        <w:t>11.</w:t>
      </w:r>
    </w:p>
    <w:p>
      <w:pPr>
        <w:pStyle w:val="Heading3"/>
        <w:rPr/>
      </w:pPr>
      <w:bookmarkStart w:id="180" w:name="__RefHeading___Toc518035614"/>
      <w:bookmarkEnd w:id="180"/>
      <w:r>
        <w:rPr/>
        <w:t>B.1.1.2</w:t>
        <w:tab/>
        <w:t>Uncoordinated, BTS -&gt; MS</w:t>
      </w:r>
    </w:p>
    <w:p>
      <w:pPr>
        <w:pStyle w:val="Normal"/>
        <w:rPr/>
      </w:pPr>
      <w:r>
        <w:rPr/>
        <w:t xml:space="preserve">Max Tx level of noise in Rx bandwidth = [MS sensitivity] - [C/I margin] - [multiple interferers margin] + [coupling loss] = </w:t>
        <w:noBreakHyphen/>
        <w:t>42.</w:t>
      </w:r>
    </w:p>
    <w:p>
      <w:pPr>
        <w:pStyle w:val="Normal"/>
        <w:rPr/>
      </w:pPr>
      <w:r>
        <w:rPr/>
        <w:t>Max Tx level of spur in Rx bandwidth = [MS sensitivity] - [C/I margin] + [coupling loss] = -32.</w:t>
      </w:r>
    </w:p>
    <w:p>
      <w:pPr>
        <w:pStyle w:val="Heading3"/>
        <w:rPr/>
      </w:pPr>
      <w:bookmarkStart w:id="181" w:name="__RefHeading___Toc518035615"/>
      <w:bookmarkEnd w:id="181"/>
      <w:r>
        <w:rPr/>
        <w:t>B.1.1.3</w:t>
        <w:tab/>
        <w:t>Co-ordinated &amp; Uncoordinated MS -&gt; BTS</w:t>
      </w:r>
    </w:p>
    <w:p>
      <w:pPr>
        <w:pStyle w:val="Normal"/>
        <w:rPr/>
      </w:pPr>
      <w:r>
        <w:rPr/>
        <w:t>Max Tx level in Rx bandwidth = [BTS sensitivity] - [C/I margin] + [coupling loss] = -32.</w:t>
      </w:r>
    </w:p>
    <w:p>
      <w:pPr>
        <w:pStyle w:val="Heading3"/>
        <w:rPr/>
      </w:pPr>
      <w:bookmarkStart w:id="182" w:name="__RefHeading___Toc518035616"/>
      <w:bookmarkEnd w:id="182"/>
      <w:r>
        <w:rPr/>
        <w:t>B.1.1.4</w:t>
        <w:tab/>
        <w:t>Co-ordinated &amp; Uncoordinated MS -&gt; MS</w:t>
      </w:r>
    </w:p>
    <w:p>
      <w:pPr>
        <w:pStyle w:val="Normal"/>
        <w:rPr/>
      </w:pPr>
      <w:r>
        <w:rPr/>
        <w:t>Max Tx level in Rx bandwidth = [MS sensitivity] - [C/I margin] + [Coupling loss] = -78,5.</w:t>
      </w:r>
    </w:p>
    <w:p>
      <w:pPr>
        <w:pStyle w:val="Heading3"/>
        <w:rPr/>
      </w:pPr>
      <w:bookmarkStart w:id="183" w:name="__RefHeading___Toc518035617"/>
      <w:bookmarkEnd w:id="183"/>
      <w:r>
        <w:rPr/>
        <w:t>B.1.1.5</w:t>
        <w:tab/>
        <w:t>Co-ordinated &amp; Uncoordinated BTS -&gt; BTS</w:t>
      </w:r>
    </w:p>
    <w:p>
      <w:pPr>
        <w:pStyle w:val="Normal"/>
        <w:rPr/>
      </w:pPr>
      <w:r>
        <w:rPr/>
        <w:t>Max Tx level noise in Rx bandwidth = [BTS sensitivity] - [C/I margin] - [multiple interferers margin] + [coupling loss] = -98.</w:t>
      </w:r>
    </w:p>
    <w:p>
      <w:pPr>
        <w:pStyle w:val="Heading2"/>
        <w:rPr/>
      </w:pPr>
      <w:bookmarkStart w:id="184" w:name="__RefHeading___Toc518035618"/>
      <w:bookmarkEnd w:id="184"/>
      <w:r>
        <w:rPr/>
        <w:t>B.1.2</w:t>
        <w:tab/>
        <w:t>Switching Transients</w:t>
      </w:r>
    </w:p>
    <w:p>
      <w:pPr>
        <w:pStyle w:val="Heading3"/>
        <w:rPr/>
      </w:pPr>
      <w:bookmarkStart w:id="185" w:name="__RefHeading___Toc518035619"/>
      <w:bookmarkEnd w:id="185"/>
      <w:r>
        <w:rPr/>
        <w:t>B.1.2.1</w:t>
        <w:tab/>
        <w:t>Uncoordinated MS -&gt; BTS</w:t>
      </w:r>
    </w:p>
    <w:p>
      <w:pPr>
        <w:pStyle w:val="Normal"/>
        <w:rPr/>
      </w:pPr>
      <w:r>
        <w:rPr/>
        <w:t xml:space="preserve">Max peak level in effective Rx BW at MS = [Base sensitivity] - [C/I margin] + [coupling loss] + [Transient margin] = </w:t>
        <w:noBreakHyphen/>
        <w:t>12.</w:t>
      </w:r>
    </w:p>
    <w:p>
      <w:pPr>
        <w:pStyle w:val="Heading3"/>
        <w:rPr/>
      </w:pPr>
      <w:bookmarkStart w:id="186" w:name="__RefHeading___Toc518035620"/>
      <w:bookmarkEnd w:id="186"/>
      <w:r>
        <w:rPr/>
        <w:t>B.1.2.2</w:t>
        <w:tab/>
        <w:t>Uncoordinated BTS -&gt; MS</w:t>
      </w:r>
    </w:p>
    <w:p>
      <w:pPr>
        <w:pStyle w:val="Normal"/>
        <w:rPr/>
      </w:pPr>
      <w:r>
        <w:rPr/>
        <w:t xml:space="preserve">Max peak level in effective Rx BW at BTS = [MS sensitivity] - [C/I margin] + [coupling loss] + [transient margin] = </w:t>
        <w:noBreakHyphen/>
        <w:t>12.</w:t>
      </w:r>
    </w:p>
    <w:p>
      <w:pPr>
        <w:pStyle w:val="Heading2"/>
        <w:rPr/>
      </w:pPr>
      <w:bookmarkStart w:id="187" w:name="__RefHeading___Toc518035621"/>
      <w:bookmarkEnd w:id="187"/>
      <w:r>
        <w:rPr/>
        <w:t>B.1.3</w:t>
        <w:tab/>
        <w:t>Intermodulation</w:t>
      </w:r>
    </w:p>
    <w:p>
      <w:pPr>
        <w:pStyle w:val="Heading3"/>
        <w:rPr/>
      </w:pPr>
      <w:bookmarkStart w:id="188" w:name="__RefHeading___Toc518035622"/>
      <w:bookmarkEnd w:id="188"/>
      <w:r>
        <w:rPr/>
        <w:t>B.1.3.1</w:t>
        <w:tab/>
        <w:t>Coordinated, BTS -&gt; MS</w:t>
      </w:r>
    </w:p>
    <w:p>
      <w:pPr>
        <w:pStyle w:val="Normal"/>
        <w:rPr/>
      </w:pPr>
      <w:r>
        <w:rPr/>
        <w:t>Required IM attenuation in BTS = [C/I margin] + [BTS pwr control range] + [margin for other IMs] = 42.</w:t>
      </w:r>
    </w:p>
    <w:p>
      <w:pPr>
        <w:pStyle w:val="Heading3"/>
        <w:rPr/>
      </w:pPr>
      <w:bookmarkStart w:id="189" w:name="__RefHeading___Toc518035623"/>
      <w:bookmarkEnd w:id="189"/>
      <w:r>
        <w:rPr/>
        <w:t>B.1.3.2</w:t>
        <w:tab/>
        <w:t>Uncoordinated, BTS -&gt; MS</w:t>
      </w:r>
    </w:p>
    <w:p>
      <w:pPr>
        <w:pStyle w:val="Normal"/>
        <w:rPr/>
      </w:pPr>
      <w:r>
        <w:rPr/>
        <w:t>Required IM attenuation in BTS = [BTS power] - {[Max allowed level at MS1] + [coupling loss BTS2 -&gt; MS1]} = 73.</w:t>
      </w:r>
    </w:p>
    <w:p>
      <w:pPr>
        <w:pStyle w:val="NO"/>
        <w:rPr/>
      </w:pPr>
      <w:r>
        <w:rPr/>
        <w:t>NOTE:</w:t>
        <w:tab/>
        <w:t>[Max allowed level at MS1] = [MS sensitivity - C/I margin - margin for other IMs].</w:t>
      </w:r>
    </w:p>
    <w:p>
      <w:pPr>
        <w:pStyle w:val="Heading3"/>
        <w:rPr/>
      </w:pPr>
      <w:bookmarkStart w:id="190" w:name="__RefHeading___Toc518035624"/>
      <w:bookmarkEnd w:id="190"/>
      <w:r>
        <w:rPr/>
        <w:t>B.1.3.3</w:t>
        <w:tab/>
        <w:t>Uncoordinated, MS&amp;MS -&gt; BTS</w:t>
      </w:r>
    </w:p>
    <w:p>
      <w:pPr>
        <w:pStyle w:val="Normal"/>
        <w:rPr/>
      </w:pPr>
      <w:r>
        <w:rPr/>
        <w:t>Required IM attenuation in MS = [MS power] - {[Max allowed level at BTS2] + [coupling loss MS -&gt; BTS2]} = 74.</w:t>
      </w:r>
    </w:p>
    <w:p>
      <w:pPr>
        <w:pStyle w:val="NO"/>
        <w:rPr/>
      </w:pPr>
      <w:r>
        <w:rPr/>
        <w:t>NOTE:</w:t>
        <w:tab/>
        <w:t>[Max allowed level at BTS2] = [BTS sensitivity - C/I margin - margin for other IMs].</w:t>
      </w:r>
    </w:p>
    <w:p>
      <w:pPr>
        <w:pStyle w:val="Heading3"/>
        <w:rPr/>
      </w:pPr>
      <w:bookmarkStart w:id="191" w:name="__RefHeading___Toc518035625"/>
      <w:bookmarkEnd w:id="191"/>
      <w:r>
        <w:rPr/>
        <w:t>B.1.3.4</w:t>
        <w:tab/>
        <w:t>Uncoordinated MS&amp;MS -&gt; MS</w:t>
      </w:r>
    </w:p>
    <w:p>
      <w:pPr>
        <w:pStyle w:val="Normal"/>
        <w:rPr/>
      </w:pPr>
      <w:r>
        <w:rPr/>
        <w:t>Required IM attenuation in MS = [MS power] - {[Max allowed level at MS3] + [coupling loss MS -&gt; MS3]} = 120,5.</w:t>
      </w:r>
    </w:p>
    <w:p>
      <w:pPr>
        <w:pStyle w:val="NO"/>
        <w:rPr/>
      </w:pPr>
      <w:r>
        <w:rPr/>
        <w:t>NOTE:</w:t>
        <w:tab/>
        <w:t>[Max allowed level at MS3] = [MS sensitivity - C/I margin - margin for other IMs].</w:t>
      </w:r>
    </w:p>
    <w:p>
      <w:pPr>
        <w:pStyle w:val="Heading1"/>
        <w:ind w:left="1134" w:hanging="1134"/>
        <w:rPr/>
      </w:pPr>
      <w:bookmarkStart w:id="192" w:name="__RefHeading___Toc518035626"/>
      <w:bookmarkEnd w:id="192"/>
      <w:r>
        <w:rPr/>
        <w:t>B.2</w:t>
        <w:tab/>
        <w:t>Receiver</w:t>
      </w:r>
    </w:p>
    <w:p>
      <w:pPr>
        <w:pStyle w:val="Heading2"/>
        <w:rPr/>
      </w:pPr>
      <w:bookmarkStart w:id="193" w:name="__RefHeading___Toc518035627"/>
      <w:bookmarkEnd w:id="193"/>
      <w:r>
        <w:rPr/>
        <w:t>B.2.1</w:t>
        <w:tab/>
        <w:t>Blocking</w:t>
      </w:r>
    </w:p>
    <w:p>
      <w:pPr>
        <w:pStyle w:val="Heading3"/>
        <w:rPr/>
      </w:pPr>
      <w:bookmarkStart w:id="194" w:name="__RefHeading___Toc518035628"/>
      <w:bookmarkEnd w:id="194"/>
      <w:r>
        <w:rPr/>
        <w:t>B.2.1.1</w:t>
        <w:tab/>
        <w:t>Co-ordinated &amp; Uncoordinated BTS -&gt; MS</w:t>
      </w:r>
    </w:p>
    <w:p>
      <w:pPr>
        <w:pStyle w:val="Normal"/>
        <w:rPr/>
      </w:pPr>
      <w:r>
        <w:rPr/>
        <w:t>Max level at MS receiver = [BTS power] + [multiple interferers margin] - [coupling loss] = -33.</w:t>
      </w:r>
    </w:p>
    <w:p>
      <w:pPr>
        <w:pStyle w:val="Heading3"/>
        <w:rPr/>
      </w:pPr>
      <w:bookmarkStart w:id="195" w:name="__RefHeading___Toc518035629"/>
      <w:bookmarkEnd w:id="195"/>
      <w:r>
        <w:rPr/>
        <w:t>B.2.1.2</w:t>
        <w:tab/>
        <w:t>Co-ordinated MS -&gt; BTS</w:t>
      </w:r>
    </w:p>
    <w:p>
      <w:pPr>
        <w:pStyle w:val="Normal"/>
        <w:rPr/>
      </w:pPr>
      <w:r>
        <w:rPr/>
        <w:t>Max level at BTS receiver = [MS power] - [Power control range] - [coupling loss] = -68.</w:t>
      </w:r>
    </w:p>
    <w:p>
      <w:pPr>
        <w:pStyle w:val="Heading3"/>
        <w:rPr/>
      </w:pPr>
      <w:bookmarkStart w:id="196" w:name="__RefHeading___Toc518035630"/>
      <w:bookmarkEnd w:id="196"/>
      <w:r>
        <w:rPr/>
        <w:t>B.2.1.3</w:t>
        <w:tab/>
        <w:t>Uncoordinated MS -&gt; BTS</w:t>
      </w:r>
    </w:p>
    <w:p>
      <w:pPr>
        <w:pStyle w:val="Normal"/>
        <w:rPr/>
      </w:pPr>
      <w:r>
        <w:rPr/>
        <w:t>Max level at BTS receiver = [MS power] - [coupling loss] = -42.</w:t>
      </w:r>
    </w:p>
    <w:p>
      <w:pPr>
        <w:pStyle w:val="Heading3"/>
        <w:rPr/>
      </w:pPr>
      <w:bookmarkStart w:id="197" w:name="__RefHeading___Toc518035631"/>
      <w:bookmarkEnd w:id="197"/>
      <w:r>
        <w:rPr/>
        <w:t>B.2.1.4</w:t>
        <w:tab/>
        <w:t>Co-ordinated &amp; Uncoordinated MS -&gt; MS</w:t>
      </w:r>
    </w:p>
    <w:p>
      <w:pPr>
        <w:pStyle w:val="Normal"/>
        <w:rPr/>
      </w:pPr>
      <w:r>
        <w:rPr/>
        <w:t>Max level at MS receiver = [MS power] - [coupling loss] = 4,5.</w:t>
      </w:r>
    </w:p>
    <w:p>
      <w:pPr>
        <w:pStyle w:val="Heading3"/>
        <w:rPr/>
      </w:pPr>
      <w:bookmarkStart w:id="198" w:name="__RefHeading___Toc518035632"/>
      <w:bookmarkEnd w:id="198"/>
      <w:r>
        <w:rPr/>
        <w:t>B.2.1.5</w:t>
        <w:tab/>
        <w:t>Co-ordinated and Uncoordinated BTS -&gt; BTS</w:t>
      </w:r>
    </w:p>
    <w:p>
      <w:pPr>
        <w:pStyle w:val="Normal"/>
        <w:rPr/>
      </w:pPr>
      <w:r>
        <w:rPr/>
        <w:t>Max level at BTS receiver = [BTS power] + [multiple interferers margin] - [coupling loss] = 23.</w:t>
      </w:r>
    </w:p>
    <w:p>
      <w:pPr>
        <w:pStyle w:val="Heading2"/>
        <w:rPr/>
      </w:pPr>
      <w:bookmarkStart w:id="199" w:name="__RefHeading___Toc518035633"/>
      <w:bookmarkEnd w:id="199"/>
      <w:r>
        <w:rPr/>
        <w:t>B.2.2</w:t>
        <w:tab/>
        <w:t>Intermodulation</w:t>
      </w:r>
    </w:p>
    <w:p>
      <w:pPr>
        <w:pStyle w:val="Heading3"/>
        <w:rPr/>
      </w:pPr>
      <w:bookmarkStart w:id="200" w:name="__RefHeading___Toc518035634"/>
      <w:bookmarkEnd w:id="200"/>
      <w:r>
        <w:rPr/>
        <w:t>B.2.2.1</w:t>
        <w:tab/>
        <w:t>Co-ordinated &amp; Uncoordinated BTS -&gt; MS</w:t>
      </w:r>
    </w:p>
    <w:p>
      <w:pPr>
        <w:pStyle w:val="Normal"/>
        <w:rPr/>
      </w:pPr>
      <w:r>
        <w:rPr/>
        <w:t>Max received level at MS1 = [BTS power] - [coupling loss BTS2-&gt;MS1] + [margin for other IMs] = -40.</w:t>
      </w:r>
    </w:p>
    <w:p>
      <w:pPr>
        <w:pStyle w:val="Heading3"/>
        <w:rPr/>
      </w:pPr>
      <w:bookmarkStart w:id="201" w:name="__RefHeading___Toc518035635"/>
      <w:bookmarkEnd w:id="201"/>
      <w:r>
        <w:rPr/>
        <w:t>B.2.2.2</w:t>
        <w:tab/>
        <w:t>Co-ordinated MS &amp; MS -&gt; BTS</w:t>
      </w:r>
    </w:p>
    <w:p>
      <w:pPr>
        <w:pStyle w:val="Normal"/>
        <w:rPr/>
      </w:pPr>
      <w:r>
        <w:rPr/>
        <w:t>Max received level at BTS1 = [MS pwr] - [MS pwr control range] - [coupling loss MS -&gt; BTS1] + [margin for other IMs] = </w:t>
        <w:noBreakHyphen/>
        <w:t>65.</w:t>
      </w:r>
    </w:p>
    <w:p>
      <w:pPr>
        <w:pStyle w:val="Heading3"/>
        <w:rPr/>
      </w:pPr>
      <w:bookmarkStart w:id="202" w:name="__RefHeading___Toc518035636"/>
      <w:bookmarkEnd w:id="202"/>
      <w:r>
        <w:rPr/>
        <w:t>B.2.2.3</w:t>
        <w:tab/>
        <w:t>Uncoordinated MS &amp; MS -&gt; BTS</w:t>
      </w:r>
    </w:p>
    <w:p>
      <w:pPr>
        <w:pStyle w:val="Normal"/>
        <w:rPr/>
      </w:pPr>
      <w:r>
        <w:rPr/>
        <w:t>Max. received level at BTS1 = [MS power] - [coupling loss MS -&gt; BTS1] + [Margin for other IMs] = -39.</w:t>
      </w:r>
    </w:p>
    <w:p>
      <w:pPr>
        <w:pStyle w:val="Heading2"/>
        <w:rPr/>
      </w:pPr>
      <w:bookmarkStart w:id="203" w:name="__RefHeading___Toc518035637"/>
      <w:bookmarkEnd w:id="203"/>
      <w:r>
        <w:rPr/>
        <w:t>B.2.3</w:t>
        <w:tab/>
        <w:t>Maximum level</w:t>
      </w:r>
    </w:p>
    <w:p>
      <w:pPr>
        <w:pStyle w:val="Heading3"/>
        <w:rPr/>
      </w:pPr>
      <w:bookmarkStart w:id="204" w:name="__RefHeading___Toc518035638"/>
      <w:bookmarkEnd w:id="204"/>
      <w:r>
        <w:rPr/>
        <w:t>B.2.3.1</w:t>
        <w:tab/>
        <w:t>Co-ordinated MS -&gt; BTS</w:t>
      </w:r>
    </w:p>
    <w:p>
      <w:pPr>
        <w:pStyle w:val="Normal"/>
        <w:rPr/>
      </w:pPr>
      <w:r>
        <w:rPr/>
        <w:t>Max level at BTS = [MS power] - [coupling loss] = 42.</w:t>
      </w:r>
    </w:p>
    <w:p>
      <w:pPr>
        <w:pStyle w:val="Heading3"/>
        <w:rPr/>
      </w:pPr>
      <w:bookmarkStart w:id="205" w:name="__RefHeading___Toc518035639"/>
      <w:bookmarkEnd w:id="205"/>
      <w:r>
        <w:rPr/>
        <w:t>B.2.3.2</w:t>
        <w:tab/>
        <w:t>Co-ordinated BTS -&gt; MS</w:t>
      </w:r>
    </w:p>
    <w:p>
      <w:pPr>
        <w:pStyle w:val="Normal"/>
        <w:rPr/>
      </w:pPr>
      <w:r>
        <w:rPr/>
        <w:t>Max level at MS = [BTS power] - [coupling loss] = -43.</w:t>
      </w:r>
    </w:p>
    <w:p>
      <w:pPr>
        <w:pStyle w:val="TH"/>
        <w:rPr/>
      </w:pPr>
      <w:r>
        <w:rPr/>
        <w:t>Appendix 2: System Scenarios for Small Cell GSM900. 59 dB MCL</w:t>
      </w:r>
    </w:p>
    <w:tbl>
      <w:tblPr>
        <w:tblW w:w="4906" w:type="dxa"/>
        <w:jc w:val="center"/>
        <w:tblInd w:w="0" w:type="dxa"/>
        <w:tblLayout w:type="fixed"/>
        <w:tblCellMar>
          <w:top w:w="0" w:type="dxa"/>
          <w:left w:w="30" w:type="dxa"/>
          <w:bottom w:w="0" w:type="dxa"/>
          <w:right w:w="30" w:type="dxa"/>
        </w:tblCellMar>
      </w:tblPr>
      <w:tblGrid>
        <w:gridCol w:w="2539"/>
        <w:gridCol w:w="2367"/>
      </w:tblGrid>
      <w:tr>
        <w:trPr/>
        <w:tc>
          <w:tcPr>
            <w:tcW w:w="2539" w:type="dxa"/>
            <w:tcBorders>
              <w:top w:val="single" w:sz="6" w:space="0" w:color="000000"/>
              <w:left w:val="single" w:sz="6" w:space="0" w:color="000000"/>
            </w:tcBorders>
          </w:tcPr>
          <w:p>
            <w:pPr>
              <w:pStyle w:val="TAH"/>
              <w:rPr>
                <w:lang w:eastAsia="en-US"/>
              </w:rPr>
            </w:pPr>
            <w:r>
              <w:rPr>
                <w:lang w:eastAsia="en-US"/>
              </w:rPr>
              <w:t>Near</w:t>
            </w:r>
          </w:p>
        </w:tc>
        <w:tc>
          <w:tcPr>
            <w:tcW w:w="2367" w:type="dxa"/>
            <w:tcBorders>
              <w:top w:val="single" w:sz="6" w:space="0" w:color="000000"/>
              <w:left w:val="single" w:sz="6" w:space="0" w:color="000000"/>
              <w:right w:val="single" w:sz="6" w:space="0" w:color="000000"/>
            </w:tcBorders>
          </w:tcPr>
          <w:p>
            <w:pPr>
              <w:pStyle w:val="TAH"/>
              <w:rPr>
                <w:lang w:eastAsia="en-US"/>
              </w:rPr>
            </w:pPr>
            <w:r>
              <w:rPr>
                <w:lang w:eastAsia="en-US"/>
              </w:rPr>
              <w:t>Coupling loss</w:t>
            </w:r>
          </w:p>
        </w:tc>
      </w:tr>
      <w:tr>
        <w:trPr/>
        <w:tc>
          <w:tcPr>
            <w:tcW w:w="2539" w:type="dxa"/>
            <w:tcBorders>
              <w:top w:val="single" w:sz="6" w:space="0" w:color="000000"/>
              <w:left w:val="single" w:sz="6" w:space="0" w:color="000000"/>
              <w:bottom w:val="single" w:sz="6" w:space="0" w:color="000000"/>
            </w:tcBorders>
          </w:tcPr>
          <w:p>
            <w:pPr>
              <w:pStyle w:val="TAH"/>
              <w:rPr>
                <w:lang w:eastAsia="en-US"/>
              </w:rPr>
            </w:pPr>
            <w:r>
              <w:rPr>
                <w:lang w:eastAsia="en-US"/>
              </w:rPr>
              <w:t>BTS -&gt; MS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59</w:t>
            </w:r>
          </w:p>
        </w:tc>
      </w:tr>
      <w:tr>
        <w:trPr/>
        <w:tc>
          <w:tcPr>
            <w:tcW w:w="253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 -&gt; BTS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59</w:t>
            </w:r>
          </w:p>
        </w:tc>
      </w:tr>
      <w:tr>
        <w:trPr/>
        <w:tc>
          <w:tcPr>
            <w:tcW w:w="253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 -&gt; MS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r>
      <w:tr>
        <w:trPr/>
        <w:tc>
          <w:tcPr>
            <w:tcW w:w="2539" w:type="dxa"/>
            <w:tcBorders>
              <w:top w:val="single" w:sz="6" w:space="0" w:color="000000"/>
              <w:left w:val="single" w:sz="6" w:space="0" w:color="000000"/>
              <w:bottom w:val="single" w:sz="6" w:space="0" w:color="000000"/>
            </w:tcBorders>
          </w:tcPr>
          <w:p>
            <w:pPr>
              <w:pStyle w:val="TAH"/>
              <w:rPr>
                <w:lang w:eastAsia="en-US"/>
              </w:rPr>
            </w:pPr>
            <w:r>
              <w:rPr>
                <w:lang w:eastAsia="en-US"/>
              </w:rPr>
              <w:t>BTS -&gt; BTS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w:t>
            </w:r>
          </w:p>
        </w:tc>
      </w:tr>
    </w:tbl>
    <w:p>
      <w:pPr>
        <w:pStyle w:val="FP"/>
        <w:rPr/>
      </w:pPr>
      <w:r>
        <w:rPr/>
      </w:r>
    </w:p>
    <w:p>
      <w:pPr>
        <w:pStyle w:val="TH"/>
        <w:rPr/>
      </w:pPr>
      <w:r>
        <w:rPr/>
      </w:r>
    </w:p>
    <w:tbl>
      <w:tblPr>
        <w:tblW w:w="7303" w:type="dxa"/>
        <w:jc w:val="center"/>
        <w:tblInd w:w="0" w:type="dxa"/>
        <w:tblLayout w:type="fixed"/>
        <w:tblCellMar>
          <w:top w:w="0" w:type="dxa"/>
          <w:left w:w="30" w:type="dxa"/>
          <w:bottom w:w="0" w:type="dxa"/>
          <w:right w:w="30" w:type="dxa"/>
        </w:tblCellMar>
      </w:tblPr>
      <w:tblGrid>
        <w:gridCol w:w="2539"/>
        <w:gridCol w:w="2367"/>
        <w:gridCol w:w="2397"/>
      </w:tblGrid>
      <w:tr>
        <w:trPr/>
        <w:tc>
          <w:tcPr>
            <w:tcW w:w="2539" w:type="dxa"/>
            <w:tcBorders>
              <w:top w:val="single" w:sz="6" w:space="0" w:color="000000"/>
              <w:left w:val="single" w:sz="6" w:space="0" w:color="000000"/>
            </w:tcBorders>
          </w:tcPr>
          <w:p>
            <w:pPr>
              <w:pStyle w:val="TAH"/>
              <w:rPr>
                <w:lang w:eastAsia="en-US"/>
              </w:rPr>
            </w:pPr>
            <w:r>
              <w:rPr>
                <w:lang w:eastAsia="en-US"/>
              </w:rPr>
              <w:t>Far</w:t>
            </w:r>
          </w:p>
        </w:tc>
        <w:tc>
          <w:tcPr>
            <w:tcW w:w="2367" w:type="dxa"/>
            <w:tcBorders>
              <w:top w:val="single" w:sz="6" w:space="0" w:color="000000"/>
              <w:left w:val="single" w:sz="6" w:space="0" w:color="000000"/>
              <w:right w:val="single" w:sz="6" w:space="0" w:color="000000"/>
            </w:tcBorders>
          </w:tcPr>
          <w:p>
            <w:pPr>
              <w:pStyle w:val="TAH"/>
              <w:rPr>
                <w:lang w:eastAsia="en-US"/>
              </w:rPr>
            </w:pPr>
            <w:r>
              <w:rPr>
                <w:lang w:eastAsia="en-US"/>
              </w:rPr>
              <w:t>Tx power (dBm)</w:t>
            </w:r>
          </w:p>
        </w:tc>
        <w:tc>
          <w:tcPr>
            <w:tcW w:w="2397" w:type="dxa"/>
            <w:tcBorders>
              <w:top w:val="single" w:sz="6" w:space="0" w:color="000000"/>
              <w:right w:val="single" w:sz="6" w:space="0" w:color="000000"/>
            </w:tcBorders>
          </w:tcPr>
          <w:p>
            <w:pPr>
              <w:pStyle w:val="TAH"/>
              <w:rPr>
                <w:lang w:eastAsia="en-US"/>
              </w:rPr>
            </w:pPr>
            <w:r>
              <w:rPr>
                <w:lang w:eastAsia="en-US"/>
              </w:rPr>
              <w:t>Rx Sensitivity (dBm)</w:t>
            </w:r>
          </w:p>
        </w:tc>
      </w:tr>
      <w:tr>
        <w:trPr/>
        <w:tc>
          <w:tcPr>
            <w:tcW w:w="2539" w:type="dxa"/>
            <w:tcBorders>
              <w:top w:val="single" w:sz="6" w:space="0" w:color="000000"/>
              <w:left w:val="single" w:sz="6" w:space="0" w:color="000000"/>
              <w:bottom w:val="single" w:sz="6" w:space="0" w:color="000000"/>
            </w:tcBorders>
          </w:tcPr>
          <w:p>
            <w:pPr>
              <w:pStyle w:val="TAH"/>
              <w:rPr>
                <w:lang w:eastAsia="en-US"/>
              </w:rPr>
            </w:pPr>
            <w:r>
              <w:rPr>
                <w:lang w:eastAsia="en-US"/>
              </w:rPr>
              <w:t>BTS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38</w:t>
            </w:r>
          </w:p>
        </w:tc>
        <w:tc>
          <w:tcPr>
            <w:tcW w:w="2397" w:type="dxa"/>
            <w:tcBorders>
              <w:top w:val="single" w:sz="6" w:space="0" w:color="000000"/>
              <w:bottom w:val="single" w:sz="6" w:space="0" w:color="000000"/>
              <w:right w:val="single" w:sz="6" w:space="0" w:color="000000"/>
            </w:tcBorders>
          </w:tcPr>
          <w:p>
            <w:pPr>
              <w:pStyle w:val="TAC"/>
              <w:rPr>
                <w:lang w:val="en-GB"/>
              </w:rPr>
            </w:pPr>
            <w:r>
              <w:rPr>
                <w:lang w:val="en-GB"/>
              </w:rPr>
              <w:t>-104</w:t>
            </w:r>
          </w:p>
        </w:tc>
      </w:tr>
      <w:tr>
        <w:trPr/>
        <w:tc>
          <w:tcPr>
            <w:tcW w:w="2539" w:type="dxa"/>
            <w:tcBorders>
              <w:top w:val="single" w:sz="6" w:space="0" w:color="000000"/>
              <w:left w:val="single" w:sz="6" w:space="0" w:color="000000"/>
              <w:bottom w:val="single" w:sz="6" w:space="0" w:color="000000"/>
            </w:tcBorders>
          </w:tcPr>
          <w:p>
            <w:pPr>
              <w:pStyle w:val="TAH"/>
              <w:rPr>
                <w:lang w:eastAsia="en-US"/>
              </w:rPr>
            </w:pPr>
            <w:r>
              <w:rPr>
                <w:lang w:eastAsia="en-US"/>
              </w:rPr>
              <w:t>MS</w:t>
            </w:r>
          </w:p>
        </w:tc>
        <w:tc>
          <w:tcPr>
            <w:tcW w:w="23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c>
          <w:tcPr>
            <w:tcW w:w="2397" w:type="dxa"/>
            <w:tcBorders>
              <w:top w:val="single" w:sz="6" w:space="0" w:color="000000"/>
              <w:bottom w:val="single" w:sz="6" w:space="0" w:color="000000"/>
              <w:right w:val="single" w:sz="6" w:space="0" w:color="000000"/>
            </w:tcBorders>
          </w:tcPr>
          <w:p>
            <w:pPr>
              <w:pStyle w:val="TAC"/>
              <w:rPr>
                <w:lang w:val="en-GB"/>
              </w:rPr>
            </w:pPr>
            <w:r>
              <w:rPr>
                <w:lang w:val="en-GB"/>
              </w:rPr>
              <w:t>-104</w:t>
            </w:r>
          </w:p>
        </w:tc>
      </w:tr>
    </w:tbl>
    <w:p>
      <w:pPr>
        <w:pStyle w:val="FP"/>
        <w:rPr/>
      </w:pPr>
      <w:r>
        <w:rPr/>
      </w:r>
    </w:p>
    <w:p>
      <w:pPr>
        <w:pStyle w:val="TH"/>
        <w:rPr/>
      </w:pPr>
      <w:r>
        <w:rPr/>
      </w:r>
    </w:p>
    <w:tbl>
      <w:tblPr>
        <w:tblW w:w="4906" w:type="dxa"/>
        <w:jc w:val="center"/>
        <w:tblInd w:w="0" w:type="dxa"/>
        <w:tblLayout w:type="fixed"/>
        <w:tblCellMar>
          <w:top w:w="0" w:type="dxa"/>
          <w:left w:w="108" w:type="dxa"/>
          <w:bottom w:w="0" w:type="dxa"/>
          <w:right w:w="108" w:type="dxa"/>
        </w:tblCellMar>
      </w:tblPr>
      <w:tblGrid>
        <w:gridCol w:w="2539"/>
        <w:gridCol w:w="2367"/>
      </w:tblGrid>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power control range</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lang w:val="en-GB"/>
              </w:rPr>
              <w:t>MS power control range</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26</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C/I margin</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Multiple interferers margin</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3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Transient margin</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w:t>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3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60"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margin for other IMs</w:t>
            </w:r>
          </w:p>
        </w:tc>
        <w:tc>
          <w:tcPr>
            <w:tcW w:w="23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r>
    </w:tbl>
    <w:p>
      <w:pPr>
        <w:pStyle w:val="FP"/>
        <w:rPr/>
      </w:pPr>
      <w:r>
        <w:rPr/>
      </w:r>
    </w:p>
    <w:p>
      <w:pPr>
        <w:pStyle w:val="NO"/>
        <w:rPr/>
      </w:pPr>
      <w:r>
        <w:rPr/>
        <w:t>NOTE:</w:t>
        <w:tab/>
        <w:t>All results are in dBm except for subclause 1.3 where the results are dB.</w:t>
      </w:r>
    </w:p>
    <w:p>
      <w:pPr>
        <w:pStyle w:val="Heading2"/>
        <w:rPr/>
      </w:pPr>
      <w:bookmarkStart w:id="206" w:name="__RefHeading___Toc518035640"/>
      <w:bookmarkEnd w:id="206"/>
      <w:r>
        <w:rPr/>
        <w:t>B.3.1</w:t>
        <w:tab/>
        <w:t>Transmitter</w:t>
      </w:r>
    </w:p>
    <w:p>
      <w:pPr>
        <w:pStyle w:val="Heading3"/>
        <w:rPr/>
      </w:pPr>
      <w:bookmarkStart w:id="207" w:name="__RefHeading___Toc518035641"/>
      <w:bookmarkEnd w:id="207"/>
      <w:r>
        <w:rPr/>
        <w:t>B.3.1.1</w:t>
        <w:tab/>
        <w:t>Modulation, Spurs and Noise</w:t>
      </w:r>
    </w:p>
    <w:p>
      <w:pPr>
        <w:pStyle w:val="Heading4"/>
        <w:ind w:left="1418" w:hanging="1418"/>
        <w:rPr/>
      </w:pPr>
      <w:bookmarkStart w:id="208" w:name="__RefHeading___Toc518035642"/>
      <w:bookmarkEnd w:id="208"/>
      <w:r>
        <w:rPr/>
        <w:t>B.3.1.1.1</w:t>
        <w:tab/>
        <w:t>Co-ordinated, BTS -&gt; MS</w:t>
      </w:r>
    </w:p>
    <w:p>
      <w:pPr>
        <w:pStyle w:val="Normal"/>
        <w:rPr/>
      </w:pPr>
      <w:r>
        <w:rPr/>
        <w:t>Max. Tx noise level in RX bandwidth = [BTS power] - [Pwr control range] - [C/I margin] - [Multiple interferers margin] = </w:t>
        <w:noBreakHyphen/>
        <w:t>11.</w:t>
      </w:r>
    </w:p>
    <w:p>
      <w:pPr>
        <w:pStyle w:val="Heading4"/>
        <w:ind w:left="1418" w:hanging="1418"/>
        <w:rPr/>
      </w:pPr>
      <w:bookmarkStart w:id="209" w:name="__RefHeading___Toc518035643"/>
      <w:bookmarkEnd w:id="209"/>
      <w:r>
        <w:rPr/>
        <w:t>B.3.1.1.2</w:t>
        <w:tab/>
        <w:t>Uncoordinated, BTS -&gt; MS</w:t>
      </w:r>
    </w:p>
    <w:p>
      <w:pPr>
        <w:pStyle w:val="Normal"/>
        <w:rPr/>
      </w:pPr>
      <w:r>
        <w:rPr/>
        <w:t xml:space="preserve">Max Tx level of noise in Rx bandwidth = [MS sensitivity] - [C/I margin] - [multiple interferers margin] + [coupling loss] = </w:t>
        <w:noBreakHyphen/>
        <w:t>64.</w:t>
      </w:r>
    </w:p>
    <w:p>
      <w:pPr>
        <w:pStyle w:val="Normal"/>
        <w:rPr/>
      </w:pPr>
      <w:r>
        <w:rPr/>
        <w:t>Max Tx level of spur in Rx bandwidth = [MS sensitivity] - [C/I margin] + [coupling loss] = -54.</w:t>
      </w:r>
    </w:p>
    <w:p>
      <w:pPr>
        <w:pStyle w:val="Heading4"/>
        <w:ind w:left="1418" w:hanging="1418"/>
        <w:rPr/>
      </w:pPr>
      <w:bookmarkStart w:id="210" w:name="__RefHeading___Toc518035644"/>
      <w:bookmarkEnd w:id="210"/>
      <w:r>
        <w:rPr/>
        <w:t>B.3.1.1.3</w:t>
        <w:tab/>
        <w:t>Co-ordinated &amp; Uncoordinated MS -&gt; BTS</w:t>
      </w:r>
    </w:p>
    <w:p>
      <w:pPr>
        <w:pStyle w:val="Normal"/>
        <w:rPr/>
      </w:pPr>
      <w:r>
        <w:rPr/>
        <w:t>Max Tx level in Rx bandwidth = [BTS sensitivity] - [C/I margin] + [coupling loss] = -54.</w:t>
      </w:r>
    </w:p>
    <w:p>
      <w:pPr>
        <w:pStyle w:val="Heading4"/>
        <w:ind w:left="1418" w:hanging="1418"/>
        <w:rPr/>
      </w:pPr>
      <w:bookmarkStart w:id="211" w:name="__RefHeading___Toc518035645"/>
      <w:bookmarkEnd w:id="211"/>
      <w:r>
        <w:rPr/>
        <w:t>B.3.1.1.4</w:t>
        <w:tab/>
        <w:t>Co-ordinated &amp; Uncoordinated MS -&gt; MS</w:t>
      </w:r>
    </w:p>
    <w:p>
      <w:pPr>
        <w:pStyle w:val="Normal"/>
        <w:rPr/>
      </w:pPr>
      <w:r>
        <w:rPr/>
        <w:t>Max Tx level in Rx bandwidth = [MS sensitivity] - [C/I margin] + [Coupling loss] = -78,5.</w:t>
      </w:r>
    </w:p>
    <w:p>
      <w:pPr>
        <w:pStyle w:val="Heading4"/>
        <w:ind w:left="1418" w:hanging="1418"/>
        <w:rPr/>
      </w:pPr>
      <w:bookmarkStart w:id="212" w:name="__RefHeading___Toc518035646"/>
      <w:bookmarkEnd w:id="212"/>
      <w:r>
        <w:rPr/>
        <w:t>B.3.1.1.5</w:t>
        <w:tab/>
        <w:t>Co-ordinated &amp; Uncoordinated BTS -&gt; BTS</w:t>
      </w:r>
    </w:p>
    <w:p>
      <w:pPr>
        <w:pStyle w:val="Normal"/>
        <w:rPr/>
      </w:pPr>
      <w:r>
        <w:rPr/>
        <w:t>Max Tx level noise in Rx bandwidth = [BTS sensitivity] - [C/I margin] - [multiple interferers margin] + [coupling loss] = -98.</w:t>
      </w:r>
    </w:p>
    <w:p>
      <w:pPr>
        <w:pStyle w:val="Heading3"/>
        <w:rPr/>
      </w:pPr>
      <w:bookmarkStart w:id="213" w:name="__RefHeading___Toc518035647"/>
      <w:bookmarkEnd w:id="213"/>
      <w:r>
        <w:rPr/>
        <w:t>B.3.1.2</w:t>
        <w:tab/>
        <w:t>Switching Transients</w:t>
      </w:r>
    </w:p>
    <w:p>
      <w:pPr>
        <w:pStyle w:val="Heading4"/>
        <w:ind w:left="1418" w:hanging="1418"/>
        <w:rPr/>
      </w:pPr>
      <w:bookmarkStart w:id="214" w:name="__RefHeading___Toc518035648"/>
      <w:bookmarkEnd w:id="214"/>
      <w:r>
        <w:rPr/>
        <w:t>B.3.1.2.1</w:t>
        <w:tab/>
        <w:t>Uncoordinated MS -&gt; BTS</w:t>
      </w:r>
    </w:p>
    <w:p>
      <w:pPr>
        <w:pStyle w:val="Normal"/>
        <w:rPr/>
      </w:pPr>
      <w:r>
        <w:rPr/>
        <w:t xml:space="preserve">Max peak level in effective Rx BW at MS = [Base sensitivity] - [C/I margin] + [coupling loss] + [Transient margin] = </w:t>
        <w:noBreakHyphen/>
        <w:t>.34</w:t>
      </w:r>
    </w:p>
    <w:p>
      <w:pPr>
        <w:pStyle w:val="Heading4"/>
        <w:ind w:left="1418" w:hanging="1418"/>
        <w:rPr/>
      </w:pPr>
      <w:bookmarkStart w:id="215" w:name="__RefHeading___Toc518035649"/>
      <w:bookmarkEnd w:id="215"/>
      <w:r>
        <w:rPr/>
        <w:t>B.3.1.2.2</w:t>
        <w:tab/>
        <w:t>Uncoordinated BTS -&gt; MS</w:t>
      </w:r>
    </w:p>
    <w:p>
      <w:pPr>
        <w:pStyle w:val="Normal"/>
        <w:rPr/>
      </w:pPr>
      <w:r>
        <w:rPr/>
        <w:t xml:space="preserve">Max peak level in effective Rx BW at BTS = [MS sensitivity] - [C/I margin] + [coupling loss] + [transient margin] = </w:t>
        <w:noBreakHyphen/>
        <w:t>34.</w:t>
      </w:r>
    </w:p>
    <w:p>
      <w:pPr>
        <w:pStyle w:val="Heading3"/>
        <w:rPr/>
      </w:pPr>
      <w:bookmarkStart w:id="216" w:name="__RefHeading___Toc518035650"/>
      <w:bookmarkEnd w:id="216"/>
      <w:r>
        <w:rPr/>
        <w:t>B.3.1.3</w:t>
        <w:tab/>
        <w:t>Intermodulation</w:t>
      </w:r>
    </w:p>
    <w:p>
      <w:pPr>
        <w:pStyle w:val="Heading4"/>
        <w:ind w:left="1418" w:hanging="1418"/>
        <w:rPr/>
      </w:pPr>
      <w:bookmarkStart w:id="217" w:name="__RefHeading___Toc518035651"/>
      <w:bookmarkEnd w:id="217"/>
      <w:r>
        <w:rPr/>
        <w:t>B.3.1.3.1</w:t>
        <w:tab/>
        <w:t>Coordinated, BTS -&gt; MS</w:t>
      </w:r>
    </w:p>
    <w:p>
      <w:pPr>
        <w:pStyle w:val="Normal"/>
        <w:rPr/>
      </w:pPr>
      <w:r>
        <w:rPr/>
        <w:t>Required IM attenuation in BTS = [C/I margin] + [BTS pwr control range] + [margin for other IMs] = 42.</w:t>
      </w:r>
    </w:p>
    <w:p>
      <w:pPr>
        <w:pStyle w:val="Heading4"/>
        <w:ind w:left="1418" w:hanging="1418"/>
        <w:rPr/>
      </w:pPr>
      <w:bookmarkStart w:id="218" w:name="__RefHeading___Toc518035652"/>
      <w:bookmarkEnd w:id="218"/>
      <w:r>
        <w:rPr/>
        <w:t>B.3.1.3.2</w:t>
        <w:tab/>
        <w:t>Uncoordinated, BTS -&gt; MS</w:t>
      </w:r>
    </w:p>
    <w:p>
      <w:pPr>
        <w:pStyle w:val="Normal"/>
        <w:rPr/>
      </w:pPr>
      <w:r>
        <w:rPr/>
        <w:t>Required IM attenuation in BTS = [BTS power] - {[Max allowed level at MS1] + [coupling loss BTS2 -&gt; MS1]} = 95.</w:t>
      </w:r>
    </w:p>
    <w:p>
      <w:pPr>
        <w:pStyle w:val="NO"/>
        <w:rPr/>
      </w:pPr>
      <w:r>
        <w:rPr/>
        <w:t>NOTE:</w:t>
        <w:tab/>
        <w:t>[Max allowed level at MS1] = [MS sensitivity - C/I margin - margin for other IMs].</w:t>
      </w:r>
    </w:p>
    <w:p>
      <w:pPr>
        <w:pStyle w:val="Heading4"/>
        <w:ind w:left="1418" w:hanging="1418"/>
        <w:rPr/>
      </w:pPr>
      <w:bookmarkStart w:id="219" w:name="__RefHeading___Toc518035653"/>
      <w:bookmarkEnd w:id="219"/>
      <w:r>
        <w:rPr/>
        <w:t>B.3.1.3.3</w:t>
        <w:tab/>
        <w:t>Uncoordinated, MS&amp;MS -&gt; BTS</w:t>
      </w:r>
    </w:p>
    <w:p>
      <w:pPr>
        <w:pStyle w:val="Normal"/>
        <w:rPr/>
      </w:pPr>
      <w:r>
        <w:rPr/>
        <w:t>Required IM attenuation in MS = [MS power] - {[Max allowed level at BTS2] + [coupling loss MS -&gt; BTS2]} = 96.</w:t>
      </w:r>
    </w:p>
    <w:p>
      <w:pPr>
        <w:pStyle w:val="NO"/>
        <w:rPr/>
      </w:pPr>
      <w:r>
        <w:rPr/>
        <w:t>NOTE:</w:t>
        <w:tab/>
        <w:t>[Max allowed level at BTS2] = [BTS sensitivity - C/I margin - margin for other IMs].</w:t>
      </w:r>
    </w:p>
    <w:p>
      <w:pPr>
        <w:pStyle w:val="Heading4"/>
        <w:ind w:left="1418" w:hanging="1418"/>
        <w:rPr/>
      </w:pPr>
      <w:bookmarkStart w:id="220" w:name="__RefHeading___Toc518035654"/>
      <w:bookmarkEnd w:id="220"/>
      <w:r>
        <w:rPr/>
        <w:t>B.3.1.3.4</w:t>
        <w:tab/>
        <w:t>Uncoordinated MS&amp;MS -&gt; MS</w:t>
      </w:r>
    </w:p>
    <w:p>
      <w:pPr>
        <w:pStyle w:val="Normal"/>
        <w:rPr/>
      </w:pPr>
      <w:r>
        <w:rPr/>
        <w:t>Required IM attenuation in MS = [MS power] - {[Max allowed level at MS3] + [coupling loss MS -&gt; MS3]} = 120,5.</w:t>
      </w:r>
    </w:p>
    <w:p>
      <w:pPr>
        <w:pStyle w:val="NO"/>
        <w:rPr/>
      </w:pPr>
      <w:r>
        <w:rPr/>
        <w:t>NOTE:</w:t>
        <w:tab/>
        <w:t>[Max allowed level at MS3] = [MS sensitivity - C/I margin - margin for other IMs].</w:t>
      </w:r>
    </w:p>
    <w:p>
      <w:pPr>
        <w:pStyle w:val="Heading2"/>
        <w:rPr/>
      </w:pPr>
      <w:bookmarkStart w:id="221" w:name="__RefHeading___Toc518035655"/>
      <w:bookmarkEnd w:id="221"/>
      <w:r>
        <w:rPr/>
        <w:t>B.3.2</w:t>
        <w:tab/>
        <w:t>Receiver</w:t>
      </w:r>
    </w:p>
    <w:p>
      <w:pPr>
        <w:pStyle w:val="Heading3"/>
        <w:rPr/>
      </w:pPr>
      <w:bookmarkStart w:id="222" w:name="__RefHeading___Toc518035656"/>
      <w:bookmarkEnd w:id="222"/>
      <w:r>
        <w:rPr/>
        <w:t>B.3.2.1</w:t>
        <w:tab/>
        <w:t>Blocking</w:t>
      </w:r>
    </w:p>
    <w:p>
      <w:pPr>
        <w:pStyle w:val="Heading4"/>
        <w:ind w:left="1418" w:hanging="1418"/>
        <w:rPr/>
      </w:pPr>
      <w:bookmarkStart w:id="223" w:name="__RefHeading___Toc518035657"/>
      <w:bookmarkEnd w:id="223"/>
      <w:r>
        <w:rPr/>
        <w:t>B.3.2.1.1</w:t>
        <w:tab/>
        <w:t>Co-ordinated &amp; Uncoordinated BTS -&gt; MS</w:t>
      </w:r>
    </w:p>
    <w:p>
      <w:pPr>
        <w:pStyle w:val="Normal"/>
        <w:rPr/>
      </w:pPr>
      <w:r>
        <w:rPr/>
        <w:t>Max level at MS receiver = [BTS power] + [multiple interferers margin] - [coupling loss] = -11.</w:t>
      </w:r>
    </w:p>
    <w:p>
      <w:pPr>
        <w:pStyle w:val="Heading4"/>
        <w:ind w:left="1418" w:hanging="1418"/>
        <w:rPr/>
      </w:pPr>
      <w:bookmarkStart w:id="224" w:name="__RefHeading___Toc518035658"/>
      <w:bookmarkEnd w:id="224"/>
      <w:r>
        <w:rPr/>
        <w:t>B.3.2.1.2</w:t>
        <w:tab/>
        <w:t>Co-ordinated MS -&gt; BTS</w:t>
      </w:r>
    </w:p>
    <w:p>
      <w:pPr>
        <w:pStyle w:val="Normal"/>
        <w:rPr/>
      </w:pPr>
      <w:r>
        <w:rPr/>
        <w:t>Max level at BTS receiver = [MS power] - [Power control range] - [coupling loss] = -46.</w:t>
      </w:r>
    </w:p>
    <w:p>
      <w:pPr>
        <w:pStyle w:val="Heading4"/>
        <w:ind w:left="1418" w:hanging="1418"/>
        <w:rPr/>
      </w:pPr>
      <w:bookmarkStart w:id="225" w:name="__RefHeading___Toc518035659"/>
      <w:bookmarkEnd w:id="225"/>
      <w:r>
        <w:rPr/>
        <w:t>B.3.2.1.3</w:t>
        <w:tab/>
        <w:t>Uncoordinated MS -&gt; BTS</w:t>
      </w:r>
    </w:p>
    <w:p>
      <w:pPr>
        <w:pStyle w:val="Normal"/>
        <w:rPr/>
      </w:pPr>
      <w:r>
        <w:rPr/>
        <w:t>Max level at BTS receiver = [MS power] - [coupling loss] = -20.</w:t>
      </w:r>
    </w:p>
    <w:p>
      <w:pPr>
        <w:pStyle w:val="Heading4"/>
        <w:ind w:left="1418" w:hanging="1418"/>
        <w:rPr/>
      </w:pPr>
      <w:bookmarkStart w:id="226" w:name="__RefHeading___Toc518035660"/>
      <w:bookmarkEnd w:id="226"/>
      <w:r>
        <w:rPr/>
        <w:t>B.3.2.1.4</w:t>
        <w:tab/>
        <w:t>Co-ordinated &amp; Uncoordinated MS -&gt; MS</w:t>
      </w:r>
    </w:p>
    <w:p>
      <w:pPr>
        <w:pStyle w:val="Normal"/>
        <w:rPr/>
      </w:pPr>
      <w:r>
        <w:rPr/>
        <w:t>Max level at MS receiver = [MS power] - [coupling loss] = 4,5.</w:t>
      </w:r>
    </w:p>
    <w:p>
      <w:pPr>
        <w:pStyle w:val="Heading4"/>
        <w:ind w:left="1418" w:hanging="1418"/>
        <w:rPr/>
      </w:pPr>
      <w:bookmarkStart w:id="227" w:name="__RefHeading___Toc518035661"/>
      <w:bookmarkEnd w:id="227"/>
      <w:r>
        <w:rPr/>
        <w:t>B.3.2.1.5</w:t>
        <w:tab/>
        <w:t>Co-ordinated and Uncoordinated BTS -&gt; BTS</w:t>
      </w:r>
    </w:p>
    <w:p>
      <w:pPr>
        <w:pStyle w:val="Normal"/>
        <w:rPr/>
      </w:pPr>
      <w:r>
        <w:rPr/>
        <w:t>Max level at BTS receiver = [BTS power] + [multiple interferers margin] - [coupling loss] = 23.</w:t>
      </w:r>
    </w:p>
    <w:p>
      <w:pPr>
        <w:pStyle w:val="Heading3"/>
        <w:rPr/>
      </w:pPr>
      <w:bookmarkStart w:id="228" w:name="__RefHeading___Toc518035662"/>
      <w:bookmarkEnd w:id="228"/>
      <w:r>
        <w:rPr/>
        <w:t>B.3.2.2</w:t>
        <w:tab/>
        <w:t>Intermodulation</w:t>
      </w:r>
    </w:p>
    <w:p>
      <w:pPr>
        <w:pStyle w:val="Heading4"/>
        <w:ind w:left="1418" w:hanging="1418"/>
        <w:rPr/>
      </w:pPr>
      <w:bookmarkStart w:id="229" w:name="__RefHeading___Toc518035663"/>
      <w:bookmarkEnd w:id="229"/>
      <w:r>
        <w:rPr/>
        <w:t>B.3.2.2.1</w:t>
        <w:tab/>
        <w:t>Co-ordinated &amp; Uncoordinated BTS -&gt; MS</w:t>
      </w:r>
    </w:p>
    <w:p>
      <w:pPr>
        <w:pStyle w:val="Normal"/>
        <w:rPr/>
      </w:pPr>
      <w:r>
        <w:rPr/>
        <w:t>Max received level at MS1 = [BTS power] - [coupling loss BTS2-&gt;MS1] + [margin for other IMs] = -18.</w:t>
      </w:r>
    </w:p>
    <w:p>
      <w:pPr>
        <w:pStyle w:val="Heading4"/>
        <w:ind w:left="1418" w:hanging="1418"/>
        <w:rPr/>
      </w:pPr>
      <w:bookmarkStart w:id="230" w:name="__RefHeading___Toc518035664"/>
      <w:bookmarkEnd w:id="230"/>
      <w:r>
        <w:rPr/>
        <w:t>B.3.2.2.2</w:t>
        <w:tab/>
        <w:t>Co-ordinated MS &amp; MS -&gt; BTS</w:t>
      </w:r>
    </w:p>
    <w:p>
      <w:pPr>
        <w:pStyle w:val="Normal"/>
        <w:rPr/>
      </w:pPr>
      <w:r>
        <w:rPr/>
        <w:t>Max received level at BTS1 = [MS pwr] - [MS pwr control range] - [coupling loss MS -&gt; BTS1] + [margin for other IMs] = </w:t>
        <w:noBreakHyphen/>
        <w:t>43.</w:t>
      </w:r>
    </w:p>
    <w:p>
      <w:pPr>
        <w:pStyle w:val="Heading4"/>
        <w:ind w:left="1418" w:hanging="1418"/>
        <w:rPr/>
      </w:pPr>
      <w:bookmarkStart w:id="231" w:name="__RefHeading___Toc518035665"/>
      <w:bookmarkEnd w:id="231"/>
      <w:r>
        <w:rPr/>
        <w:t>B.3.2.2.3</w:t>
        <w:tab/>
        <w:t>Uncoordinated MS &amp; MS -&gt; BTS</w:t>
      </w:r>
    </w:p>
    <w:p>
      <w:pPr>
        <w:pStyle w:val="Normal"/>
        <w:rPr/>
      </w:pPr>
      <w:r>
        <w:rPr/>
        <w:t>Max. received level at BTS1 = [MS power] - [coupling loss MS -&gt; BTS1] + [Margin for other IMs] = -17.</w:t>
      </w:r>
    </w:p>
    <w:p>
      <w:pPr>
        <w:pStyle w:val="Heading3"/>
        <w:rPr/>
      </w:pPr>
      <w:bookmarkStart w:id="232" w:name="__RefHeading___Toc518035666"/>
      <w:bookmarkEnd w:id="232"/>
      <w:r>
        <w:rPr/>
        <w:t>B.3.2.3</w:t>
        <w:tab/>
        <w:t>Maximum level</w:t>
      </w:r>
    </w:p>
    <w:p>
      <w:pPr>
        <w:pStyle w:val="Heading4"/>
        <w:ind w:left="1418" w:hanging="1418"/>
        <w:rPr/>
      </w:pPr>
      <w:bookmarkStart w:id="233" w:name="__RefHeading___Toc518035667"/>
      <w:bookmarkEnd w:id="233"/>
      <w:r>
        <w:rPr/>
        <w:t>B.3.2.3.1</w:t>
        <w:tab/>
        <w:t>Co-ordinated MS -&gt; BTS</w:t>
      </w:r>
    </w:p>
    <w:p>
      <w:pPr>
        <w:pStyle w:val="Normal"/>
        <w:rPr/>
      </w:pPr>
      <w:r>
        <w:rPr/>
        <w:t>Max level at BTS = [MS power] - [coupling loss] = 20.</w:t>
      </w:r>
    </w:p>
    <w:p>
      <w:pPr>
        <w:pStyle w:val="Heading4"/>
        <w:ind w:left="1418" w:hanging="1418"/>
        <w:rPr/>
      </w:pPr>
      <w:bookmarkStart w:id="234" w:name="__RefHeading___Toc518035668"/>
      <w:bookmarkEnd w:id="234"/>
      <w:r>
        <w:rPr/>
        <w:t>B.3.2.3.2</w:t>
        <w:tab/>
        <w:t>Co-ordinated BTS -&gt; MS</w:t>
      </w:r>
    </w:p>
    <w:p>
      <w:pPr>
        <w:pStyle w:val="Normal"/>
        <w:rPr/>
      </w:pPr>
      <w:r>
        <w:rPr/>
        <w:t>Max level at MS = [BTS power] - [coupling loss] = -21.</w:t>
      </w:r>
      <w:r>
        <w:br w:type="page"/>
      </w:r>
    </w:p>
    <w:p>
      <w:pPr>
        <w:pStyle w:val="Heading9"/>
        <w:rPr/>
      </w:pPr>
      <w:bookmarkStart w:id="235" w:name="__RefHeading___Toc518035669"/>
      <w:bookmarkEnd w:id="235"/>
      <w:r>
        <w:rPr/>
        <w:t>Annex C:</w:t>
        <w:br/>
        <w:t>Microcell System Scenarios</w:t>
      </w:r>
    </w:p>
    <w:p>
      <w:pPr>
        <w:pStyle w:val="Normal"/>
        <w:tabs>
          <w:tab w:val="clear" w:pos="284"/>
          <w:tab w:val="right" w:pos="9639" w:leader="none"/>
        </w:tabs>
        <w:rPr/>
      </w:pPr>
      <w:r>
        <w:rPr/>
        <w:t>ETSI STC SMG2 No.3</w:t>
        <w:tab/>
        <w:t>T Doc SMG2 63 /92</w:t>
      </w:r>
    </w:p>
    <w:p>
      <w:pPr>
        <w:pStyle w:val="Normal"/>
        <w:rPr/>
      </w:pPr>
      <w:r>
        <w:rPr/>
        <w:t>lst</w:t>
        <w:noBreakHyphen/>
        <w:t xml:space="preserve"> 4</w:t>
      </w:r>
      <w:r>
        <w:rPr>
          <w:vertAlign w:val="superscript"/>
        </w:rPr>
        <w:t>th</w:t>
      </w:r>
      <w:r>
        <w:rPr/>
        <w:t xml:space="preserve"> September 1992</w:t>
      </w:r>
    </w:p>
    <w:p>
      <w:pPr>
        <w:pStyle w:val="Normal"/>
        <w:rPr/>
      </w:pPr>
      <w:r>
        <w:rPr/>
        <w:t>Strasbourg</w:t>
      </w:r>
    </w:p>
    <w:p>
      <w:pPr>
        <w:pStyle w:val="Normal"/>
        <w:rPr/>
      </w:pPr>
      <w:r>
        <w:rPr/>
        <w:t>Source: BTL (UK)</w:t>
      </w:r>
    </w:p>
    <w:p>
      <w:pPr>
        <w:pStyle w:val="Normal"/>
        <w:rPr/>
      </w:pPr>
      <w:r>
        <w:rPr/>
        <w:t xml:space="preserve">Subject: </w:t>
      </w:r>
      <w:r>
        <w:rPr>
          <w:b/>
        </w:rPr>
        <w:t>Microcell BTS RF Parameters</w:t>
      </w:r>
    </w:p>
    <w:p>
      <w:pPr>
        <w:pStyle w:val="Normal"/>
        <w:rPr/>
      </w:pPr>
      <w:r>
        <w:rPr/>
        <w:t>Background</w:t>
      </w:r>
    </w:p>
    <w:p>
      <w:pPr>
        <w:pStyle w:val="Normal"/>
        <w:rPr/>
      </w:pPr>
      <w:r>
        <w:rPr/>
        <w:t>Since the Ronneby meeting of SMG2 there have been a number of input papers concerning the specification of RP parameters for a microcell BTS. In particular T.Docs 184/91, 16/92, 28/92, 80/92, 86/92 and 90/92 from AT&amp;T NSI, MPC, BTL and Alcatel propose specific RF parameters. At the Turin SMG2 meeting it was agreed that the best way to include a microcell BTS specification into the GSM recommendations was as an annex to GSM 05.05 that would specify:</w:t>
      </w:r>
    </w:p>
    <w:p>
      <w:pPr>
        <w:pStyle w:val="B1"/>
        <w:rPr/>
      </w:pPr>
      <w:r>
        <w:rPr/>
        <w:t>-</w:t>
        <w:tab/>
        <w:t>Transmit powers.</w:t>
      </w:r>
    </w:p>
    <w:p>
      <w:pPr>
        <w:pStyle w:val="B1"/>
        <w:rPr/>
      </w:pPr>
      <w:r>
        <w:rPr/>
        <w:t>-</w:t>
        <w:tab/>
        <w:t>Receive sensitivities.</w:t>
      </w:r>
    </w:p>
    <w:p>
      <w:pPr>
        <w:pStyle w:val="B1"/>
        <w:rPr/>
      </w:pPr>
      <w:r>
        <w:rPr/>
        <w:t>-</w:t>
        <w:tab/>
        <w:t>Wideband noise.</w:t>
      </w:r>
    </w:p>
    <w:p>
      <w:pPr>
        <w:pStyle w:val="B1"/>
        <w:rPr/>
      </w:pPr>
      <w:r>
        <w:rPr/>
        <w:t>-</w:t>
        <w:tab/>
        <w:t>Blocking.</w:t>
      </w:r>
    </w:p>
    <w:p>
      <w:pPr>
        <w:pStyle w:val="Normal"/>
        <w:rPr/>
      </w:pPr>
      <w:r>
        <w:rPr/>
        <w:t>It was also agreed that it would not be practical to specify a single microcell BTS for all applications and that a number of BTS classes would need to be specified. It was noted that this may require guidelines to be added to 03.30 to ensure successful operation.</w:t>
      </w:r>
    </w:p>
    <w:p>
      <w:pPr>
        <w:pStyle w:val="Normal"/>
        <w:rPr>
          <w:i/>
          <w:i/>
        </w:rPr>
      </w:pPr>
      <w:r>
        <w:rPr>
          <w:i/>
        </w:rPr>
        <w:t>Scenario Requirements</w:t>
      </w:r>
    </w:p>
    <w:p>
      <w:pPr>
        <w:pStyle w:val="Normal"/>
        <w:rPr/>
      </w:pPr>
      <w:r>
        <w:rPr/>
        <w:t>In order to clarify the requirements for microcell BTS RF parameters we must first look at the scenario requirements. It was agreed at the Amsterdam meeting that the 2 groups of scenarios were 'range' and 'close proximity' as shown in figure 1.</w:t>
      </w:r>
    </w:p>
    <w:p>
      <w:pPr>
        <w:pStyle w:val="Normal"/>
        <w:rPr>
          <w:b/>
          <w:b/>
        </w:rPr>
      </w:pPr>
      <w:r>
        <w:rPr>
          <w:b/>
        </w:rPr>
        <w:t>Range:</w:t>
      </w:r>
    </w:p>
    <w:p>
      <w:pPr>
        <w:pStyle w:val="Normal"/>
        <w:rPr/>
      </w:pPr>
      <w:r>
        <w:rPr/>
        <w:t>The general requirements of the range scenario are that:</w:t>
      </w:r>
    </w:p>
    <w:p>
      <w:pPr>
        <w:pStyle w:val="B1"/>
        <w:rPr/>
      </w:pPr>
      <w:r>
        <w:rPr/>
        <w:t>-</w:t>
        <w:tab/>
        <w:t>Maximum BTS receive sensitivity is required for some applications.</w:t>
      </w:r>
    </w:p>
    <w:p>
      <w:pPr>
        <w:pStyle w:val="B1"/>
        <w:rPr/>
      </w:pPr>
      <w:r>
        <w:rPr/>
        <w:t>-</w:t>
        <w:tab/>
        <w:t>The uplink and downlink paths should be capable of being balanced.</w:t>
      </w:r>
    </w:p>
    <w:p>
      <w:pPr>
        <w:pStyle w:val="Normal"/>
        <w:rPr/>
      </w:pPr>
      <w:r>
        <w:rPr/>
        <w:t>It has been agreed that the COST 231 propagation model will be used for microcell propagation when a fine of sight street canyon exist. This has been included in GSM 03.30 for guidance (T.Docs 88/92 and 93/92). In order to estimate the maximum, worst case path loss experienced by a microcell BTS we would also have to define.</w:t>
      </w:r>
    </w:p>
    <w:p>
      <w:pPr>
        <w:pStyle w:val="TH"/>
        <w:rPr/>
      </w:pPr>
      <w:r>
        <w:rPr/>
        <w:t>Table 2: Close Proximity Parameters</w:t>
      </w:r>
    </w:p>
    <w:tbl>
      <w:tblPr>
        <w:tblW w:w="8046" w:type="dxa"/>
        <w:jc w:val="center"/>
        <w:tblInd w:w="0" w:type="dxa"/>
        <w:tblLayout w:type="fixed"/>
        <w:tblCellMar>
          <w:top w:w="0" w:type="dxa"/>
          <w:left w:w="28" w:type="dxa"/>
          <w:bottom w:w="0" w:type="dxa"/>
          <w:right w:w="28" w:type="dxa"/>
        </w:tblCellMar>
      </w:tblPr>
      <w:tblGrid>
        <w:gridCol w:w="3097"/>
        <w:gridCol w:w="3019"/>
        <w:gridCol w:w="1930"/>
      </w:tblGrid>
      <w:tr>
        <w:trPr/>
        <w:tc>
          <w:tcPr>
            <w:tcW w:w="3097"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30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GSM900</w:t>
            </w:r>
          </w:p>
        </w:tc>
        <w:tc>
          <w:tcPr>
            <w:tcW w:w="193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DCS1800</w:t>
            </w:r>
          </w:p>
        </w:tc>
      </w:tr>
      <w:tr>
        <w:trPr/>
        <w:tc>
          <w:tcPr>
            <w:tcW w:w="309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Minimum Coupling Loss (MCL)</w:t>
            </w:r>
          </w:p>
        </w:tc>
        <w:tc>
          <w:tcPr>
            <w:tcW w:w="301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44 dB</w:t>
            </w:r>
          </w:p>
        </w:tc>
        <w:tc>
          <w:tcPr>
            <w:tcW w:w="19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 dB</w:t>
            </w:r>
          </w:p>
        </w:tc>
      </w:tr>
      <w:tr>
        <w:trPr/>
        <w:tc>
          <w:tcPr>
            <w:tcW w:w="309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Multiple Interferers Margin (MIM)</w:t>
            </w:r>
          </w:p>
        </w:tc>
        <w:tc>
          <w:tcPr>
            <w:tcW w:w="301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 dB</w:t>
            </w:r>
          </w:p>
        </w:tc>
        <w:tc>
          <w:tcPr>
            <w:tcW w:w="19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 dB</w:t>
            </w:r>
          </w:p>
        </w:tc>
      </w:tr>
      <w:tr>
        <w:trPr/>
        <w:tc>
          <w:tcPr>
            <w:tcW w:w="309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C/I margin</w:t>
            </w:r>
          </w:p>
        </w:tc>
        <w:tc>
          <w:tcPr>
            <w:tcW w:w="301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 dB</w:t>
            </w:r>
          </w:p>
        </w:tc>
        <w:tc>
          <w:tcPr>
            <w:tcW w:w="19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 dB</w:t>
            </w:r>
          </w:p>
        </w:tc>
      </w:tr>
    </w:tbl>
    <w:p>
      <w:pPr>
        <w:pStyle w:val="Normal"/>
        <w:rPr/>
      </w:pPr>
      <w:r>
        <w:rPr/>
      </w:r>
    </w:p>
    <w:p>
      <w:pPr>
        <w:pStyle w:val="Normal"/>
        <w:rPr/>
      </w:pPr>
      <w:r>
        <w:rPr/>
        <w:t>Before we can calculate the scenario requirements shown in figure 1 we must identify some further MS RF parameters in addition to those in table 1.</w:t>
      </w:r>
    </w:p>
    <w:p>
      <w:pPr>
        <w:pStyle w:val="TH"/>
        <w:rPr/>
      </w:pPr>
      <w:r>
        <w:rPr/>
        <w:t>Table 3: Further MS RF Parameters</w:t>
      </w:r>
    </w:p>
    <w:tbl>
      <w:tblPr>
        <w:tblW w:w="8293" w:type="dxa"/>
        <w:jc w:val="center"/>
        <w:tblInd w:w="0" w:type="dxa"/>
        <w:tblLayout w:type="fixed"/>
        <w:tblCellMar>
          <w:top w:w="0" w:type="dxa"/>
          <w:left w:w="28" w:type="dxa"/>
          <w:bottom w:w="0" w:type="dxa"/>
          <w:right w:w="28" w:type="dxa"/>
        </w:tblCellMar>
      </w:tblPr>
      <w:tblGrid>
        <w:gridCol w:w="3332"/>
        <w:gridCol w:w="2976"/>
        <w:gridCol w:w="1985"/>
      </w:tblGrid>
      <w:tr>
        <w:trPr/>
        <w:tc>
          <w:tcPr>
            <w:tcW w:w="3332"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297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GSM900 (class 5)</w:t>
            </w:r>
          </w:p>
        </w:tc>
        <w:tc>
          <w:tcPr>
            <w:tcW w:w="198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DCS1800 (class 1)</w:t>
            </w:r>
          </w:p>
        </w:tc>
      </w:tr>
      <w:tr>
        <w:trPr/>
        <w:tc>
          <w:tcPr>
            <w:tcW w:w="33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Most stringent blocking requirement</w:t>
            </w:r>
          </w:p>
        </w:tc>
        <w:tc>
          <w:tcPr>
            <w:tcW w:w="297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23 dBm</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26 dBm</w:t>
            </w:r>
          </w:p>
        </w:tc>
      </w:tr>
      <w:tr>
        <w:trPr/>
        <w:tc>
          <w:tcPr>
            <w:tcW w:w="3332" w:type="dxa"/>
            <w:tcBorders>
              <w:top w:val="single" w:sz="6" w:space="0" w:color="000000"/>
              <w:left w:val="single" w:sz="6" w:space="0" w:color="000000"/>
              <w:bottom w:val="single" w:sz="6" w:space="0" w:color="000000"/>
              <w:right w:val="single" w:sz="6" w:space="0" w:color="000000"/>
            </w:tcBorders>
          </w:tcPr>
          <w:p>
            <w:pPr>
              <w:pStyle w:val="TAL"/>
              <w:rPr>
                <w:lang w:val="de-DE"/>
              </w:rPr>
            </w:pPr>
            <w:r>
              <w:rPr>
                <w:lang w:val="de-DE"/>
              </w:rPr>
              <w:t>Wideband noise emission in 200 kHz</w:t>
            </w:r>
          </w:p>
        </w:tc>
        <w:tc>
          <w:tcPr>
            <w:tcW w:w="2976" w:type="dxa"/>
            <w:tcBorders>
              <w:top w:val="single" w:sz="6" w:space="0" w:color="000000"/>
              <w:left w:val="single" w:sz="6" w:space="0" w:color="000000"/>
              <w:bottom w:val="single" w:sz="6" w:space="0" w:color="000000"/>
              <w:right w:val="single" w:sz="6" w:space="0" w:color="000000"/>
            </w:tcBorders>
          </w:tcPr>
          <w:p>
            <w:pPr>
              <w:pStyle w:val="TAC"/>
              <w:rPr/>
            </w:pPr>
            <w:r>
              <w:rPr>
                <w:lang w:val="en-GB"/>
              </w:rPr>
              <w:noBreakHyphen/>
            </w:r>
            <w:r>
              <w:rPr>
                <w:lang w:val="en-GB"/>
              </w:rPr>
              <w:t>44 dB</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48 dB</w:t>
            </w:r>
          </w:p>
        </w:tc>
      </w:tr>
    </w:tbl>
    <w:p>
      <w:pPr>
        <w:pStyle w:val="Normal"/>
        <w:rPr/>
      </w:pPr>
      <w:r>
        <w:rPr/>
      </w:r>
    </w:p>
    <w:p>
      <w:pPr>
        <w:pStyle w:val="NO"/>
        <w:rPr/>
      </w:pPr>
      <w:r>
        <w:rPr/>
        <w:t>NOTE:</w:t>
        <w:tab/>
        <w:t>Currently no specification for GSM900 MS wideband noise beyond 1,8 MHz offset and therefore figures proposed at Aalborg meeting used (as shown in T.Doc 11 1/92).</w:t>
      </w:r>
    </w:p>
    <w:p>
      <w:pPr>
        <w:pStyle w:val="Normal"/>
        <w:rPr/>
      </w:pPr>
      <w:r>
        <w:rPr/>
        <w:t>The wideband noise figures in table 3 have been adjusted by 3 dB since they are specified in a 100 kHz bandwidth in GSM 05.05 but are required in a receiver bandwidth for the scenarios (200 kHz).</w:t>
      </w:r>
    </w:p>
    <w:p>
      <w:pPr>
        <w:pStyle w:val="Normal"/>
        <w:rPr>
          <w:i/>
          <w:i/>
        </w:rPr>
      </w:pPr>
      <w:r>
        <w:rPr>
          <w:i/>
        </w:rPr>
        <w:t>BTS Tx power</w:t>
      </w:r>
    </w:p>
    <w:p>
      <w:pPr>
        <w:pStyle w:val="Normal"/>
        <w:rPr/>
      </w:pPr>
      <w:r>
        <w:rPr/>
        <w:t>This requirement (as shown in figure 1) is the maximum microcell BTS transmit power that can be tolerated in order to prevent MS blocking.</w:t>
      </w:r>
    </w:p>
    <w:p>
      <w:pPr>
        <w:pStyle w:val="B1"/>
        <w:rPr/>
      </w:pPr>
      <w:r>
        <w:rPr/>
        <w:tab/>
        <w:t>BTS Tx power = [MCL] ~ [blocking requirement].</w:t>
      </w:r>
    </w:p>
    <w:p>
      <w:pPr>
        <w:pStyle w:val="B1"/>
        <w:rPr/>
      </w:pPr>
      <w:r>
        <w:rPr/>
        <w:tab/>
        <w:t>GSM900 BTS Tx power = 44 + (</w:t>
        <w:noBreakHyphen/>
        <w:t>23) = 21 dBm.</w:t>
      </w:r>
    </w:p>
    <w:p>
      <w:pPr>
        <w:pStyle w:val="B1"/>
        <w:rPr/>
      </w:pPr>
      <w:r>
        <w:rPr/>
        <w:tab/>
        <w:t>DCS1800 BTS Tx power = 50 + (</w:t>
        <w:noBreakHyphen/>
        <w:t>26) = 24 dBm.</w:t>
      </w:r>
    </w:p>
    <w:p>
      <w:pPr>
        <w:pStyle w:val="Normal"/>
        <w:rPr>
          <w:i/>
          <w:i/>
        </w:rPr>
      </w:pPr>
      <w:r>
        <w:rPr>
          <w:i/>
        </w:rPr>
        <w:t>BTS wideband noise</w:t>
      </w:r>
    </w:p>
    <w:p>
      <w:pPr>
        <w:pStyle w:val="Normal"/>
        <w:rPr/>
      </w:pPr>
      <w:r>
        <w:rPr/>
        <w:t>This requirement (as shown in figure 1) is the maximum microcell BTS wideband noise that can be tolerated in order to prevent MS 'noise masking'. A signal lever lOdB above limit sensitivity is taken.</w:t>
      </w:r>
    </w:p>
    <w:p>
      <w:pPr>
        <w:pStyle w:val="B1"/>
        <w:rPr/>
      </w:pPr>
      <w:r>
        <w:rPr/>
        <w:tab/>
        <w:t xml:space="preserve">BTS wideband noise (in 100 kHz) = [signal lever] </w:t>
        <w:noBreakHyphen/>
        <w:t xml:space="preserve"> [C/I margin] </w:t>
        <w:noBreakHyphen/>
        <w:t xml:space="preserve"> [MIM] + [MCL] </w:t>
        <w:noBreakHyphen/>
        <w:t xml:space="preserve"> [200 - 100 kHz BW conversion].</w:t>
      </w:r>
    </w:p>
    <w:p>
      <w:pPr>
        <w:pStyle w:val="B1"/>
        <w:rPr/>
      </w:pPr>
      <w:r>
        <w:rPr/>
        <w:tab/>
        <w:t>GSM900 BTS wideband noise = (</w:t>
        <w:noBreakHyphen/>
        <w:t xml:space="preserve">92) </w:t>
        <w:noBreakHyphen/>
        <w:t xml:space="preserve"> 9 </w:t>
        <w:noBreakHyphen/>
        <w:t xml:space="preserve"> 10 + 44 </w:t>
        <w:noBreakHyphen/>
        <w:t xml:space="preserve">3 = </w:t>
        <w:noBreakHyphen/>
        <w:t>70 dBm DCS1800 BTS wideband noise = (</w:t>
        <w:noBreakHyphen/>
        <w:t xml:space="preserve">90) </w:t>
        <w:noBreakHyphen/>
        <w:t xml:space="preserve"> 9 </w:t>
        <w:noBreakHyphen/>
        <w:t xml:space="preserve"> 10 + 50 </w:t>
        <w:noBreakHyphen/>
        <w:t xml:space="preserve">3 = </w:t>
        <w:noBreakHyphen/>
        <w:t>62 dBm.</w:t>
      </w:r>
    </w:p>
    <w:p>
      <w:pPr>
        <w:pStyle w:val="B2"/>
        <w:rPr/>
      </w:pPr>
      <w:r>
        <w:rPr/>
        <w:t>-</w:t>
        <w:tab/>
        <w:t>Non fine of sight propagation model.</w:t>
      </w:r>
    </w:p>
    <w:p>
      <w:pPr>
        <w:pStyle w:val="B2"/>
        <w:rPr/>
      </w:pPr>
      <w:r>
        <w:rPr/>
        <w:t>-</w:t>
        <w:tab/>
        <w:t>Log normal fading margin.</w:t>
      </w:r>
    </w:p>
    <w:p>
      <w:pPr>
        <w:pStyle w:val="B2"/>
        <w:rPr/>
      </w:pPr>
      <w:r>
        <w:rPr/>
        <w:t>-</w:t>
        <w:tab/>
        <w:t>Rician fading margin.</w:t>
      </w:r>
    </w:p>
    <w:p>
      <w:pPr>
        <w:pStyle w:val="B2"/>
        <w:rPr/>
      </w:pPr>
      <w:r>
        <w:rPr/>
        <w:t>-</w:t>
        <w:tab/>
        <w:t>Corner attenuation.</w:t>
      </w:r>
    </w:p>
    <w:p>
      <w:pPr>
        <w:pStyle w:val="B2"/>
        <w:rPr/>
      </w:pPr>
      <w:r>
        <w:rPr/>
        <w:t>-</w:t>
        <w:tab/>
        <w:t>Building penetration loss.</w:t>
      </w:r>
    </w:p>
    <w:p>
      <w:pPr>
        <w:pStyle w:val="Normal"/>
        <w:rPr/>
      </w:pPr>
      <w:r>
        <w:rPr/>
        <w:t xml:space="preserve">To find the range from this path loss we would have to define the link budget parameters such as antennae gains and cable losses. It is thought to be impractical to define all these parameters as part of this work. However, if we substitute some approximate numbers for the above parameters (such as those in T.Doc 80/92) we can see that with </w:t>
        <w:noBreakHyphen/>
        <w:t>104 dBm receive sensitivity at the microcell BTS worst case ranges could still be as low as 200 m to 300 m.</w:t>
      </w:r>
    </w:p>
    <w:p>
      <w:pPr>
        <w:pStyle w:val="Normal"/>
        <w:rPr/>
      </w:pPr>
      <w:r>
        <w:rPr/>
        <w:t>In order to define relationships for path balancing we need only to identify the mobile RF parameters and any differences in the uplink and downlink paths (e.g. diversity). The assumptions made here are:</w:t>
      </w:r>
    </w:p>
    <w:p>
      <w:pPr>
        <w:pStyle w:val="B1"/>
        <w:rPr/>
      </w:pPr>
      <w:r>
        <w:rPr/>
        <w:t>-</w:t>
        <w:tab/>
        <w:t>Class 5 MS for GSM900 and Class 1 MS for DCS1800.</w:t>
      </w:r>
    </w:p>
    <w:p>
      <w:pPr>
        <w:pStyle w:val="B1"/>
        <w:rPr/>
      </w:pPr>
      <w:r>
        <w:rPr/>
        <w:t>-</w:t>
        <w:tab/>
        <w:t>Same antennae used for transmit and receive at MS and BTS (therefore gain cancers).</w:t>
      </w:r>
    </w:p>
    <w:p>
      <w:pPr>
        <w:pStyle w:val="B1"/>
        <w:rPr/>
      </w:pPr>
      <w:r>
        <w:rPr/>
        <w:t>-</w:t>
        <w:tab/>
        <w:t>No diversity.</w:t>
      </w:r>
    </w:p>
    <w:p>
      <w:pPr>
        <w:pStyle w:val="B1"/>
        <w:rPr/>
      </w:pPr>
      <w:r>
        <w:rPr/>
        <w:t>-</w:t>
        <w:tab/>
        <w:t>Path balancing performed for maximum MS transmit power (to give absolute max. BTS transmit power required).</w:t>
      </w:r>
    </w:p>
    <w:p>
      <w:pPr>
        <w:pStyle w:val="Normal"/>
        <w:rPr/>
      </w:pPr>
      <w:r>
        <w:rPr/>
        <w:t>The following MS RF parameters are used:</w:t>
      </w:r>
    </w:p>
    <w:p>
      <w:pPr>
        <w:pStyle w:val="TH"/>
        <w:rPr/>
      </w:pPr>
      <w:r>
        <w:rPr/>
        <w:t>Table 1: MS RF Parameter</w:t>
      </w:r>
    </w:p>
    <w:tbl>
      <w:tblPr>
        <w:tblW w:w="7054" w:type="dxa"/>
        <w:jc w:val="center"/>
        <w:tblInd w:w="0" w:type="dxa"/>
        <w:tblLayout w:type="fixed"/>
        <w:tblCellMar>
          <w:top w:w="0" w:type="dxa"/>
          <w:left w:w="28" w:type="dxa"/>
          <w:bottom w:w="0" w:type="dxa"/>
          <w:right w:w="28" w:type="dxa"/>
        </w:tblCellMar>
      </w:tblPr>
      <w:tblGrid>
        <w:gridCol w:w="2280"/>
        <w:gridCol w:w="2223"/>
        <w:gridCol w:w="2551"/>
      </w:tblGrid>
      <w:tr>
        <w:trPr/>
        <w:tc>
          <w:tcPr>
            <w:tcW w:w="2280"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222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 Tx power</w:t>
            </w:r>
          </w:p>
        </w:tc>
        <w:tc>
          <w:tcPr>
            <w:tcW w:w="25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 Rx sensitivity</w:t>
            </w:r>
          </w:p>
        </w:tc>
      </w:tr>
      <w:tr>
        <w:trPr/>
        <w:tc>
          <w:tcPr>
            <w:tcW w:w="228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GSM900</w:t>
            </w:r>
          </w:p>
        </w:tc>
        <w:tc>
          <w:tcPr>
            <w:tcW w:w="222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29 dBm</w:t>
            </w:r>
          </w:p>
        </w:tc>
        <w:tc>
          <w:tcPr>
            <w:tcW w:w="2551" w:type="dxa"/>
            <w:tcBorders>
              <w:top w:val="single" w:sz="6" w:space="0" w:color="000000"/>
              <w:left w:val="single" w:sz="6" w:space="0" w:color="000000"/>
              <w:bottom w:val="single" w:sz="6" w:space="0" w:color="000000"/>
              <w:right w:val="single" w:sz="6" w:space="0" w:color="000000"/>
            </w:tcBorders>
          </w:tcPr>
          <w:p>
            <w:pPr>
              <w:pStyle w:val="TAC"/>
              <w:rPr/>
            </w:pPr>
            <w:r>
              <w:rPr>
                <w:lang w:val="en-GB"/>
              </w:rPr>
              <w:noBreakHyphen/>
            </w:r>
            <w:r>
              <w:rPr>
                <w:lang w:val="en-GB"/>
              </w:rPr>
              <w:t>102 dBm</w:t>
            </w:r>
          </w:p>
        </w:tc>
      </w:tr>
      <w:tr>
        <w:trPr/>
        <w:tc>
          <w:tcPr>
            <w:tcW w:w="228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DCS1800</w:t>
            </w:r>
          </w:p>
        </w:tc>
        <w:tc>
          <w:tcPr>
            <w:tcW w:w="222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 dBm</w:t>
            </w:r>
          </w:p>
        </w:tc>
        <w:tc>
          <w:tcPr>
            <w:tcW w:w="25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100 dBm</w:t>
            </w:r>
          </w:p>
        </w:tc>
      </w:tr>
    </w:tbl>
    <w:p>
      <w:pPr>
        <w:pStyle w:val="Normal"/>
        <w:rPr/>
      </w:pPr>
      <w:r>
        <w:rPr/>
      </w:r>
    </w:p>
    <w:p>
      <w:pPr>
        <w:pStyle w:val="Normal"/>
        <w:rPr/>
      </w:pPr>
      <w:r>
        <w:rPr/>
        <w:t>For balanced paths the uplink max path loss must equal the downlink max path loss. In other words:</w:t>
      </w:r>
    </w:p>
    <w:p>
      <w:pPr>
        <w:pStyle w:val="B1"/>
        <w:rPr/>
      </w:pPr>
      <w:r>
        <w:rPr/>
        <w:tab/>
        <w:t>[MS Tx power] + [</w:t>
        <w:noBreakHyphen/>
        <w:t>BTS Rx sens] = [BTS Tx power] + [</w:t>
        <w:noBreakHyphen/>
        <w:t>MS Rx sens].</w:t>
      </w:r>
    </w:p>
    <w:p>
      <w:pPr>
        <w:pStyle w:val="Normal"/>
        <w:rPr/>
      </w:pPr>
      <w:r>
        <w:rPr/>
        <w:t>The following relationships can therefore be defined:</w:t>
      </w:r>
    </w:p>
    <w:p>
      <w:pPr>
        <w:pStyle w:val="B1"/>
        <w:rPr/>
      </w:pPr>
      <w:r>
        <w:rPr/>
        <w:tab/>
        <w:t xml:space="preserve">GSM900 [BTS Tx power] + 73 = </w:t>
        <w:noBreakHyphen/>
        <w:t xml:space="preserve"> [BTS Rx sensitivity].</w:t>
      </w:r>
    </w:p>
    <w:p>
      <w:pPr>
        <w:pStyle w:val="B1"/>
        <w:rPr/>
      </w:pPr>
      <w:r>
        <w:rPr/>
        <w:tab/>
        <w:t xml:space="preserve">DCS1800 [BTS Tx power] + 70 = </w:t>
        <w:noBreakHyphen/>
        <w:t xml:space="preserve"> [BTS Rx sensitivity].</w:t>
      </w:r>
    </w:p>
    <w:p>
      <w:pPr>
        <w:pStyle w:val="Normal"/>
        <w:rPr>
          <w:b/>
          <w:b/>
        </w:rPr>
      </w:pPr>
      <w:r>
        <w:rPr>
          <w:b/>
        </w:rPr>
        <w:t>Close Proximity</w:t>
      </w:r>
    </w:p>
    <w:p>
      <w:pPr>
        <w:pStyle w:val="Normal"/>
        <w:rPr/>
      </w:pPr>
      <w:r>
        <w:rPr/>
        <w:t>At the Amsterdam microcell sub</w:t>
        <w:noBreakHyphen/>
        <w:t>group the Minimum Coupling Losses (MCL) for Microcell BTS to MS coupling were agreed (T.Doc 41/92 Rev 1). Further work showed that these figures were very worst case and had a low probability of occurring (T.Doc 90/92). The following parameters will be used in the close proximity scenarios.</w:t>
      </w:r>
    </w:p>
    <w:p>
      <w:pPr>
        <w:pStyle w:val="Normal"/>
        <w:rPr>
          <w:i/>
          <w:i/>
        </w:rPr>
      </w:pPr>
      <w:r>
        <w:rPr>
          <w:i/>
        </w:rPr>
        <w:t>BTS blocking</w:t>
      </w:r>
    </w:p>
    <w:p>
      <w:pPr>
        <w:pStyle w:val="Normal"/>
        <w:rPr/>
      </w:pPr>
      <w:r>
        <w:rPr/>
        <w:t>This requirement (as shown in Fig. 1) is the maximum signal lever that may be presented to a microcell BTS from an uncoordinated MS.</w:t>
      </w:r>
    </w:p>
    <w:p>
      <w:pPr>
        <w:pStyle w:val="B1"/>
        <w:rPr/>
      </w:pPr>
      <w:r>
        <w:rPr/>
        <w:tab/>
        <w:t xml:space="preserve">BTS blocking level = [MS Tx power] </w:t>
        <w:noBreakHyphen/>
        <w:t xml:space="preserve"> [MCL].</w:t>
      </w:r>
    </w:p>
    <w:p>
      <w:pPr>
        <w:pStyle w:val="B1"/>
        <w:rPr/>
      </w:pPr>
      <w:r>
        <w:rPr/>
        <w:tab/>
        <w:t xml:space="preserve">GSM900 BTS blocking level = 29 </w:t>
        <w:noBreakHyphen/>
        <w:t xml:space="preserve"> 44 = </w:t>
        <w:noBreakHyphen/>
        <w:t>15 dBm.</w:t>
      </w:r>
    </w:p>
    <w:p>
      <w:pPr>
        <w:pStyle w:val="B1"/>
        <w:rPr/>
      </w:pPr>
      <w:r>
        <w:rPr/>
        <w:tab/>
        <w:t xml:space="preserve">DCS1800 BTS blocking level = 30 </w:t>
        <w:noBreakHyphen/>
        <w:t xml:space="preserve"> 50 = </w:t>
        <w:noBreakHyphen/>
        <w:t>20 dBm.</w:t>
      </w:r>
    </w:p>
    <w:p>
      <w:pPr>
        <w:pStyle w:val="Normal"/>
        <w:rPr>
          <w:i/>
          <w:i/>
        </w:rPr>
      </w:pPr>
      <w:r>
        <w:rPr>
          <w:i/>
        </w:rPr>
        <w:t>BTS Rx sensitivity</w:t>
      </w:r>
    </w:p>
    <w:p>
      <w:pPr>
        <w:pStyle w:val="Normal"/>
        <w:rPr/>
      </w:pPr>
      <w:r>
        <w:rPr/>
        <w:t>This requirement (as shown in figure 1) is the maximum receive sensitivity a microcell BTS can have in order to prevent 'noise masking' from an uncoordinated MS.</w:t>
      </w:r>
    </w:p>
    <w:p>
      <w:pPr>
        <w:pStyle w:val="B1"/>
        <w:rPr/>
      </w:pPr>
      <w:r>
        <w:rPr/>
        <w:tab/>
        <w:t xml:space="preserve">BTS Rx sensitivity = [wideband noise from MS] + [C/I margin] </w:t>
        <w:noBreakHyphen/>
        <w:t xml:space="preserve"> [MCL].</w:t>
      </w:r>
    </w:p>
    <w:p>
      <w:pPr>
        <w:pStyle w:val="B1"/>
        <w:rPr/>
      </w:pPr>
      <w:r>
        <w:rPr/>
        <w:tab/>
        <w:t xml:space="preserve">GSM900 BTS Rx sensitivity = </w:t>
        <w:noBreakHyphen/>
        <w:t xml:space="preserve">44 + 9 </w:t>
        <w:noBreakHyphen/>
        <w:t xml:space="preserve"> 44 = </w:t>
        <w:noBreakHyphen/>
        <w:t>79 dBm.</w:t>
      </w:r>
    </w:p>
    <w:p>
      <w:pPr>
        <w:pStyle w:val="B1"/>
        <w:rPr/>
      </w:pPr>
      <w:r>
        <w:rPr/>
        <w:tab/>
        <w:t xml:space="preserve">DCS1800 BTS Rx sensitivity = ~8 + 9 </w:t>
        <w:noBreakHyphen/>
        <w:t xml:space="preserve"> 50 = </w:t>
        <w:noBreakHyphen/>
        <w:t>89 dBm.</w:t>
      </w:r>
    </w:p>
    <w:p>
      <w:pPr>
        <w:pStyle w:val="Normal"/>
        <w:rPr>
          <w:i/>
          <w:i/>
        </w:rPr>
      </w:pPr>
      <w:r>
        <w:rPr>
          <w:i/>
        </w:rPr>
        <w:t>Practical specification</w:t>
      </w:r>
    </w:p>
    <w:p>
      <w:pPr>
        <w:pStyle w:val="Normal"/>
        <w:rPr/>
      </w:pPr>
      <w:r>
        <w:rPr/>
        <w:t>So far, we have identified the requirements for the range and close proximity scenarios for a microcell BTS. We now need to move towards a practical specification.</w:t>
      </w:r>
    </w:p>
    <w:p>
      <w:pPr>
        <w:pStyle w:val="Normal"/>
        <w:rPr/>
      </w:pPr>
      <w:r>
        <w:rPr>
          <w:i/>
        </w:rPr>
        <w:t>Microcell BTS Tx power and Rx sensitivity</w:t>
      </w:r>
    </w:p>
    <w:p>
      <w:pPr>
        <w:pStyle w:val="Normal"/>
        <w:rPr/>
      </w:pPr>
      <w:r>
        <w:rPr/>
        <w:t>If we study the scenario requirements for transmit power and receive sensitivity we find the following:</w:t>
      </w:r>
    </w:p>
    <w:p>
      <w:pPr>
        <w:pStyle w:val="B1"/>
        <w:rPr/>
      </w:pPr>
      <w:r>
        <w:rPr/>
        <w:t>-</w:t>
        <w:tab/>
        <w:t>The Rx sensitivities needed to satisfy the close proximity scenarios are much less those required for the range scenarios.</w:t>
      </w:r>
    </w:p>
    <w:p>
      <w:pPr>
        <w:pStyle w:val="B1"/>
        <w:rPr/>
      </w:pPr>
      <w:r>
        <w:rPr/>
        <w:t>-</w:t>
        <w:tab/>
        <w:t>The Tx powers and Rx sensitivities from the close proximity scenarios lead to a 15 dB downlink bias for GSM900 and a 5 dB downlink bias for DCS1800.</w:t>
      </w:r>
    </w:p>
    <w:p>
      <w:pPr>
        <w:pStyle w:val="Normal"/>
        <w:rPr/>
      </w:pPr>
      <w:r>
        <w:rPr/>
        <w:t>In order to satisfy both the path balance relationships in the range scenario and the close proximity scenarios we can either reduce the Tx power or reduce the Rx sensitivity even further. Since the Rx sensitivity is well short of the range requirements already we shall choose to balance paths by reducing Tx power. This gives the following Tx powers:</w:t>
      </w:r>
    </w:p>
    <w:p>
      <w:pPr>
        <w:pStyle w:val="B1"/>
        <w:rPr/>
      </w:pPr>
      <w:r>
        <w:rPr/>
        <w:tab/>
        <w:t xml:space="preserve">GSM900 BTS Tx power = </w:t>
        <w:noBreakHyphen/>
        <w:t>(</w:t>
        <w:noBreakHyphen/>
        <w:t>79) + 73 = 6 dBm.</w:t>
      </w:r>
    </w:p>
    <w:p>
      <w:pPr>
        <w:pStyle w:val="B1"/>
        <w:rPr/>
      </w:pPr>
      <w:r>
        <w:rPr/>
        <w:tab/>
        <w:t xml:space="preserve">DCS1800 BTS Tx power = </w:t>
        <w:noBreakHyphen/>
        <w:t>(</w:t>
        <w:noBreakHyphen/>
        <w:t>89) + 70 = 19 dBm.</w:t>
      </w:r>
    </w:p>
    <w:p>
      <w:pPr>
        <w:pStyle w:val="Normal"/>
        <w:rPr/>
      </w:pPr>
      <w:r>
        <w:rPr/>
        <w:t xml:space="preserve">However, if we want to specify microcell BTS classes with better Rx sensitivities than these (and hence higher Tx powers) then the value for MCL has to be increased in order to ensure the close proximity scenarios are satisfied. Popular Rx sensitivities to choose in order to optimise microcell BTS size and cost are </w:t>
        <w:noBreakHyphen/>
        <w:t xml:space="preserve">89 Bm and </w:t>
        <w:noBreakHyphen/>
        <w:t>95 dBm (from SMG2 input papers). Since the limiting close proximity scenario is MS wideband noise masking the microcell BTS receiver we must use this to determine the new MCL requirements as follows:</w:t>
      </w:r>
    </w:p>
    <w:p>
      <w:pPr>
        <w:pStyle w:val="B1"/>
        <w:rPr/>
      </w:pPr>
      <w:r>
        <w:rPr/>
        <w:tab/>
        <w:t xml:space="preserve">MCL = [wideband noise from MS] + [C/I margin] </w:t>
        <w:noBreakHyphen/>
        <w:t xml:space="preserve"> [BTS Rx sensitivity].</w:t>
      </w:r>
    </w:p>
    <w:p>
      <w:pPr>
        <w:pStyle w:val="Normal"/>
        <w:rPr/>
      </w:pPr>
      <w:r>
        <w:rPr/>
        <w:t>Having clone this we can path balance to find the new Tx powers. These results are shown in table 4.</w:t>
      </w:r>
    </w:p>
    <w:p>
      <w:pPr>
        <w:pStyle w:val="TH"/>
        <w:rPr/>
      </w:pPr>
      <w:r>
        <w:rPr/>
        <w:t>Table 4: New MCLs with balanced Rx sens and Tx powers</w:t>
      </w:r>
    </w:p>
    <w:tbl>
      <w:tblPr>
        <w:tblW w:w="7793" w:type="dxa"/>
        <w:jc w:val="center"/>
        <w:tblInd w:w="0" w:type="dxa"/>
        <w:tblLayout w:type="fixed"/>
        <w:tblCellMar>
          <w:top w:w="0" w:type="dxa"/>
          <w:left w:w="28" w:type="dxa"/>
          <w:bottom w:w="0" w:type="dxa"/>
          <w:right w:w="28" w:type="dxa"/>
        </w:tblCellMar>
      </w:tblPr>
      <w:tblGrid>
        <w:gridCol w:w="1304"/>
        <w:gridCol w:w="2585"/>
        <w:gridCol w:w="1952"/>
        <w:gridCol w:w="1952"/>
      </w:tblGrid>
      <w:tr>
        <w:trPr/>
        <w:tc>
          <w:tcPr>
            <w:tcW w:w="1304" w:type="dxa"/>
            <w:tcBorders>
              <w:top w:val="single" w:sz="6" w:space="0" w:color="000000"/>
              <w:left w:val="single" w:sz="6" w:space="0" w:color="000000"/>
              <w:right w:val="single" w:sz="6" w:space="0" w:color="000000"/>
            </w:tcBorders>
          </w:tcPr>
          <w:p>
            <w:pPr>
              <w:pStyle w:val="TAH"/>
              <w:snapToGrid w:val="false"/>
              <w:rPr>
                <w:lang w:eastAsia="en-US"/>
              </w:rPr>
            </w:pPr>
            <w:r>
              <w:rPr>
                <w:lang w:eastAsia="en-US"/>
              </w:rPr>
            </w:r>
          </w:p>
        </w:tc>
        <w:tc>
          <w:tcPr>
            <w:tcW w:w="2585"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lang w:val="fr-FR" w:eastAsia="en-US"/>
              </w:rPr>
              <w:t>MCL</w:t>
            </w:r>
          </w:p>
        </w:tc>
        <w:tc>
          <w:tcPr>
            <w:tcW w:w="1952"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lang w:val="fr-FR" w:eastAsia="en-US"/>
              </w:rPr>
              <w:t>Rx sens</w:t>
            </w:r>
          </w:p>
        </w:tc>
        <w:tc>
          <w:tcPr>
            <w:tcW w:w="195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Tx power</w:t>
            </w:r>
          </w:p>
        </w:tc>
      </w:tr>
      <w:tr>
        <w:trPr/>
        <w:tc>
          <w:tcPr>
            <w:tcW w:w="1304" w:type="dxa"/>
            <w:tcBorders>
              <w:top w:val="single" w:sz="6" w:space="0" w:color="000000"/>
              <w:left w:val="single" w:sz="6" w:space="0" w:color="000000"/>
              <w:right w:val="single" w:sz="6" w:space="0" w:color="000000"/>
            </w:tcBorders>
          </w:tcPr>
          <w:p>
            <w:pPr>
              <w:pStyle w:val="TAL"/>
              <w:rPr>
                <w:lang w:val="en-GB"/>
              </w:rPr>
            </w:pPr>
            <w:r>
              <w:rPr>
                <w:lang w:val="en-GB"/>
              </w:rPr>
              <w:t>GSM900</w:t>
            </w:r>
          </w:p>
        </w:tc>
        <w:tc>
          <w:tcPr>
            <w:tcW w:w="258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44 dB</w:t>
            </w:r>
          </w:p>
        </w:tc>
        <w:tc>
          <w:tcPr>
            <w:tcW w:w="195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noBreakHyphen/>
            </w:r>
            <w:r>
              <w:rPr>
                <w:lang w:eastAsia="en-US"/>
              </w:rPr>
              <w:t>79 dBm</w:t>
            </w:r>
          </w:p>
        </w:tc>
        <w:tc>
          <w:tcPr>
            <w:tcW w:w="195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 dBm</w:t>
            </w:r>
          </w:p>
        </w:tc>
      </w:tr>
      <w:tr>
        <w:trPr/>
        <w:tc>
          <w:tcPr>
            <w:tcW w:w="1304" w:type="dxa"/>
            <w:tcBorders>
              <w:left w:val="single" w:sz="6" w:space="0" w:color="000000"/>
              <w:right w:val="single" w:sz="6" w:space="0" w:color="000000"/>
            </w:tcBorders>
          </w:tcPr>
          <w:p>
            <w:pPr>
              <w:pStyle w:val="TAL"/>
              <w:snapToGrid w:val="false"/>
              <w:rPr>
                <w:lang w:val="en-GB" w:eastAsia="en-US"/>
              </w:rPr>
            </w:pPr>
            <w:r>
              <w:rPr>
                <w:lang w:val="en-GB" w:eastAsia="en-US"/>
              </w:rPr>
            </w:r>
          </w:p>
        </w:tc>
        <w:tc>
          <w:tcPr>
            <w:tcW w:w="25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54 dB</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89 dBm</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 dBm</w:t>
            </w:r>
          </w:p>
        </w:tc>
      </w:tr>
      <w:tr>
        <w:trPr/>
        <w:tc>
          <w:tcPr>
            <w:tcW w:w="1304" w:type="dxa"/>
            <w:tcBorders>
              <w:left w:val="single" w:sz="6" w:space="0" w:color="000000"/>
              <w:right w:val="single" w:sz="6" w:space="0" w:color="000000"/>
            </w:tcBorders>
          </w:tcPr>
          <w:p>
            <w:pPr>
              <w:pStyle w:val="TAL"/>
              <w:snapToGrid w:val="false"/>
              <w:rPr>
                <w:lang w:val="en-GB"/>
              </w:rPr>
            </w:pPr>
            <w:r>
              <w:rPr>
                <w:lang w:val="en-GB"/>
              </w:rPr>
            </w:r>
          </w:p>
        </w:tc>
        <w:tc>
          <w:tcPr>
            <w:tcW w:w="25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 dB</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95 dBm</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22 dBm</w:t>
            </w:r>
          </w:p>
        </w:tc>
      </w:tr>
      <w:tr>
        <w:trPr/>
        <w:tc>
          <w:tcPr>
            <w:tcW w:w="1304" w:type="dxa"/>
            <w:tcBorders>
              <w:left w:val="single" w:sz="6" w:space="0" w:color="000000"/>
              <w:right w:val="single" w:sz="6" w:space="0" w:color="000000"/>
            </w:tcBorders>
          </w:tcPr>
          <w:p>
            <w:pPr>
              <w:pStyle w:val="TAL"/>
              <w:snapToGrid w:val="false"/>
              <w:rPr>
                <w:lang w:val="en-GB"/>
              </w:rPr>
            </w:pPr>
            <w:r>
              <w:rPr>
                <w:lang w:val="en-GB"/>
              </w:rPr>
            </w:r>
          </w:p>
        </w:tc>
        <w:tc>
          <w:tcPr>
            <w:tcW w:w="25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69 dB</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104 dBm</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31 dBm</w:t>
            </w:r>
          </w:p>
        </w:tc>
      </w:tr>
      <w:tr>
        <w:trPr/>
        <w:tc>
          <w:tcPr>
            <w:tcW w:w="1304" w:type="dxa"/>
            <w:tcBorders>
              <w:top w:val="single" w:sz="6" w:space="0" w:color="000000"/>
              <w:left w:val="single" w:sz="6" w:space="0" w:color="000000"/>
              <w:right w:val="single" w:sz="6" w:space="0" w:color="000000"/>
            </w:tcBorders>
          </w:tcPr>
          <w:p>
            <w:pPr>
              <w:pStyle w:val="TAL"/>
              <w:rPr>
                <w:lang w:val="en-GB"/>
              </w:rPr>
            </w:pPr>
            <w:r>
              <w:rPr>
                <w:lang w:val="en-GB"/>
              </w:rPr>
              <w:t>DCS1800</w:t>
            </w:r>
          </w:p>
        </w:tc>
        <w:tc>
          <w:tcPr>
            <w:tcW w:w="25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 dB</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89 dBm</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19 dBm</w:t>
            </w:r>
          </w:p>
        </w:tc>
      </w:tr>
      <w:tr>
        <w:trPr/>
        <w:tc>
          <w:tcPr>
            <w:tcW w:w="1304" w:type="dxa"/>
            <w:tcBorders>
              <w:left w:val="single" w:sz="6" w:space="0" w:color="000000"/>
              <w:right w:val="single" w:sz="6" w:space="0" w:color="000000"/>
            </w:tcBorders>
          </w:tcPr>
          <w:p>
            <w:pPr>
              <w:pStyle w:val="TAL"/>
              <w:snapToGrid w:val="false"/>
              <w:rPr>
                <w:lang w:val="en-GB"/>
              </w:rPr>
            </w:pPr>
            <w:r>
              <w:rPr>
                <w:lang w:val="en-GB"/>
              </w:rPr>
            </w:r>
          </w:p>
        </w:tc>
        <w:tc>
          <w:tcPr>
            <w:tcW w:w="25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56 dB</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95 dBm</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 dBm</w:t>
            </w:r>
          </w:p>
        </w:tc>
      </w:tr>
      <w:tr>
        <w:trPr/>
        <w:tc>
          <w:tcPr>
            <w:tcW w:w="1304" w:type="dxa"/>
            <w:tcBorders>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2585" w:type="dxa"/>
            <w:tcBorders>
              <w:top w:val="single" w:sz="6" w:space="0" w:color="000000"/>
              <w:left w:val="single" w:sz="6" w:space="0" w:color="000000"/>
              <w:bottom w:val="single" w:sz="6" w:space="0" w:color="000000"/>
              <w:right w:val="single" w:sz="6" w:space="0" w:color="000000"/>
            </w:tcBorders>
          </w:tcPr>
          <w:p>
            <w:pPr>
              <w:pStyle w:val="TAC"/>
              <w:rPr/>
            </w:pPr>
            <w:r>
              <w:rPr>
                <w:lang w:val="en-GB"/>
              </w:rPr>
              <w:t>65 dB</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104 dBm</w:t>
            </w:r>
          </w:p>
        </w:tc>
        <w:tc>
          <w:tcPr>
            <w:tcW w:w="19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 dBm</w:t>
            </w:r>
          </w:p>
        </w:tc>
      </w:tr>
    </w:tbl>
    <w:p>
      <w:pPr>
        <w:pStyle w:val="Normal"/>
        <w:rPr/>
      </w:pPr>
      <w:r>
        <w:rPr/>
      </w:r>
    </w:p>
    <w:p>
      <w:pPr>
        <w:pStyle w:val="Normal"/>
        <w:rPr>
          <w:i/>
          <w:i/>
        </w:rPr>
      </w:pPr>
      <w:r>
        <w:rPr>
          <w:i/>
        </w:rPr>
        <w:t>Microcell blocting</w:t>
      </w:r>
    </w:p>
    <w:p>
      <w:pPr>
        <w:pStyle w:val="Normal"/>
        <w:rPr/>
      </w:pPr>
      <w:r>
        <w:rPr/>
        <w:t>It has been agreed that by reducing the Rx sensitivity we do not want to imply a relaxation in the blocking requirements for the microcell BTS. Therefore the blocking values will simply be increased by the same amount as the Rx sensitivity has decreased.</w:t>
      </w:r>
    </w:p>
    <w:p>
      <w:pPr>
        <w:pStyle w:val="TH"/>
        <w:rPr/>
      </w:pPr>
      <w:r>
        <w:rPr/>
        <w:t>Table 5 Change in blocking requirement</w:t>
      </w:r>
    </w:p>
    <w:tbl>
      <w:tblPr>
        <w:tblW w:w="5778" w:type="dxa"/>
        <w:jc w:val="center"/>
        <w:tblInd w:w="0" w:type="dxa"/>
        <w:tblLayout w:type="fixed"/>
        <w:tblCellMar>
          <w:top w:w="0" w:type="dxa"/>
          <w:left w:w="28" w:type="dxa"/>
          <w:bottom w:w="0" w:type="dxa"/>
          <w:right w:w="28" w:type="dxa"/>
        </w:tblCellMar>
      </w:tblPr>
      <w:tblGrid>
        <w:gridCol w:w="1533"/>
        <w:gridCol w:w="1977"/>
        <w:gridCol w:w="2268"/>
      </w:tblGrid>
      <w:tr>
        <w:trPr/>
        <w:tc>
          <w:tcPr>
            <w:tcW w:w="1533" w:type="dxa"/>
            <w:tcBorders>
              <w:top w:val="single" w:sz="6" w:space="0" w:color="000000"/>
              <w:left w:val="single" w:sz="6" w:space="0" w:color="000000"/>
              <w:right w:val="single" w:sz="6" w:space="0" w:color="000000"/>
            </w:tcBorders>
          </w:tcPr>
          <w:p>
            <w:pPr>
              <w:pStyle w:val="TAH"/>
              <w:snapToGrid w:val="false"/>
              <w:rPr>
                <w:lang w:eastAsia="en-US"/>
              </w:rPr>
            </w:pPr>
            <w:r>
              <w:rPr>
                <w:lang w:eastAsia="en-US"/>
              </w:rPr>
            </w:r>
          </w:p>
        </w:tc>
        <w:tc>
          <w:tcPr>
            <w:tcW w:w="197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Rx sens</w:t>
            </w:r>
          </w:p>
        </w:tc>
        <w:tc>
          <w:tcPr>
            <w:tcW w:w="22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Change in blocking values</w:t>
            </w:r>
          </w:p>
        </w:tc>
      </w:tr>
      <w:tr>
        <w:trPr/>
        <w:tc>
          <w:tcPr>
            <w:tcW w:w="1533" w:type="dxa"/>
            <w:tcBorders>
              <w:top w:val="single" w:sz="6" w:space="0" w:color="000000"/>
              <w:left w:val="single" w:sz="6" w:space="0" w:color="000000"/>
              <w:right w:val="single" w:sz="6" w:space="0" w:color="000000"/>
            </w:tcBorders>
          </w:tcPr>
          <w:p>
            <w:pPr>
              <w:pStyle w:val="TAL"/>
              <w:rPr>
                <w:lang w:val="en-GB"/>
              </w:rPr>
            </w:pPr>
            <w:r>
              <w:rPr>
                <w:lang w:val="en-GB"/>
              </w:rPr>
              <w:t>GSM900</w:t>
            </w:r>
          </w:p>
        </w:tc>
        <w:tc>
          <w:tcPr>
            <w:tcW w:w="19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79 dBm</w:t>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 dB</w:t>
            </w:r>
          </w:p>
        </w:tc>
      </w:tr>
      <w:tr>
        <w:trPr/>
        <w:tc>
          <w:tcPr>
            <w:tcW w:w="1533" w:type="dxa"/>
            <w:tcBorders>
              <w:left w:val="single" w:sz="6" w:space="0" w:color="000000"/>
              <w:right w:val="single" w:sz="6" w:space="0" w:color="000000"/>
            </w:tcBorders>
          </w:tcPr>
          <w:p>
            <w:pPr>
              <w:pStyle w:val="TAL"/>
              <w:snapToGrid w:val="false"/>
              <w:rPr>
                <w:lang w:val="en-GB"/>
              </w:rPr>
            </w:pPr>
            <w:r>
              <w:rPr>
                <w:lang w:val="en-GB"/>
              </w:rPr>
            </w:r>
          </w:p>
        </w:tc>
        <w:tc>
          <w:tcPr>
            <w:tcW w:w="19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89 dBm</w:t>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 dB</w:t>
            </w:r>
          </w:p>
        </w:tc>
      </w:tr>
      <w:tr>
        <w:trPr/>
        <w:tc>
          <w:tcPr>
            <w:tcW w:w="1533" w:type="dxa"/>
            <w:tcBorders>
              <w:left w:val="single" w:sz="6" w:space="0" w:color="000000"/>
              <w:right w:val="single" w:sz="6" w:space="0" w:color="000000"/>
            </w:tcBorders>
          </w:tcPr>
          <w:p>
            <w:pPr>
              <w:pStyle w:val="TAL"/>
              <w:snapToGrid w:val="false"/>
              <w:rPr>
                <w:lang w:val="en-GB"/>
              </w:rPr>
            </w:pPr>
            <w:r>
              <w:rPr>
                <w:lang w:val="en-GB"/>
              </w:rPr>
            </w:r>
          </w:p>
        </w:tc>
        <w:tc>
          <w:tcPr>
            <w:tcW w:w="19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95 dBm</w:t>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 dB</w:t>
            </w:r>
          </w:p>
        </w:tc>
      </w:tr>
      <w:tr>
        <w:trPr/>
        <w:tc>
          <w:tcPr>
            <w:tcW w:w="1533" w:type="dxa"/>
            <w:tcBorders>
              <w:left w:val="single" w:sz="6" w:space="0" w:color="000000"/>
              <w:right w:val="single" w:sz="6" w:space="0" w:color="000000"/>
            </w:tcBorders>
          </w:tcPr>
          <w:p>
            <w:pPr>
              <w:pStyle w:val="TAL"/>
              <w:snapToGrid w:val="false"/>
              <w:rPr>
                <w:lang w:val="en-GB"/>
              </w:rPr>
            </w:pPr>
            <w:r>
              <w:rPr>
                <w:lang w:val="en-GB"/>
              </w:rPr>
            </w:r>
          </w:p>
        </w:tc>
        <w:tc>
          <w:tcPr>
            <w:tcW w:w="19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104 dBm</w:t>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 change</w:t>
            </w:r>
          </w:p>
        </w:tc>
      </w:tr>
      <w:tr>
        <w:trPr/>
        <w:tc>
          <w:tcPr>
            <w:tcW w:w="1533" w:type="dxa"/>
            <w:tcBorders>
              <w:top w:val="single" w:sz="6" w:space="0" w:color="000000"/>
              <w:left w:val="single" w:sz="6" w:space="0" w:color="000000"/>
              <w:right w:val="single" w:sz="6" w:space="0" w:color="000000"/>
            </w:tcBorders>
          </w:tcPr>
          <w:p>
            <w:pPr>
              <w:pStyle w:val="TAL"/>
              <w:rPr>
                <w:lang w:val="en-GB"/>
              </w:rPr>
            </w:pPr>
            <w:r>
              <w:rPr>
                <w:lang w:val="en-GB"/>
              </w:rPr>
              <w:t>DCS1800</w:t>
            </w:r>
          </w:p>
        </w:tc>
        <w:tc>
          <w:tcPr>
            <w:tcW w:w="19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89 dBm</w:t>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 dB</w:t>
            </w:r>
          </w:p>
        </w:tc>
      </w:tr>
      <w:tr>
        <w:trPr/>
        <w:tc>
          <w:tcPr>
            <w:tcW w:w="1533" w:type="dxa"/>
            <w:tcBorders>
              <w:left w:val="single" w:sz="6" w:space="0" w:color="000000"/>
              <w:right w:val="single" w:sz="6" w:space="0" w:color="000000"/>
            </w:tcBorders>
          </w:tcPr>
          <w:p>
            <w:pPr>
              <w:pStyle w:val="TAL"/>
              <w:snapToGrid w:val="false"/>
              <w:rPr>
                <w:lang w:val="en-GB"/>
              </w:rPr>
            </w:pPr>
            <w:r>
              <w:rPr>
                <w:lang w:val="en-GB"/>
              </w:rPr>
            </w:r>
          </w:p>
        </w:tc>
        <w:tc>
          <w:tcPr>
            <w:tcW w:w="19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95 dBm</w:t>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 dB</w:t>
            </w:r>
          </w:p>
        </w:tc>
      </w:tr>
      <w:tr>
        <w:trPr/>
        <w:tc>
          <w:tcPr>
            <w:tcW w:w="1533" w:type="dxa"/>
            <w:tcBorders>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97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104 dBm</w:t>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 change</w:t>
            </w:r>
          </w:p>
        </w:tc>
      </w:tr>
    </w:tbl>
    <w:p>
      <w:pPr>
        <w:pStyle w:val="Normal"/>
        <w:rPr/>
      </w:pPr>
      <w:r>
        <w:rPr/>
      </w:r>
    </w:p>
    <w:p>
      <w:pPr>
        <w:pStyle w:val="Normal"/>
        <w:rPr/>
      </w:pPr>
      <w:r>
        <w:rPr>
          <w:i/>
        </w:rPr>
        <w:t>Microcell BTS wideband noise</w:t>
      </w:r>
    </w:p>
    <w:p>
      <w:pPr>
        <w:pStyle w:val="Normal"/>
        <w:rPr/>
      </w:pPr>
      <w:r>
        <w:rPr/>
        <w:t xml:space="preserve">The scenario requirement for wideband noise will obviously change with the MCL. The wideband noise specification currently in GSM 05.05 is </w:t>
        <w:noBreakHyphen/>
        <w:t xml:space="preserve">80 dBc at greater than 6 MHz offsets. For low Tx power BTSs a noise floor of </w:t>
        <w:noBreakHyphen/>
        <w:t xml:space="preserve">57 dBm is specified for DCS1800 and 45 dBm (&gt;6 MHz) for GSM900. Table 6 shows the scenario requirements for wideband noise with the </w:t>
        <w:noBreakHyphen/>
        <w:t xml:space="preserve">80 dBc values (relative to the microcell. Tx power </w:t>
        <w:noBreakHyphen/>
        <w:t xml:space="preserve"> not shown) and the current specification values (i.e. either the </w:t>
        <w:noBreakHyphen/>
        <w:t>80 dBc or the noise floor value).</w:t>
      </w:r>
    </w:p>
    <w:p>
      <w:pPr>
        <w:pStyle w:val="TH"/>
        <w:rPr/>
      </w:pPr>
      <w:r>
        <w:rPr/>
        <w:t>Table 6: Wideband noise requirements</w:t>
      </w:r>
    </w:p>
    <w:tbl>
      <w:tblPr>
        <w:tblW w:w="7494" w:type="dxa"/>
        <w:jc w:val="center"/>
        <w:tblInd w:w="0" w:type="dxa"/>
        <w:tblLayout w:type="fixed"/>
        <w:tblCellMar>
          <w:top w:w="0" w:type="dxa"/>
          <w:left w:w="28" w:type="dxa"/>
          <w:bottom w:w="0" w:type="dxa"/>
          <w:right w:w="28" w:type="dxa"/>
        </w:tblCellMar>
      </w:tblPr>
      <w:tblGrid>
        <w:gridCol w:w="1560"/>
        <w:gridCol w:w="1827"/>
        <w:gridCol w:w="1369"/>
        <w:gridCol w:w="1369"/>
        <w:gridCol w:w="1369"/>
      </w:tblGrid>
      <w:tr>
        <w:trPr/>
        <w:tc>
          <w:tcPr>
            <w:tcW w:w="1560" w:type="dxa"/>
            <w:tcBorders>
              <w:top w:val="single" w:sz="6" w:space="0" w:color="000000"/>
              <w:left w:val="single" w:sz="6" w:space="0" w:color="000000"/>
              <w:right w:val="single" w:sz="6" w:space="0" w:color="000000"/>
            </w:tcBorders>
          </w:tcPr>
          <w:p>
            <w:pPr>
              <w:pStyle w:val="TAH"/>
              <w:snapToGrid w:val="false"/>
              <w:rPr>
                <w:lang w:eastAsia="en-US"/>
              </w:rPr>
            </w:pPr>
            <w:r>
              <w:rPr>
                <w:lang w:eastAsia="en-US"/>
              </w:rPr>
            </w:r>
          </w:p>
        </w:tc>
        <w:tc>
          <w:tcPr>
            <w:tcW w:w="18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MCL</w:t>
            </w:r>
          </w:p>
        </w:tc>
        <w:tc>
          <w:tcPr>
            <w:tcW w:w="136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Scenario Requirement </w:t>
            </w:r>
          </w:p>
        </w:tc>
        <w:tc>
          <w:tcPr>
            <w:tcW w:w="136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noBreakHyphen/>
            </w:r>
            <w:r>
              <w:rPr>
                <w:lang w:eastAsia="en-US"/>
              </w:rPr>
              <w:t>80 dBc values</w:t>
            </w:r>
          </w:p>
        </w:tc>
        <w:tc>
          <w:tcPr>
            <w:tcW w:w="136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Current Spec</w:t>
            </w:r>
          </w:p>
        </w:tc>
      </w:tr>
      <w:tr>
        <w:trPr/>
        <w:tc>
          <w:tcPr>
            <w:tcW w:w="1560" w:type="dxa"/>
            <w:tcBorders>
              <w:top w:val="single" w:sz="6" w:space="0" w:color="000000"/>
              <w:left w:val="single" w:sz="6" w:space="0" w:color="000000"/>
              <w:right w:val="single" w:sz="6" w:space="0" w:color="000000"/>
            </w:tcBorders>
          </w:tcPr>
          <w:p>
            <w:pPr>
              <w:pStyle w:val="TAL"/>
              <w:rPr>
                <w:lang w:val="en-GB"/>
              </w:rPr>
            </w:pPr>
            <w:r>
              <w:rPr>
                <w:lang w:val="en-GB"/>
              </w:rPr>
              <w:t xml:space="preserve">GSM900 </w:t>
            </w:r>
          </w:p>
        </w:tc>
        <w:tc>
          <w:tcPr>
            <w:tcW w:w="182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44 dB</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70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74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45 dBm</w:t>
            </w:r>
          </w:p>
        </w:tc>
      </w:tr>
      <w:tr>
        <w:trPr/>
        <w:tc>
          <w:tcPr>
            <w:tcW w:w="1560" w:type="dxa"/>
            <w:tcBorders>
              <w:left w:val="single" w:sz="6" w:space="0" w:color="000000"/>
              <w:right w:val="single" w:sz="6" w:space="0" w:color="000000"/>
            </w:tcBorders>
          </w:tcPr>
          <w:p>
            <w:pPr>
              <w:pStyle w:val="TAL"/>
              <w:snapToGrid w:val="false"/>
              <w:rPr>
                <w:lang w:val="en-GB"/>
              </w:rPr>
            </w:pPr>
            <w:r>
              <w:rPr>
                <w:lang w:val="en-GB"/>
              </w:rPr>
            </w:r>
          </w:p>
        </w:tc>
        <w:tc>
          <w:tcPr>
            <w:tcW w:w="182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54 dB</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60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64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45 dBm</w:t>
            </w:r>
          </w:p>
        </w:tc>
      </w:tr>
      <w:tr>
        <w:trPr/>
        <w:tc>
          <w:tcPr>
            <w:tcW w:w="1560" w:type="dxa"/>
            <w:tcBorders>
              <w:left w:val="single" w:sz="6" w:space="0" w:color="000000"/>
              <w:right w:val="single" w:sz="6" w:space="0" w:color="000000"/>
            </w:tcBorders>
          </w:tcPr>
          <w:p>
            <w:pPr>
              <w:pStyle w:val="TAL"/>
              <w:snapToGrid w:val="false"/>
              <w:rPr>
                <w:lang w:val="en-GB"/>
              </w:rPr>
            </w:pPr>
            <w:r>
              <w:rPr>
                <w:lang w:val="en-GB"/>
              </w:rPr>
            </w:r>
          </w:p>
        </w:tc>
        <w:tc>
          <w:tcPr>
            <w:tcW w:w="182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 dB</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54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58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45 dBm</w:t>
            </w:r>
          </w:p>
        </w:tc>
      </w:tr>
      <w:tr>
        <w:trPr/>
        <w:tc>
          <w:tcPr>
            <w:tcW w:w="1560" w:type="dxa"/>
            <w:tcBorders>
              <w:left w:val="single" w:sz="6" w:space="0" w:color="000000"/>
              <w:right w:val="single" w:sz="6" w:space="0" w:color="000000"/>
            </w:tcBorders>
          </w:tcPr>
          <w:p>
            <w:pPr>
              <w:pStyle w:val="TAL"/>
              <w:snapToGrid w:val="false"/>
              <w:rPr>
                <w:lang w:val="en-GB"/>
              </w:rPr>
            </w:pPr>
            <w:r>
              <w:rPr>
                <w:lang w:val="en-GB"/>
              </w:rPr>
            </w:r>
          </w:p>
        </w:tc>
        <w:tc>
          <w:tcPr>
            <w:tcW w:w="182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69 dB</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45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49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45 dBm</w:t>
            </w:r>
          </w:p>
        </w:tc>
      </w:tr>
      <w:tr>
        <w:trPr/>
        <w:tc>
          <w:tcPr>
            <w:tcW w:w="1560" w:type="dxa"/>
            <w:tcBorders>
              <w:top w:val="single" w:sz="6" w:space="0" w:color="000000"/>
              <w:left w:val="single" w:sz="6" w:space="0" w:color="000000"/>
              <w:right w:val="single" w:sz="6" w:space="0" w:color="000000"/>
            </w:tcBorders>
          </w:tcPr>
          <w:p>
            <w:pPr>
              <w:pStyle w:val="TAL"/>
              <w:rPr>
                <w:lang w:val="en-GB"/>
              </w:rPr>
            </w:pPr>
            <w:r>
              <w:rPr>
                <w:lang w:val="en-GB"/>
              </w:rPr>
              <w:t>DCS1800</w:t>
            </w:r>
          </w:p>
        </w:tc>
        <w:tc>
          <w:tcPr>
            <w:tcW w:w="1827" w:type="dxa"/>
            <w:tcBorders>
              <w:top w:val="single" w:sz="6" w:space="0" w:color="000000"/>
              <w:left w:val="single" w:sz="6" w:space="0" w:color="000000"/>
              <w:bottom w:val="single" w:sz="6" w:space="0" w:color="000000"/>
              <w:right w:val="single" w:sz="6" w:space="0" w:color="000000"/>
            </w:tcBorders>
          </w:tcPr>
          <w:p>
            <w:pPr>
              <w:pStyle w:val="TAC"/>
              <w:rPr/>
            </w:pPr>
            <w:r>
              <w:rPr>
                <w:lang w:val="en-GB"/>
              </w:rPr>
              <w:t>50 dB</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62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61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57 dBm</w:t>
            </w:r>
          </w:p>
        </w:tc>
      </w:tr>
      <w:tr>
        <w:trPr/>
        <w:tc>
          <w:tcPr>
            <w:tcW w:w="1560" w:type="dxa"/>
            <w:tcBorders>
              <w:left w:val="single" w:sz="6" w:space="0" w:color="000000"/>
              <w:right w:val="single" w:sz="6" w:space="0" w:color="000000"/>
            </w:tcBorders>
          </w:tcPr>
          <w:p>
            <w:pPr>
              <w:pStyle w:val="TAL"/>
              <w:snapToGrid w:val="false"/>
              <w:rPr>
                <w:lang w:val="en-GB"/>
              </w:rPr>
            </w:pPr>
            <w:r>
              <w:rPr>
                <w:lang w:val="en-GB"/>
              </w:rPr>
            </w:r>
          </w:p>
        </w:tc>
        <w:tc>
          <w:tcPr>
            <w:tcW w:w="182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56 dB</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56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55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55 dBm</w:t>
            </w:r>
          </w:p>
        </w:tc>
      </w:tr>
      <w:tr>
        <w:trPr/>
        <w:tc>
          <w:tcPr>
            <w:tcW w:w="1560" w:type="dxa"/>
            <w:tcBorders>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82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 dB</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47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46 dBm</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46 dBm</w:t>
            </w:r>
          </w:p>
        </w:tc>
      </w:tr>
    </w:tbl>
    <w:p>
      <w:pPr>
        <w:pStyle w:val="Normal"/>
        <w:rPr/>
      </w:pPr>
      <w:r>
        <w:rPr/>
      </w:r>
    </w:p>
    <w:p>
      <w:pPr>
        <w:pStyle w:val="Normal"/>
        <w:keepNext w:val="true"/>
        <w:keepLines/>
        <w:rPr/>
      </w:pPr>
      <w:r>
        <w:rPr/>
        <w:t xml:space="preserve">It can be seen that for DCS1800 the current specification satisfies the scenario requirements. However, for GSM900 there is up to a 25 dB discrepancy. A noise floor of </w:t>
        <w:noBreakHyphen/>
        <w:t xml:space="preserve">60dBm is proposed for GSM900 which would change the specification to </w:t>
        <w:noBreakHyphen/>
        <w:t xml:space="preserve">60 dBm, </w:t>
        <w:noBreakHyphen/>
        <w:t xml:space="preserve">60 dBm, </w:t>
        <w:noBreakHyphen/>
        <w:t xml:space="preserve">58 dBm and </w:t>
        <w:noBreakHyphen/>
        <w:t>49 dBm in the top right hand 4 boxes of table 6. This meets the scenario requirement in three cases and exceeds it by 10 dB in one case.</w:t>
      </w:r>
    </w:p>
    <w:p>
      <w:pPr>
        <w:pStyle w:val="Normal"/>
        <w:rPr/>
      </w:pPr>
      <w:r>
        <w:rPr>
          <w:i/>
        </w:rPr>
        <w:t>Proposed changes to GSM recommendations</w:t>
      </w:r>
    </w:p>
    <w:p>
      <w:pPr>
        <w:pStyle w:val="Normal"/>
        <w:rPr/>
      </w:pPr>
      <w:r>
        <w:rPr/>
        <w:t>The following changes have been Proposed to GSM 05.05.</w:t>
      </w:r>
    </w:p>
    <w:p>
      <w:pPr>
        <w:pStyle w:val="TH"/>
        <w:rPr/>
      </w:pPr>
      <w:r>
        <w:rPr/>
        <w:t>Table 7: Microcell BTS Classes</w:t>
      </w:r>
    </w:p>
    <w:tbl>
      <w:tblPr>
        <w:tblW w:w="7162" w:type="dxa"/>
        <w:jc w:val="center"/>
        <w:tblInd w:w="0" w:type="dxa"/>
        <w:tblLayout w:type="fixed"/>
        <w:tblCellMar>
          <w:top w:w="0" w:type="dxa"/>
          <w:left w:w="28" w:type="dxa"/>
          <w:bottom w:w="0" w:type="dxa"/>
          <w:right w:w="28" w:type="dxa"/>
        </w:tblCellMar>
      </w:tblPr>
      <w:tblGrid>
        <w:gridCol w:w="1134"/>
        <w:gridCol w:w="1557"/>
        <w:gridCol w:w="1369"/>
        <w:gridCol w:w="1369"/>
        <w:gridCol w:w="1733"/>
      </w:tblGrid>
      <w:tr>
        <w:trPr/>
        <w:tc>
          <w:tcPr>
            <w:tcW w:w="1134" w:type="dxa"/>
            <w:tcBorders>
              <w:top w:val="single" w:sz="6" w:space="0" w:color="000000"/>
              <w:left w:val="single" w:sz="6" w:space="0" w:color="000000"/>
              <w:right w:val="single" w:sz="6" w:space="0" w:color="000000"/>
            </w:tcBorders>
          </w:tcPr>
          <w:p>
            <w:pPr>
              <w:pStyle w:val="TAH"/>
              <w:snapToGrid w:val="false"/>
              <w:rPr>
                <w:lang w:eastAsia="en-US"/>
              </w:rPr>
            </w:pPr>
            <w:r>
              <w:rPr>
                <w:lang w:eastAsia="en-US"/>
              </w:rPr>
            </w:r>
          </w:p>
        </w:tc>
        <w:tc>
          <w:tcPr>
            <w:tcW w:w="15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Microcell</w:t>
              <w:br/>
              <w:t>BTS Class</w:t>
            </w:r>
          </w:p>
        </w:tc>
        <w:tc>
          <w:tcPr>
            <w:tcW w:w="136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Tx power (dBm)</w:t>
            </w:r>
          </w:p>
        </w:tc>
        <w:tc>
          <w:tcPr>
            <w:tcW w:w="136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Rx sensitivity</w:t>
            </w:r>
          </w:p>
        </w:tc>
        <w:tc>
          <w:tcPr>
            <w:tcW w:w="173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Blocking</w:t>
              <w:br/>
              <w:t>(rel to current)</w:t>
            </w:r>
          </w:p>
        </w:tc>
      </w:tr>
      <w:tr>
        <w:trPr/>
        <w:tc>
          <w:tcPr>
            <w:tcW w:w="1134" w:type="dxa"/>
            <w:tcBorders>
              <w:top w:val="single" w:sz="6" w:space="0" w:color="000000"/>
              <w:left w:val="single" w:sz="6" w:space="0" w:color="000000"/>
              <w:right w:val="single" w:sz="6" w:space="0" w:color="000000"/>
            </w:tcBorders>
          </w:tcPr>
          <w:p>
            <w:pPr>
              <w:pStyle w:val="TAL"/>
              <w:rPr>
                <w:lang w:val="en-GB"/>
              </w:rPr>
            </w:pPr>
            <w:r>
              <w:rPr>
                <w:lang w:val="en-GB"/>
              </w:rPr>
              <w:t xml:space="preserve">GSM900 </w:t>
            </w:r>
          </w:p>
        </w:tc>
        <w:tc>
          <w:tcPr>
            <w:tcW w:w="15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31</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-104</w:t>
            </w:r>
          </w:p>
        </w:tc>
        <w:tc>
          <w:tcPr>
            <w:tcW w:w="17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 change</w:t>
            </w:r>
          </w:p>
        </w:tc>
      </w:tr>
      <w:tr>
        <w:trPr/>
        <w:tc>
          <w:tcPr>
            <w:tcW w:w="1134" w:type="dxa"/>
            <w:tcBorders>
              <w:left w:val="single" w:sz="6" w:space="0" w:color="000000"/>
              <w:right w:val="single" w:sz="6" w:space="0" w:color="000000"/>
            </w:tcBorders>
          </w:tcPr>
          <w:p>
            <w:pPr>
              <w:pStyle w:val="TAL"/>
              <w:snapToGrid w:val="false"/>
              <w:rPr>
                <w:lang w:val="en-GB"/>
              </w:rPr>
            </w:pPr>
            <w:r>
              <w:rPr>
                <w:lang w:val="en-GB"/>
              </w:rPr>
            </w:r>
          </w:p>
        </w:tc>
        <w:tc>
          <w:tcPr>
            <w:tcW w:w="15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22</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-95</w:t>
            </w:r>
          </w:p>
        </w:tc>
        <w:tc>
          <w:tcPr>
            <w:tcW w:w="17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 dB</w:t>
            </w:r>
          </w:p>
        </w:tc>
      </w:tr>
      <w:tr>
        <w:trPr/>
        <w:tc>
          <w:tcPr>
            <w:tcW w:w="1134" w:type="dxa"/>
            <w:tcBorders>
              <w:left w:val="single" w:sz="6" w:space="0" w:color="000000"/>
              <w:right w:val="single" w:sz="6" w:space="0" w:color="000000"/>
            </w:tcBorders>
          </w:tcPr>
          <w:p>
            <w:pPr>
              <w:pStyle w:val="TAL"/>
              <w:snapToGrid w:val="false"/>
              <w:rPr>
                <w:lang w:val="en-GB"/>
              </w:rPr>
            </w:pPr>
            <w:r>
              <w:rPr>
                <w:lang w:val="en-GB"/>
              </w:rPr>
            </w:r>
          </w:p>
        </w:tc>
        <w:tc>
          <w:tcPr>
            <w:tcW w:w="15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-89</w:t>
            </w:r>
          </w:p>
        </w:tc>
        <w:tc>
          <w:tcPr>
            <w:tcW w:w="17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 dB</w:t>
            </w:r>
          </w:p>
        </w:tc>
      </w:tr>
      <w:tr>
        <w:trPr/>
        <w:tc>
          <w:tcPr>
            <w:tcW w:w="1134" w:type="dxa"/>
            <w:tcBorders>
              <w:left w:val="single" w:sz="6" w:space="0" w:color="000000"/>
              <w:right w:val="single" w:sz="6" w:space="0" w:color="000000"/>
            </w:tcBorders>
          </w:tcPr>
          <w:p>
            <w:pPr>
              <w:pStyle w:val="TAL"/>
              <w:snapToGrid w:val="false"/>
              <w:rPr>
                <w:lang w:val="en-GB"/>
              </w:rPr>
            </w:pPr>
            <w:r>
              <w:rPr>
                <w:lang w:val="en-GB"/>
              </w:rPr>
            </w:r>
          </w:p>
        </w:tc>
        <w:tc>
          <w:tcPr>
            <w:tcW w:w="15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-79</w:t>
            </w:r>
          </w:p>
        </w:tc>
        <w:tc>
          <w:tcPr>
            <w:tcW w:w="17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 dB</w:t>
            </w:r>
          </w:p>
        </w:tc>
      </w:tr>
      <w:tr>
        <w:trPr/>
        <w:tc>
          <w:tcPr>
            <w:tcW w:w="1134" w:type="dxa"/>
            <w:tcBorders>
              <w:top w:val="single" w:sz="6" w:space="0" w:color="000000"/>
              <w:left w:val="single" w:sz="6" w:space="0" w:color="000000"/>
              <w:right w:val="single" w:sz="6" w:space="0" w:color="000000"/>
            </w:tcBorders>
          </w:tcPr>
          <w:p>
            <w:pPr>
              <w:pStyle w:val="TAL"/>
              <w:rPr>
                <w:lang w:val="en-GB"/>
              </w:rPr>
            </w:pPr>
            <w:r>
              <w:rPr>
                <w:lang w:val="en-GB"/>
              </w:rPr>
              <w:t>DCS1800</w:t>
            </w:r>
          </w:p>
        </w:tc>
        <w:tc>
          <w:tcPr>
            <w:tcW w:w="15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-104</w:t>
            </w:r>
          </w:p>
        </w:tc>
        <w:tc>
          <w:tcPr>
            <w:tcW w:w="17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No change</w:t>
            </w:r>
          </w:p>
        </w:tc>
      </w:tr>
      <w:tr>
        <w:trPr/>
        <w:tc>
          <w:tcPr>
            <w:tcW w:w="1134" w:type="dxa"/>
            <w:tcBorders>
              <w:left w:val="single" w:sz="6" w:space="0" w:color="000000"/>
              <w:right w:val="single" w:sz="6" w:space="0" w:color="000000"/>
            </w:tcBorders>
          </w:tcPr>
          <w:p>
            <w:pPr>
              <w:pStyle w:val="TAL"/>
              <w:snapToGrid w:val="false"/>
              <w:rPr>
                <w:lang w:val="en-GB"/>
              </w:rPr>
            </w:pPr>
            <w:r>
              <w:rPr>
                <w:lang w:val="en-GB"/>
              </w:rPr>
            </w:r>
          </w:p>
        </w:tc>
        <w:tc>
          <w:tcPr>
            <w:tcW w:w="15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-95</w:t>
            </w:r>
          </w:p>
        </w:tc>
        <w:tc>
          <w:tcPr>
            <w:tcW w:w="17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 dB</w:t>
            </w:r>
          </w:p>
        </w:tc>
      </w:tr>
      <w:tr>
        <w:trPr/>
        <w:tc>
          <w:tcPr>
            <w:tcW w:w="1134" w:type="dxa"/>
            <w:tcBorders>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5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19</w:t>
            </w:r>
          </w:p>
        </w:tc>
        <w:tc>
          <w:tcPr>
            <w:tcW w:w="136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-89</w:t>
            </w:r>
          </w:p>
        </w:tc>
        <w:tc>
          <w:tcPr>
            <w:tcW w:w="17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 dB</w:t>
            </w:r>
          </w:p>
        </w:tc>
      </w:tr>
    </w:tbl>
    <w:p>
      <w:pPr>
        <w:pStyle w:val="Normal"/>
        <w:rPr/>
      </w:pPr>
      <w:r>
        <w:rPr/>
      </w:r>
    </w:p>
    <w:p>
      <w:pPr>
        <w:pStyle w:val="Normal"/>
        <w:rPr/>
      </w:pPr>
      <w:r>
        <w:rPr/>
        <w:t>Although the longer classes came from the original MCL figures it is recommended that certainly the GSM900 Class 4 BTS be removed as not practical and possibly both Class 3 BTSs also. This is open for discussion.</w:t>
      </w:r>
    </w:p>
    <w:p>
      <w:pPr>
        <w:pStyle w:val="Normal"/>
        <w:rPr/>
      </w:pPr>
      <w:r>
        <w:rPr/>
        <w:t>We have also shown that:</w:t>
      </w:r>
    </w:p>
    <w:p>
      <w:pPr>
        <w:pStyle w:val="B1"/>
        <w:rPr/>
      </w:pPr>
      <w:r>
        <w:rPr/>
        <w:t>-</w:t>
        <w:tab/>
        <w:t>The GSM900 MS wideband noise needs specifying to the band edge (as for DCS1800 MSs) with values at least as good as those proposed in Aalborg.</w:t>
      </w:r>
    </w:p>
    <w:p>
      <w:pPr>
        <w:pStyle w:val="B1"/>
        <w:rPr/>
      </w:pPr>
      <w:r>
        <w:rPr/>
        <w:t>-</w:t>
        <w:tab/>
        <w:t xml:space="preserve">The wideband noise floor for GSM900 microcell BTSs needs to be </w:t>
        <w:noBreakHyphen/>
        <w:t>60 dBm. No change is required for DCS1800.</w:t>
      </w:r>
    </w:p>
    <w:p>
      <w:pPr>
        <w:pStyle w:val="Normal"/>
        <w:rPr/>
      </w:pPr>
      <w:r>
        <w:rPr/>
        <w:t>The following additions are proposed to GSM 03.30.</w:t>
      </w:r>
    </w:p>
    <w:p>
      <w:pPr>
        <w:pStyle w:val="Normal"/>
        <w:rPr/>
      </w:pPr>
      <w:r>
        <w:rPr/>
        <w:t>The recommended MCL values for the different microcell BTS classes should be included in GSM 03.30 for guidance on installation. These MCL values are connector to connector values and therefore include antennae effects. The following should be added.</w:t>
      </w:r>
    </w:p>
    <w:p>
      <w:pPr>
        <w:pStyle w:val="TH"/>
        <w:rPr/>
      </w:pPr>
      <w:r>
        <w:rPr/>
        <w:t>Table 8: Recommended MCLs</w:t>
      </w:r>
    </w:p>
    <w:tbl>
      <w:tblPr>
        <w:tblW w:w="5920" w:type="dxa"/>
        <w:jc w:val="center"/>
        <w:tblInd w:w="0" w:type="dxa"/>
        <w:tblLayout w:type="fixed"/>
        <w:tblCellMar>
          <w:top w:w="0" w:type="dxa"/>
          <w:left w:w="28" w:type="dxa"/>
          <w:bottom w:w="0" w:type="dxa"/>
          <w:right w:w="28" w:type="dxa"/>
        </w:tblCellMar>
      </w:tblPr>
      <w:tblGrid>
        <w:gridCol w:w="1809"/>
        <w:gridCol w:w="1985"/>
        <w:gridCol w:w="2126"/>
      </w:tblGrid>
      <w:tr>
        <w:trPr/>
        <w:tc>
          <w:tcPr>
            <w:tcW w:w="1809" w:type="dxa"/>
            <w:tcBorders>
              <w:top w:val="single" w:sz="6" w:space="0" w:color="000000"/>
              <w:left w:val="single" w:sz="6" w:space="0" w:color="000000"/>
              <w:right w:val="single" w:sz="6" w:space="0" w:color="000000"/>
            </w:tcBorders>
          </w:tcPr>
          <w:p>
            <w:pPr>
              <w:pStyle w:val="TAH"/>
              <w:snapToGrid w:val="false"/>
              <w:rPr>
                <w:lang w:eastAsia="en-US"/>
              </w:rPr>
            </w:pPr>
            <w:r>
              <w:rPr>
                <w:lang w:eastAsia="en-US"/>
              </w:rPr>
            </w:r>
          </w:p>
        </w:tc>
        <w:tc>
          <w:tcPr>
            <w:tcW w:w="198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Microcell BTS Class</w:t>
            </w:r>
          </w:p>
        </w:tc>
        <w:tc>
          <w:tcPr>
            <w:tcW w:w="212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Recommended MCL (dB)</w:t>
            </w:r>
          </w:p>
        </w:tc>
      </w:tr>
      <w:tr>
        <w:trPr/>
        <w:tc>
          <w:tcPr>
            <w:tcW w:w="1809" w:type="dxa"/>
            <w:tcBorders>
              <w:top w:val="single" w:sz="6" w:space="0" w:color="000000"/>
              <w:left w:val="single" w:sz="6" w:space="0" w:color="000000"/>
              <w:right w:val="single" w:sz="6" w:space="0" w:color="000000"/>
            </w:tcBorders>
          </w:tcPr>
          <w:p>
            <w:pPr>
              <w:pStyle w:val="TAL"/>
              <w:rPr>
                <w:lang w:val="en-GB"/>
              </w:rPr>
            </w:pPr>
            <w:r>
              <w:rPr>
                <w:lang w:val="en-GB"/>
              </w:rPr>
              <w:t>GSM900</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69</w:t>
            </w:r>
          </w:p>
        </w:tc>
      </w:tr>
      <w:tr>
        <w:trPr/>
        <w:tc>
          <w:tcPr>
            <w:tcW w:w="1809" w:type="dxa"/>
            <w:tcBorders>
              <w:left w:val="single" w:sz="6" w:space="0" w:color="000000"/>
              <w:right w:val="single" w:sz="6" w:space="0" w:color="000000"/>
            </w:tcBorders>
          </w:tcPr>
          <w:p>
            <w:pPr>
              <w:pStyle w:val="TAL"/>
              <w:snapToGrid w:val="false"/>
              <w:rPr>
                <w:lang w:val="en-GB"/>
              </w:rPr>
            </w:pPr>
            <w:r>
              <w:rPr>
                <w:lang w:val="en-GB"/>
              </w:rPr>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w:t>
            </w:r>
          </w:p>
        </w:tc>
      </w:tr>
      <w:tr>
        <w:trPr/>
        <w:tc>
          <w:tcPr>
            <w:tcW w:w="1809" w:type="dxa"/>
            <w:tcBorders>
              <w:left w:val="single" w:sz="6" w:space="0" w:color="000000"/>
              <w:right w:val="single" w:sz="6" w:space="0" w:color="000000"/>
            </w:tcBorders>
          </w:tcPr>
          <w:p>
            <w:pPr>
              <w:pStyle w:val="TAL"/>
              <w:snapToGrid w:val="false"/>
              <w:rPr>
                <w:lang w:val="en-GB"/>
              </w:rPr>
            </w:pPr>
            <w:r>
              <w:rPr>
                <w:lang w:val="en-GB"/>
              </w:rPr>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54</w:t>
            </w:r>
          </w:p>
        </w:tc>
      </w:tr>
      <w:tr>
        <w:trPr/>
        <w:tc>
          <w:tcPr>
            <w:tcW w:w="1809" w:type="dxa"/>
            <w:tcBorders>
              <w:left w:val="single" w:sz="6" w:space="0" w:color="000000"/>
              <w:right w:val="single" w:sz="6" w:space="0" w:color="000000"/>
            </w:tcBorders>
          </w:tcPr>
          <w:p>
            <w:pPr>
              <w:pStyle w:val="TAL"/>
              <w:snapToGrid w:val="false"/>
              <w:rPr>
                <w:lang w:val="en-GB"/>
              </w:rPr>
            </w:pPr>
            <w:r>
              <w:rPr>
                <w:lang w:val="en-GB"/>
              </w:rPr>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44</w:t>
            </w:r>
          </w:p>
        </w:tc>
      </w:tr>
      <w:tr>
        <w:trPr/>
        <w:tc>
          <w:tcPr>
            <w:tcW w:w="1809" w:type="dxa"/>
            <w:tcBorders>
              <w:top w:val="single" w:sz="6" w:space="0" w:color="000000"/>
              <w:left w:val="single" w:sz="6" w:space="0" w:color="000000"/>
              <w:right w:val="single" w:sz="6" w:space="0" w:color="000000"/>
            </w:tcBorders>
          </w:tcPr>
          <w:p>
            <w:pPr>
              <w:pStyle w:val="TAL"/>
              <w:rPr>
                <w:lang w:val="en-GB"/>
              </w:rPr>
            </w:pPr>
            <w:r>
              <w:rPr>
                <w:lang w:val="en-GB"/>
              </w:rPr>
              <w:t>DCS1800</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w:t>
            </w:r>
          </w:p>
        </w:tc>
      </w:tr>
      <w:tr>
        <w:trPr/>
        <w:tc>
          <w:tcPr>
            <w:tcW w:w="1809" w:type="dxa"/>
            <w:tcBorders>
              <w:left w:val="single" w:sz="6" w:space="0" w:color="000000"/>
              <w:right w:val="single" w:sz="6" w:space="0" w:color="000000"/>
            </w:tcBorders>
          </w:tcPr>
          <w:p>
            <w:pPr>
              <w:pStyle w:val="TAL"/>
              <w:snapToGrid w:val="false"/>
              <w:rPr>
                <w:lang w:val="en-GB"/>
              </w:rPr>
            </w:pPr>
            <w:r>
              <w:rPr>
                <w:lang w:val="en-GB"/>
              </w:rPr>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56</w:t>
            </w:r>
          </w:p>
        </w:tc>
      </w:tr>
      <w:tr>
        <w:trPr/>
        <w:tc>
          <w:tcPr>
            <w:tcW w:w="1809" w:type="dxa"/>
            <w:tcBorders>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21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w:t>
            </w:r>
          </w:p>
        </w:tc>
      </w:tr>
    </w:tbl>
    <w:p>
      <w:pPr>
        <w:pStyle w:val="Normal"/>
        <w:rPr/>
      </w:pPr>
      <w:r>
        <w:rPr/>
      </w:r>
    </w:p>
    <w:p>
      <w:pPr>
        <w:pStyle w:val="Normal"/>
        <w:rPr/>
      </w:pPr>
      <w:r>
        <w:rPr/>
        <w:t>Removing the GSM900 Class 4 BTS would eliminate the 44 dB MCL from the table. It can be seen that higher MCLs are needed for GSM900 than for DCS1800. This will translate into even larger separations in the field due to the 6 dB fall in path loss when moving from 1,8 GHz to 900 MHz The only way to restore this balance is to specify a tighter MS wideband noise specification for GSM900 than that proposed in Aalborg.</w:t>
      </w:r>
    </w:p>
    <w:p>
      <w:pPr>
        <w:pStyle w:val="TH"/>
        <w:rPr/>
      </w:pPr>
      <w:r>
        <w:rPr/>
        <w:drawing>
          <wp:inline distT="0" distB="0" distL="0" distR="0">
            <wp:extent cx="5305425" cy="6021705"/>
            <wp:effectExtent l="0" t="0" r="0" b="0"/>
            <wp:docPr id="44"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8" descr=""/>
                    <pic:cNvPicPr>
                      <a:picLocks noChangeAspect="1" noChangeArrowheads="1"/>
                    </pic:cNvPicPr>
                  </pic:nvPicPr>
                  <pic:blipFill>
                    <a:blip r:embed="rId38"/>
                    <a:srcRect l="-6" t="-5" r="-6" b="-5"/>
                    <a:stretch>
                      <a:fillRect/>
                    </a:stretch>
                  </pic:blipFill>
                  <pic:spPr bwMode="auto">
                    <a:xfrm>
                      <a:off x="0" y="0"/>
                      <a:ext cx="5305425" cy="6021705"/>
                    </a:xfrm>
                    <a:prstGeom prst="rect">
                      <a:avLst/>
                    </a:prstGeom>
                  </pic:spPr>
                </pic:pic>
              </a:graphicData>
            </a:graphic>
          </wp:inline>
        </w:drawing>
      </w:r>
    </w:p>
    <w:p>
      <w:pPr>
        <w:pStyle w:val="TF"/>
        <w:rPr>
          <w:lang w:val="fr-FR"/>
        </w:rPr>
      </w:pPr>
      <w:r>
        <w:rPr>
          <w:lang w:val="fr-FR"/>
        </w:rPr>
        <w:t>Figure 1</w:t>
      </w:r>
      <w:r>
        <w:br w:type="page"/>
      </w:r>
    </w:p>
    <w:p>
      <w:pPr>
        <w:pStyle w:val="Normal"/>
        <w:tabs>
          <w:tab w:val="clear" w:pos="284"/>
          <w:tab w:val="right" w:pos="9639" w:leader="none"/>
        </w:tabs>
        <w:rPr>
          <w:lang w:val="fr-FR"/>
        </w:rPr>
      </w:pPr>
      <w:r>
        <w:rPr>
          <w:lang w:val="fr-FR"/>
        </w:rPr>
        <w:t>ETSI/STC SMG 2</w:t>
        <w:tab/>
        <w:t>T.doc.144/92</w:t>
      </w:r>
    </w:p>
    <w:p>
      <w:pPr>
        <w:pStyle w:val="Normal"/>
        <w:rPr/>
      </w:pPr>
      <w:r>
        <w:rPr/>
        <w:t>Strasbourg, 1-4 September 1992</w:t>
      </w:r>
    </w:p>
    <w:p>
      <w:pPr>
        <w:pStyle w:val="Normal"/>
        <w:rPr/>
      </w:pPr>
      <w:r>
        <w:rPr/>
        <w:t>Source: Mercury Personal Communications</w:t>
      </w:r>
    </w:p>
    <w:p>
      <w:pPr>
        <w:pStyle w:val="Normal"/>
        <w:rPr/>
      </w:pPr>
      <w:r>
        <w:rPr/>
        <w:t xml:space="preserve">Title: </w:t>
      </w:r>
      <w:r>
        <w:rPr>
          <w:b/>
        </w:rPr>
        <w:t>Comments and Proposals on Microcell RF Parameters</w:t>
      </w:r>
    </w:p>
    <w:p>
      <w:pPr>
        <w:pStyle w:val="Normal"/>
        <w:rPr/>
      </w:pPr>
      <w:r>
        <w:rPr/>
        <w:t>Having read the paper from BTL on this subject and as a result of discussions with the author, the following additional comments and proposals have been agreed with him.</w:t>
      </w:r>
    </w:p>
    <w:p>
      <w:pPr>
        <w:pStyle w:val="B1"/>
        <w:rPr/>
      </w:pPr>
      <w:r>
        <w:rPr/>
        <w:t>1)</w:t>
        <w:tab/>
        <w:t>uBTS classes can be defined to meet MCLs in 5 dB steps GSM {45, 50, 55, 60} DCS {50, 55, 60}. This will aid the cell planner and manufacturers in choosing appropriate equipment for a given ucell site. It is also simpler.</w:t>
      </w:r>
    </w:p>
    <w:p>
      <w:pPr>
        <w:pStyle w:val="B1"/>
        <w:rPr/>
      </w:pPr>
      <w:r>
        <w:rPr/>
        <w:t>2)</w:t>
        <w:tab/>
        <w:t>Since DCS1800 r.f. parameters were defined using the scenarios approach used here for microcells, a DCS uBTS with a sensitivity of -104 dBm will be identical to a permitted normal BTS and there is therefore little point in defining it.</w:t>
      </w:r>
    </w:p>
    <w:p>
      <w:pPr>
        <w:pStyle w:val="B1"/>
        <w:rPr/>
      </w:pPr>
      <w:r>
        <w:rPr/>
        <w:t>3)</w:t>
        <w:tab/>
        <w:t>Diversity is possible in ucells. I suggest we allow 3 dB for this in the uBTS maximum power.</w:t>
      </w:r>
    </w:p>
    <w:p>
      <w:pPr>
        <w:pStyle w:val="B1"/>
        <w:rPr/>
      </w:pPr>
      <w:r>
        <w:rPr/>
        <w:t>4)</w:t>
        <w:tab/>
        <w:t>Parameters which affect the uBTS receiver should meet the MCL.  Those which only affect the closest mobile can miss the MCL by 10 dB. The Telia research measurements (SMG2 T.doc. 90/92) show that this 10 dB translates a 0,1% probability to 10% probability of interference.</w:t>
      </w:r>
    </w:p>
    <w:p>
      <w:pPr>
        <w:pStyle w:val="B1"/>
        <w:rPr/>
      </w:pPr>
      <w:r>
        <w:rPr/>
        <w:t>5)</w:t>
        <w:tab/>
        <w:t>uBTS blocking should exceed the MCL requirement by 10 dB.</w:t>
      </w:r>
    </w:p>
    <w:p>
      <w:pPr>
        <w:pStyle w:val="B2"/>
        <w:rPr/>
      </w:pPr>
      <w:r>
        <w:rPr/>
        <w:t>a)</w:t>
        <w:tab/>
        <w:t>To allow for interfering signals from outside the system.</w:t>
      </w:r>
    </w:p>
    <w:p>
      <w:pPr>
        <w:pStyle w:val="B2"/>
        <w:rPr/>
      </w:pPr>
      <w:r>
        <w:rPr/>
        <w:t>b)</w:t>
        <w:tab/>
        <w:t>Because the consequences of the BTS being blocked are severe.</w:t>
      </w:r>
    </w:p>
    <w:p>
      <w:pPr>
        <w:pStyle w:val="B2"/>
        <w:rPr/>
      </w:pPr>
      <w:r>
        <w:rPr/>
        <w:t>c)</w:t>
        <w:tab/>
        <w:t>To improve the MCL performance with MSs which exceed their noise spec.</w:t>
      </w:r>
    </w:p>
    <w:p>
      <w:pPr>
        <w:pStyle w:val="Normal"/>
        <w:rPr>
          <w:i/>
          <w:i/>
        </w:rPr>
      </w:pPr>
      <w:r>
        <w:rPr>
          <w:i/>
        </w:rPr>
        <w:t>Proposed Procedure for Defining the Parameters (Similar to the BTL paper)</w:t>
      </w:r>
    </w:p>
    <w:p>
      <w:pPr>
        <w:pStyle w:val="B1"/>
        <w:rPr/>
      </w:pPr>
      <w:r>
        <w:rPr/>
        <w:t>1)</w:t>
        <w:tab/>
        <w:t>Choose uBTS sensitivity to match MS noise at MCL.</w:t>
      </w:r>
    </w:p>
    <w:p>
      <w:pPr>
        <w:pStyle w:val="B1"/>
        <w:rPr/>
      </w:pPr>
      <w:r>
        <w:rPr/>
        <w:t>2)</w:t>
        <w:tab/>
        <w:t>Choose uBTS power to balance links.</w:t>
      </w:r>
    </w:p>
    <w:p>
      <w:pPr>
        <w:pStyle w:val="B1"/>
        <w:rPr/>
      </w:pPr>
      <w:r>
        <w:rPr/>
        <w:t>3)</w:t>
        <w:tab/>
        <w:t>Set uBTS noise and blocking to be the same as for a normal BTS relative to the power and sensitivity respectively.</w:t>
      </w:r>
    </w:p>
    <w:p>
      <w:pPr>
        <w:pStyle w:val="B1"/>
        <w:rPr/>
      </w:pPr>
      <w:r>
        <w:rPr/>
        <w:t>4)</w:t>
        <w:tab/>
        <w:t>Relax the uBTS noise and blocking where possible to the point where it just meets the MCL requirements.</w:t>
      </w:r>
    </w:p>
    <w:p>
      <w:pPr>
        <w:pStyle w:val="Normal"/>
        <w:rPr>
          <w:i/>
          <w:i/>
        </w:rPr>
      </w:pPr>
      <w:r>
        <w:rPr>
          <w:i/>
        </w:rPr>
        <w:t>Spread Sheets giving uBTS RF Parameters (figures 1 to 3)</w:t>
      </w:r>
    </w:p>
    <w:p>
      <w:pPr>
        <w:pStyle w:val="B1"/>
        <w:rPr/>
      </w:pPr>
      <w:r>
        <w:rPr/>
        <w:t>1)</w:t>
        <w:tab/>
        <w:t>Microcell RF parameters proposed by BTL paper.</w:t>
      </w:r>
    </w:p>
    <w:p>
      <w:pPr>
        <w:pStyle w:val="B1"/>
        <w:rPr/>
      </w:pPr>
      <w:r>
        <w:rPr/>
        <w:t>2)</w:t>
        <w:tab/>
        <w:t>Parameters after stages 1-3 in the procedure above.</w:t>
      </w:r>
    </w:p>
    <w:p>
      <w:pPr>
        <w:pStyle w:val="B1"/>
        <w:rPr/>
      </w:pPr>
      <w:r>
        <w:rPr/>
        <w:t>3)</w:t>
        <w:tab/>
        <w:t>Proposed parameters after stages 1-4 above.</w:t>
      </w:r>
    </w:p>
    <w:p>
      <w:pPr>
        <w:pStyle w:val="Normal"/>
        <w:rPr/>
      </w:pPr>
      <w:r>
        <w:rPr/>
        <w:t>The final proposals are in figure 3. Notice that the class 1 uBTS can be converted into a class 2 with the addition of 5 dB attenuators on transmit and receive paths.</w:t>
      </w:r>
    </w:p>
    <w:tbl>
      <w:tblPr>
        <w:tblW w:w="7936" w:type="dxa"/>
        <w:jc w:val="center"/>
        <w:tblInd w:w="0" w:type="dxa"/>
        <w:tblLayout w:type="fixed"/>
        <w:tblCellMar>
          <w:top w:w="0" w:type="dxa"/>
          <w:left w:w="8" w:type="dxa"/>
          <w:bottom w:w="0" w:type="dxa"/>
          <w:right w:w="8" w:type="dxa"/>
        </w:tblCellMar>
      </w:tblPr>
      <w:tblGrid>
        <w:gridCol w:w="1452"/>
        <w:gridCol w:w="631"/>
        <w:gridCol w:w="631"/>
        <w:gridCol w:w="60"/>
        <w:gridCol w:w="567"/>
        <w:gridCol w:w="567"/>
        <w:gridCol w:w="567"/>
        <w:gridCol w:w="567"/>
        <w:gridCol w:w="487"/>
        <w:gridCol w:w="59"/>
        <w:gridCol w:w="587"/>
        <w:gridCol w:w="587"/>
        <w:gridCol w:w="587"/>
        <w:gridCol w:w="587"/>
      </w:tblGrid>
      <w:tr>
        <w:trPr>
          <w:trHeight w:val="259" w:hRule="atLeast"/>
        </w:trPr>
        <w:tc>
          <w:tcPr>
            <w:tcW w:w="1452" w:type="dxa"/>
            <w:tcBorders>
              <w:bottom w:val="single" w:sz="4" w:space="0" w:color="000000"/>
            </w:tcBorders>
          </w:tcPr>
          <w:p>
            <w:pPr>
              <w:pStyle w:val="TAH"/>
              <w:snapToGrid w:val="false"/>
              <w:rPr>
                <w:sz w:val="14"/>
                <w:szCs w:val="14"/>
                <w:lang w:eastAsia="en-US"/>
              </w:rPr>
            </w:pPr>
            <w:r>
              <w:rPr>
                <w:sz w:val="14"/>
                <w:szCs w:val="14"/>
                <w:lang w:eastAsia="en-US"/>
              </w:rPr>
            </w:r>
          </w:p>
        </w:tc>
        <w:tc>
          <w:tcPr>
            <w:tcW w:w="1262" w:type="dxa"/>
            <w:gridSpan w:val="2"/>
            <w:tcBorders>
              <w:bottom w:val="single" w:sz="4" w:space="0" w:color="000000"/>
            </w:tcBorders>
          </w:tcPr>
          <w:p>
            <w:pPr>
              <w:pStyle w:val="TAH"/>
              <w:rPr>
                <w:color w:val="000000"/>
                <w:sz w:val="14"/>
                <w:szCs w:val="14"/>
                <w:lang w:eastAsia="en-US"/>
              </w:rPr>
            </w:pPr>
            <w:r>
              <w:rPr>
                <w:color w:val="000000"/>
                <w:sz w:val="14"/>
                <w:szCs w:val="14"/>
                <w:lang w:eastAsia="en-US"/>
              </w:rPr>
              <w:t>Baseline</w:t>
            </w:r>
          </w:p>
        </w:tc>
        <w:tc>
          <w:tcPr>
            <w:tcW w:w="60" w:type="dxa"/>
            <w:tcBorders>
              <w:bottom w:val="single" w:sz="4" w:space="0" w:color="000000"/>
            </w:tcBorders>
          </w:tcPr>
          <w:p>
            <w:pPr>
              <w:pStyle w:val="TAH"/>
              <w:snapToGrid w:val="false"/>
              <w:rPr>
                <w:color w:val="000000"/>
                <w:sz w:val="14"/>
                <w:szCs w:val="14"/>
                <w:lang w:eastAsia="en-US"/>
              </w:rPr>
            </w:pPr>
            <w:r>
              <w:rPr>
                <w:color w:val="000000"/>
                <w:sz w:val="14"/>
                <w:szCs w:val="14"/>
                <w:lang w:eastAsia="en-US"/>
              </w:rPr>
            </w:r>
          </w:p>
        </w:tc>
        <w:tc>
          <w:tcPr>
            <w:tcW w:w="567" w:type="dxa"/>
            <w:tcBorders>
              <w:bottom w:val="single" w:sz="4" w:space="0" w:color="000000"/>
            </w:tcBorders>
          </w:tcPr>
          <w:p>
            <w:pPr>
              <w:pStyle w:val="TAH"/>
              <w:rPr>
                <w:color w:val="000000"/>
                <w:sz w:val="14"/>
                <w:szCs w:val="14"/>
                <w:lang w:eastAsia="en-US"/>
              </w:rPr>
            </w:pPr>
            <w:r>
              <w:rPr>
                <w:color w:val="000000"/>
                <w:sz w:val="14"/>
                <w:szCs w:val="14"/>
                <w:lang w:eastAsia="en-US"/>
              </w:rPr>
              <w:t>Normal</w:t>
            </w:r>
          </w:p>
        </w:tc>
        <w:tc>
          <w:tcPr>
            <w:tcW w:w="567" w:type="dxa"/>
            <w:tcBorders>
              <w:bottom w:val="single" w:sz="4" w:space="0" w:color="000000"/>
            </w:tcBorders>
          </w:tcPr>
          <w:p>
            <w:pPr>
              <w:pStyle w:val="TAH"/>
              <w:rPr>
                <w:color w:val="000000"/>
                <w:sz w:val="14"/>
                <w:szCs w:val="14"/>
                <w:lang w:eastAsia="en-US"/>
              </w:rPr>
            </w:pPr>
            <w:r>
              <w:rPr>
                <w:color w:val="000000"/>
                <w:sz w:val="14"/>
                <w:szCs w:val="14"/>
                <w:lang w:eastAsia="en-US"/>
              </w:rPr>
              <w:t>Class 1</w:t>
            </w:r>
          </w:p>
        </w:tc>
        <w:tc>
          <w:tcPr>
            <w:tcW w:w="567" w:type="dxa"/>
            <w:tcBorders>
              <w:bottom w:val="single" w:sz="4" w:space="0" w:color="000000"/>
            </w:tcBorders>
          </w:tcPr>
          <w:p>
            <w:pPr>
              <w:pStyle w:val="TAH"/>
              <w:rPr>
                <w:color w:val="000000"/>
                <w:sz w:val="14"/>
                <w:szCs w:val="14"/>
                <w:lang w:eastAsia="en-US"/>
              </w:rPr>
            </w:pPr>
            <w:r>
              <w:rPr>
                <w:color w:val="000000"/>
                <w:sz w:val="14"/>
                <w:szCs w:val="14"/>
                <w:lang w:eastAsia="en-US"/>
              </w:rPr>
              <w:t>Class 2</w:t>
            </w:r>
          </w:p>
        </w:tc>
        <w:tc>
          <w:tcPr>
            <w:tcW w:w="567" w:type="dxa"/>
            <w:tcBorders>
              <w:bottom w:val="single" w:sz="4" w:space="0" w:color="000000"/>
            </w:tcBorders>
          </w:tcPr>
          <w:p>
            <w:pPr>
              <w:pStyle w:val="TAH"/>
              <w:rPr>
                <w:color w:val="000000"/>
                <w:sz w:val="14"/>
                <w:szCs w:val="14"/>
                <w:lang w:eastAsia="en-US"/>
              </w:rPr>
            </w:pPr>
            <w:r>
              <w:rPr>
                <w:color w:val="000000"/>
                <w:sz w:val="14"/>
                <w:szCs w:val="14"/>
                <w:lang w:eastAsia="en-US"/>
              </w:rPr>
              <w:t>Class 3</w:t>
            </w:r>
          </w:p>
        </w:tc>
        <w:tc>
          <w:tcPr>
            <w:tcW w:w="487" w:type="dxa"/>
            <w:tcBorders>
              <w:bottom w:val="single" w:sz="4" w:space="0" w:color="000000"/>
            </w:tcBorders>
          </w:tcPr>
          <w:p>
            <w:pPr>
              <w:pStyle w:val="TAH"/>
              <w:rPr>
                <w:color w:val="000000"/>
                <w:sz w:val="14"/>
                <w:szCs w:val="14"/>
                <w:lang w:eastAsia="en-US"/>
              </w:rPr>
            </w:pPr>
            <w:r>
              <w:rPr>
                <w:color w:val="000000"/>
                <w:sz w:val="14"/>
                <w:szCs w:val="14"/>
                <w:lang w:eastAsia="en-US"/>
              </w:rPr>
              <w:t>Class 4</w:t>
            </w:r>
          </w:p>
        </w:tc>
        <w:tc>
          <w:tcPr>
            <w:tcW w:w="59" w:type="dxa"/>
            <w:tcBorders>
              <w:bottom w:val="single" w:sz="4" w:space="0" w:color="000000"/>
            </w:tcBorders>
          </w:tcPr>
          <w:p>
            <w:pPr>
              <w:pStyle w:val="TAH"/>
              <w:snapToGrid w:val="false"/>
              <w:rPr>
                <w:color w:val="000000"/>
                <w:sz w:val="14"/>
                <w:szCs w:val="14"/>
                <w:lang w:eastAsia="en-US"/>
              </w:rPr>
            </w:pPr>
            <w:r>
              <w:rPr>
                <w:color w:val="000000"/>
                <w:sz w:val="14"/>
                <w:szCs w:val="14"/>
                <w:lang w:eastAsia="en-US"/>
              </w:rPr>
            </w:r>
          </w:p>
        </w:tc>
        <w:tc>
          <w:tcPr>
            <w:tcW w:w="587" w:type="dxa"/>
            <w:tcBorders>
              <w:bottom w:val="single" w:sz="4" w:space="0" w:color="000000"/>
            </w:tcBorders>
          </w:tcPr>
          <w:p>
            <w:pPr>
              <w:pStyle w:val="TAH"/>
              <w:rPr>
                <w:color w:val="000000"/>
                <w:sz w:val="14"/>
                <w:szCs w:val="14"/>
                <w:lang w:eastAsia="en-US"/>
              </w:rPr>
            </w:pPr>
            <w:r>
              <w:rPr>
                <w:color w:val="000000"/>
                <w:sz w:val="14"/>
                <w:szCs w:val="14"/>
                <w:lang w:eastAsia="en-US"/>
              </w:rPr>
              <w:t>Normal</w:t>
            </w:r>
          </w:p>
        </w:tc>
        <w:tc>
          <w:tcPr>
            <w:tcW w:w="587" w:type="dxa"/>
            <w:tcBorders>
              <w:bottom w:val="single" w:sz="4" w:space="0" w:color="000000"/>
            </w:tcBorders>
          </w:tcPr>
          <w:p>
            <w:pPr>
              <w:pStyle w:val="TAH"/>
              <w:rPr>
                <w:color w:val="000000"/>
                <w:sz w:val="14"/>
                <w:szCs w:val="14"/>
                <w:lang w:val="en-US" w:eastAsia="en-US"/>
              </w:rPr>
            </w:pPr>
            <w:r>
              <w:rPr>
                <w:color w:val="000000"/>
                <w:sz w:val="14"/>
                <w:szCs w:val="14"/>
                <w:lang w:val="en-US" w:eastAsia="en-US"/>
              </w:rPr>
              <w:t>Class 1</w:t>
            </w:r>
          </w:p>
        </w:tc>
        <w:tc>
          <w:tcPr>
            <w:tcW w:w="587" w:type="dxa"/>
            <w:tcBorders>
              <w:bottom w:val="single" w:sz="4" w:space="0" w:color="000000"/>
            </w:tcBorders>
          </w:tcPr>
          <w:p>
            <w:pPr>
              <w:pStyle w:val="TAH"/>
              <w:rPr>
                <w:color w:val="000000"/>
                <w:sz w:val="14"/>
                <w:szCs w:val="14"/>
                <w:lang w:val="en-US" w:eastAsia="en-US"/>
              </w:rPr>
            </w:pPr>
            <w:r>
              <w:rPr>
                <w:color w:val="000000"/>
                <w:sz w:val="14"/>
                <w:szCs w:val="14"/>
                <w:lang w:val="en-US" w:eastAsia="en-US"/>
              </w:rPr>
              <w:t>Class 2</w:t>
            </w:r>
          </w:p>
        </w:tc>
        <w:tc>
          <w:tcPr>
            <w:tcW w:w="587" w:type="dxa"/>
            <w:tcBorders>
              <w:bottom w:val="single" w:sz="4" w:space="0" w:color="000000"/>
            </w:tcBorders>
          </w:tcPr>
          <w:p>
            <w:pPr>
              <w:pStyle w:val="TAH"/>
              <w:rPr>
                <w:color w:val="000000"/>
                <w:sz w:val="14"/>
                <w:szCs w:val="14"/>
                <w:lang w:val="en-US" w:eastAsia="en-US"/>
              </w:rPr>
            </w:pPr>
            <w:r>
              <w:rPr>
                <w:color w:val="000000"/>
                <w:sz w:val="14"/>
                <w:szCs w:val="14"/>
                <w:lang w:val="en-US" w:eastAsia="en-US"/>
              </w:rPr>
              <w:t>Class 3</w:t>
            </w:r>
          </w:p>
        </w:tc>
      </w:tr>
      <w:tr>
        <w:trPr>
          <w:trHeight w:val="259" w:hRule="atLeast"/>
        </w:trPr>
        <w:tc>
          <w:tcPr>
            <w:tcW w:w="1452" w:type="dxa"/>
            <w:tcBorders>
              <w:top w:val="single" w:sz="4" w:space="0" w:color="000000"/>
              <w:left w:val="single" w:sz="4" w:space="0" w:color="000000"/>
              <w:bottom w:val="single" w:sz="4" w:space="0" w:color="000000"/>
              <w:right w:val="single" w:sz="6" w:space="0" w:color="000000"/>
            </w:tcBorders>
          </w:tcPr>
          <w:p>
            <w:pPr>
              <w:pStyle w:val="TAH"/>
              <w:snapToGrid w:val="false"/>
              <w:rPr>
                <w:b/>
                <w:b/>
                <w:color w:val="000000"/>
                <w:sz w:val="14"/>
                <w:szCs w:val="14"/>
                <w:lang w:val="en-US" w:eastAsia="en-US"/>
              </w:rPr>
            </w:pPr>
            <w:r>
              <w:rPr>
                <w:b/>
                <w:color w:val="000000"/>
                <w:sz w:val="14"/>
                <w:szCs w:val="14"/>
                <w:lang w:val="en-US" w:eastAsia="en-US"/>
              </w:rPr>
            </w:r>
          </w:p>
        </w:tc>
        <w:tc>
          <w:tcPr>
            <w:tcW w:w="631" w:type="dxa"/>
            <w:tcBorders>
              <w:top w:val="single" w:sz="4" w:space="0" w:color="000000"/>
              <w:left w:val="single" w:sz="6" w:space="0" w:color="000000"/>
              <w:bottom w:val="single" w:sz="4" w:space="0" w:color="000000"/>
              <w:right w:val="single" w:sz="6" w:space="0" w:color="000000"/>
            </w:tcBorders>
          </w:tcPr>
          <w:p>
            <w:pPr>
              <w:pStyle w:val="TAH"/>
              <w:rPr>
                <w:lang w:eastAsia="en-US"/>
              </w:rPr>
            </w:pPr>
            <w:r>
              <w:rPr>
                <w:color w:val="000000"/>
                <w:lang w:eastAsia="en-US"/>
              </w:rPr>
              <w:t>GSM</w:t>
            </w:r>
          </w:p>
        </w:tc>
        <w:tc>
          <w:tcPr>
            <w:tcW w:w="631" w:type="dxa"/>
            <w:tcBorders>
              <w:top w:val="single" w:sz="4" w:space="0" w:color="000000"/>
              <w:left w:val="single" w:sz="6" w:space="0" w:color="000000"/>
              <w:bottom w:val="single" w:sz="4" w:space="0" w:color="000000"/>
              <w:right w:val="single" w:sz="6" w:space="0" w:color="000000"/>
            </w:tcBorders>
          </w:tcPr>
          <w:p>
            <w:pPr>
              <w:pStyle w:val="TAH"/>
              <w:rPr>
                <w:lang w:eastAsia="en-US"/>
              </w:rPr>
            </w:pPr>
            <w:r>
              <w:rPr>
                <w:color w:val="000000"/>
                <w:lang w:eastAsia="en-US"/>
              </w:rPr>
              <w:t>DCS</w:t>
            </w:r>
          </w:p>
        </w:tc>
        <w:tc>
          <w:tcPr>
            <w:tcW w:w="60" w:type="dxa"/>
            <w:tcBorders>
              <w:top w:val="single" w:sz="4" w:space="0" w:color="000000"/>
              <w:bottom w:val="single" w:sz="4" w:space="0" w:color="000000"/>
            </w:tcBorders>
          </w:tcPr>
          <w:p>
            <w:pPr>
              <w:pStyle w:val="TAH"/>
              <w:snapToGrid w:val="false"/>
              <w:rPr>
                <w:lang w:eastAsia="en-US"/>
              </w:rPr>
            </w:pPr>
            <w:r>
              <w:rPr>
                <w:lang w:eastAsia="en-US"/>
              </w:rPr>
            </w:r>
          </w:p>
        </w:tc>
        <w:tc>
          <w:tcPr>
            <w:tcW w:w="567" w:type="dxa"/>
            <w:tcBorders>
              <w:top w:val="single" w:sz="4" w:space="0" w:color="000000"/>
              <w:left w:val="single" w:sz="6" w:space="0" w:color="000000"/>
              <w:bottom w:val="single" w:sz="4" w:space="0" w:color="000000"/>
              <w:right w:val="single" w:sz="6" w:space="0" w:color="000000"/>
            </w:tcBorders>
          </w:tcPr>
          <w:p>
            <w:pPr>
              <w:pStyle w:val="TAH"/>
              <w:rPr>
                <w:lang w:eastAsia="en-US"/>
              </w:rPr>
            </w:pPr>
            <w:r>
              <w:rPr>
                <w:color w:val="000000"/>
                <w:lang w:eastAsia="en-US"/>
              </w:rPr>
              <w:t>GSM</w:t>
            </w:r>
          </w:p>
        </w:tc>
        <w:tc>
          <w:tcPr>
            <w:tcW w:w="567" w:type="dxa"/>
            <w:tcBorders>
              <w:top w:val="single" w:sz="4" w:space="0" w:color="000000"/>
              <w:left w:val="single" w:sz="6" w:space="0" w:color="000000"/>
              <w:bottom w:val="single" w:sz="4" w:space="0" w:color="000000"/>
              <w:right w:val="single" w:sz="6" w:space="0" w:color="000000"/>
            </w:tcBorders>
          </w:tcPr>
          <w:p>
            <w:pPr>
              <w:pStyle w:val="TAH"/>
              <w:rPr>
                <w:lang w:eastAsia="en-US"/>
              </w:rPr>
            </w:pPr>
            <w:r>
              <w:rPr>
                <w:color w:val="000000"/>
                <w:lang w:eastAsia="en-US"/>
              </w:rPr>
              <w:t>GSM</w:t>
            </w:r>
          </w:p>
        </w:tc>
        <w:tc>
          <w:tcPr>
            <w:tcW w:w="567" w:type="dxa"/>
            <w:tcBorders>
              <w:top w:val="single" w:sz="4" w:space="0" w:color="000000"/>
              <w:left w:val="single" w:sz="6" w:space="0" w:color="000000"/>
              <w:bottom w:val="single" w:sz="4" w:space="0" w:color="000000"/>
              <w:right w:val="single" w:sz="6" w:space="0" w:color="000000"/>
            </w:tcBorders>
          </w:tcPr>
          <w:p>
            <w:pPr>
              <w:pStyle w:val="TAH"/>
              <w:rPr>
                <w:lang w:eastAsia="en-US"/>
              </w:rPr>
            </w:pPr>
            <w:r>
              <w:rPr>
                <w:color w:val="000000"/>
                <w:lang w:eastAsia="en-US"/>
              </w:rPr>
              <w:t>GSM</w:t>
            </w:r>
          </w:p>
        </w:tc>
        <w:tc>
          <w:tcPr>
            <w:tcW w:w="567" w:type="dxa"/>
            <w:tcBorders>
              <w:top w:val="single" w:sz="4" w:space="0" w:color="000000"/>
              <w:left w:val="single" w:sz="6" w:space="0" w:color="000000"/>
              <w:bottom w:val="single" w:sz="4" w:space="0" w:color="000000"/>
              <w:right w:val="single" w:sz="6" w:space="0" w:color="000000"/>
            </w:tcBorders>
          </w:tcPr>
          <w:p>
            <w:pPr>
              <w:pStyle w:val="TAH"/>
              <w:rPr>
                <w:lang w:eastAsia="en-US"/>
              </w:rPr>
            </w:pPr>
            <w:r>
              <w:rPr>
                <w:color w:val="000000"/>
                <w:lang w:eastAsia="en-US"/>
              </w:rPr>
              <w:t>GSM</w:t>
            </w:r>
          </w:p>
        </w:tc>
        <w:tc>
          <w:tcPr>
            <w:tcW w:w="487" w:type="dxa"/>
            <w:tcBorders>
              <w:top w:val="single" w:sz="4" w:space="0" w:color="000000"/>
              <w:left w:val="single" w:sz="6" w:space="0" w:color="000000"/>
              <w:bottom w:val="single" w:sz="4" w:space="0" w:color="000000"/>
              <w:right w:val="single" w:sz="6" w:space="0" w:color="000000"/>
            </w:tcBorders>
          </w:tcPr>
          <w:p>
            <w:pPr>
              <w:pStyle w:val="TAH"/>
              <w:rPr>
                <w:lang w:eastAsia="en-US"/>
              </w:rPr>
            </w:pPr>
            <w:r>
              <w:rPr>
                <w:color w:val="000000"/>
                <w:lang w:eastAsia="en-US"/>
              </w:rPr>
              <w:t>GSM</w:t>
            </w:r>
          </w:p>
        </w:tc>
        <w:tc>
          <w:tcPr>
            <w:tcW w:w="59" w:type="dxa"/>
            <w:tcBorders>
              <w:top w:val="single" w:sz="4" w:space="0" w:color="000000"/>
              <w:bottom w:val="single" w:sz="4" w:space="0" w:color="000000"/>
            </w:tcBorders>
          </w:tcPr>
          <w:p>
            <w:pPr>
              <w:pStyle w:val="TAH"/>
              <w:snapToGrid w:val="false"/>
              <w:rPr>
                <w:lang w:eastAsia="en-US"/>
              </w:rPr>
            </w:pPr>
            <w:r>
              <w:rPr>
                <w:lang w:eastAsia="en-US"/>
              </w:rPr>
            </w:r>
          </w:p>
        </w:tc>
        <w:tc>
          <w:tcPr>
            <w:tcW w:w="587" w:type="dxa"/>
            <w:tcBorders>
              <w:top w:val="single" w:sz="4" w:space="0" w:color="000000"/>
              <w:left w:val="single" w:sz="6" w:space="0" w:color="000000"/>
              <w:bottom w:val="single" w:sz="4" w:space="0" w:color="000000"/>
              <w:right w:val="single" w:sz="6" w:space="0" w:color="000000"/>
            </w:tcBorders>
          </w:tcPr>
          <w:p>
            <w:pPr>
              <w:pStyle w:val="TAH"/>
              <w:rPr>
                <w:lang w:eastAsia="en-US"/>
              </w:rPr>
            </w:pPr>
            <w:r>
              <w:rPr>
                <w:color w:val="000000"/>
                <w:lang w:eastAsia="en-US"/>
              </w:rPr>
              <w:t>DCS</w:t>
            </w:r>
          </w:p>
        </w:tc>
        <w:tc>
          <w:tcPr>
            <w:tcW w:w="587" w:type="dxa"/>
            <w:tcBorders>
              <w:top w:val="single" w:sz="4" w:space="0" w:color="000000"/>
              <w:left w:val="single" w:sz="6" w:space="0" w:color="000000"/>
              <w:bottom w:val="single" w:sz="4" w:space="0" w:color="000000"/>
              <w:right w:val="single" w:sz="6" w:space="0" w:color="000000"/>
            </w:tcBorders>
          </w:tcPr>
          <w:p>
            <w:pPr>
              <w:pStyle w:val="TAH"/>
              <w:rPr>
                <w:lang w:val="fr-FR" w:eastAsia="en-US"/>
              </w:rPr>
            </w:pPr>
            <w:r>
              <w:rPr>
                <w:color w:val="000000"/>
                <w:lang w:val="fr-FR" w:eastAsia="en-US"/>
              </w:rPr>
              <w:t>DCS</w:t>
            </w:r>
          </w:p>
        </w:tc>
        <w:tc>
          <w:tcPr>
            <w:tcW w:w="587" w:type="dxa"/>
            <w:tcBorders>
              <w:top w:val="single" w:sz="4" w:space="0" w:color="000000"/>
              <w:left w:val="single" w:sz="6" w:space="0" w:color="000000"/>
              <w:bottom w:val="single" w:sz="4" w:space="0" w:color="000000"/>
              <w:right w:val="single" w:sz="6" w:space="0" w:color="000000"/>
            </w:tcBorders>
          </w:tcPr>
          <w:p>
            <w:pPr>
              <w:pStyle w:val="TAH"/>
              <w:rPr>
                <w:lang w:val="fr-FR" w:eastAsia="en-US"/>
              </w:rPr>
            </w:pPr>
            <w:r>
              <w:rPr>
                <w:color w:val="000000"/>
                <w:lang w:val="fr-FR" w:eastAsia="en-US"/>
              </w:rPr>
              <w:t>DCS</w:t>
            </w:r>
          </w:p>
        </w:tc>
        <w:tc>
          <w:tcPr>
            <w:tcW w:w="587" w:type="dxa"/>
            <w:tcBorders>
              <w:top w:val="single" w:sz="4" w:space="0" w:color="000000"/>
              <w:left w:val="single" w:sz="6" w:space="0" w:color="000000"/>
              <w:bottom w:val="single" w:sz="4" w:space="0" w:color="000000"/>
              <w:right w:val="single" w:sz="4" w:space="0" w:color="000000"/>
            </w:tcBorders>
          </w:tcPr>
          <w:p>
            <w:pPr>
              <w:pStyle w:val="TAH"/>
              <w:rPr>
                <w:lang w:val="fr-FR" w:eastAsia="en-US"/>
              </w:rPr>
            </w:pPr>
            <w:r>
              <w:rPr>
                <w:color w:val="000000"/>
                <w:lang w:val="fr-FR" w:eastAsia="en-US"/>
              </w:rPr>
              <w:t>DCS</w:t>
            </w:r>
          </w:p>
        </w:tc>
      </w:tr>
      <w:tr>
        <w:trPr>
          <w:trHeight w:val="259" w:hRule="atLeast"/>
        </w:trPr>
        <w:tc>
          <w:tcPr>
            <w:tcW w:w="1452" w:type="dxa"/>
            <w:tcBorders>
              <w:top w:val="single" w:sz="4" w:space="0" w:color="000000"/>
              <w:left w:val="single" w:sz="6" w:space="0" w:color="000000"/>
              <w:right w:val="single" w:sz="6" w:space="0" w:color="000000"/>
            </w:tcBorders>
          </w:tcPr>
          <w:p>
            <w:pPr>
              <w:pStyle w:val="TAL"/>
              <w:rPr>
                <w:lang w:val="en-GB"/>
              </w:rPr>
            </w:pPr>
            <w:r>
              <w:rPr>
                <w:lang w:val="en-GB"/>
              </w:rPr>
              <w:t xml:space="preserve">C/ I </w:t>
            </w:r>
          </w:p>
        </w:tc>
        <w:tc>
          <w:tcPr>
            <w:tcW w:w="631" w:type="dxa"/>
            <w:tcBorders>
              <w:top w:val="single" w:sz="4" w:space="0" w:color="000000"/>
              <w:right w:val="single" w:sz="6" w:space="0" w:color="000000"/>
            </w:tcBorders>
          </w:tcPr>
          <w:p>
            <w:pPr>
              <w:pStyle w:val="TAC"/>
              <w:rPr>
                <w:lang w:val="en-GB"/>
              </w:rPr>
            </w:pPr>
            <w:r>
              <w:rPr>
                <w:lang w:val="en-GB"/>
              </w:rPr>
              <w:t>9</w:t>
            </w:r>
          </w:p>
        </w:tc>
        <w:tc>
          <w:tcPr>
            <w:tcW w:w="631" w:type="dxa"/>
            <w:tcBorders>
              <w:top w:val="single" w:sz="4" w:space="0" w:color="000000"/>
              <w:right w:val="single" w:sz="6" w:space="0" w:color="000000"/>
            </w:tcBorders>
          </w:tcPr>
          <w:p>
            <w:pPr>
              <w:pStyle w:val="TAC"/>
              <w:rPr>
                <w:lang w:val="en-GB"/>
              </w:rPr>
            </w:pPr>
            <w:r>
              <w:rPr>
                <w:lang w:val="en-GB"/>
              </w:rPr>
              <w:t>9</w:t>
            </w:r>
          </w:p>
        </w:tc>
        <w:tc>
          <w:tcPr>
            <w:tcW w:w="60" w:type="dxa"/>
            <w:tcBorders>
              <w:top w:val="single" w:sz="4" w:space="0" w:color="000000"/>
            </w:tcBorders>
          </w:tcPr>
          <w:p>
            <w:pPr>
              <w:pStyle w:val="TAC"/>
              <w:snapToGrid w:val="false"/>
              <w:rPr>
                <w:lang w:val="en-GB"/>
              </w:rPr>
            </w:pPr>
            <w:r>
              <w:rPr>
                <w:lang w:val="en-GB"/>
              </w:rPr>
            </w:r>
          </w:p>
        </w:tc>
        <w:tc>
          <w:tcPr>
            <w:tcW w:w="567" w:type="dxa"/>
            <w:tcBorders>
              <w:top w:val="single" w:sz="4"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4"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4"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4" w:space="0" w:color="000000"/>
              <w:left w:val="single" w:sz="6" w:space="0" w:color="000000"/>
              <w:right w:val="single" w:sz="6" w:space="0" w:color="000000"/>
            </w:tcBorders>
          </w:tcPr>
          <w:p>
            <w:pPr>
              <w:pStyle w:val="TAC"/>
              <w:rPr>
                <w:lang w:val="en-GB"/>
              </w:rPr>
            </w:pPr>
            <w:r>
              <w:rPr>
                <w:lang w:val="en-GB"/>
              </w:rPr>
              <w:t>9</w:t>
            </w:r>
          </w:p>
        </w:tc>
        <w:tc>
          <w:tcPr>
            <w:tcW w:w="487" w:type="dxa"/>
            <w:tcBorders>
              <w:top w:val="single" w:sz="4" w:space="0" w:color="000000"/>
              <w:left w:val="single" w:sz="6" w:space="0" w:color="000000"/>
              <w:right w:val="single" w:sz="6" w:space="0" w:color="000000"/>
            </w:tcBorders>
          </w:tcPr>
          <w:p>
            <w:pPr>
              <w:pStyle w:val="TAC"/>
              <w:rPr>
                <w:lang w:val="en-GB"/>
              </w:rPr>
            </w:pPr>
            <w:r>
              <w:rPr>
                <w:lang w:val="en-GB"/>
              </w:rPr>
              <w:t>9</w:t>
            </w:r>
          </w:p>
        </w:tc>
        <w:tc>
          <w:tcPr>
            <w:tcW w:w="59" w:type="dxa"/>
            <w:tcBorders>
              <w:top w:val="single" w:sz="4" w:space="0" w:color="000000"/>
            </w:tcBorders>
          </w:tcPr>
          <w:p>
            <w:pPr>
              <w:pStyle w:val="TAC"/>
              <w:snapToGrid w:val="false"/>
              <w:rPr>
                <w:lang w:val="en-GB"/>
              </w:rPr>
            </w:pPr>
            <w:r>
              <w:rPr>
                <w:lang w:val="en-GB"/>
              </w:rPr>
            </w:r>
          </w:p>
        </w:tc>
        <w:tc>
          <w:tcPr>
            <w:tcW w:w="587" w:type="dxa"/>
            <w:tcBorders>
              <w:top w:val="single" w:sz="4" w:space="0" w:color="000000"/>
              <w:left w:val="single" w:sz="6" w:space="0" w:color="000000"/>
              <w:right w:val="single" w:sz="6" w:space="0" w:color="000000"/>
            </w:tcBorders>
          </w:tcPr>
          <w:p>
            <w:pPr>
              <w:pStyle w:val="TAC"/>
              <w:rPr>
                <w:lang w:val="en-GB"/>
              </w:rPr>
            </w:pPr>
            <w:r>
              <w:rPr>
                <w:lang w:val="en-GB"/>
              </w:rPr>
              <w:t>9</w:t>
            </w:r>
          </w:p>
        </w:tc>
        <w:tc>
          <w:tcPr>
            <w:tcW w:w="587" w:type="dxa"/>
            <w:tcBorders>
              <w:top w:val="single" w:sz="4" w:space="0" w:color="000000"/>
              <w:left w:val="single" w:sz="6" w:space="0" w:color="000000"/>
              <w:right w:val="single" w:sz="6" w:space="0" w:color="000000"/>
            </w:tcBorders>
          </w:tcPr>
          <w:p>
            <w:pPr>
              <w:pStyle w:val="TAC"/>
              <w:rPr>
                <w:lang w:val="en-GB"/>
              </w:rPr>
            </w:pPr>
            <w:r>
              <w:rPr>
                <w:lang w:val="en-GB"/>
              </w:rPr>
              <w:t>9</w:t>
            </w:r>
          </w:p>
        </w:tc>
        <w:tc>
          <w:tcPr>
            <w:tcW w:w="587" w:type="dxa"/>
            <w:tcBorders>
              <w:top w:val="single" w:sz="4" w:space="0" w:color="000000"/>
              <w:right w:val="single" w:sz="6" w:space="0" w:color="000000"/>
            </w:tcBorders>
          </w:tcPr>
          <w:p>
            <w:pPr>
              <w:pStyle w:val="TAC"/>
              <w:rPr>
                <w:lang w:val="en-GB"/>
              </w:rPr>
            </w:pPr>
            <w:r>
              <w:rPr>
                <w:lang w:val="en-GB"/>
              </w:rPr>
              <w:t>9</w:t>
            </w:r>
          </w:p>
        </w:tc>
        <w:tc>
          <w:tcPr>
            <w:tcW w:w="587" w:type="dxa"/>
            <w:tcBorders>
              <w:top w:val="single" w:sz="4" w:space="0" w:color="000000"/>
              <w:right w:val="single" w:sz="6" w:space="0" w:color="000000"/>
            </w:tcBorders>
          </w:tcPr>
          <w:p>
            <w:pPr>
              <w:pStyle w:val="TAC"/>
              <w:rPr>
                <w:lang w:val="en-GB"/>
              </w:rPr>
            </w:pPr>
            <w:r>
              <w:rPr>
                <w:lang w:val="en-GB"/>
              </w:rPr>
              <w:t>9</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BTS MIM</w:t>
            </w:r>
          </w:p>
        </w:tc>
        <w:tc>
          <w:tcPr>
            <w:tcW w:w="631" w:type="dxa"/>
            <w:tcBorders>
              <w:right w:val="single" w:sz="6" w:space="0" w:color="000000"/>
            </w:tcBorders>
            <w:shd w:fill="DFDFDF" w:val="clear"/>
          </w:tcPr>
          <w:p>
            <w:pPr>
              <w:pStyle w:val="TAC"/>
              <w:rPr>
                <w:lang w:val="en-GB"/>
              </w:rPr>
            </w:pPr>
            <w:r>
              <w:rPr>
                <w:lang w:val="en-GB"/>
              </w:rPr>
              <w:t>10</w:t>
            </w:r>
          </w:p>
        </w:tc>
        <w:tc>
          <w:tcPr>
            <w:tcW w:w="631" w:type="dxa"/>
            <w:tcBorders>
              <w:right w:val="single" w:sz="6" w:space="0" w:color="000000"/>
            </w:tcBorders>
            <w:shd w:fill="DFDFDF" w:val="clear"/>
          </w:tcPr>
          <w:p>
            <w:pPr>
              <w:pStyle w:val="TAC"/>
              <w:rPr>
                <w:lang w:val="en-GB"/>
              </w:rPr>
            </w:pPr>
            <w:r>
              <w:rPr>
                <w:lang w:val="en-GB"/>
              </w:rPr>
              <w:t>10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487" w:type="dxa"/>
            <w:tcBorders>
              <w:right w:val="single" w:sz="6" w:space="0" w:color="000000"/>
            </w:tcBorders>
            <w:shd w:fill="DFDFDF" w:val="clear"/>
          </w:tcPr>
          <w:p>
            <w:pPr>
              <w:pStyle w:val="TAC"/>
              <w:rPr>
                <w:lang w:val="en-GB"/>
              </w:rPr>
            </w:pPr>
            <w:r>
              <w:rPr>
                <w:lang w:val="en-GB"/>
              </w:rPr>
              <w:t>10</w:t>
            </w:r>
          </w:p>
        </w:tc>
        <w:tc>
          <w:tcPr>
            <w:tcW w:w="59" w:type="dxa"/>
            <w:tcBorders>
              <w:right w:val="single" w:sz="6" w:space="0" w:color="000000"/>
            </w:tcBorders>
          </w:tcPr>
          <w:p>
            <w:pPr>
              <w:pStyle w:val="TAC"/>
              <w:snapToGrid w:val="false"/>
              <w:rPr>
                <w:lang w:val="en-GB"/>
              </w:rPr>
            </w:pPr>
            <w:r>
              <w:rPr>
                <w:lang w:val="en-GB"/>
              </w:rPr>
            </w:r>
          </w:p>
        </w:tc>
        <w:tc>
          <w:tcPr>
            <w:tcW w:w="587" w:type="dxa"/>
            <w:tcBorders>
              <w:right w:val="single" w:sz="6" w:space="0" w:color="000000"/>
            </w:tcBorders>
            <w:shd w:fill="DFDFDF" w:val="clear"/>
          </w:tcPr>
          <w:p>
            <w:pPr>
              <w:pStyle w:val="TAC"/>
              <w:rPr>
                <w:lang w:val="en-GB"/>
              </w:rPr>
            </w:pPr>
            <w:r>
              <w:rPr>
                <w:lang w:val="en-GB"/>
              </w:rPr>
              <w:t>10</w:t>
            </w:r>
          </w:p>
        </w:tc>
        <w:tc>
          <w:tcPr>
            <w:tcW w:w="587" w:type="dxa"/>
            <w:tcBorders>
              <w:right w:val="single" w:sz="6" w:space="0" w:color="000000"/>
            </w:tcBorders>
            <w:shd w:fill="DFDFDF" w:val="clear"/>
          </w:tcPr>
          <w:p>
            <w:pPr>
              <w:pStyle w:val="TAC"/>
              <w:rPr>
                <w:lang w:val="en-GB"/>
              </w:rPr>
            </w:pPr>
            <w:r>
              <w:rPr>
                <w:lang w:val="en-GB"/>
              </w:rPr>
              <w:t>10</w:t>
            </w:r>
          </w:p>
        </w:tc>
        <w:tc>
          <w:tcPr>
            <w:tcW w:w="587" w:type="dxa"/>
            <w:tcBorders>
              <w:right w:val="single" w:sz="6" w:space="0" w:color="000000"/>
            </w:tcBorders>
            <w:shd w:fill="DFDFDF" w:val="clear"/>
          </w:tcPr>
          <w:p>
            <w:pPr>
              <w:pStyle w:val="TAC"/>
              <w:rPr>
                <w:lang w:val="en-GB"/>
              </w:rPr>
            </w:pPr>
            <w:r>
              <w:rPr>
                <w:lang w:val="en-GB"/>
              </w:rPr>
              <w:t>10</w:t>
            </w:r>
          </w:p>
        </w:tc>
        <w:tc>
          <w:tcPr>
            <w:tcW w:w="587" w:type="dxa"/>
            <w:tcBorders>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MS Margin</w:t>
            </w:r>
          </w:p>
        </w:tc>
        <w:tc>
          <w:tcPr>
            <w:tcW w:w="631" w:type="dxa"/>
            <w:tcBorders>
              <w:right w:val="single" w:sz="6" w:space="0" w:color="000000"/>
            </w:tcBorders>
            <w:shd w:fill="DFDFDF" w:val="clear"/>
          </w:tcPr>
          <w:p>
            <w:pPr>
              <w:pStyle w:val="TAC"/>
              <w:rPr>
                <w:lang w:val="en-GB"/>
              </w:rPr>
            </w:pPr>
            <w:r>
              <w:rPr>
                <w:lang w:val="en-GB"/>
              </w:rPr>
              <w:t>10</w:t>
            </w:r>
          </w:p>
        </w:tc>
        <w:tc>
          <w:tcPr>
            <w:tcW w:w="631" w:type="dxa"/>
            <w:tcBorders>
              <w:right w:val="single" w:sz="6" w:space="0" w:color="000000"/>
            </w:tcBorders>
            <w:shd w:fill="DFDFDF" w:val="clear"/>
          </w:tcPr>
          <w:p>
            <w:pPr>
              <w:pStyle w:val="TAC"/>
              <w:rPr>
                <w:lang w:val="en-GB"/>
              </w:rPr>
            </w:pPr>
            <w:r>
              <w:rPr>
                <w:lang w:val="en-GB"/>
              </w:rPr>
              <w:t>10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487" w:type="dxa"/>
            <w:tcBorders>
              <w:right w:val="single" w:sz="6" w:space="0" w:color="000000"/>
            </w:tcBorders>
            <w:shd w:fill="DFDFDF" w:val="clear"/>
          </w:tcPr>
          <w:p>
            <w:pPr>
              <w:pStyle w:val="TAC"/>
              <w:rPr>
                <w:lang w:val="en-GB"/>
              </w:rPr>
            </w:pPr>
            <w:r>
              <w:rPr>
                <w:lang w:val="en-GB"/>
              </w:rPr>
              <w:t>10</w:t>
            </w:r>
          </w:p>
        </w:tc>
        <w:tc>
          <w:tcPr>
            <w:tcW w:w="59" w:type="dxa"/>
            <w:tcBorders>
              <w:right w:val="single" w:sz="6" w:space="0" w:color="000000"/>
            </w:tcBorders>
          </w:tcPr>
          <w:p>
            <w:pPr>
              <w:pStyle w:val="TAC"/>
              <w:snapToGrid w:val="false"/>
              <w:rPr>
                <w:lang w:val="en-GB"/>
              </w:rPr>
            </w:pPr>
            <w:r>
              <w:rPr>
                <w:lang w:val="en-GB"/>
              </w:rPr>
            </w:r>
          </w:p>
        </w:tc>
        <w:tc>
          <w:tcPr>
            <w:tcW w:w="587" w:type="dxa"/>
            <w:tcBorders>
              <w:right w:val="single" w:sz="6" w:space="0" w:color="000000"/>
            </w:tcBorders>
            <w:shd w:fill="DFDFDF" w:val="clear"/>
          </w:tcPr>
          <w:p>
            <w:pPr>
              <w:pStyle w:val="TAC"/>
              <w:rPr>
                <w:lang w:val="en-GB"/>
              </w:rPr>
            </w:pPr>
            <w:r>
              <w:rPr>
                <w:lang w:val="en-GB"/>
              </w:rPr>
              <w:t>10</w:t>
            </w:r>
          </w:p>
        </w:tc>
        <w:tc>
          <w:tcPr>
            <w:tcW w:w="587" w:type="dxa"/>
            <w:tcBorders>
              <w:right w:val="single" w:sz="6" w:space="0" w:color="000000"/>
            </w:tcBorders>
            <w:shd w:fill="DFDFDF" w:val="clear"/>
          </w:tcPr>
          <w:p>
            <w:pPr>
              <w:pStyle w:val="TAC"/>
              <w:rPr>
                <w:lang w:val="en-GB"/>
              </w:rPr>
            </w:pPr>
            <w:r>
              <w:rPr>
                <w:lang w:val="en-GB"/>
              </w:rPr>
              <w:t>10</w:t>
            </w:r>
          </w:p>
        </w:tc>
        <w:tc>
          <w:tcPr>
            <w:tcW w:w="587" w:type="dxa"/>
            <w:tcBorders>
              <w:right w:val="single" w:sz="6" w:space="0" w:color="000000"/>
            </w:tcBorders>
            <w:shd w:fill="DFDFDF" w:val="clear"/>
          </w:tcPr>
          <w:p>
            <w:pPr>
              <w:pStyle w:val="TAC"/>
              <w:rPr>
                <w:lang w:val="en-GB"/>
              </w:rPr>
            </w:pPr>
            <w:r>
              <w:rPr>
                <w:lang w:val="en-GB"/>
              </w:rPr>
              <w:t>10</w:t>
            </w:r>
          </w:p>
        </w:tc>
        <w:tc>
          <w:tcPr>
            <w:tcW w:w="587" w:type="dxa"/>
            <w:tcBorders>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bottom w:val="single" w:sz="6" w:space="0" w:color="000000"/>
              <w:right w:val="single" w:sz="6" w:space="0" w:color="000000"/>
            </w:tcBorders>
          </w:tcPr>
          <w:p>
            <w:pPr>
              <w:pStyle w:val="TAL"/>
              <w:rPr>
                <w:lang w:val="en-GB"/>
              </w:rPr>
            </w:pPr>
            <w:r>
              <w:rPr>
                <w:lang w:val="en-GB"/>
              </w:rPr>
              <w:t>BTS Div. Gain</w:t>
            </w:r>
          </w:p>
        </w:tc>
        <w:tc>
          <w:tcPr>
            <w:tcW w:w="631" w:type="dxa"/>
            <w:tcBorders>
              <w:bottom w:val="single" w:sz="6" w:space="0" w:color="000000"/>
              <w:right w:val="single" w:sz="6" w:space="0" w:color="000000"/>
            </w:tcBorders>
            <w:shd w:fill="DFDFDF" w:val="clear"/>
          </w:tcPr>
          <w:p>
            <w:pPr>
              <w:pStyle w:val="TAC"/>
              <w:rPr>
                <w:lang w:val="en-GB"/>
              </w:rPr>
            </w:pPr>
            <w:r>
              <w:rPr>
                <w:lang w:val="en-GB"/>
              </w:rPr>
              <w:t>0</w:t>
            </w:r>
          </w:p>
        </w:tc>
        <w:tc>
          <w:tcPr>
            <w:tcW w:w="631" w:type="dxa"/>
            <w:tcBorders>
              <w:bottom w:val="single" w:sz="6" w:space="0" w:color="000000"/>
              <w:right w:val="single" w:sz="6" w:space="0" w:color="000000"/>
            </w:tcBorders>
            <w:shd w:fill="DFDFDF" w:val="clear"/>
          </w:tcPr>
          <w:p>
            <w:pPr>
              <w:pStyle w:val="TAC"/>
              <w:rPr>
                <w:lang w:val="en-GB"/>
              </w:rPr>
            </w:pPr>
            <w:r>
              <w:rPr>
                <w:lang w:val="en-GB"/>
              </w:rPr>
              <w:t>0</w:t>
            </w:r>
          </w:p>
        </w:tc>
        <w:tc>
          <w:tcPr>
            <w:tcW w:w="60" w:type="dxa"/>
            <w:tcBorders>
              <w:bottom w:val="single" w:sz="6" w:space="0" w:color="000000"/>
              <w:right w:val="single" w:sz="6" w:space="0" w:color="000000"/>
            </w:tcBorders>
            <w:shd w:fill="DFDFDF" w:val="clear"/>
          </w:tcPr>
          <w:p>
            <w:pPr>
              <w:pStyle w:val="TAC"/>
              <w:snapToGrid w:val="false"/>
              <w:rPr>
                <w:lang w:val="en-GB"/>
              </w:rPr>
            </w:pPr>
            <w:r>
              <w:rPr>
                <w:lang w:val="en-GB"/>
              </w:rPr>
            </w:r>
          </w:p>
        </w:tc>
        <w:tc>
          <w:tcPr>
            <w:tcW w:w="567" w:type="dxa"/>
            <w:tcBorders>
              <w:bottom w:val="single" w:sz="6" w:space="0" w:color="000000"/>
              <w:right w:val="single" w:sz="6" w:space="0" w:color="000000"/>
            </w:tcBorders>
            <w:shd w:fill="DFDFDF" w:val="clear"/>
          </w:tcPr>
          <w:p>
            <w:pPr>
              <w:pStyle w:val="TAC"/>
              <w:rPr>
                <w:lang w:val="en-GB"/>
              </w:rPr>
            </w:pPr>
            <w:r>
              <w:rPr>
                <w:lang w:val="en-GB"/>
              </w:rPr>
              <w:t>0</w:t>
            </w:r>
          </w:p>
        </w:tc>
        <w:tc>
          <w:tcPr>
            <w:tcW w:w="567" w:type="dxa"/>
            <w:tcBorders>
              <w:bottom w:val="single" w:sz="6" w:space="0" w:color="000000"/>
              <w:right w:val="single" w:sz="6" w:space="0" w:color="000000"/>
            </w:tcBorders>
            <w:shd w:fill="DFDFDF" w:val="clear"/>
          </w:tcPr>
          <w:p>
            <w:pPr>
              <w:pStyle w:val="TAC"/>
              <w:rPr>
                <w:lang w:val="en-GB"/>
              </w:rPr>
            </w:pPr>
            <w:r>
              <w:rPr>
                <w:lang w:val="en-GB"/>
              </w:rPr>
              <w:t>0</w:t>
            </w:r>
          </w:p>
        </w:tc>
        <w:tc>
          <w:tcPr>
            <w:tcW w:w="567" w:type="dxa"/>
            <w:tcBorders>
              <w:bottom w:val="single" w:sz="6" w:space="0" w:color="000000"/>
              <w:right w:val="single" w:sz="6" w:space="0" w:color="000000"/>
            </w:tcBorders>
            <w:shd w:fill="DFDFDF" w:val="clear"/>
          </w:tcPr>
          <w:p>
            <w:pPr>
              <w:pStyle w:val="TAC"/>
              <w:rPr>
                <w:lang w:val="en-GB"/>
              </w:rPr>
            </w:pPr>
            <w:r>
              <w:rPr>
                <w:lang w:val="en-GB"/>
              </w:rPr>
              <w:t>0</w:t>
            </w:r>
          </w:p>
        </w:tc>
        <w:tc>
          <w:tcPr>
            <w:tcW w:w="567" w:type="dxa"/>
            <w:tcBorders>
              <w:bottom w:val="single" w:sz="6" w:space="0" w:color="000000"/>
              <w:right w:val="single" w:sz="6" w:space="0" w:color="000000"/>
            </w:tcBorders>
            <w:shd w:fill="DFDFDF" w:val="clear"/>
          </w:tcPr>
          <w:p>
            <w:pPr>
              <w:pStyle w:val="TAC"/>
              <w:rPr>
                <w:lang w:val="en-GB"/>
              </w:rPr>
            </w:pPr>
            <w:r>
              <w:rPr>
                <w:lang w:val="en-GB"/>
              </w:rPr>
              <w:t>0</w:t>
            </w:r>
          </w:p>
        </w:tc>
        <w:tc>
          <w:tcPr>
            <w:tcW w:w="487" w:type="dxa"/>
            <w:tcBorders>
              <w:bottom w:val="single" w:sz="6" w:space="0" w:color="000000"/>
              <w:right w:val="single" w:sz="6" w:space="0" w:color="000000"/>
            </w:tcBorders>
            <w:shd w:fill="DFDFDF" w:val="clear"/>
          </w:tcPr>
          <w:p>
            <w:pPr>
              <w:pStyle w:val="TAC"/>
              <w:rPr>
                <w:lang w:val="en-GB"/>
              </w:rPr>
            </w:pPr>
            <w:r>
              <w:rPr>
                <w:lang w:val="en-GB"/>
              </w:rPr>
              <w:t>0</w:t>
            </w:r>
          </w:p>
        </w:tc>
        <w:tc>
          <w:tcPr>
            <w:tcW w:w="59" w:type="dxa"/>
            <w:tcBorders>
              <w:right w:val="single" w:sz="6" w:space="0" w:color="000000"/>
            </w:tcBorders>
          </w:tcPr>
          <w:p>
            <w:pPr>
              <w:pStyle w:val="TAC"/>
              <w:snapToGrid w:val="false"/>
              <w:rPr>
                <w:lang w:val="en-GB"/>
              </w:rPr>
            </w:pPr>
            <w:r>
              <w:rPr>
                <w:lang w:val="en-GB"/>
              </w:rPr>
            </w:r>
          </w:p>
        </w:tc>
        <w:tc>
          <w:tcPr>
            <w:tcW w:w="587" w:type="dxa"/>
            <w:tcBorders>
              <w:bottom w:val="single" w:sz="6" w:space="0" w:color="000000"/>
              <w:right w:val="single" w:sz="6" w:space="0" w:color="000000"/>
            </w:tcBorders>
            <w:shd w:fill="DFDFDF" w:val="clear"/>
          </w:tcPr>
          <w:p>
            <w:pPr>
              <w:pStyle w:val="TAC"/>
              <w:rPr>
                <w:lang w:val="en-GB"/>
              </w:rPr>
            </w:pPr>
            <w:r>
              <w:rPr>
                <w:lang w:val="en-GB"/>
              </w:rPr>
              <w:t>0</w:t>
            </w:r>
          </w:p>
        </w:tc>
        <w:tc>
          <w:tcPr>
            <w:tcW w:w="587" w:type="dxa"/>
            <w:tcBorders>
              <w:bottom w:val="single" w:sz="6" w:space="0" w:color="000000"/>
              <w:right w:val="single" w:sz="6" w:space="0" w:color="000000"/>
            </w:tcBorders>
            <w:shd w:fill="DFDFDF" w:val="clear"/>
          </w:tcPr>
          <w:p>
            <w:pPr>
              <w:pStyle w:val="TAC"/>
              <w:rPr>
                <w:lang w:val="en-GB"/>
              </w:rPr>
            </w:pPr>
            <w:r>
              <w:rPr>
                <w:lang w:val="en-GB"/>
              </w:rPr>
              <w:t>0</w:t>
            </w:r>
          </w:p>
        </w:tc>
        <w:tc>
          <w:tcPr>
            <w:tcW w:w="587" w:type="dxa"/>
            <w:tcBorders>
              <w:bottom w:val="single" w:sz="6" w:space="0" w:color="000000"/>
              <w:right w:val="single" w:sz="6" w:space="0" w:color="000000"/>
            </w:tcBorders>
            <w:shd w:fill="DFDFDF" w:val="clear"/>
          </w:tcPr>
          <w:p>
            <w:pPr>
              <w:pStyle w:val="TAC"/>
              <w:rPr>
                <w:lang w:val="en-GB"/>
              </w:rPr>
            </w:pPr>
            <w:r>
              <w:rPr>
                <w:lang w:val="en-GB"/>
              </w:rPr>
              <w:t>0</w:t>
            </w:r>
          </w:p>
        </w:tc>
        <w:tc>
          <w:tcPr>
            <w:tcW w:w="587" w:type="dxa"/>
            <w:tcBorders>
              <w:bottom w:val="single" w:sz="6" w:space="0" w:color="000000"/>
              <w:right w:val="single" w:sz="6" w:space="0" w:color="000000"/>
            </w:tcBorders>
            <w:shd w:fill="DFDFDF" w:val="clear"/>
          </w:tcPr>
          <w:p>
            <w:pPr>
              <w:pStyle w:val="TAC"/>
              <w:rPr>
                <w:lang w:val="en-GB"/>
              </w:rPr>
            </w:pPr>
            <w:r>
              <w:rPr>
                <w:lang w:val="en-GB"/>
              </w:rPr>
              <w:t>0</w:t>
            </w:r>
          </w:p>
        </w:tc>
      </w:tr>
      <w:tr>
        <w:trPr>
          <w:trHeight w:val="259" w:hRule="atLeast"/>
        </w:trPr>
        <w:tc>
          <w:tcPr>
            <w:tcW w:w="1452" w:type="dxa"/>
            <w:tcBorders>
              <w:left w:val="single" w:sz="6" w:space="0" w:color="000000"/>
            </w:tcBorders>
          </w:tcPr>
          <w:p>
            <w:pPr>
              <w:pStyle w:val="TAL"/>
              <w:rPr>
                <w:lang w:val="en-GB"/>
              </w:rPr>
            </w:pPr>
            <w:r>
              <w:rPr>
                <w:lang w:val="en-GB"/>
              </w:rPr>
              <w:t>MS Power</w:t>
            </w:r>
          </w:p>
        </w:tc>
        <w:tc>
          <w:tcPr>
            <w:tcW w:w="631" w:type="dxa"/>
            <w:tcBorders>
              <w:left w:val="single" w:sz="6" w:space="0" w:color="000000"/>
              <w:right w:val="single" w:sz="6" w:space="0" w:color="000000"/>
            </w:tcBorders>
          </w:tcPr>
          <w:p>
            <w:pPr>
              <w:pStyle w:val="TAC"/>
              <w:rPr>
                <w:lang w:val="en-GB"/>
              </w:rPr>
            </w:pPr>
            <w:r>
              <w:rPr>
                <w:lang w:val="en-GB"/>
              </w:rPr>
              <w:t>29</w:t>
            </w:r>
          </w:p>
        </w:tc>
        <w:tc>
          <w:tcPr>
            <w:tcW w:w="631" w:type="dxa"/>
            <w:tcBorders>
              <w:right w:val="single" w:sz="6" w:space="0" w:color="000000"/>
            </w:tcBorders>
          </w:tcPr>
          <w:p>
            <w:pPr>
              <w:pStyle w:val="TAC"/>
              <w:rPr>
                <w:lang w:val="en-GB"/>
              </w:rPr>
            </w:pPr>
            <w:r>
              <w:rPr>
                <w:lang w:val="en-GB"/>
              </w:rPr>
              <w:t>30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tcBorders>
              <w:left w:val="single" w:sz="6" w:space="0" w:color="000000"/>
              <w:right w:val="single" w:sz="6" w:space="0" w:color="000000"/>
            </w:tcBorders>
          </w:tcPr>
          <w:p>
            <w:pPr>
              <w:pStyle w:val="TAC"/>
              <w:rPr>
                <w:lang w:val="en-GB"/>
              </w:rPr>
            </w:pPr>
            <w:r>
              <w:rPr>
                <w:lang w:val="en-GB"/>
              </w:rPr>
              <w:t>29</w:t>
            </w:r>
          </w:p>
        </w:tc>
        <w:tc>
          <w:tcPr>
            <w:tcW w:w="487" w:type="dxa"/>
            <w:tcBorders>
              <w:left w:val="single" w:sz="6" w:space="0" w:color="000000"/>
              <w:right w:val="single" w:sz="6" w:space="0" w:color="000000"/>
            </w:tcBorders>
          </w:tcPr>
          <w:p>
            <w:pPr>
              <w:pStyle w:val="TAC"/>
              <w:rPr>
                <w:lang w:val="en-GB"/>
              </w:rPr>
            </w:pPr>
            <w:r>
              <w:rPr>
                <w:lang w:val="en-GB"/>
              </w:rPr>
              <w:t>29</w:t>
            </w:r>
          </w:p>
        </w:tc>
        <w:tc>
          <w:tcPr>
            <w:tcW w:w="59" w:type="dxa"/>
            <w:tcBorders/>
          </w:tcPr>
          <w:p>
            <w:pPr>
              <w:pStyle w:val="TAC"/>
              <w:snapToGrid w:val="false"/>
              <w:rPr>
                <w:lang w:val="en-GB"/>
              </w:rPr>
            </w:pPr>
            <w:r>
              <w:rPr>
                <w:lang w:val="en-GB"/>
              </w:rPr>
            </w:r>
          </w:p>
        </w:tc>
        <w:tc>
          <w:tcPr>
            <w:tcW w:w="587" w:type="dxa"/>
            <w:tcBorders>
              <w:left w:val="single" w:sz="6" w:space="0" w:color="000000"/>
              <w:right w:val="single" w:sz="6" w:space="0" w:color="000000"/>
            </w:tcBorders>
          </w:tcPr>
          <w:p>
            <w:pPr>
              <w:pStyle w:val="TAC"/>
              <w:rPr>
                <w:lang w:val="en-GB"/>
              </w:rPr>
            </w:pPr>
            <w:r>
              <w:rPr>
                <w:lang w:val="en-GB"/>
              </w:rPr>
              <w:t>30</w:t>
            </w:r>
          </w:p>
        </w:tc>
        <w:tc>
          <w:tcPr>
            <w:tcW w:w="587" w:type="dxa"/>
            <w:tcBorders>
              <w:left w:val="single" w:sz="6" w:space="0" w:color="000000"/>
              <w:right w:val="single" w:sz="6" w:space="0" w:color="000000"/>
            </w:tcBorders>
          </w:tcPr>
          <w:p>
            <w:pPr>
              <w:pStyle w:val="TAC"/>
              <w:rPr>
                <w:lang w:val="en-GB"/>
              </w:rPr>
            </w:pPr>
            <w:r>
              <w:rPr>
                <w:lang w:val="en-GB"/>
              </w:rPr>
              <w:t>30</w:t>
            </w:r>
          </w:p>
        </w:tc>
        <w:tc>
          <w:tcPr>
            <w:tcW w:w="587" w:type="dxa"/>
            <w:tcBorders>
              <w:right w:val="single" w:sz="6" w:space="0" w:color="000000"/>
            </w:tcBorders>
          </w:tcPr>
          <w:p>
            <w:pPr>
              <w:pStyle w:val="TAC"/>
              <w:rPr>
                <w:lang w:val="en-GB"/>
              </w:rPr>
            </w:pPr>
            <w:r>
              <w:rPr>
                <w:lang w:val="en-GB"/>
              </w:rPr>
              <w:t>30</w:t>
            </w:r>
          </w:p>
        </w:tc>
        <w:tc>
          <w:tcPr>
            <w:tcW w:w="587" w:type="dxa"/>
            <w:tcBorders>
              <w:right w:val="single" w:sz="6" w:space="0" w:color="000000"/>
            </w:tcBorders>
          </w:tcPr>
          <w:p>
            <w:pPr>
              <w:pStyle w:val="TAC"/>
              <w:rPr>
                <w:lang w:val="en-GB"/>
              </w:rPr>
            </w:pPr>
            <w:r>
              <w:rPr>
                <w:lang w:val="en-GB"/>
              </w:rPr>
              <w:t>30</w:t>
            </w:r>
          </w:p>
        </w:tc>
      </w:tr>
      <w:tr>
        <w:trPr>
          <w:trHeight w:val="259" w:hRule="atLeast"/>
        </w:trPr>
        <w:tc>
          <w:tcPr>
            <w:tcW w:w="1452" w:type="dxa"/>
            <w:tcBorders>
              <w:left w:val="single" w:sz="6" w:space="0" w:color="000000"/>
            </w:tcBorders>
          </w:tcPr>
          <w:p>
            <w:pPr>
              <w:pStyle w:val="TAL"/>
              <w:rPr>
                <w:lang w:val="en-GB"/>
              </w:rPr>
            </w:pPr>
            <w:r>
              <w:rPr>
                <w:lang w:val="en-GB"/>
              </w:rPr>
              <w:t>MS Noise</w:t>
            </w:r>
          </w:p>
        </w:tc>
        <w:tc>
          <w:tcPr>
            <w:tcW w:w="631" w:type="dxa"/>
            <w:tcBorders>
              <w:left w:val="single" w:sz="6" w:space="0" w:color="000000"/>
              <w:right w:val="single" w:sz="6" w:space="0" w:color="000000"/>
            </w:tcBorders>
          </w:tcPr>
          <w:p>
            <w:pPr>
              <w:pStyle w:val="TAC"/>
              <w:rPr>
                <w:lang w:val="en-GB"/>
              </w:rPr>
            </w:pPr>
            <w:r>
              <w:rPr>
                <w:lang w:val="en-GB"/>
              </w:rPr>
              <w:t>-44</w:t>
            </w:r>
          </w:p>
        </w:tc>
        <w:tc>
          <w:tcPr>
            <w:tcW w:w="631" w:type="dxa"/>
            <w:tcBorders>
              <w:right w:val="single" w:sz="6" w:space="0" w:color="000000"/>
            </w:tcBorders>
          </w:tcPr>
          <w:p>
            <w:pPr>
              <w:pStyle w:val="TAC"/>
              <w:rPr>
                <w:lang w:val="en-GB"/>
              </w:rPr>
            </w:pPr>
            <w:r>
              <w:rPr>
                <w:lang w:val="en-GB"/>
              </w:rPr>
              <w:t>-48</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-44</w:t>
            </w:r>
          </w:p>
        </w:tc>
        <w:tc>
          <w:tcPr>
            <w:tcW w:w="567" w:type="dxa"/>
            <w:tcBorders>
              <w:left w:val="single" w:sz="6" w:space="0" w:color="000000"/>
              <w:right w:val="single" w:sz="6" w:space="0" w:color="000000"/>
            </w:tcBorders>
          </w:tcPr>
          <w:p>
            <w:pPr>
              <w:pStyle w:val="TAC"/>
              <w:rPr>
                <w:lang w:val="en-GB"/>
              </w:rPr>
            </w:pPr>
            <w:r>
              <w:rPr>
                <w:lang w:val="en-GB"/>
              </w:rPr>
              <w:t>-44</w:t>
            </w:r>
          </w:p>
        </w:tc>
        <w:tc>
          <w:tcPr>
            <w:tcW w:w="567" w:type="dxa"/>
            <w:tcBorders>
              <w:left w:val="single" w:sz="6" w:space="0" w:color="000000"/>
              <w:right w:val="single" w:sz="6" w:space="0" w:color="000000"/>
            </w:tcBorders>
          </w:tcPr>
          <w:p>
            <w:pPr>
              <w:pStyle w:val="TAC"/>
              <w:rPr>
                <w:lang w:val="en-GB"/>
              </w:rPr>
            </w:pPr>
            <w:r>
              <w:rPr>
                <w:lang w:val="en-GB"/>
              </w:rPr>
              <w:t>-44</w:t>
            </w:r>
          </w:p>
        </w:tc>
        <w:tc>
          <w:tcPr>
            <w:tcW w:w="567" w:type="dxa"/>
            <w:tcBorders>
              <w:left w:val="single" w:sz="6" w:space="0" w:color="000000"/>
              <w:right w:val="single" w:sz="6" w:space="0" w:color="000000"/>
            </w:tcBorders>
          </w:tcPr>
          <w:p>
            <w:pPr>
              <w:pStyle w:val="TAC"/>
              <w:rPr>
                <w:lang w:val="en-GB"/>
              </w:rPr>
            </w:pPr>
            <w:r>
              <w:rPr>
                <w:lang w:val="en-GB"/>
              </w:rPr>
              <w:t>-44</w:t>
            </w:r>
          </w:p>
        </w:tc>
        <w:tc>
          <w:tcPr>
            <w:tcW w:w="487" w:type="dxa"/>
            <w:tcBorders>
              <w:left w:val="single" w:sz="6" w:space="0" w:color="000000"/>
              <w:right w:val="single" w:sz="6" w:space="0" w:color="000000"/>
            </w:tcBorders>
          </w:tcPr>
          <w:p>
            <w:pPr>
              <w:pStyle w:val="TAC"/>
              <w:rPr>
                <w:lang w:val="en-GB"/>
              </w:rPr>
            </w:pPr>
            <w:r>
              <w:rPr>
                <w:lang w:val="en-GB"/>
              </w:rPr>
              <w:t>-44</w:t>
            </w:r>
          </w:p>
        </w:tc>
        <w:tc>
          <w:tcPr>
            <w:tcW w:w="59" w:type="dxa"/>
            <w:tcBorders/>
          </w:tcPr>
          <w:p>
            <w:pPr>
              <w:pStyle w:val="TAC"/>
              <w:snapToGrid w:val="false"/>
              <w:rPr>
                <w:lang w:val="en-GB"/>
              </w:rPr>
            </w:pPr>
            <w:r>
              <w:rPr>
                <w:lang w:val="en-GB"/>
              </w:rPr>
            </w:r>
          </w:p>
        </w:tc>
        <w:tc>
          <w:tcPr>
            <w:tcW w:w="587" w:type="dxa"/>
            <w:tcBorders>
              <w:left w:val="single" w:sz="6" w:space="0" w:color="000000"/>
              <w:right w:val="single" w:sz="6" w:space="0" w:color="000000"/>
            </w:tcBorders>
          </w:tcPr>
          <w:p>
            <w:pPr>
              <w:pStyle w:val="TAC"/>
              <w:rPr>
                <w:lang w:val="en-GB"/>
              </w:rPr>
            </w:pPr>
            <w:r>
              <w:rPr>
                <w:lang w:val="en-GB"/>
              </w:rPr>
              <w:t>-48</w:t>
            </w:r>
          </w:p>
        </w:tc>
        <w:tc>
          <w:tcPr>
            <w:tcW w:w="587" w:type="dxa"/>
            <w:tcBorders>
              <w:left w:val="single" w:sz="6" w:space="0" w:color="000000"/>
              <w:right w:val="single" w:sz="6" w:space="0" w:color="000000"/>
            </w:tcBorders>
          </w:tcPr>
          <w:p>
            <w:pPr>
              <w:pStyle w:val="TAC"/>
              <w:rPr>
                <w:lang w:val="en-GB"/>
              </w:rPr>
            </w:pPr>
            <w:r>
              <w:rPr>
                <w:lang w:val="en-GB"/>
              </w:rPr>
              <w:t>-48</w:t>
            </w:r>
          </w:p>
        </w:tc>
        <w:tc>
          <w:tcPr>
            <w:tcW w:w="587" w:type="dxa"/>
            <w:tcBorders>
              <w:right w:val="single" w:sz="6" w:space="0" w:color="000000"/>
            </w:tcBorders>
          </w:tcPr>
          <w:p>
            <w:pPr>
              <w:pStyle w:val="TAC"/>
              <w:rPr>
                <w:lang w:val="en-GB"/>
              </w:rPr>
            </w:pPr>
            <w:r>
              <w:rPr>
                <w:lang w:val="en-GB"/>
              </w:rPr>
              <w:t>-48</w:t>
            </w:r>
          </w:p>
        </w:tc>
        <w:tc>
          <w:tcPr>
            <w:tcW w:w="587" w:type="dxa"/>
            <w:tcBorders>
              <w:right w:val="single" w:sz="6" w:space="0" w:color="000000"/>
            </w:tcBorders>
          </w:tcPr>
          <w:p>
            <w:pPr>
              <w:pStyle w:val="TAC"/>
              <w:rPr>
                <w:lang w:val="en-GB"/>
              </w:rPr>
            </w:pPr>
            <w:r>
              <w:rPr>
                <w:lang w:val="en-GB"/>
              </w:rPr>
              <w:t>-48</w:t>
            </w:r>
          </w:p>
        </w:tc>
      </w:tr>
      <w:tr>
        <w:trPr>
          <w:trHeight w:val="259" w:hRule="atLeast"/>
        </w:trPr>
        <w:tc>
          <w:tcPr>
            <w:tcW w:w="1452" w:type="dxa"/>
            <w:tcBorders>
              <w:left w:val="single" w:sz="6" w:space="0" w:color="000000"/>
            </w:tcBorders>
          </w:tcPr>
          <w:p>
            <w:pPr>
              <w:pStyle w:val="TAL"/>
              <w:rPr>
                <w:lang w:val="en-GB"/>
              </w:rPr>
            </w:pPr>
            <w:r>
              <w:rPr>
                <w:lang w:val="en-GB"/>
              </w:rPr>
              <w:t>MS Blocking</w:t>
            </w:r>
          </w:p>
        </w:tc>
        <w:tc>
          <w:tcPr>
            <w:tcW w:w="631" w:type="dxa"/>
            <w:tcBorders>
              <w:left w:val="single" w:sz="6" w:space="0" w:color="000000"/>
              <w:right w:val="single" w:sz="6" w:space="0" w:color="000000"/>
            </w:tcBorders>
          </w:tcPr>
          <w:p>
            <w:pPr>
              <w:pStyle w:val="TAC"/>
              <w:rPr>
                <w:lang w:val="en-GB"/>
              </w:rPr>
            </w:pPr>
            <w:r>
              <w:rPr>
                <w:lang w:val="en-GB"/>
              </w:rPr>
              <w:t>-23</w:t>
            </w:r>
          </w:p>
        </w:tc>
        <w:tc>
          <w:tcPr>
            <w:tcW w:w="631" w:type="dxa"/>
            <w:tcBorders>
              <w:right w:val="single" w:sz="6" w:space="0" w:color="000000"/>
            </w:tcBorders>
          </w:tcPr>
          <w:p>
            <w:pPr>
              <w:pStyle w:val="TAC"/>
              <w:rPr>
                <w:lang w:val="en-GB"/>
              </w:rPr>
            </w:pPr>
            <w:r>
              <w:rPr>
                <w:lang w:val="en-GB"/>
              </w:rPr>
              <w:t>-26</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tcBorders>
              <w:left w:val="single" w:sz="6" w:space="0" w:color="000000"/>
              <w:right w:val="single" w:sz="6" w:space="0" w:color="000000"/>
            </w:tcBorders>
          </w:tcPr>
          <w:p>
            <w:pPr>
              <w:pStyle w:val="TAC"/>
              <w:rPr>
                <w:lang w:val="en-GB"/>
              </w:rPr>
            </w:pPr>
            <w:r>
              <w:rPr>
                <w:lang w:val="en-GB"/>
              </w:rPr>
              <w:t>-23</w:t>
            </w:r>
          </w:p>
        </w:tc>
        <w:tc>
          <w:tcPr>
            <w:tcW w:w="487" w:type="dxa"/>
            <w:tcBorders>
              <w:left w:val="single" w:sz="6" w:space="0" w:color="000000"/>
              <w:right w:val="single" w:sz="6" w:space="0" w:color="000000"/>
            </w:tcBorders>
          </w:tcPr>
          <w:p>
            <w:pPr>
              <w:pStyle w:val="TAC"/>
              <w:rPr>
                <w:lang w:val="en-GB"/>
              </w:rPr>
            </w:pPr>
            <w:r>
              <w:rPr>
                <w:lang w:val="en-GB"/>
              </w:rPr>
              <w:t>-23</w:t>
            </w:r>
          </w:p>
        </w:tc>
        <w:tc>
          <w:tcPr>
            <w:tcW w:w="59" w:type="dxa"/>
            <w:tcBorders/>
          </w:tcPr>
          <w:p>
            <w:pPr>
              <w:pStyle w:val="TAC"/>
              <w:snapToGrid w:val="false"/>
              <w:rPr>
                <w:lang w:val="en-GB"/>
              </w:rPr>
            </w:pPr>
            <w:r>
              <w:rPr>
                <w:lang w:val="en-GB"/>
              </w:rPr>
            </w:r>
          </w:p>
        </w:tc>
        <w:tc>
          <w:tcPr>
            <w:tcW w:w="587" w:type="dxa"/>
            <w:tcBorders>
              <w:left w:val="single" w:sz="6" w:space="0" w:color="000000"/>
              <w:right w:val="single" w:sz="6" w:space="0" w:color="000000"/>
            </w:tcBorders>
          </w:tcPr>
          <w:p>
            <w:pPr>
              <w:pStyle w:val="TAC"/>
              <w:rPr>
                <w:lang w:val="en-GB"/>
              </w:rPr>
            </w:pPr>
            <w:r>
              <w:rPr>
                <w:lang w:val="en-GB"/>
              </w:rPr>
              <w:t>-26</w:t>
            </w:r>
          </w:p>
        </w:tc>
        <w:tc>
          <w:tcPr>
            <w:tcW w:w="587" w:type="dxa"/>
            <w:tcBorders>
              <w:left w:val="single" w:sz="6" w:space="0" w:color="000000"/>
              <w:right w:val="single" w:sz="6" w:space="0" w:color="000000"/>
            </w:tcBorders>
          </w:tcPr>
          <w:p>
            <w:pPr>
              <w:pStyle w:val="TAC"/>
              <w:rPr>
                <w:lang w:val="en-GB"/>
              </w:rPr>
            </w:pPr>
            <w:r>
              <w:rPr>
                <w:lang w:val="en-GB"/>
              </w:rPr>
              <w:t>-26</w:t>
            </w:r>
          </w:p>
        </w:tc>
        <w:tc>
          <w:tcPr>
            <w:tcW w:w="587" w:type="dxa"/>
            <w:tcBorders>
              <w:right w:val="single" w:sz="6" w:space="0" w:color="000000"/>
            </w:tcBorders>
          </w:tcPr>
          <w:p>
            <w:pPr>
              <w:pStyle w:val="TAC"/>
              <w:rPr>
                <w:lang w:val="en-GB"/>
              </w:rPr>
            </w:pPr>
            <w:r>
              <w:rPr>
                <w:lang w:val="en-GB"/>
              </w:rPr>
              <w:t>-26</w:t>
            </w:r>
          </w:p>
        </w:tc>
        <w:tc>
          <w:tcPr>
            <w:tcW w:w="587" w:type="dxa"/>
            <w:tcBorders>
              <w:right w:val="single" w:sz="6" w:space="0" w:color="000000"/>
            </w:tcBorders>
          </w:tcPr>
          <w:p>
            <w:pPr>
              <w:pStyle w:val="TAC"/>
              <w:rPr>
                <w:lang w:val="en-GB"/>
              </w:rPr>
            </w:pPr>
            <w:r>
              <w:rPr>
                <w:lang w:val="en-GB"/>
              </w:rPr>
              <w:t>-26</w:t>
            </w:r>
          </w:p>
        </w:tc>
      </w:tr>
      <w:tr>
        <w:trPr>
          <w:trHeight w:val="259" w:hRule="atLeast"/>
        </w:trPr>
        <w:tc>
          <w:tcPr>
            <w:tcW w:w="1452" w:type="dxa"/>
            <w:tcBorders>
              <w:left w:val="single" w:sz="6" w:space="0" w:color="000000"/>
            </w:tcBorders>
          </w:tcPr>
          <w:p>
            <w:pPr>
              <w:pStyle w:val="TAL"/>
              <w:rPr>
                <w:lang w:val="en-GB"/>
              </w:rPr>
            </w:pPr>
            <w:r>
              <w:rPr>
                <w:lang w:val="en-GB"/>
              </w:rPr>
              <w:t>MS Sensitivity</w:t>
            </w:r>
          </w:p>
        </w:tc>
        <w:tc>
          <w:tcPr>
            <w:tcW w:w="631" w:type="dxa"/>
            <w:tcBorders>
              <w:left w:val="single" w:sz="6" w:space="0" w:color="000000"/>
              <w:right w:val="single" w:sz="6" w:space="0" w:color="000000"/>
            </w:tcBorders>
          </w:tcPr>
          <w:p>
            <w:pPr>
              <w:pStyle w:val="TAC"/>
              <w:rPr>
                <w:lang w:val="en-GB"/>
              </w:rPr>
            </w:pPr>
            <w:r>
              <w:rPr>
                <w:lang w:val="en-GB"/>
              </w:rPr>
              <w:t>-102</w:t>
            </w:r>
          </w:p>
        </w:tc>
        <w:tc>
          <w:tcPr>
            <w:tcW w:w="631" w:type="dxa"/>
            <w:tcBorders>
              <w:right w:val="single" w:sz="6" w:space="0" w:color="000000"/>
            </w:tcBorders>
          </w:tcPr>
          <w:p>
            <w:pPr>
              <w:pStyle w:val="TAC"/>
              <w:rPr>
                <w:lang w:val="en-GB"/>
              </w:rPr>
            </w:pPr>
            <w:r>
              <w:rPr>
                <w:lang w:val="en-GB"/>
              </w:rPr>
              <w:t>-100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tcBorders>
              <w:left w:val="single" w:sz="6" w:space="0" w:color="000000"/>
              <w:right w:val="single" w:sz="6" w:space="0" w:color="000000"/>
            </w:tcBorders>
          </w:tcPr>
          <w:p>
            <w:pPr>
              <w:pStyle w:val="TAC"/>
              <w:rPr>
                <w:lang w:val="en-GB"/>
              </w:rPr>
            </w:pPr>
            <w:r>
              <w:rPr>
                <w:lang w:val="en-GB"/>
              </w:rPr>
              <w:t>-102</w:t>
            </w:r>
          </w:p>
        </w:tc>
        <w:tc>
          <w:tcPr>
            <w:tcW w:w="487" w:type="dxa"/>
            <w:tcBorders>
              <w:left w:val="single" w:sz="6" w:space="0" w:color="000000"/>
              <w:right w:val="single" w:sz="6" w:space="0" w:color="000000"/>
            </w:tcBorders>
          </w:tcPr>
          <w:p>
            <w:pPr>
              <w:pStyle w:val="TAC"/>
              <w:rPr>
                <w:lang w:val="en-GB"/>
              </w:rPr>
            </w:pPr>
            <w:r>
              <w:rPr>
                <w:lang w:val="en-GB"/>
              </w:rPr>
              <w:t>-102</w:t>
            </w:r>
          </w:p>
        </w:tc>
        <w:tc>
          <w:tcPr>
            <w:tcW w:w="59" w:type="dxa"/>
            <w:tcBorders/>
          </w:tcPr>
          <w:p>
            <w:pPr>
              <w:pStyle w:val="TAC"/>
              <w:snapToGrid w:val="false"/>
              <w:rPr>
                <w:lang w:val="en-GB"/>
              </w:rPr>
            </w:pPr>
            <w:r>
              <w:rPr>
                <w:lang w:val="en-GB"/>
              </w:rPr>
            </w:r>
          </w:p>
        </w:tc>
        <w:tc>
          <w:tcPr>
            <w:tcW w:w="587" w:type="dxa"/>
            <w:tcBorders>
              <w:left w:val="single" w:sz="6" w:space="0" w:color="000000"/>
              <w:right w:val="single" w:sz="6" w:space="0" w:color="000000"/>
            </w:tcBorders>
          </w:tcPr>
          <w:p>
            <w:pPr>
              <w:pStyle w:val="TAC"/>
              <w:rPr>
                <w:lang w:val="en-GB"/>
              </w:rPr>
            </w:pPr>
            <w:r>
              <w:rPr>
                <w:lang w:val="en-GB"/>
              </w:rPr>
              <w:t>-100</w:t>
            </w:r>
          </w:p>
        </w:tc>
        <w:tc>
          <w:tcPr>
            <w:tcW w:w="587" w:type="dxa"/>
            <w:tcBorders>
              <w:left w:val="single" w:sz="6" w:space="0" w:color="000000"/>
              <w:right w:val="single" w:sz="6" w:space="0" w:color="000000"/>
            </w:tcBorders>
          </w:tcPr>
          <w:p>
            <w:pPr>
              <w:pStyle w:val="TAC"/>
              <w:rPr>
                <w:lang w:val="en-GB"/>
              </w:rPr>
            </w:pPr>
            <w:r>
              <w:rPr>
                <w:lang w:val="en-GB"/>
              </w:rPr>
              <w:t>-100</w:t>
            </w:r>
          </w:p>
        </w:tc>
        <w:tc>
          <w:tcPr>
            <w:tcW w:w="587" w:type="dxa"/>
            <w:tcBorders>
              <w:right w:val="single" w:sz="6" w:space="0" w:color="000000"/>
            </w:tcBorders>
          </w:tcPr>
          <w:p>
            <w:pPr>
              <w:pStyle w:val="TAC"/>
              <w:rPr>
                <w:lang w:val="en-GB"/>
              </w:rPr>
            </w:pPr>
            <w:r>
              <w:rPr>
                <w:lang w:val="en-GB"/>
              </w:rPr>
              <w:t>-100</w:t>
            </w:r>
          </w:p>
        </w:tc>
        <w:tc>
          <w:tcPr>
            <w:tcW w:w="587" w:type="dxa"/>
            <w:tcBorders>
              <w:right w:val="single" w:sz="6" w:space="0" w:color="000000"/>
            </w:tcBorders>
          </w:tcPr>
          <w:p>
            <w:pPr>
              <w:pStyle w:val="TAC"/>
              <w:rPr>
                <w:lang w:val="en-GB"/>
              </w:rPr>
            </w:pPr>
            <w:r>
              <w:rPr>
                <w:lang w:val="en-GB"/>
              </w:rPr>
              <w:t>-100</w:t>
            </w:r>
          </w:p>
        </w:tc>
      </w:tr>
      <w:tr>
        <w:trPr>
          <w:trHeight w:val="259" w:hRule="atLeast"/>
        </w:trPr>
        <w:tc>
          <w:tcPr>
            <w:tcW w:w="1452" w:type="dxa"/>
            <w:tcBorders>
              <w:top w:val="single" w:sz="6" w:space="0" w:color="000000"/>
              <w:left w:val="single" w:sz="6" w:space="0" w:color="000000"/>
            </w:tcBorders>
          </w:tcPr>
          <w:p>
            <w:pPr>
              <w:pStyle w:val="TAL"/>
              <w:rPr>
                <w:lang w:val="en-GB"/>
              </w:rPr>
            </w:pPr>
            <w:r>
              <w:rPr>
                <w:lang w:val="en-GB"/>
              </w:rPr>
              <w:t>BTS Power</w:t>
            </w:r>
          </w:p>
        </w:tc>
        <w:tc>
          <w:tcPr>
            <w:tcW w:w="631" w:type="dxa"/>
            <w:tcBorders>
              <w:top w:val="single" w:sz="6" w:space="0" w:color="000000"/>
              <w:left w:val="single" w:sz="6" w:space="0" w:color="000000"/>
              <w:right w:val="single" w:sz="6" w:space="0" w:color="000000"/>
            </w:tcBorders>
            <w:shd w:fill="DFDFDF" w:val="clear"/>
          </w:tcPr>
          <w:p>
            <w:pPr>
              <w:pStyle w:val="TAC"/>
              <w:rPr>
                <w:lang w:val="en-GB"/>
              </w:rPr>
            </w:pPr>
            <w:r>
              <w:rPr>
                <w:lang w:val="en-GB"/>
              </w:rPr>
              <w:t>21</w:t>
            </w:r>
          </w:p>
        </w:tc>
        <w:tc>
          <w:tcPr>
            <w:tcW w:w="631" w:type="dxa"/>
            <w:tcBorders>
              <w:top w:val="single" w:sz="6" w:space="0" w:color="000000"/>
              <w:right w:val="single" w:sz="6" w:space="0" w:color="000000"/>
            </w:tcBorders>
            <w:shd w:fill="DFDFDF" w:val="clear"/>
          </w:tcPr>
          <w:p>
            <w:pPr>
              <w:pStyle w:val="TAC"/>
              <w:rPr>
                <w:lang w:val="en-GB"/>
              </w:rPr>
            </w:pPr>
            <w:r>
              <w:rPr>
                <w:lang w:val="en-GB"/>
              </w:rPr>
              <w:t>24</w:t>
            </w:r>
          </w:p>
        </w:tc>
        <w:tc>
          <w:tcPr>
            <w:tcW w:w="60" w:type="dxa"/>
            <w:tcBorders/>
            <w:shd w:fill="DFDFDF" w:val="clear"/>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34</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31</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22</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16</w:t>
            </w:r>
          </w:p>
        </w:tc>
        <w:tc>
          <w:tcPr>
            <w:tcW w:w="487" w:type="dxa"/>
            <w:tcBorders>
              <w:top w:val="single" w:sz="6" w:space="0" w:color="000000"/>
              <w:left w:val="single" w:sz="6" w:space="0" w:color="000000"/>
              <w:right w:val="single" w:sz="6" w:space="0" w:color="000000"/>
            </w:tcBorders>
            <w:shd w:fill="DFDFDF" w:val="clear"/>
          </w:tcPr>
          <w:p>
            <w:pPr>
              <w:pStyle w:val="TAC"/>
              <w:rPr>
                <w:lang w:val="en-GB"/>
              </w:rPr>
            </w:pPr>
            <w:r>
              <w:rPr>
                <w:lang w:val="en-GB"/>
              </w:rPr>
              <w:t>6</w:t>
            </w:r>
          </w:p>
        </w:tc>
        <w:tc>
          <w:tcPr>
            <w:tcW w:w="59" w:type="dxa"/>
            <w:tcBorders/>
          </w:tcPr>
          <w:p>
            <w:pPr>
              <w:pStyle w:val="TAC"/>
              <w:snapToGrid w:val="false"/>
              <w:rPr>
                <w:lang w:val="en-GB"/>
              </w:rPr>
            </w:pPr>
            <w:r>
              <w:rPr>
                <w:lang w:val="en-GB"/>
              </w:rPr>
            </w:r>
          </w:p>
        </w:tc>
        <w:tc>
          <w:tcPr>
            <w:tcW w:w="587" w:type="dxa"/>
            <w:tcBorders>
              <w:top w:val="single" w:sz="6" w:space="0" w:color="000000"/>
              <w:left w:val="single" w:sz="6" w:space="0" w:color="000000"/>
              <w:right w:val="single" w:sz="6" w:space="0" w:color="000000"/>
            </w:tcBorders>
            <w:shd w:fill="DFDFDF" w:val="clear"/>
          </w:tcPr>
          <w:p>
            <w:pPr>
              <w:pStyle w:val="TAC"/>
              <w:rPr>
                <w:lang w:val="en-GB"/>
              </w:rPr>
            </w:pPr>
            <w:r>
              <w:rPr>
                <w:lang w:val="en-GB"/>
              </w:rPr>
              <w:t>37</w:t>
            </w:r>
          </w:p>
        </w:tc>
        <w:tc>
          <w:tcPr>
            <w:tcW w:w="587" w:type="dxa"/>
            <w:tcBorders>
              <w:top w:val="single" w:sz="6" w:space="0" w:color="000000"/>
              <w:left w:val="single" w:sz="6" w:space="0" w:color="000000"/>
              <w:right w:val="single" w:sz="6" w:space="0" w:color="000000"/>
            </w:tcBorders>
            <w:shd w:fill="DFDFDF" w:val="clear"/>
          </w:tcPr>
          <w:p>
            <w:pPr>
              <w:pStyle w:val="TAC"/>
              <w:rPr>
                <w:lang w:val="en-GB"/>
              </w:rPr>
            </w:pPr>
            <w:r>
              <w:rPr>
                <w:lang w:val="en-GB"/>
              </w:rPr>
              <w:t>34</w:t>
            </w:r>
          </w:p>
        </w:tc>
        <w:tc>
          <w:tcPr>
            <w:tcW w:w="587" w:type="dxa"/>
            <w:tcBorders>
              <w:top w:val="single" w:sz="6" w:space="0" w:color="000000"/>
              <w:right w:val="single" w:sz="6" w:space="0" w:color="000000"/>
            </w:tcBorders>
            <w:shd w:fill="DFDFDF" w:val="clear"/>
          </w:tcPr>
          <w:p>
            <w:pPr>
              <w:pStyle w:val="TAC"/>
              <w:rPr>
                <w:lang w:val="en-GB"/>
              </w:rPr>
            </w:pPr>
            <w:r>
              <w:rPr>
                <w:lang w:val="en-GB"/>
              </w:rPr>
              <w:t>25</w:t>
            </w:r>
          </w:p>
        </w:tc>
        <w:tc>
          <w:tcPr>
            <w:tcW w:w="587" w:type="dxa"/>
            <w:tcBorders>
              <w:top w:val="single" w:sz="6" w:space="0" w:color="000000"/>
              <w:right w:val="single" w:sz="6" w:space="0" w:color="000000"/>
            </w:tcBorders>
            <w:shd w:fill="DFDFDF" w:val="clear"/>
          </w:tcPr>
          <w:p>
            <w:pPr>
              <w:pStyle w:val="TAC"/>
              <w:rPr>
                <w:lang w:val="en-GB"/>
              </w:rPr>
            </w:pPr>
            <w:r>
              <w:rPr>
                <w:lang w:val="en-GB"/>
              </w:rPr>
              <w:t>19</w:t>
            </w:r>
          </w:p>
        </w:tc>
      </w:tr>
      <w:tr>
        <w:trPr>
          <w:trHeight w:val="259" w:hRule="atLeast"/>
        </w:trPr>
        <w:tc>
          <w:tcPr>
            <w:tcW w:w="1452" w:type="dxa"/>
            <w:tcBorders>
              <w:left w:val="single" w:sz="6" w:space="0" w:color="000000"/>
            </w:tcBorders>
          </w:tcPr>
          <w:p>
            <w:pPr>
              <w:pStyle w:val="TAL"/>
              <w:rPr>
                <w:lang w:val="en-GB"/>
              </w:rPr>
            </w:pPr>
            <w:r>
              <w:rPr>
                <w:lang w:val="en-GB"/>
              </w:rPr>
              <w:t xml:space="preserve">BTS Noise </w:t>
            </w:r>
          </w:p>
        </w:tc>
        <w:tc>
          <w:tcPr>
            <w:tcW w:w="631" w:type="dxa"/>
            <w:tcBorders>
              <w:left w:val="single" w:sz="6" w:space="0" w:color="000000"/>
              <w:right w:val="single" w:sz="6" w:space="0" w:color="000000"/>
            </w:tcBorders>
            <w:shd w:fill="DFDFDF" w:val="clear"/>
          </w:tcPr>
          <w:p>
            <w:pPr>
              <w:pStyle w:val="TAC"/>
              <w:rPr>
                <w:lang w:val="en-GB"/>
              </w:rPr>
            </w:pPr>
            <w:r>
              <w:rPr>
                <w:lang w:val="en-GB"/>
              </w:rPr>
              <w:t>-67</w:t>
            </w:r>
          </w:p>
        </w:tc>
        <w:tc>
          <w:tcPr>
            <w:tcW w:w="631" w:type="dxa"/>
            <w:tcBorders>
              <w:left w:val="single" w:sz="6" w:space="0" w:color="000000"/>
              <w:right w:val="single" w:sz="6" w:space="0" w:color="000000"/>
            </w:tcBorders>
            <w:shd w:fill="DFDFDF" w:val="clear"/>
          </w:tcPr>
          <w:p>
            <w:pPr>
              <w:pStyle w:val="TAC"/>
              <w:rPr>
                <w:lang w:val="en-GB"/>
              </w:rPr>
            </w:pPr>
            <w:r>
              <w:rPr>
                <w:lang w:val="en-GB"/>
              </w:rPr>
              <w:t>-59</w:t>
            </w:r>
          </w:p>
        </w:tc>
        <w:tc>
          <w:tcPr>
            <w:tcW w:w="60" w:type="dxa"/>
            <w:tcBorders>
              <w:left w:val="single" w:sz="6" w:space="0" w:color="000000"/>
              <w:right w:val="single" w:sz="6" w:space="0" w:color="000000"/>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-49</w:t>
            </w:r>
          </w:p>
        </w:tc>
        <w:tc>
          <w:tcPr>
            <w:tcW w:w="567" w:type="dxa"/>
            <w:tcBorders>
              <w:left w:val="single" w:sz="6" w:space="0" w:color="000000"/>
              <w:right w:val="single" w:sz="6" w:space="0" w:color="000000"/>
            </w:tcBorders>
            <w:shd w:fill="DFDFDF" w:val="clear"/>
          </w:tcPr>
          <w:p>
            <w:pPr>
              <w:pStyle w:val="TAC"/>
              <w:rPr>
                <w:lang w:val="en-GB"/>
              </w:rPr>
            </w:pPr>
            <w:r>
              <w:rPr>
                <w:lang w:val="en-GB"/>
              </w:rPr>
              <w:t>-42</w:t>
            </w:r>
          </w:p>
        </w:tc>
        <w:tc>
          <w:tcPr>
            <w:tcW w:w="567" w:type="dxa"/>
            <w:tcBorders>
              <w:left w:val="single" w:sz="6" w:space="0" w:color="000000"/>
              <w:right w:val="single" w:sz="6" w:space="0" w:color="000000"/>
            </w:tcBorders>
            <w:shd w:fill="DFDFDF" w:val="clear"/>
          </w:tcPr>
          <w:p>
            <w:pPr>
              <w:pStyle w:val="TAC"/>
              <w:rPr>
                <w:lang w:val="en-GB"/>
              </w:rPr>
            </w:pPr>
            <w:r>
              <w:rPr>
                <w:lang w:val="en-GB"/>
              </w:rPr>
              <w:t>-51</w:t>
            </w:r>
          </w:p>
        </w:tc>
        <w:tc>
          <w:tcPr>
            <w:tcW w:w="567" w:type="dxa"/>
            <w:tcBorders>
              <w:left w:val="single" w:sz="6" w:space="0" w:color="000000"/>
              <w:right w:val="single" w:sz="6" w:space="0" w:color="000000"/>
            </w:tcBorders>
            <w:shd w:fill="DFDFDF" w:val="clear"/>
          </w:tcPr>
          <w:p>
            <w:pPr>
              <w:pStyle w:val="TAC"/>
              <w:rPr>
                <w:lang w:val="en-GB"/>
              </w:rPr>
            </w:pPr>
            <w:r>
              <w:rPr>
                <w:lang w:val="en-GB"/>
              </w:rPr>
              <w:t>-57</w:t>
            </w:r>
          </w:p>
        </w:tc>
        <w:tc>
          <w:tcPr>
            <w:tcW w:w="487" w:type="dxa"/>
            <w:tcBorders>
              <w:left w:val="single" w:sz="6" w:space="0" w:color="000000"/>
              <w:right w:val="single" w:sz="6" w:space="0" w:color="000000"/>
            </w:tcBorders>
            <w:shd w:fill="DFDFDF" w:val="clear"/>
          </w:tcPr>
          <w:p>
            <w:pPr>
              <w:pStyle w:val="TAC"/>
              <w:rPr>
                <w:lang w:val="en-GB"/>
              </w:rPr>
            </w:pPr>
            <w:r>
              <w:rPr>
                <w:lang w:val="en-GB"/>
              </w:rPr>
              <w:t>-67</w:t>
            </w:r>
          </w:p>
        </w:tc>
        <w:tc>
          <w:tcPr>
            <w:tcW w:w="59" w:type="dxa"/>
            <w:tcBorders>
              <w:left w:val="single" w:sz="6" w:space="0" w:color="000000"/>
              <w:right w:val="single" w:sz="6" w:space="0" w:color="000000"/>
            </w:tcBorders>
          </w:tcPr>
          <w:p>
            <w:pPr>
              <w:pStyle w:val="TAC"/>
              <w:snapToGrid w:val="false"/>
              <w:rPr>
                <w:lang w:val="en-GB"/>
              </w:rPr>
            </w:pPr>
            <w:r>
              <w:rPr>
                <w:lang w:val="en-GB"/>
              </w:rPr>
            </w:r>
          </w:p>
        </w:tc>
        <w:tc>
          <w:tcPr>
            <w:tcW w:w="587" w:type="dxa"/>
            <w:tcBorders>
              <w:left w:val="single" w:sz="6" w:space="0" w:color="000000"/>
              <w:right w:val="single" w:sz="6" w:space="0" w:color="000000"/>
            </w:tcBorders>
            <w:shd w:fill="DFDFDF" w:val="clear"/>
          </w:tcPr>
          <w:p>
            <w:pPr>
              <w:pStyle w:val="TAC"/>
              <w:rPr>
                <w:lang w:val="en-GB"/>
              </w:rPr>
            </w:pPr>
            <w:r>
              <w:rPr>
                <w:lang w:val="en-GB"/>
              </w:rPr>
              <w:t>-46</w:t>
            </w:r>
          </w:p>
        </w:tc>
        <w:tc>
          <w:tcPr>
            <w:tcW w:w="587" w:type="dxa"/>
            <w:tcBorders>
              <w:left w:val="single" w:sz="6" w:space="0" w:color="000000"/>
              <w:right w:val="single" w:sz="6" w:space="0" w:color="000000"/>
            </w:tcBorders>
            <w:shd w:fill="DFDFDF" w:val="clear"/>
          </w:tcPr>
          <w:p>
            <w:pPr>
              <w:pStyle w:val="TAC"/>
              <w:rPr>
                <w:lang w:val="en-GB"/>
              </w:rPr>
            </w:pPr>
            <w:r>
              <w:rPr>
                <w:lang w:val="en-GB"/>
              </w:rPr>
              <w:t>-44</w:t>
            </w:r>
          </w:p>
        </w:tc>
        <w:tc>
          <w:tcPr>
            <w:tcW w:w="587" w:type="dxa"/>
            <w:tcBorders>
              <w:left w:val="single" w:sz="6" w:space="0" w:color="000000"/>
              <w:right w:val="single" w:sz="6" w:space="0" w:color="000000"/>
            </w:tcBorders>
            <w:shd w:fill="DFDFDF" w:val="clear"/>
          </w:tcPr>
          <w:p>
            <w:pPr>
              <w:pStyle w:val="TAC"/>
              <w:rPr>
                <w:lang w:val="en-GB"/>
              </w:rPr>
            </w:pPr>
            <w:r>
              <w:rPr>
                <w:lang w:val="en-GB"/>
              </w:rPr>
              <w:t>-53</w:t>
            </w:r>
          </w:p>
        </w:tc>
        <w:tc>
          <w:tcPr>
            <w:tcW w:w="587" w:type="dxa"/>
            <w:tcBorders>
              <w:left w:val="single" w:sz="6" w:space="0" w:color="000000"/>
              <w:right w:val="single" w:sz="6" w:space="0" w:color="000000"/>
            </w:tcBorders>
            <w:shd w:fill="DFDFDF" w:val="clear"/>
          </w:tcPr>
          <w:p>
            <w:pPr>
              <w:pStyle w:val="TAC"/>
              <w:rPr>
                <w:lang w:val="en-GB"/>
              </w:rPr>
            </w:pPr>
            <w:r>
              <w:rPr>
                <w:lang w:val="en-GB"/>
              </w:rPr>
              <w:t>-59</w:t>
            </w:r>
          </w:p>
        </w:tc>
      </w:tr>
      <w:tr>
        <w:trPr>
          <w:trHeight w:val="259" w:hRule="atLeast"/>
        </w:trPr>
        <w:tc>
          <w:tcPr>
            <w:tcW w:w="1452" w:type="dxa"/>
            <w:tcBorders>
              <w:left w:val="single" w:sz="6" w:space="0" w:color="000000"/>
            </w:tcBorders>
          </w:tcPr>
          <w:p>
            <w:pPr>
              <w:pStyle w:val="TAL"/>
              <w:rPr>
                <w:lang w:val="en-GB"/>
              </w:rPr>
            </w:pPr>
            <w:r>
              <w:rPr>
                <w:lang w:val="en-GB"/>
              </w:rPr>
              <w:t>BTS Blocking</w:t>
            </w:r>
          </w:p>
        </w:tc>
        <w:tc>
          <w:tcPr>
            <w:tcW w:w="631" w:type="dxa"/>
            <w:tcBorders>
              <w:left w:val="single" w:sz="6" w:space="0" w:color="000000"/>
              <w:right w:val="single" w:sz="6" w:space="0" w:color="000000"/>
            </w:tcBorders>
            <w:shd w:fill="DFDFDF" w:val="clear"/>
          </w:tcPr>
          <w:p>
            <w:pPr>
              <w:pStyle w:val="TAC"/>
              <w:rPr>
                <w:lang w:val="en-GB"/>
              </w:rPr>
            </w:pPr>
            <w:r>
              <w:rPr>
                <w:lang w:val="en-GB"/>
              </w:rPr>
              <w:t>-15</w:t>
            </w:r>
          </w:p>
        </w:tc>
        <w:tc>
          <w:tcPr>
            <w:tcW w:w="631" w:type="dxa"/>
            <w:tcBorders>
              <w:right w:val="single" w:sz="6" w:space="0" w:color="000000"/>
            </w:tcBorders>
            <w:shd w:fill="DFDFDF" w:val="clear"/>
          </w:tcPr>
          <w:p>
            <w:pPr>
              <w:pStyle w:val="TAC"/>
              <w:rPr>
                <w:lang w:val="en-GB"/>
              </w:rPr>
            </w:pPr>
            <w:r>
              <w:rPr>
                <w:lang w:val="en-GB"/>
              </w:rPr>
              <w:t>-20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-13</w:t>
            </w:r>
          </w:p>
        </w:tc>
        <w:tc>
          <w:tcPr>
            <w:tcW w:w="567" w:type="dxa"/>
            <w:tcBorders>
              <w:right w:val="single" w:sz="6" w:space="0" w:color="000000"/>
            </w:tcBorders>
            <w:shd w:fill="DFDFDF" w:val="clear"/>
          </w:tcPr>
          <w:p>
            <w:pPr>
              <w:pStyle w:val="TAC"/>
              <w:rPr>
                <w:lang w:val="en-GB"/>
              </w:rPr>
            </w:pPr>
            <w:r>
              <w:rPr>
                <w:lang w:val="en-GB"/>
              </w:rPr>
              <w:t>-13</w:t>
            </w:r>
          </w:p>
        </w:tc>
        <w:tc>
          <w:tcPr>
            <w:tcW w:w="567" w:type="dxa"/>
            <w:tcBorders>
              <w:right w:val="single" w:sz="6" w:space="0" w:color="000000"/>
            </w:tcBorders>
            <w:shd w:fill="DFDFDF" w:val="clear"/>
          </w:tcPr>
          <w:p>
            <w:pPr>
              <w:pStyle w:val="TAC"/>
              <w:rPr>
                <w:lang w:val="en-GB"/>
              </w:rPr>
            </w:pPr>
            <w:r>
              <w:rPr>
                <w:lang w:val="en-GB"/>
              </w:rPr>
              <w:t>-4</w:t>
            </w:r>
          </w:p>
        </w:tc>
        <w:tc>
          <w:tcPr>
            <w:tcW w:w="567" w:type="dxa"/>
            <w:tcBorders>
              <w:right w:val="single" w:sz="6" w:space="0" w:color="000000"/>
            </w:tcBorders>
            <w:shd w:fill="DFDFDF" w:val="clear"/>
          </w:tcPr>
          <w:p>
            <w:pPr>
              <w:pStyle w:val="TAC"/>
              <w:rPr>
                <w:lang w:val="en-GB"/>
              </w:rPr>
            </w:pPr>
            <w:r>
              <w:rPr>
                <w:lang w:val="en-GB"/>
              </w:rPr>
              <w:t>2</w:t>
            </w:r>
          </w:p>
        </w:tc>
        <w:tc>
          <w:tcPr>
            <w:tcW w:w="487" w:type="dxa"/>
            <w:tcBorders>
              <w:right w:val="single" w:sz="6" w:space="0" w:color="000000"/>
            </w:tcBorders>
            <w:shd w:fill="DFDFDF" w:val="clear"/>
          </w:tcPr>
          <w:p>
            <w:pPr>
              <w:pStyle w:val="TAC"/>
              <w:rPr>
                <w:lang w:val="en-GB"/>
              </w:rPr>
            </w:pPr>
            <w:r>
              <w:rPr>
                <w:lang w:val="en-GB"/>
              </w:rPr>
              <w:t>12</w:t>
            </w:r>
          </w:p>
        </w:tc>
        <w:tc>
          <w:tcPr>
            <w:tcW w:w="59" w:type="dxa"/>
            <w:tcBorders/>
          </w:tcPr>
          <w:p>
            <w:pPr>
              <w:pStyle w:val="TAC"/>
              <w:snapToGrid w:val="false"/>
              <w:rPr>
                <w:lang w:val="en-GB"/>
              </w:rPr>
            </w:pPr>
            <w:r>
              <w:rPr>
                <w:lang w:val="en-GB"/>
              </w:rPr>
            </w:r>
          </w:p>
        </w:tc>
        <w:tc>
          <w:tcPr>
            <w:tcW w:w="587" w:type="dxa"/>
            <w:tcBorders>
              <w:left w:val="single" w:sz="6" w:space="0" w:color="000000"/>
              <w:right w:val="single" w:sz="6" w:space="0" w:color="000000"/>
            </w:tcBorders>
            <w:shd w:fill="DFDFDF" w:val="clear"/>
          </w:tcPr>
          <w:p>
            <w:pPr>
              <w:pStyle w:val="TAC"/>
              <w:rPr>
                <w:lang w:val="en-GB"/>
              </w:rPr>
            </w:pPr>
            <w:r>
              <w:rPr>
                <w:lang w:val="en-GB"/>
              </w:rPr>
              <w:t>-25</w:t>
            </w:r>
          </w:p>
        </w:tc>
        <w:tc>
          <w:tcPr>
            <w:tcW w:w="587" w:type="dxa"/>
            <w:tcBorders>
              <w:left w:val="single" w:sz="6" w:space="0" w:color="000000"/>
              <w:right w:val="single" w:sz="6" w:space="0" w:color="000000"/>
            </w:tcBorders>
            <w:shd w:fill="DFDFDF" w:val="clear"/>
          </w:tcPr>
          <w:p>
            <w:pPr>
              <w:pStyle w:val="TAC"/>
              <w:rPr>
                <w:lang w:val="en-GB"/>
              </w:rPr>
            </w:pPr>
            <w:r>
              <w:rPr>
                <w:lang w:val="en-GB"/>
              </w:rPr>
              <w:t>-25</w:t>
            </w:r>
          </w:p>
        </w:tc>
        <w:tc>
          <w:tcPr>
            <w:tcW w:w="587" w:type="dxa"/>
            <w:tcBorders>
              <w:left w:val="single" w:sz="6" w:space="0" w:color="000000"/>
              <w:right w:val="single" w:sz="6" w:space="0" w:color="000000"/>
            </w:tcBorders>
            <w:shd w:fill="DFDFDF" w:val="clear"/>
          </w:tcPr>
          <w:p>
            <w:pPr>
              <w:pStyle w:val="TAC"/>
              <w:rPr>
                <w:lang w:val="en-GB"/>
              </w:rPr>
            </w:pPr>
            <w:r>
              <w:rPr>
                <w:lang w:val="en-GB"/>
              </w:rPr>
              <w:t>-16</w:t>
            </w:r>
          </w:p>
        </w:tc>
        <w:tc>
          <w:tcPr>
            <w:tcW w:w="587" w:type="dxa"/>
            <w:tcBorders>
              <w:left w:val="single" w:sz="6" w:space="0" w:color="000000"/>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tcBorders>
          </w:tcPr>
          <w:p>
            <w:pPr>
              <w:pStyle w:val="TAL"/>
              <w:rPr>
                <w:lang w:val="en-GB"/>
              </w:rPr>
            </w:pPr>
            <w:r>
              <w:rPr>
                <w:lang w:val="en-GB"/>
              </w:rPr>
              <w:t>BTS Sensitivity</w:t>
            </w:r>
          </w:p>
        </w:tc>
        <w:tc>
          <w:tcPr>
            <w:tcW w:w="631" w:type="dxa"/>
            <w:tcBorders>
              <w:left w:val="single" w:sz="6" w:space="0" w:color="000000"/>
              <w:right w:val="single" w:sz="6" w:space="0" w:color="000000"/>
            </w:tcBorders>
            <w:shd w:fill="DFDFDF" w:val="clear"/>
          </w:tcPr>
          <w:p>
            <w:pPr>
              <w:pStyle w:val="TAC"/>
              <w:rPr>
                <w:lang w:val="en-GB"/>
              </w:rPr>
            </w:pPr>
            <w:r>
              <w:rPr>
                <w:lang w:val="en-GB"/>
              </w:rPr>
              <w:t>-79</w:t>
            </w:r>
          </w:p>
        </w:tc>
        <w:tc>
          <w:tcPr>
            <w:tcW w:w="631" w:type="dxa"/>
            <w:tcBorders>
              <w:right w:val="single" w:sz="6" w:space="0" w:color="000000"/>
            </w:tcBorders>
            <w:shd w:fill="DFDFDF" w:val="clear"/>
          </w:tcPr>
          <w:p>
            <w:pPr>
              <w:pStyle w:val="TAC"/>
              <w:rPr>
                <w:lang w:val="en-GB"/>
              </w:rPr>
            </w:pPr>
            <w:r>
              <w:rPr>
                <w:lang w:val="en-GB"/>
              </w:rPr>
              <w:t>-89</w:t>
            </w:r>
          </w:p>
        </w:tc>
        <w:tc>
          <w:tcPr>
            <w:tcW w:w="60" w:type="dxa"/>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-104</w:t>
            </w:r>
          </w:p>
        </w:tc>
        <w:tc>
          <w:tcPr>
            <w:tcW w:w="567" w:type="dxa"/>
            <w:tcBorders>
              <w:left w:val="single" w:sz="6" w:space="0" w:color="000000"/>
              <w:right w:val="single" w:sz="6" w:space="0" w:color="000000"/>
            </w:tcBorders>
            <w:shd w:fill="DFDFDF" w:val="clear"/>
          </w:tcPr>
          <w:p>
            <w:pPr>
              <w:pStyle w:val="TAC"/>
              <w:rPr>
                <w:lang w:val="en-GB"/>
              </w:rPr>
            </w:pPr>
            <w:r>
              <w:rPr>
                <w:lang w:val="en-GB"/>
              </w:rPr>
              <w:t>-104</w:t>
            </w:r>
          </w:p>
        </w:tc>
        <w:tc>
          <w:tcPr>
            <w:tcW w:w="567" w:type="dxa"/>
            <w:tcBorders>
              <w:left w:val="single" w:sz="6" w:space="0" w:color="000000"/>
              <w:right w:val="single" w:sz="6" w:space="0" w:color="000000"/>
            </w:tcBorders>
            <w:shd w:fill="DFDFDF" w:val="clear"/>
          </w:tcPr>
          <w:p>
            <w:pPr>
              <w:pStyle w:val="TAC"/>
              <w:rPr>
                <w:lang w:val="en-GB"/>
              </w:rPr>
            </w:pPr>
            <w:r>
              <w:rPr>
                <w:lang w:val="en-GB"/>
              </w:rPr>
              <w:t>-95</w:t>
            </w:r>
          </w:p>
        </w:tc>
        <w:tc>
          <w:tcPr>
            <w:tcW w:w="567" w:type="dxa"/>
            <w:tcBorders>
              <w:left w:val="single" w:sz="6" w:space="0" w:color="000000"/>
              <w:right w:val="single" w:sz="6" w:space="0" w:color="000000"/>
            </w:tcBorders>
            <w:shd w:fill="DFDFDF" w:val="clear"/>
          </w:tcPr>
          <w:p>
            <w:pPr>
              <w:pStyle w:val="TAC"/>
              <w:rPr>
                <w:lang w:val="en-GB"/>
              </w:rPr>
            </w:pPr>
            <w:r>
              <w:rPr>
                <w:lang w:val="en-GB"/>
              </w:rPr>
              <w:t>-89</w:t>
            </w:r>
          </w:p>
        </w:tc>
        <w:tc>
          <w:tcPr>
            <w:tcW w:w="487" w:type="dxa"/>
            <w:tcBorders>
              <w:left w:val="single" w:sz="6" w:space="0" w:color="000000"/>
              <w:right w:val="single" w:sz="6" w:space="0" w:color="000000"/>
            </w:tcBorders>
            <w:shd w:fill="DFDFDF" w:val="clear"/>
          </w:tcPr>
          <w:p>
            <w:pPr>
              <w:pStyle w:val="TAC"/>
              <w:rPr/>
            </w:pPr>
            <w:r>
              <w:rPr>
                <w:lang w:val="en-GB"/>
              </w:rPr>
              <w:t>-79</w:t>
            </w:r>
          </w:p>
        </w:tc>
        <w:tc>
          <w:tcPr>
            <w:tcW w:w="59" w:type="dxa"/>
            <w:tcBorders/>
          </w:tcPr>
          <w:p>
            <w:pPr>
              <w:pStyle w:val="TAC"/>
              <w:snapToGrid w:val="false"/>
              <w:rPr>
                <w:lang w:val="en-GB"/>
              </w:rPr>
            </w:pPr>
            <w:r>
              <w:rPr>
                <w:lang w:val="en-GB"/>
              </w:rPr>
            </w:r>
          </w:p>
        </w:tc>
        <w:tc>
          <w:tcPr>
            <w:tcW w:w="587" w:type="dxa"/>
            <w:tcBorders>
              <w:left w:val="single" w:sz="6" w:space="0" w:color="000000"/>
              <w:right w:val="single" w:sz="6" w:space="0" w:color="000000"/>
            </w:tcBorders>
            <w:shd w:fill="DFDFDF" w:val="clear"/>
          </w:tcPr>
          <w:p>
            <w:pPr>
              <w:pStyle w:val="TAC"/>
              <w:rPr>
                <w:lang w:val="en-GB"/>
              </w:rPr>
            </w:pPr>
            <w:r>
              <w:rPr>
                <w:lang w:val="en-GB"/>
              </w:rPr>
              <w:t>-104</w:t>
            </w:r>
          </w:p>
        </w:tc>
        <w:tc>
          <w:tcPr>
            <w:tcW w:w="587" w:type="dxa"/>
            <w:tcBorders>
              <w:left w:val="single" w:sz="6" w:space="0" w:color="000000"/>
              <w:right w:val="single" w:sz="6" w:space="0" w:color="000000"/>
            </w:tcBorders>
            <w:shd w:fill="DFDFDF" w:val="clear"/>
          </w:tcPr>
          <w:p>
            <w:pPr>
              <w:pStyle w:val="TAC"/>
              <w:rPr>
                <w:lang w:val="en-GB"/>
              </w:rPr>
            </w:pPr>
            <w:r>
              <w:rPr>
                <w:lang w:val="en-GB"/>
              </w:rPr>
              <w:t>-104</w:t>
            </w:r>
          </w:p>
        </w:tc>
        <w:tc>
          <w:tcPr>
            <w:tcW w:w="587" w:type="dxa"/>
            <w:tcBorders>
              <w:right w:val="single" w:sz="6" w:space="0" w:color="000000"/>
            </w:tcBorders>
            <w:shd w:fill="DFDFDF" w:val="clear"/>
          </w:tcPr>
          <w:p>
            <w:pPr>
              <w:pStyle w:val="TAC"/>
              <w:rPr>
                <w:lang w:val="en-GB"/>
              </w:rPr>
            </w:pPr>
            <w:r>
              <w:rPr>
                <w:lang w:val="en-GB"/>
              </w:rPr>
              <w:t>-95</w:t>
            </w:r>
          </w:p>
        </w:tc>
        <w:tc>
          <w:tcPr>
            <w:tcW w:w="587" w:type="dxa"/>
            <w:tcBorders>
              <w:right w:val="single" w:sz="6" w:space="0" w:color="000000"/>
            </w:tcBorders>
            <w:shd w:fill="DFDFDF" w:val="clear"/>
          </w:tcPr>
          <w:p>
            <w:pPr>
              <w:pStyle w:val="TAC"/>
              <w:rPr>
                <w:lang w:val="en-GB"/>
              </w:rPr>
            </w:pPr>
            <w:r>
              <w:rPr>
                <w:lang w:val="en-GB"/>
              </w:rPr>
              <w:t>-89</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Base MCL</w:t>
            </w:r>
          </w:p>
        </w:tc>
        <w:tc>
          <w:tcPr>
            <w:tcW w:w="631"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44</w:t>
            </w:r>
          </w:p>
        </w:tc>
        <w:tc>
          <w:tcPr>
            <w:tcW w:w="631"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50</w:t>
            </w:r>
          </w:p>
        </w:tc>
        <w:tc>
          <w:tcPr>
            <w:tcW w:w="60" w:type="dxa"/>
            <w:tcBorders/>
            <w:shd w:fill="DFDFDF" w:val="clear"/>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69</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69</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60</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54</w:t>
            </w:r>
          </w:p>
        </w:tc>
        <w:tc>
          <w:tcPr>
            <w:tcW w:w="48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44</w:t>
            </w:r>
          </w:p>
        </w:tc>
        <w:tc>
          <w:tcPr>
            <w:tcW w:w="59" w:type="dxa"/>
            <w:tcBorders/>
          </w:tcPr>
          <w:p>
            <w:pPr>
              <w:pStyle w:val="TAC"/>
              <w:snapToGrid w:val="false"/>
              <w:rPr>
                <w:lang w:val="en-GB"/>
              </w:rPr>
            </w:pPr>
            <w:r>
              <w:rPr>
                <w:lang w:val="en-GB"/>
              </w:rPr>
            </w:r>
          </w:p>
        </w:tc>
        <w:tc>
          <w:tcPr>
            <w:tcW w:w="58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65</w:t>
            </w:r>
          </w:p>
        </w:tc>
        <w:tc>
          <w:tcPr>
            <w:tcW w:w="58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65</w:t>
            </w:r>
          </w:p>
        </w:tc>
        <w:tc>
          <w:tcPr>
            <w:tcW w:w="587"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56</w:t>
            </w:r>
          </w:p>
        </w:tc>
        <w:tc>
          <w:tcPr>
            <w:tcW w:w="587"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50</w:t>
            </w:r>
          </w:p>
        </w:tc>
      </w:tr>
      <w:tr>
        <w:trPr>
          <w:trHeight w:val="259" w:hRule="atLeast"/>
        </w:trPr>
        <w:tc>
          <w:tcPr>
            <w:tcW w:w="3341" w:type="dxa"/>
            <w:gridSpan w:val="5"/>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Margins for MCLs (+ve = good);</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487"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59" w:type="dxa"/>
            <w:tcBorders/>
          </w:tcPr>
          <w:p>
            <w:pPr>
              <w:pStyle w:val="TAC"/>
              <w:snapToGrid w:val="false"/>
              <w:rPr>
                <w:lang w:val="en-GB"/>
              </w:rPr>
            </w:pPr>
            <w:r>
              <w:rPr>
                <w:lang w:val="en-GB"/>
              </w:rPr>
            </w:r>
          </w:p>
        </w:tc>
        <w:tc>
          <w:tcPr>
            <w:tcW w:w="587"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587"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587" w:type="dxa"/>
            <w:tcBorders>
              <w:top w:val="single" w:sz="6" w:space="0" w:color="000000"/>
              <w:bottom w:val="single" w:sz="6" w:space="0" w:color="000000"/>
              <w:right w:val="single" w:sz="6" w:space="0" w:color="000000"/>
            </w:tcBorders>
          </w:tcPr>
          <w:p>
            <w:pPr>
              <w:pStyle w:val="TAC"/>
              <w:snapToGrid w:val="false"/>
              <w:rPr>
                <w:lang w:val="en-GB"/>
              </w:rPr>
            </w:pPr>
            <w:r>
              <w:rPr>
                <w:lang w:val="en-GB"/>
              </w:rPr>
            </w:r>
          </w:p>
        </w:tc>
        <w:tc>
          <w:tcPr>
            <w:tcW w:w="587" w:type="dxa"/>
            <w:tcBorders>
              <w:top w:val="single" w:sz="6" w:space="0" w:color="000000"/>
              <w:bottom w:val="single" w:sz="6" w:space="0" w:color="000000"/>
              <w:right w:val="single" w:sz="6" w:space="0" w:color="000000"/>
            </w:tcBorders>
          </w:tcPr>
          <w:p>
            <w:pPr>
              <w:pStyle w:val="TAC"/>
              <w:snapToGrid w:val="false"/>
              <w:rPr>
                <w:lang w:val="en-GB"/>
              </w:rPr>
            </w:pPr>
            <w:r>
              <w:rPr>
                <w:lang w:val="en-GB"/>
              </w:rPr>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MS Blocking</w:t>
            </w:r>
          </w:p>
        </w:tc>
        <w:tc>
          <w:tcPr>
            <w:tcW w:w="6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631" w:type="dxa"/>
            <w:tcBorders>
              <w:top w:val="single" w:sz="6" w:space="0" w:color="000000"/>
              <w:bottom w:val="single" w:sz="6" w:space="0" w:color="000000"/>
              <w:right w:val="single" w:sz="6" w:space="0" w:color="000000"/>
            </w:tcBorders>
          </w:tcPr>
          <w:p>
            <w:pPr>
              <w:pStyle w:val="TAC"/>
              <w:rPr>
                <w:lang w:val="en-GB"/>
              </w:rPr>
            </w:pPr>
            <w:r>
              <w:rPr>
                <w:lang w:val="en-GB"/>
              </w:rPr>
              <w:t>0</w:t>
            </w:r>
          </w:p>
        </w:tc>
        <w:tc>
          <w:tcPr>
            <w:tcW w:w="60" w:type="dxa"/>
            <w:tcBorders/>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4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9" w:type="dxa"/>
            <w:tcBorders/>
          </w:tcPr>
          <w:p>
            <w:pPr>
              <w:pStyle w:val="TAC"/>
              <w:snapToGrid w:val="false"/>
              <w:rPr>
                <w:lang w:val="en-GB"/>
              </w:rPr>
            </w:pPr>
            <w:r>
              <w:rPr>
                <w:lang w:val="en-GB"/>
              </w:rPr>
            </w:r>
          </w:p>
        </w:tc>
        <w:tc>
          <w:tcPr>
            <w:tcW w:w="5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5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587" w:type="dxa"/>
            <w:tcBorders>
              <w:top w:val="single" w:sz="6" w:space="0" w:color="000000"/>
              <w:bottom w:val="single" w:sz="6" w:space="0" w:color="000000"/>
              <w:right w:val="single" w:sz="6" w:space="0" w:color="000000"/>
            </w:tcBorders>
          </w:tcPr>
          <w:p>
            <w:pPr>
              <w:pStyle w:val="TAC"/>
              <w:rPr>
                <w:lang w:val="en-GB"/>
              </w:rPr>
            </w:pPr>
            <w:r>
              <w:rPr>
                <w:lang w:val="en-GB"/>
              </w:rPr>
              <w:t>5</w:t>
            </w:r>
          </w:p>
        </w:tc>
        <w:tc>
          <w:tcPr>
            <w:tcW w:w="587" w:type="dxa"/>
            <w:tcBorders>
              <w:top w:val="single" w:sz="6" w:space="0" w:color="000000"/>
              <w:bottom w:val="single" w:sz="6" w:space="0" w:color="000000"/>
              <w:right w:val="single" w:sz="6" w:space="0" w:color="000000"/>
            </w:tcBorders>
          </w:tcPr>
          <w:p>
            <w:pPr>
              <w:pStyle w:val="TAC"/>
              <w:rPr>
                <w:lang w:val="en-GB"/>
              </w:rPr>
            </w:pPr>
            <w:r>
              <w:rPr>
                <w:lang w:val="en-GB"/>
              </w:rPr>
              <w:t>5</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BTS Noise</w:t>
            </w:r>
          </w:p>
        </w:tc>
        <w:tc>
          <w:tcPr>
            <w:tcW w:w="6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631" w:type="dxa"/>
            <w:tcBorders>
              <w:top w:val="single" w:sz="6" w:space="0" w:color="000000"/>
              <w:bottom w:val="single" w:sz="6" w:space="0" w:color="000000"/>
              <w:right w:val="single" w:sz="6" w:space="0" w:color="000000"/>
            </w:tcBorders>
          </w:tcPr>
          <w:p>
            <w:pPr>
              <w:pStyle w:val="TAC"/>
              <w:rPr>
                <w:lang w:val="en-GB"/>
              </w:rPr>
            </w:pPr>
            <w:r>
              <w:rPr>
                <w:lang w:val="en-GB"/>
              </w:rPr>
              <w:t>0</w:t>
            </w:r>
          </w:p>
        </w:tc>
        <w:tc>
          <w:tcPr>
            <w:tcW w:w="60" w:type="dxa"/>
            <w:tcBorders/>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4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59" w:type="dxa"/>
            <w:tcBorders/>
          </w:tcPr>
          <w:p>
            <w:pPr>
              <w:pStyle w:val="TAC"/>
              <w:snapToGrid w:val="false"/>
              <w:rPr>
                <w:lang w:val="en-GB"/>
              </w:rPr>
            </w:pPr>
            <w:r>
              <w:rPr>
                <w:lang w:val="en-GB"/>
              </w:rPr>
            </w:r>
          </w:p>
        </w:tc>
        <w:tc>
          <w:tcPr>
            <w:tcW w:w="5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5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587" w:type="dxa"/>
            <w:tcBorders>
              <w:top w:val="single" w:sz="6" w:space="0" w:color="000000"/>
              <w:bottom w:val="single" w:sz="6" w:space="0" w:color="000000"/>
              <w:right w:val="single" w:sz="6" w:space="0" w:color="000000"/>
            </w:tcBorders>
          </w:tcPr>
          <w:p>
            <w:pPr>
              <w:pStyle w:val="TAC"/>
              <w:rPr>
                <w:lang w:val="en-GB"/>
              </w:rPr>
            </w:pPr>
            <w:r>
              <w:rPr>
                <w:lang w:val="en-GB"/>
              </w:rPr>
              <w:t>0</w:t>
            </w:r>
          </w:p>
        </w:tc>
        <w:tc>
          <w:tcPr>
            <w:tcW w:w="587" w:type="dxa"/>
            <w:tcBorders>
              <w:top w:val="single" w:sz="6" w:space="0" w:color="000000"/>
              <w:bottom w:val="single" w:sz="6" w:space="0" w:color="000000"/>
              <w:right w:val="single" w:sz="6" w:space="0" w:color="000000"/>
            </w:tcBorders>
          </w:tcPr>
          <w:p>
            <w:pPr>
              <w:pStyle w:val="TAC"/>
              <w:rPr>
                <w:lang w:val="en-GB"/>
              </w:rPr>
            </w:pPr>
            <w:r>
              <w:rPr>
                <w:lang w:val="en-GB"/>
              </w:rPr>
              <w:t>0</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BTS Blocking</w:t>
            </w:r>
          </w:p>
        </w:tc>
        <w:tc>
          <w:tcPr>
            <w:tcW w:w="6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631" w:type="dxa"/>
            <w:tcBorders>
              <w:top w:val="single" w:sz="6" w:space="0" w:color="000000"/>
              <w:bottom w:val="single" w:sz="6" w:space="0" w:color="000000"/>
              <w:right w:val="single" w:sz="6" w:space="0" w:color="000000"/>
            </w:tcBorders>
          </w:tcPr>
          <w:p>
            <w:pPr>
              <w:pStyle w:val="TAC"/>
              <w:rPr>
                <w:lang w:val="en-GB"/>
              </w:rPr>
            </w:pPr>
            <w:r>
              <w:rPr>
                <w:lang w:val="en-GB"/>
              </w:rPr>
              <w:t>0</w:t>
            </w:r>
          </w:p>
        </w:tc>
        <w:tc>
          <w:tcPr>
            <w:tcW w:w="60" w:type="dxa"/>
            <w:tcBorders/>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w:t>
            </w:r>
          </w:p>
        </w:tc>
        <w:tc>
          <w:tcPr>
            <w:tcW w:w="4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w:t>
            </w:r>
          </w:p>
        </w:tc>
        <w:tc>
          <w:tcPr>
            <w:tcW w:w="59" w:type="dxa"/>
            <w:tcBorders/>
          </w:tcPr>
          <w:p>
            <w:pPr>
              <w:pStyle w:val="TAC"/>
              <w:snapToGrid w:val="false"/>
              <w:rPr>
                <w:lang w:val="en-GB"/>
              </w:rPr>
            </w:pPr>
            <w:r>
              <w:rPr>
                <w:lang w:val="en-GB"/>
              </w:rPr>
            </w:r>
          </w:p>
        </w:tc>
        <w:tc>
          <w:tcPr>
            <w:tcW w:w="5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58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587" w:type="dxa"/>
            <w:tcBorders>
              <w:top w:val="single" w:sz="6" w:space="0" w:color="000000"/>
              <w:bottom w:val="single" w:sz="6" w:space="0" w:color="000000"/>
              <w:right w:val="single" w:sz="6" w:space="0" w:color="000000"/>
            </w:tcBorders>
          </w:tcPr>
          <w:p>
            <w:pPr>
              <w:pStyle w:val="TAC"/>
              <w:rPr>
                <w:lang w:val="en-GB"/>
              </w:rPr>
            </w:pPr>
            <w:r>
              <w:rPr>
                <w:lang w:val="en-GB"/>
              </w:rPr>
              <w:t>10</w:t>
            </w:r>
          </w:p>
        </w:tc>
        <w:tc>
          <w:tcPr>
            <w:tcW w:w="587" w:type="dxa"/>
            <w:tcBorders>
              <w:top w:val="single" w:sz="6" w:space="0" w:color="000000"/>
              <w:bottom w:val="single" w:sz="6" w:space="0" w:color="000000"/>
              <w:right w:val="single" w:sz="6" w:space="0" w:color="000000"/>
            </w:tcBorders>
          </w:tcPr>
          <w:p>
            <w:pPr>
              <w:pStyle w:val="TAC"/>
              <w:rPr>
                <w:lang w:val="en-GB"/>
              </w:rPr>
            </w:pPr>
            <w:r>
              <w:rPr>
                <w:lang w:val="en-GB"/>
              </w:rPr>
              <w:t>10</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MS Noise</w:t>
            </w:r>
          </w:p>
        </w:tc>
        <w:tc>
          <w:tcPr>
            <w:tcW w:w="63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w:t>
            </w:r>
          </w:p>
        </w:tc>
        <w:tc>
          <w:tcPr>
            <w:tcW w:w="631" w:type="dxa"/>
            <w:tcBorders>
              <w:top w:val="single" w:sz="6" w:space="0" w:color="000000"/>
              <w:bottom w:val="single" w:sz="6" w:space="0" w:color="000000"/>
              <w:right w:val="single" w:sz="6" w:space="0" w:color="000000"/>
            </w:tcBorders>
          </w:tcPr>
          <w:p>
            <w:pPr>
              <w:pStyle w:val="TAC"/>
              <w:rPr>
                <w:lang w:val="fr-FR"/>
              </w:rPr>
            </w:pPr>
            <w:r>
              <w:rPr>
                <w:lang w:val="fr-FR"/>
              </w:rPr>
              <w:t>0</w:t>
            </w:r>
          </w:p>
        </w:tc>
        <w:tc>
          <w:tcPr>
            <w:tcW w:w="60" w:type="dxa"/>
            <w:tcBorders/>
          </w:tcPr>
          <w:p>
            <w:pPr>
              <w:pStyle w:val="TAC"/>
              <w:snapToGrid w:val="false"/>
              <w:rPr>
                <w:lang w:val="fr-FR"/>
              </w:rPr>
            </w:pPr>
            <w:r>
              <w:rPr>
                <w:lang w:val="fr-FR"/>
              </w:rPr>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w:t>
            </w:r>
          </w:p>
        </w:tc>
        <w:tc>
          <w:tcPr>
            <w:tcW w:w="487"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w:t>
            </w:r>
          </w:p>
        </w:tc>
        <w:tc>
          <w:tcPr>
            <w:tcW w:w="59" w:type="dxa"/>
            <w:tcBorders/>
          </w:tcPr>
          <w:p>
            <w:pPr>
              <w:pStyle w:val="TAC"/>
              <w:snapToGrid w:val="false"/>
              <w:rPr>
                <w:lang w:val="fr-FR"/>
              </w:rPr>
            </w:pPr>
            <w:r>
              <w:rPr>
                <w:lang w:val="fr-FR"/>
              </w:rPr>
            </w:r>
          </w:p>
        </w:tc>
        <w:tc>
          <w:tcPr>
            <w:tcW w:w="587"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w:t>
            </w:r>
          </w:p>
        </w:tc>
        <w:tc>
          <w:tcPr>
            <w:tcW w:w="587"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0</w:t>
            </w:r>
          </w:p>
        </w:tc>
        <w:tc>
          <w:tcPr>
            <w:tcW w:w="587" w:type="dxa"/>
            <w:tcBorders>
              <w:top w:val="single" w:sz="6" w:space="0" w:color="000000"/>
              <w:bottom w:val="single" w:sz="6" w:space="0" w:color="000000"/>
              <w:right w:val="single" w:sz="6" w:space="0" w:color="000000"/>
            </w:tcBorders>
          </w:tcPr>
          <w:p>
            <w:pPr>
              <w:pStyle w:val="TAC"/>
              <w:rPr>
                <w:lang w:val="fr-FR"/>
              </w:rPr>
            </w:pPr>
            <w:r>
              <w:rPr>
                <w:lang w:val="fr-FR"/>
              </w:rPr>
              <w:t>0</w:t>
            </w:r>
          </w:p>
        </w:tc>
        <w:tc>
          <w:tcPr>
            <w:tcW w:w="587" w:type="dxa"/>
            <w:tcBorders>
              <w:top w:val="single" w:sz="6" w:space="0" w:color="000000"/>
              <w:bottom w:val="single" w:sz="6" w:space="0" w:color="000000"/>
              <w:right w:val="single" w:sz="6" w:space="0" w:color="000000"/>
            </w:tcBorders>
          </w:tcPr>
          <w:p>
            <w:pPr>
              <w:pStyle w:val="TAC"/>
              <w:rPr>
                <w:lang w:val="fr-FR"/>
              </w:rPr>
            </w:pPr>
            <w:r>
              <w:rPr>
                <w:lang w:val="fr-FR"/>
              </w:rPr>
              <w:t>0</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fr-FR"/>
              </w:rPr>
            </w:pPr>
            <w:r>
              <w:rPr>
                <w:lang w:val="fr-FR"/>
              </w:rPr>
              <w:t>D/L Bias</w:t>
            </w:r>
          </w:p>
        </w:tc>
        <w:tc>
          <w:tcPr>
            <w:tcW w:w="6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15</w:t>
            </w:r>
          </w:p>
        </w:tc>
        <w:tc>
          <w:tcPr>
            <w:tcW w:w="631" w:type="dxa"/>
            <w:tcBorders>
              <w:top w:val="single" w:sz="6" w:space="0" w:color="000000"/>
              <w:bottom w:val="single" w:sz="6" w:space="0" w:color="000000"/>
              <w:right w:val="single" w:sz="6" w:space="0" w:color="000000"/>
            </w:tcBorders>
          </w:tcPr>
          <w:p>
            <w:pPr>
              <w:pStyle w:val="TAH"/>
              <w:rPr>
                <w:lang w:eastAsia="en-US"/>
              </w:rPr>
            </w:pPr>
            <w:r>
              <w:rPr>
                <w:lang w:eastAsia="en-US"/>
              </w:rPr>
              <w:t>5</w:t>
            </w:r>
          </w:p>
        </w:tc>
        <w:tc>
          <w:tcPr>
            <w:tcW w:w="60" w:type="dxa"/>
            <w:tcBorders/>
          </w:tcPr>
          <w:p>
            <w:pPr>
              <w:pStyle w:val="TAH"/>
              <w:snapToGrid w:val="false"/>
              <w:rPr>
                <w:lang w:eastAsia="en-US"/>
              </w:rPr>
            </w:pPr>
            <w:r>
              <w:rPr>
                <w:lang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3</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0</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0</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0</w:t>
            </w:r>
          </w:p>
        </w:tc>
        <w:tc>
          <w:tcPr>
            <w:tcW w:w="4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0</w:t>
            </w:r>
          </w:p>
        </w:tc>
        <w:tc>
          <w:tcPr>
            <w:tcW w:w="59" w:type="dxa"/>
            <w:tcBorders/>
          </w:tcPr>
          <w:p>
            <w:pPr>
              <w:pStyle w:val="TAH"/>
              <w:snapToGrid w:val="false"/>
              <w:rPr>
                <w:lang w:eastAsia="en-US"/>
              </w:rPr>
            </w:pPr>
            <w:r>
              <w:rPr>
                <w:lang w:eastAsia="en-US"/>
              </w:rPr>
            </w:r>
          </w:p>
        </w:tc>
        <w:tc>
          <w:tcPr>
            <w:tcW w:w="5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3</w:t>
            </w:r>
          </w:p>
        </w:tc>
        <w:tc>
          <w:tcPr>
            <w:tcW w:w="5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0</w:t>
            </w:r>
          </w:p>
        </w:tc>
        <w:tc>
          <w:tcPr>
            <w:tcW w:w="587" w:type="dxa"/>
            <w:tcBorders>
              <w:top w:val="single" w:sz="6" w:space="0" w:color="000000"/>
              <w:bottom w:val="single" w:sz="6" w:space="0" w:color="000000"/>
              <w:right w:val="single" w:sz="6" w:space="0" w:color="000000"/>
            </w:tcBorders>
          </w:tcPr>
          <w:p>
            <w:pPr>
              <w:pStyle w:val="TAH"/>
              <w:rPr>
                <w:lang w:eastAsia="en-US"/>
              </w:rPr>
            </w:pPr>
            <w:r>
              <w:rPr>
                <w:lang w:eastAsia="en-US"/>
              </w:rPr>
              <w:t>0</w:t>
            </w:r>
          </w:p>
        </w:tc>
        <w:tc>
          <w:tcPr>
            <w:tcW w:w="587" w:type="dxa"/>
            <w:tcBorders>
              <w:top w:val="single" w:sz="6" w:space="0" w:color="000000"/>
              <w:bottom w:val="single" w:sz="6" w:space="0" w:color="000000"/>
              <w:right w:val="single" w:sz="6" w:space="0" w:color="000000"/>
            </w:tcBorders>
          </w:tcPr>
          <w:p>
            <w:pPr>
              <w:pStyle w:val="TAH"/>
              <w:rPr>
                <w:lang w:eastAsia="en-US"/>
              </w:rPr>
            </w:pPr>
            <w:r>
              <w:rPr>
                <w:lang w:eastAsia="en-US"/>
              </w:rPr>
              <w:t>0</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Max Loss</w:t>
            </w:r>
          </w:p>
        </w:tc>
        <w:tc>
          <w:tcPr>
            <w:tcW w:w="6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108</w:t>
            </w:r>
          </w:p>
        </w:tc>
        <w:tc>
          <w:tcPr>
            <w:tcW w:w="631" w:type="dxa"/>
            <w:tcBorders>
              <w:top w:val="single" w:sz="6" w:space="0" w:color="000000"/>
              <w:bottom w:val="single" w:sz="6" w:space="0" w:color="000000"/>
              <w:right w:val="single" w:sz="6" w:space="0" w:color="000000"/>
            </w:tcBorders>
          </w:tcPr>
          <w:p>
            <w:pPr>
              <w:pStyle w:val="TAH"/>
              <w:rPr>
                <w:lang w:eastAsia="en-US"/>
              </w:rPr>
            </w:pPr>
            <w:r>
              <w:rPr>
                <w:lang w:eastAsia="en-US"/>
              </w:rPr>
              <w:t>119</w:t>
            </w:r>
          </w:p>
        </w:tc>
        <w:tc>
          <w:tcPr>
            <w:tcW w:w="60" w:type="dxa"/>
            <w:tcBorders/>
          </w:tcPr>
          <w:p>
            <w:pPr>
              <w:pStyle w:val="TAH"/>
              <w:snapToGrid w:val="false"/>
              <w:rPr>
                <w:lang w:eastAsia="en-US"/>
              </w:rPr>
            </w:pPr>
            <w:r>
              <w:rPr>
                <w:lang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133</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133</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124</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118</w:t>
            </w:r>
          </w:p>
        </w:tc>
        <w:tc>
          <w:tcPr>
            <w:tcW w:w="4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108</w:t>
            </w:r>
          </w:p>
        </w:tc>
        <w:tc>
          <w:tcPr>
            <w:tcW w:w="59" w:type="dxa"/>
            <w:tcBorders/>
          </w:tcPr>
          <w:p>
            <w:pPr>
              <w:pStyle w:val="TAH"/>
              <w:snapToGrid w:val="false"/>
              <w:rPr>
                <w:lang w:eastAsia="en-US"/>
              </w:rPr>
            </w:pPr>
            <w:r>
              <w:rPr>
                <w:lang w:eastAsia="en-US"/>
              </w:rPr>
            </w:r>
          </w:p>
        </w:tc>
        <w:tc>
          <w:tcPr>
            <w:tcW w:w="5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134</w:t>
            </w:r>
          </w:p>
        </w:tc>
        <w:tc>
          <w:tcPr>
            <w:tcW w:w="5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134</w:t>
            </w:r>
          </w:p>
        </w:tc>
        <w:tc>
          <w:tcPr>
            <w:tcW w:w="587" w:type="dxa"/>
            <w:tcBorders>
              <w:top w:val="single" w:sz="6" w:space="0" w:color="000000"/>
              <w:bottom w:val="single" w:sz="6" w:space="0" w:color="000000"/>
              <w:right w:val="single" w:sz="6" w:space="0" w:color="000000"/>
            </w:tcBorders>
          </w:tcPr>
          <w:p>
            <w:pPr>
              <w:pStyle w:val="TAH"/>
              <w:rPr>
                <w:lang w:eastAsia="en-US"/>
              </w:rPr>
            </w:pPr>
            <w:r>
              <w:rPr>
                <w:lang w:eastAsia="en-US"/>
              </w:rPr>
              <w:t>125</w:t>
            </w:r>
          </w:p>
        </w:tc>
        <w:tc>
          <w:tcPr>
            <w:tcW w:w="587" w:type="dxa"/>
            <w:tcBorders>
              <w:top w:val="single" w:sz="6" w:space="0" w:color="000000"/>
              <w:bottom w:val="single" w:sz="6" w:space="0" w:color="000000"/>
              <w:right w:val="single" w:sz="6" w:space="0" w:color="000000"/>
            </w:tcBorders>
          </w:tcPr>
          <w:p>
            <w:pPr>
              <w:pStyle w:val="TAH"/>
              <w:rPr>
                <w:lang w:eastAsia="en-US"/>
              </w:rPr>
            </w:pPr>
            <w:r>
              <w:rPr>
                <w:lang w:eastAsia="en-US"/>
              </w:rPr>
              <w:t>119</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MCL</w:t>
            </w:r>
          </w:p>
        </w:tc>
        <w:tc>
          <w:tcPr>
            <w:tcW w:w="6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44</w:t>
            </w:r>
          </w:p>
        </w:tc>
        <w:tc>
          <w:tcPr>
            <w:tcW w:w="631" w:type="dxa"/>
            <w:tcBorders>
              <w:top w:val="single" w:sz="6" w:space="0" w:color="000000"/>
              <w:bottom w:val="single" w:sz="6" w:space="0" w:color="000000"/>
              <w:right w:val="single" w:sz="6" w:space="0" w:color="000000"/>
            </w:tcBorders>
          </w:tcPr>
          <w:p>
            <w:pPr>
              <w:pStyle w:val="TAH"/>
              <w:rPr>
                <w:lang w:eastAsia="en-US"/>
              </w:rPr>
            </w:pPr>
            <w:r>
              <w:rPr>
                <w:lang w:eastAsia="en-US"/>
              </w:rPr>
              <w:t>50</w:t>
            </w:r>
          </w:p>
        </w:tc>
        <w:tc>
          <w:tcPr>
            <w:tcW w:w="60" w:type="dxa"/>
            <w:tcBorders/>
          </w:tcPr>
          <w:p>
            <w:pPr>
              <w:pStyle w:val="TAH"/>
              <w:snapToGrid w:val="false"/>
              <w:rPr>
                <w:lang w:eastAsia="en-US"/>
              </w:rPr>
            </w:pPr>
            <w:r>
              <w:rPr>
                <w:lang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69</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69</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60</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54</w:t>
            </w:r>
          </w:p>
        </w:tc>
        <w:tc>
          <w:tcPr>
            <w:tcW w:w="4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44</w:t>
            </w:r>
          </w:p>
        </w:tc>
        <w:tc>
          <w:tcPr>
            <w:tcW w:w="59" w:type="dxa"/>
            <w:tcBorders/>
          </w:tcPr>
          <w:p>
            <w:pPr>
              <w:pStyle w:val="TAH"/>
              <w:snapToGrid w:val="false"/>
              <w:rPr>
                <w:lang w:eastAsia="en-US"/>
              </w:rPr>
            </w:pPr>
            <w:r>
              <w:rPr>
                <w:lang w:eastAsia="en-US"/>
              </w:rPr>
            </w:r>
          </w:p>
        </w:tc>
        <w:tc>
          <w:tcPr>
            <w:tcW w:w="5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65</w:t>
            </w:r>
          </w:p>
        </w:tc>
        <w:tc>
          <w:tcPr>
            <w:tcW w:w="5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65</w:t>
            </w:r>
          </w:p>
        </w:tc>
        <w:tc>
          <w:tcPr>
            <w:tcW w:w="587" w:type="dxa"/>
            <w:tcBorders>
              <w:top w:val="single" w:sz="6" w:space="0" w:color="000000"/>
              <w:bottom w:val="single" w:sz="6" w:space="0" w:color="000000"/>
              <w:right w:val="single" w:sz="6" w:space="0" w:color="000000"/>
            </w:tcBorders>
          </w:tcPr>
          <w:p>
            <w:pPr>
              <w:pStyle w:val="TAH"/>
              <w:rPr>
                <w:lang w:eastAsia="en-US"/>
              </w:rPr>
            </w:pPr>
            <w:r>
              <w:rPr>
                <w:lang w:eastAsia="en-US"/>
              </w:rPr>
              <w:t>56</w:t>
            </w:r>
          </w:p>
        </w:tc>
        <w:tc>
          <w:tcPr>
            <w:tcW w:w="587" w:type="dxa"/>
            <w:tcBorders>
              <w:top w:val="single" w:sz="6" w:space="0" w:color="000000"/>
              <w:bottom w:val="single" w:sz="6" w:space="0" w:color="000000"/>
              <w:right w:val="single" w:sz="6" w:space="0" w:color="000000"/>
            </w:tcBorders>
          </w:tcPr>
          <w:p>
            <w:pPr>
              <w:pStyle w:val="TAH"/>
              <w:rPr>
                <w:lang w:eastAsia="en-US"/>
              </w:rPr>
            </w:pPr>
            <w:r>
              <w:rPr>
                <w:lang w:eastAsia="en-US"/>
              </w:rPr>
              <w:t>50</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Dyn Range</w:t>
            </w:r>
          </w:p>
        </w:tc>
        <w:tc>
          <w:tcPr>
            <w:tcW w:w="6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64</w:t>
            </w:r>
          </w:p>
        </w:tc>
        <w:tc>
          <w:tcPr>
            <w:tcW w:w="631" w:type="dxa"/>
            <w:tcBorders>
              <w:top w:val="single" w:sz="6" w:space="0" w:color="000000"/>
              <w:bottom w:val="single" w:sz="6" w:space="0" w:color="000000"/>
              <w:right w:val="single" w:sz="6" w:space="0" w:color="000000"/>
            </w:tcBorders>
          </w:tcPr>
          <w:p>
            <w:pPr>
              <w:pStyle w:val="TAH"/>
              <w:rPr>
                <w:lang w:eastAsia="en-US"/>
              </w:rPr>
            </w:pPr>
            <w:r>
              <w:rPr>
                <w:lang w:eastAsia="en-US"/>
              </w:rPr>
              <w:t>69</w:t>
            </w:r>
          </w:p>
        </w:tc>
        <w:tc>
          <w:tcPr>
            <w:tcW w:w="60" w:type="dxa"/>
            <w:tcBorders/>
          </w:tcPr>
          <w:p>
            <w:pPr>
              <w:pStyle w:val="TAH"/>
              <w:snapToGrid w:val="false"/>
              <w:rPr>
                <w:lang w:eastAsia="en-US"/>
              </w:rPr>
            </w:pPr>
            <w:r>
              <w:rPr>
                <w:lang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64</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64</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64</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64</w:t>
            </w:r>
          </w:p>
        </w:tc>
        <w:tc>
          <w:tcPr>
            <w:tcW w:w="4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64</w:t>
            </w:r>
          </w:p>
        </w:tc>
        <w:tc>
          <w:tcPr>
            <w:tcW w:w="59" w:type="dxa"/>
            <w:tcBorders/>
          </w:tcPr>
          <w:p>
            <w:pPr>
              <w:pStyle w:val="TAH"/>
              <w:snapToGrid w:val="false"/>
              <w:rPr>
                <w:lang w:eastAsia="en-US"/>
              </w:rPr>
            </w:pPr>
            <w:r>
              <w:rPr>
                <w:lang w:eastAsia="en-US"/>
              </w:rPr>
            </w:r>
          </w:p>
        </w:tc>
        <w:tc>
          <w:tcPr>
            <w:tcW w:w="5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69</w:t>
            </w:r>
          </w:p>
        </w:tc>
        <w:tc>
          <w:tcPr>
            <w:tcW w:w="5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69</w:t>
            </w:r>
          </w:p>
        </w:tc>
        <w:tc>
          <w:tcPr>
            <w:tcW w:w="587" w:type="dxa"/>
            <w:tcBorders>
              <w:top w:val="single" w:sz="6" w:space="0" w:color="000000"/>
              <w:bottom w:val="single" w:sz="6" w:space="0" w:color="000000"/>
              <w:right w:val="single" w:sz="6" w:space="0" w:color="000000"/>
            </w:tcBorders>
          </w:tcPr>
          <w:p>
            <w:pPr>
              <w:pStyle w:val="TAH"/>
              <w:rPr>
                <w:lang w:eastAsia="en-US"/>
              </w:rPr>
            </w:pPr>
            <w:r>
              <w:rPr>
                <w:lang w:eastAsia="en-US"/>
              </w:rPr>
              <w:t>69</w:t>
            </w:r>
          </w:p>
        </w:tc>
        <w:tc>
          <w:tcPr>
            <w:tcW w:w="587" w:type="dxa"/>
            <w:tcBorders>
              <w:top w:val="single" w:sz="6" w:space="0" w:color="000000"/>
              <w:bottom w:val="single" w:sz="6" w:space="0" w:color="000000"/>
              <w:right w:val="single" w:sz="6" w:space="0" w:color="000000"/>
            </w:tcBorders>
          </w:tcPr>
          <w:p>
            <w:pPr>
              <w:pStyle w:val="TAH"/>
              <w:rPr>
                <w:lang w:eastAsia="en-US"/>
              </w:rPr>
            </w:pPr>
            <w:r>
              <w:rPr>
                <w:lang w:eastAsia="en-US"/>
              </w:rPr>
              <w:t>69</w:t>
            </w:r>
          </w:p>
        </w:tc>
      </w:tr>
    </w:tbl>
    <w:p>
      <w:pPr>
        <w:pStyle w:val="NF"/>
        <w:rPr/>
      </w:pPr>
      <w:r>
        <w:rPr/>
      </w:r>
    </w:p>
    <w:p>
      <w:pPr>
        <w:pStyle w:val="NF"/>
        <w:rPr/>
      </w:pPr>
      <w:r>
        <w:rPr/>
        <w:t>NOTE 1:</w:t>
        <w:tab/>
        <w:t>See annex 1 for further information.</w:t>
      </w:r>
    </w:p>
    <w:p>
      <w:pPr>
        <w:pStyle w:val="NF"/>
        <w:rPr/>
      </w:pPr>
      <w:r>
        <w:rPr/>
        <w:t>NOTE 2:</w:t>
        <w:tab/>
        <w:t>Shaded boxes are changeable parameters.</w:t>
      </w:r>
    </w:p>
    <w:p>
      <w:pPr>
        <w:pStyle w:val="NF"/>
        <w:rPr/>
      </w:pPr>
      <w:r>
        <w:rPr/>
        <w:t>NOTE 3:</w:t>
        <w:tab/>
        <w:t>Max loss excludes any antenna gain / cable loss.</w:t>
      </w:r>
    </w:p>
    <w:p>
      <w:pPr>
        <w:pStyle w:val="NF"/>
        <w:rPr/>
      </w:pPr>
      <w:r>
        <w:rPr/>
        <w:t>NOTE 4:</w:t>
        <w:tab/>
        <w:t>Powers and sensitvities are specified at the antenna connector.</w:t>
      </w:r>
    </w:p>
    <w:p>
      <w:pPr>
        <w:pStyle w:val="NF"/>
        <w:rPr/>
      </w:pPr>
      <w:r>
        <w:rPr/>
        <w:t>NOTE 5:</w:t>
        <w:tab/>
        <w:t>Noise measured in 180 kHz.</w:t>
      </w:r>
    </w:p>
    <w:p>
      <w:pPr>
        <w:pStyle w:val="NF"/>
        <w:rPr/>
      </w:pPr>
      <w:r>
        <w:rPr/>
      </w:r>
    </w:p>
    <w:p>
      <w:pPr>
        <w:pStyle w:val="TF"/>
        <w:rPr/>
      </w:pPr>
      <w:r>
        <w:rPr/>
        <w:t>Figure 1: Microcell RF Parameters as in BTL Paper</w:t>
      </w:r>
    </w:p>
    <w:p>
      <w:pPr>
        <w:pStyle w:val="NF"/>
        <w:rPr/>
      </w:pPr>
      <w:r>
        <w:rPr/>
      </w:r>
    </w:p>
    <w:tbl>
      <w:tblPr>
        <w:tblW w:w="8054" w:type="dxa"/>
        <w:jc w:val="center"/>
        <w:tblInd w:w="0" w:type="dxa"/>
        <w:tblLayout w:type="fixed"/>
        <w:tblCellMar>
          <w:top w:w="0" w:type="dxa"/>
          <w:left w:w="0" w:type="dxa"/>
          <w:bottom w:w="0" w:type="dxa"/>
          <w:right w:w="0" w:type="dxa"/>
        </w:tblCellMar>
      </w:tblPr>
      <w:tblGrid>
        <w:gridCol w:w="1452"/>
        <w:gridCol w:w="567"/>
        <w:gridCol w:w="567"/>
        <w:gridCol w:w="60"/>
        <w:gridCol w:w="658"/>
        <w:gridCol w:w="138"/>
        <w:gridCol w:w="429"/>
        <w:gridCol w:w="138"/>
        <w:gridCol w:w="429"/>
        <w:gridCol w:w="138"/>
        <w:gridCol w:w="443"/>
        <w:gridCol w:w="124"/>
        <w:gridCol w:w="429"/>
        <w:gridCol w:w="35"/>
        <w:gridCol w:w="133"/>
        <w:gridCol w:w="23"/>
        <w:gridCol w:w="489"/>
        <w:gridCol w:w="76"/>
        <w:gridCol w:w="528"/>
        <w:gridCol w:w="38"/>
        <w:gridCol w:w="529"/>
        <w:gridCol w:w="38"/>
        <w:gridCol w:w="574"/>
        <w:gridCol w:w="19"/>
      </w:tblGrid>
      <w:tr>
        <w:trPr/>
        <w:tc>
          <w:tcPr>
            <w:tcW w:w="1452" w:type="dxa"/>
            <w:tcBorders/>
          </w:tcPr>
          <w:p>
            <w:pPr>
              <w:pStyle w:val="TAH"/>
              <w:snapToGrid w:val="false"/>
              <w:rPr>
                <w:lang w:eastAsia="en-US"/>
              </w:rPr>
            </w:pPr>
            <w:r>
              <w:rPr>
                <w:lang w:eastAsia="en-US"/>
              </w:rPr>
            </w:r>
          </w:p>
        </w:tc>
        <w:tc>
          <w:tcPr>
            <w:tcW w:w="1134" w:type="dxa"/>
            <w:gridSpan w:val="2"/>
            <w:tcBorders/>
          </w:tcPr>
          <w:p>
            <w:pPr>
              <w:pStyle w:val="TAH"/>
              <w:rPr>
                <w:color w:val="000000"/>
                <w:lang w:eastAsia="en-US"/>
              </w:rPr>
            </w:pPr>
            <w:r>
              <w:rPr>
                <w:color w:val="000000"/>
                <w:lang w:eastAsia="en-US"/>
              </w:rPr>
              <w:t>Baseline</w:t>
            </w:r>
          </w:p>
        </w:tc>
        <w:tc>
          <w:tcPr>
            <w:tcW w:w="60" w:type="dxa"/>
            <w:tcBorders/>
          </w:tcPr>
          <w:p>
            <w:pPr>
              <w:pStyle w:val="TAH"/>
              <w:snapToGrid w:val="false"/>
              <w:rPr>
                <w:color w:val="000000"/>
                <w:lang w:eastAsia="en-US"/>
              </w:rPr>
            </w:pPr>
            <w:r>
              <w:rPr>
                <w:color w:val="000000"/>
                <w:lang w:eastAsia="en-US"/>
              </w:rPr>
            </w:r>
          </w:p>
        </w:tc>
        <w:tc>
          <w:tcPr>
            <w:tcW w:w="658" w:type="dxa"/>
            <w:tcBorders/>
          </w:tcPr>
          <w:p>
            <w:pPr>
              <w:pStyle w:val="TAH"/>
              <w:rPr/>
            </w:pPr>
            <w:r>
              <w:rPr>
                <w:color w:val="000000"/>
                <w:lang w:eastAsia="en-US"/>
              </w:rPr>
              <w:t>Normal</w:t>
            </w:r>
          </w:p>
        </w:tc>
        <w:tc>
          <w:tcPr>
            <w:tcW w:w="567" w:type="dxa"/>
            <w:gridSpan w:val="2"/>
            <w:tcBorders/>
          </w:tcPr>
          <w:p>
            <w:pPr>
              <w:pStyle w:val="TAH"/>
              <w:rPr>
                <w:color w:val="000000"/>
                <w:lang w:eastAsia="en-US"/>
              </w:rPr>
            </w:pPr>
            <w:r>
              <w:rPr>
                <w:color w:val="000000"/>
                <w:lang w:eastAsia="en-US"/>
              </w:rPr>
              <w:t>Class 1</w:t>
            </w:r>
          </w:p>
        </w:tc>
        <w:tc>
          <w:tcPr>
            <w:tcW w:w="567" w:type="dxa"/>
            <w:gridSpan w:val="2"/>
            <w:tcBorders/>
          </w:tcPr>
          <w:p>
            <w:pPr>
              <w:pStyle w:val="TAH"/>
              <w:rPr>
                <w:color w:val="000000"/>
                <w:lang w:eastAsia="en-US"/>
              </w:rPr>
            </w:pPr>
            <w:r>
              <w:rPr>
                <w:color w:val="000000"/>
                <w:lang w:eastAsia="en-US"/>
              </w:rPr>
              <w:t>Class 2</w:t>
            </w:r>
          </w:p>
        </w:tc>
        <w:tc>
          <w:tcPr>
            <w:tcW w:w="581" w:type="dxa"/>
            <w:gridSpan w:val="2"/>
            <w:tcBorders/>
          </w:tcPr>
          <w:p>
            <w:pPr>
              <w:pStyle w:val="TAH"/>
              <w:rPr>
                <w:color w:val="000000"/>
                <w:lang w:eastAsia="en-US"/>
              </w:rPr>
            </w:pPr>
            <w:r>
              <w:rPr>
                <w:color w:val="000000"/>
                <w:lang w:eastAsia="en-US"/>
              </w:rPr>
              <w:t>Class 3</w:t>
            </w:r>
          </w:p>
        </w:tc>
        <w:tc>
          <w:tcPr>
            <w:tcW w:w="553" w:type="dxa"/>
            <w:gridSpan w:val="2"/>
            <w:tcBorders/>
          </w:tcPr>
          <w:p>
            <w:pPr>
              <w:pStyle w:val="TAH"/>
              <w:rPr>
                <w:color w:val="000000"/>
                <w:lang w:eastAsia="en-US"/>
              </w:rPr>
            </w:pPr>
            <w:r>
              <w:rPr>
                <w:color w:val="000000"/>
                <w:lang w:eastAsia="en-US"/>
              </w:rPr>
              <w:t>Class 4</w:t>
            </w:r>
          </w:p>
        </w:tc>
        <w:tc>
          <w:tcPr>
            <w:tcW w:w="35" w:type="dxa"/>
            <w:tcBorders/>
          </w:tcPr>
          <w:p>
            <w:pPr>
              <w:pStyle w:val="TAH"/>
              <w:snapToGrid w:val="false"/>
              <w:rPr>
                <w:color w:val="000000"/>
                <w:lang w:eastAsia="en-US"/>
              </w:rPr>
            </w:pPr>
            <w:r>
              <w:rPr>
                <w:color w:val="000000"/>
                <w:lang w:eastAsia="en-US"/>
              </w:rPr>
            </w:r>
          </w:p>
        </w:tc>
        <w:tc>
          <w:tcPr>
            <w:tcW w:w="721" w:type="dxa"/>
            <w:gridSpan w:val="4"/>
            <w:tcBorders/>
          </w:tcPr>
          <w:p>
            <w:pPr>
              <w:pStyle w:val="TAH"/>
              <w:rPr>
                <w:color w:val="000000"/>
                <w:lang w:eastAsia="en-US"/>
              </w:rPr>
            </w:pPr>
            <w:r>
              <w:rPr>
                <w:color w:val="000000"/>
                <w:lang w:eastAsia="en-US"/>
              </w:rPr>
              <w:t>Normal</w:t>
            </w:r>
          </w:p>
        </w:tc>
        <w:tc>
          <w:tcPr>
            <w:tcW w:w="566" w:type="dxa"/>
            <w:gridSpan w:val="2"/>
            <w:tcBorders/>
          </w:tcPr>
          <w:p>
            <w:pPr>
              <w:pStyle w:val="TAH"/>
              <w:rPr>
                <w:color w:val="000000"/>
                <w:lang w:val="en-US" w:eastAsia="en-US"/>
              </w:rPr>
            </w:pPr>
            <w:r>
              <w:rPr>
                <w:color w:val="000000"/>
                <w:lang w:eastAsia="en-US"/>
              </w:rPr>
              <w:t>Class 1</w:t>
            </w:r>
          </w:p>
        </w:tc>
        <w:tc>
          <w:tcPr>
            <w:tcW w:w="567" w:type="dxa"/>
            <w:gridSpan w:val="2"/>
            <w:tcBorders/>
          </w:tcPr>
          <w:p>
            <w:pPr>
              <w:pStyle w:val="TAH"/>
              <w:rPr>
                <w:color w:val="000000"/>
                <w:lang w:val="en-US" w:eastAsia="en-US"/>
              </w:rPr>
            </w:pPr>
            <w:r>
              <w:rPr>
                <w:color w:val="000000"/>
                <w:lang w:eastAsia="en-US"/>
              </w:rPr>
              <w:t>Class 2</w:t>
            </w:r>
          </w:p>
        </w:tc>
        <w:tc>
          <w:tcPr>
            <w:tcW w:w="593" w:type="dxa"/>
            <w:tcBorders/>
          </w:tcPr>
          <w:p>
            <w:pPr>
              <w:pStyle w:val="TAH"/>
              <w:rPr>
                <w:color w:val="000000"/>
                <w:lang w:val="en-US" w:eastAsia="en-US"/>
              </w:rPr>
            </w:pPr>
            <w:r>
              <w:rPr>
                <w:color w:val="000000"/>
                <w:lang w:eastAsia="en-US"/>
              </w:rPr>
              <w:t>Class 3</w:t>
            </w:r>
          </w:p>
        </w:tc>
      </w:tr>
      <w:tr>
        <w:trPr/>
        <w:tc>
          <w:tcPr>
            <w:tcW w:w="1452" w:type="dxa"/>
            <w:tcBorders>
              <w:top w:val="single" w:sz="6" w:space="0" w:color="000000"/>
              <w:left w:val="single" w:sz="6" w:space="0" w:color="000000"/>
              <w:bottom w:val="single" w:sz="6" w:space="0" w:color="000000"/>
              <w:right w:val="single" w:sz="6" w:space="0" w:color="000000"/>
            </w:tcBorders>
          </w:tcPr>
          <w:p>
            <w:pPr>
              <w:pStyle w:val="TAH"/>
              <w:snapToGrid w:val="false"/>
              <w:rPr>
                <w:color w:val="000000"/>
                <w:lang w:val="en-US" w:eastAsia="en-US"/>
              </w:rPr>
            </w:pPr>
            <w:r>
              <w:rPr>
                <w:color w:val="000000"/>
                <w:lang w:val="en-US"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DCS</w:t>
            </w:r>
          </w:p>
        </w:tc>
        <w:tc>
          <w:tcPr>
            <w:tcW w:w="60" w:type="dxa"/>
            <w:tcBorders/>
          </w:tcPr>
          <w:p>
            <w:pPr>
              <w:pStyle w:val="TAH"/>
              <w:snapToGrid w:val="false"/>
              <w:rPr>
                <w:lang w:eastAsia="en-US"/>
              </w:rPr>
            </w:pPr>
            <w:r>
              <w:rPr>
                <w:lang w:eastAsia="en-US"/>
              </w:rPr>
            </w:r>
          </w:p>
        </w:tc>
        <w:tc>
          <w:tcPr>
            <w:tcW w:w="65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81"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53"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35" w:type="dxa"/>
            <w:tcBorders/>
          </w:tcPr>
          <w:p>
            <w:pPr>
              <w:pStyle w:val="TAH"/>
              <w:snapToGrid w:val="false"/>
              <w:rPr>
                <w:lang w:eastAsia="en-US"/>
              </w:rPr>
            </w:pPr>
            <w:r>
              <w:rPr>
                <w:lang w:eastAsia="en-US"/>
              </w:rPr>
            </w:r>
          </w:p>
        </w:tc>
        <w:tc>
          <w:tcPr>
            <w:tcW w:w="721" w:type="dxa"/>
            <w:gridSpan w:val="4"/>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DCS</w:t>
            </w:r>
          </w:p>
        </w:tc>
        <w:tc>
          <w:tcPr>
            <w:tcW w:w="566" w:type="dxa"/>
            <w:gridSpan w:val="2"/>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c>
          <w:tcPr>
            <w:tcW w:w="593"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r>
      <w:tr>
        <w:trPr>
          <w:trHeight w:val="259" w:hRule="atLeast"/>
        </w:trPr>
        <w:tc>
          <w:tcPr>
            <w:tcW w:w="1452" w:type="dxa"/>
            <w:tcBorders>
              <w:top w:val="single" w:sz="6" w:space="0" w:color="000000"/>
              <w:left w:val="single" w:sz="6" w:space="0" w:color="000000"/>
              <w:right w:val="single" w:sz="6" w:space="0" w:color="000000"/>
            </w:tcBorders>
          </w:tcPr>
          <w:p>
            <w:pPr>
              <w:pStyle w:val="TAL"/>
              <w:rPr>
                <w:lang w:val="en-GB"/>
              </w:rPr>
            </w:pPr>
            <w:r>
              <w:rPr>
                <w:lang w:val="en-GB"/>
              </w:rPr>
              <w:t xml:space="preserve">C/ I </w:t>
            </w:r>
          </w:p>
        </w:tc>
        <w:tc>
          <w:tcPr>
            <w:tcW w:w="567" w:type="dxa"/>
            <w:tcBorders>
              <w:top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right w:val="single" w:sz="6" w:space="0" w:color="000000"/>
            </w:tcBorders>
          </w:tcPr>
          <w:p>
            <w:pPr>
              <w:pStyle w:val="TAC"/>
              <w:rPr>
                <w:lang w:val="en-GB"/>
              </w:rPr>
            </w:pPr>
            <w:r>
              <w:rPr>
                <w:lang w:val="en-GB"/>
              </w:rPr>
              <w:t>9</w:t>
            </w:r>
          </w:p>
        </w:tc>
        <w:tc>
          <w:tcPr>
            <w:tcW w:w="60" w:type="dxa"/>
            <w:tcBorders/>
          </w:tcPr>
          <w:p>
            <w:pPr>
              <w:pStyle w:val="TAC"/>
              <w:snapToGrid w:val="false"/>
              <w:rPr>
                <w:lang w:val="en-GB"/>
              </w:rPr>
            </w:pPr>
            <w:r>
              <w:rPr>
                <w:lang w:val="en-GB"/>
              </w:rPr>
            </w:r>
          </w:p>
        </w:tc>
        <w:tc>
          <w:tcPr>
            <w:tcW w:w="658"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81"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53"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35" w:type="dxa"/>
            <w:tcBorders/>
          </w:tcPr>
          <w:p>
            <w:pPr>
              <w:pStyle w:val="TAC"/>
              <w:snapToGrid w:val="false"/>
              <w:rPr>
                <w:lang w:val="en-GB"/>
              </w:rPr>
            </w:pPr>
            <w:r>
              <w:rPr>
                <w:lang w:val="en-GB"/>
              </w:rPr>
            </w:r>
          </w:p>
        </w:tc>
        <w:tc>
          <w:tcPr>
            <w:tcW w:w="721" w:type="dxa"/>
            <w:gridSpan w:val="4"/>
            <w:tcBorders>
              <w:top w:val="single" w:sz="6" w:space="0" w:color="000000"/>
              <w:left w:val="single" w:sz="6" w:space="0" w:color="000000"/>
              <w:right w:val="single" w:sz="6" w:space="0" w:color="000000"/>
            </w:tcBorders>
          </w:tcPr>
          <w:p>
            <w:pPr>
              <w:pStyle w:val="TAC"/>
              <w:rPr>
                <w:lang w:val="en-GB"/>
              </w:rPr>
            </w:pPr>
            <w:r>
              <w:rPr>
                <w:lang w:val="en-GB"/>
              </w:rPr>
              <w:t>9</w:t>
            </w:r>
          </w:p>
        </w:tc>
        <w:tc>
          <w:tcPr>
            <w:tcW w:w="566"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right w:val="single" w:sz="6" w:space="0" w:color="000000"/>
            </w:tcBorders>
          </w:tcPr>
          <w:p>
            <w:pPr>
              <w:pStyle w:val="TAC"/>
              <w:rPr>
                <w:lang w:val="en-GB"/>
              </w:rPr>
            </w:pPr>
            <w:r>
              <w:rPr>
                <w:lang w:val="en-GB"/>
              </w:rPr>
              <w:t>9</w:t>
            </w:r>
          </w:p>
        </w:tc>
        <w:tc>
          <w:tcPr>
            <w:tcW w:w="593" w:type="dxa"/>
            <w:tcBorders>
              <w:top w:val="single" w:sz="6" w:space="0" w:color="000000"/>
              <w:right w:val="single" w:sz="6" w:space="0" w:color="000000"/>
            </w:tcBorders>
          </w:tcPr>
          <w:p>
            <w:pPr>
              <w:pStyle w:val="TAC"/>
              <w:rPr>
                <w:lang w:val="en-GB"/>
              </w:rPr>
            </w:pPr>
            <w:r>
              <w:rPr>
                <w:lang w:val="en-GB"/>
              </w:rPr>
              <w:t>9</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BTS MIM</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60" w:type="dxa"/>
            <w:tcBorders>
              <w:right w:val="single" w:sz="6" w:space="0" w:color="000000"/>
            </w:tcBorders>
            <w:shd w:fill="DFDFDF" w:val="clear"/>
          </w:tcPr>
          <w:p>
            <w:pPr>
              <w:pStyle w:val="TAC"/>
              <w:snapToGrid w:val="false"/>
              <w:rPr>
                <w:lang w:val="en-GB"/>
              </w:rPr>
            </w:pPr>
            <w:r>
              <w:rPr>
                <w:lang w:val="en-GB"/>
              </w:rPr>
            </w:r>
          </w:p>
        </w:tc>
        <w:tc>
          <w:tcPr>
            <w:tcW w:w="658" w:type="dxa"/>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81" w:type="dxa"/>
            <w:gridSpan w:val="2"/>
            <w:tcBorders>
              <w:right w:val="single" w:sz="6" w:space="0" w:color="000000"/>
            </w:tcBorders>
            <w:shd w:fill="DFDFDF" w:val="clear"/>
          </w:tcPr>
          <w:p>
            <w:pPr>
              <w:pStyle w:val="TAC"/>
              <w:rPr>
                <w:lang w:val="en-GB"/>
              </w:rPr>
            </w:pPr>
            <w:r>
              <w:rPr>
                <w:lang w:val="en-GB"/>
              </w:rPr>
              <w:t>10</w:t>
            </w:r>
          </w:p>
        </w:tc>
        <w:tc>
          <w:tcPr>
            <w:tcW w:w="553" w:type="dxa"/>
            <w:gridSpan w:val="2"/>
            <w:tcBorders>
              <w:right w:val="single" w:sz="6" w:space="0" w:color="000000"/>
            </w:tcBorders>
            <w:shd w:fill="DFDFDF" w:val="clear"/>
          </w:tcPr>
          <w:p>
            <w:pPr>
              <w:pStyle w:val="TAC"/>
              <w:rPr>
                <w:lang w:val="en-GB"/>
              </w:rPr>
            </w:pPr>
            <w:r>
              <w:rPr>
                <w:lang w:val="en-GB"/>
              </w:rPr>
              <w:t>10</w:t>
            </w:r>
          </w:p>
        </w:tc>
        <w:tc>
          <w:tcPr>
            <w:tcW w:w="35" w:type="dxa"/>
            <w:tcBorders>
              <w:right w:val="single" w:sz="6" w:space="0" w:color="000000"/>
            </w:tcBorders>
            <w:shd w:fill="DFDFDF" w:val="clear"/>
          </w:tcPr>
          <w:p>
            <w:pPr>
              <w:pStyle w:val="TAC"/>
              <w:snapToGrid w:val="false"/>
              <w:rPr>
                <w:lang w:val="en-GB"/>
              </w:rPr>
            </w:pPr>
            <w:r>
              <w:rPr>
                <w:lang w:val="en-GB"/>
              </w:rPr>
            </w:r>
          </w:p>
        </w:tc>
        <w:tc>
          <w:tcPr>
            <w:tcW w:w="721" w:type="dxa"/>
            <w:gridSpan w:val="4"/>
            <w:tcBorders>
              <w:right w:val="single" w:sz="6" w:space="0" w:color="000000"/>
            </w:tcBorders>
            <w:shd w:fill="DFDFDF" w:val="clear"/>
          </w:tcPr>
          <w:p>
            <w:pPr>
              <w:pStyle w:val="TAC"/>
              <w:rPr>
                <w:lang w:val="en-GB"/>
              </w:rPr>
            </w:pPr>
            <w:r>
              <w:rPr>
                <w:lang w:val="en-GB"/>
              </w:rPr>
              <w:t>10</w:t>
            </w:r>
          </w:p>
        </w:tc>
        <w:tc>
          <w:tcPr>
            <w:tcW w:w="566"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93" w:type="dxa"/>
            <w:tcBorders>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MS Margin</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60" w:type="dxa"/>
            <w:tcBorders>
              <w:right w:val="single" w:sz="6" w:space="0" w:color="000000"/>
            </w:tcBorders>
            <w:shd w:fill="DFDFDF" w:val="clear"/>
          </w:tcPr>
          <w:p>
            <w:pPr>
              <w:pStyle w:val="TAC"/>
              <w:snapToGrid w:val="false"/>
              <w:rPr>
                <w:lang w:val="en-GB"/>
              </w:rPr>
            </w:pPr>
            <w:r>
              <w:rPr>
                <w:lang w:val="en-GB"/>
              </w:rPr>
            </w:r>
          </w:p>
        </w:tc>
        <w:tc>
          <w:tcPr>
            <w:tcW w:w="658" w:type="dxa"/>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81" w:type="dxa"/>
            <w:gridSpan w:val="2"/>
            <w:tcBorders>
              <w:right w:val="single" w:sz="6" w:space="0" w:color="000000"/>
            </w:tcBorders>
            <w:shd w:fill="DFDFDF" w:val="clear"/>
          </w:tcPr>
          <w:p>
            <w:pPr>
              <w:pStyle w:val="TAC"/>
              <w:rPr>
                <w:lang w:val="en-GB"/>
              </w:rPr>
            </w:pPr>
            <w:r>
              <w:rPr>
                <w:lang w:val="en-GB"/>
              </w:rPr>
              <w:t>10</w:t>
            </w:r>
          </w:p>
        </w:tc>
        <w:tc>
          <w:tcPr>
            <w:tcW w:w="553" w:type="dxa"/>
            <w:gridSpan w:val="2"/>
            <w:tcBorders>
              <w:right w:val="single" w:sz="6" w:space="0" w:color="000000"/>
            </w:tcBorders>
            <w:shd w:fill="DFDFDF" w:val="clear"/>
          </w:tcPr>
          <w:p>
            <w:pPr>
              <w:pStyle w:val="TAC"/>
              <w:rPr>
                <w:lang w:val="en-GB"/>
              </w:rPr>
            </w:pPr>
            <w:r>
              <w:rPr>
                <w:lang w:val="en-GB"/>
              </w:rPr>
              <w:t>10</w:t>
            </w:r>
          </w:p>
        </w:tc>
        <w:tc>
          <w:tcPr>
            <w:tcW w:w="35" w:type="dxa"/>
            <w:tcBorders>
              <w:right w:val="single" w:sz="6" w:space="0" w:color="000000"/>
            </w:tcBorders>
            <w:shd w:fill="DFDFDF" w:val="clear"/>
          </w:tcPr>
          <w:p>
            <w:pPr>
              <w:pStyle w:val="TAC"/>
              <w:snapToGrid w:val="false"/>
              <w:rPr>
                <w:lang w:val="en-GB"/>
              </w:rPr>
            </w:pPr>
            <w:r>
              <w:rPr>
                <w:lang w:val="en-GB"/>
              </w:rPr>
            </w:r>
          </w:p>
        </w:tc>
        <w:tc>
          <w:tcPr>
            <w:tcW w:w="721" w:type="dxa"/>
            <w:gridSpan w:val="4"/>
            <w:tcBorders>
              <w:right w:val="single" w:sz="6" w:space="0" w:color="000000"/>
            </w:tcBorders>
            <w:shd w:fill="DFDFDF" w:val="clear"/>
          </w:tcPr>
          <w:p>
            <w:pPr>
              <w:pStyle w:val="TAC"/>
              <w:rPr>
                <w:lang w:val="en-GB"/>
              </w:rPr>
            </w:pPr>
            <w:r>
              <w:rPr>
                <w:lang w:val="en-GB"/>
              </w:rPr>
              <w:t>10</w:t>
            </w:r>
          </w:p>
        </w:tc>
        <w:tc>
          <w:tcPr>
            <w:tcW w:w="566"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93" w:type="dxa"/>
            <w:tcBorders>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bottom w:val="single" w:sz="6" w:space="0" w:color="000000"/>
              <w:right w:val="single" w:sz="6" w:space="0" w:color="000000"/>
            </w:tcBorders>
          </w:tcPr>
          <w:p>
            <w:pPr>
              <w:pStyle w:val="TAL"/>
              <w:rPr>
                <w:lang w:val="en-GB"/>
              </w:rPr>
            </w:pPr>
            <w:r>
              <w:rPr>
                <w:lang w:val="en-GB"/>
              </w:rPr>
              <w:t>BTS Div. Gain</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60" w:type="dxa"/>
            <w:tcBorders>
              <w:bottom w:val="single" w:sz="6" w:space="0" w:color="000000"/>
              <w:right w:val="single" w:sz="6" w:space="0" w:color="000000"/>
            </w:tcBorders>
            <w:shd w:fill="DFDFDF" w:val="clear"/>
          </w:tcPr>
          <w:p>
            <w:pPr>
              <w:pStyle w:val="TAC"/>
              <w:snapToGrid w:val="false"/>
              <w:rPr>
                <w:lang w:val="en-GB"/>
              </w:rPr>
            </w:pPr>
            <w:r>
              <w:rPr>
                <w:lang w:val="en-GB"/>
              </w:rPr>
            </w:r>
          </w:p>
        </w:tc>
        <w:tc>
          <w:tcPr>
            <w:tcW w:w="658"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81"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53"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35" w:type="dxa"/>
            <w:tcBorders>
              <w:bottom w:val="single" w:sz="6" w:space="0" w:color="000000"/>
              <w:right w:val="single" w:sz="6" w:space="0" w:color="000000"/>
            </w:tcBorders>
            <w:shd w:fill="DFDFDF" w:val="clear"/>
          </w:tcPr>
          <w:p>
            <w:pPr>
              <w:pStyle w:val="TAC"/>
              <w:snapToGrid w:val="false"/>
              <w:rPr>
                <w:lang w:val="en-GB"/>
              </w:rPr>
            </w:pPr>
            <w:r>
              <w:rPr>
                <w:lang w:val="en-GB"/>
              </w:rPr>
            </w:r>
          </w:p>
        </w:tc>
        <w:tc>
          <w:tcPr>
            <w:tcW w:w="721" w:type="dxa"/>
            <w:gridSpan w:val="4"/>
            <w:tcBorders>
              <w:bottom w:val="single" w:sz="6" w:space="0" w:color="000000"/>
              <w:right w:val="single" w:sz="6" w:space="0" w:color="000000"/>
            </w:tcBorders>
            <w:shd w:fill="DFDFDF" w:val="clear"/>
          </w:tcPr>
          <w:p>
            <w:pPr>
              <w:pStyle w:val="TAC"/>
              <w:rPr>
                <w:lang w:val="en-GB"/>
              </w:rPr>
            </w:pPr>
            <w:r>
              <w:rPr>
                <w:lang w:val="en-GB"/>
              </w:rPr>
              <w:t>3</w:t>
            </w:r>
          </w:p>
        </w:tc>
        <w:tc>
          <w:tcPr>
            <w:tcW w:w="566"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93" w:type="dxa"/>
            <w:tcBorders>
              <w:bottom w:val="single" w:sz="6" w:space="0" w:color="000000"/>
              <w:right w:val="single" w:sz="6" w:space="0" w:color="000000"/>
            </w:tcBorders>
            <w:shd w:fill="DFDFDF" w:val="clear"/>
          </w:tcPr>
          <w:p>
            <w:pPr>
              <w:pStyle w:val="TAC"/>
              <w:rPr>
                <w:lang w:val="en-GB"/>
              </w:rPr>
            </w:pPr>
            <w:r>
              <w:rPr>
                <w:lang w:val="en-GB"/>
              </w:rPr>
              <w:t>3</w:t>
            </w:r>
          </w:p>
        </w:tc>
      </w:tr>
      <w:tr>
        <w:trPr>
          <w:trHeight w:val="259" w:hRule="atLeast"/>
        </w:trPr>
        <w:tc>
          <w:tcPr>
            <w:tcW w:w="1452" w:type="dxa"/>
            <w:tcBorders>
              <w:left w:val="single" w:sz="6" w:space="0" w:color="000000"/>
            </w:tcBorders>
          </w:tcPr>
          <w:p>
            <w:pPr>
              <w:pStyle w:val="TAL"/>
              <w:rPr>
                <w:lang w:val="en-GB"/>
              </w:rPr>
            </w:pPr>
            <w:r>
              <w:rPr>
                <w:lang w:val="en-GB"/>
              </w:rPr>
              <w:t>MS Power</w:t>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tcBorders>
              <w:right w:val="single" w:sz="6" w:space="0" w:color="000000"/>
            </w:tcBorders>
          </w:tcPr>
          <w:p>
            <w:pPr>
              <w:pStyle w:val="TAC"/>
              <w:rPr>
                <w:lang w:val="en-GB"/>
              </w:rPr>
            </w:pPr>
            <w:r>
              <w:rPr>
                <w:lang w:val="en-GB"/>
              </w:rPr>
              <w:t>30</w:t>
            </w:r>
          </w:p>
        </w:tc>
        <w:tc>
          <w:tcPr>
            <w:tcW w:w="60" w:type="dxa"/>
            <w:tcBorders/>
          </w:tcPr>
          <w:p>
            <w:pPr>
              <w:pStyle w:val="TAC"/>
              <w:snapToGrid w:val="false"/>
              <w:rPr>
                <w:lang w:val="en-GB"/>
              </w:rPr>
            </w:pPr>
            <w:r>
              <w:rPr>
                <w:lang w:val="en-GB"/>
              </w:rPr>
            </w:r>
          </w:p>
        </w:tc>
        <w:tc>
          <w:tcPr>
            <w:tcW w:w="658" w:type="dxa"/>
            <w:tcBorders>
              <w:left w:val="single" w:sz="6" w:space="0" w:color="000000"/>
              <w:right w:val="single" w:sz="6" w:space="0" w:color="000000"/>
            </w:tcBorders>
          </w:tcPr>
          <w:p>
            <w:pPr>
              <w:pStyle w:val="TAC"/>
              <w:rPr>
                <w:lang w:val="en-GB"/>
              </w:rPr>
            </w:pPr>
            <w:r>
              <w:rPr>
                <w:lang w:val="en-GB"/>
              </w:rPr>
              <w:t>29</w:t>
            </w:r>
          </w:p>
        </w:tc>
        <w:tc>
          <w:tcPr>
            <w:tcW w:w="567" w:type="dxa"/>
            <w:gridSpan w:val="2"/>
            <w:tcBorders>
              <w:left w:val="single" w:sz="6" w:space="0" w:color="000000"/>
              <w:right w:val="single" w:sz="6" w:space="0" w:color="000000"/>
            </w:tcBorders>
          </w:tcPr>
          <w:p>
            <w:pPr>
              <w:pStyle w:val="TAC"/>
              <w:rPr>
                <w:lang w:val="en-GB"/>
              </w:rPr>
            </w:pPr>
            <w:r>
              <w:rPr>
                <w:lang w:val="en-GB"/>
              </w:rPr>
              <w:t>29</w:t>
            </w:r>
          </w:p>
        </w:tc>
        <w:tc>
          <w:tcPr>
            <w:tcW w:w="567" w:type="dxa"/>
            <w:gridSpan w:val="2"/>
            <w:tcBorders>
              <w:left w:val="single" w:sz="6" w:space="0" w:color="000000"/>
              <w:right w:val="single" w:sz="6" w:space="0" w:color="000000"/>
            </w:tcBorders>
          </w:tcPr>
          <w:p>
            <w:pPr>
              <w:pStyle w:val="TAC"/>
              <w:rPr>
                <w:lang w:val="en-GB"/>
              </w:rPr>
            </w:pPr>
            <w:r>
              <w:rPr>
                <w:lang w:val="en-GB"/>
              </w:rPr>
              <w:t>29</w:t>
            </w:r>
          </w:p>
        </w:tc>
        <w:tc>
          <w:tcPr>
            <w:tcW w:w="581" w:type="dxa"/>
            <w:gridSpan w:val="2"/>
            <w:tcBorders>
              <w:left w:val="single" w:sz="6" w:space="0" w:color="000000"/>
              <w:right w:val="single" w:sz="6" w:space="0" w:color="000000"/>
            </w:tcBorders>
          </w:tcPr>
          <w:p>
            <w:pPr>
              <w:pStyle w:val="TAC"/>
              <w:rPr>
                <w:lang w:val="en-GB"/>
              </w:rPr>
            </w:pPr>
            <w:r>
              <w:rPr>
                <w:lang w:val="en-GB"/>
              </w:rPr>
              <w:t>29</w:t>
            </w:r>
          </w:p>
        </w:tc>
        <w:tc>
          <w:tcPr>
            <w:tcW w:w="553" w:type="dxa"/>
            <w:gridSpan w:val="2"/>
            <w:tcBorders>
              <w:left w:val="single" w:sz="6" w:space="0" w:color="000000"/>
              <w:right w:val="single" w:sz="6" w:space="0" w:color="000000"/>
            </w:tcBorders>
          </w:tcPr>
          <w:p>
            <w:pPr>
              <w:pStyle w:val="TAC"/>
              <w:rPr>
                <w:lang w:val="en-GB"/>
              </w:rPr>
            </w:pPr>
            <w:r>
              <w:rPr>
                <w:lang w:val="en-GB"/>
              </w:rPr>
              <w:t>29</w:t>
            </w:r>
          </w:p>
        </w:tc>
        <w:tc>
          <w:tcPr>
            <w:tcW w:w="35" w:type="dxa"/>
            <w:tcBorders/>
          </w:tcPr>
          <w:p>
            <w:pPr>
              <w:pStyle w:val="TAC"/>
              <w:snapToGrid w:val="false"/>
              <w:rPr>
                <w:lang w:val="en-GB"/>
              </w:rPr>
            </w:pPr>
            <w:r>
              <w:rPr>
                <w:lang w:val="en-GB"/>
              </w:rPr>
            </w:r>
          </w:p>
        </w:tc>
        <w:tc>
          <w:tcPr>
            <w:tcW w:w="721" w:type="dxa"/>
            <w:gridSpan w:val="4"/>
            <w:tcBorders>
              <w:left w:val="single" w:sz="6" w:space="0" w:color="000000"/>
              <w:right w:val="single" w:sz="6" w:space="0" w:color="000000"/>
            </w:tcBorders>
          </w:tcPr>
          <w:p>
            <w:pPr>
              <w:pStyle w:val="TAC"/>
              <w:rPr>
                <w:lang w:val="en-GB"/>
              </w:rPr>
            </w:pPr>
            <w:r>
              <w:rPr>
                <w:lang w:val="en-GB"/>
              </w:rPr>
              <w:t>30</w:t>
            </w:r>
          </w:p>
        </w:tc>
        <w:tc>
          <w:tcPr>
            <w:tcW w:w="566" w:type="dxa"/>
            <w:gridSpan w:val="2"/>
            <w:tcBorders>
              <w:left w:val="single" w:sz="6" w:space="0" w:color="000000"/>
              <w:right w:val="single" w:sz="6" w:space="0" w:color="000000"/>
            </w:tcBorders>
          </w:tcPr>
          <w:p>
            <w:pPr>
              <w:pStyle w:val="TAC"/>
              <w:rPr>
                <w:lang w:val="en-GB"/>
              </w:rPr>
            </w:pPr>
            <w:r>
              <w:rPr>
                <w:lang w:val="en-GB"/>
              </w:rPr>
              <w:t>30</w:t>
            </w:r>
          </w:p>
        </w:tc>
        <w:tc>
          <w:tcPr>
            <w:tcW w:w="567" w:type="dxa"/>
            <w:gridSpan w:val="2"/>
            <w:tcBorders>
              <w:right w:val="single" w:sz="6" w:space="0" w:color="000000"/>
            </w:tcBorders>
          </w:tcPr>
          <w:p>
            <w:pPr>
              <w:pStyle w:val="TAC"/>
              <w:rPr>
                <w:lang w:val="en-GB"/>
              </w:rPr>
            </w:pPr>
            <w:r>
              <w:rPr>
                <w:lang w:val="en-GB"/>
              </w:rPr>
              <w:t>30</w:t>
            </w:r>
          </w:p>
        </w:tc>
        <w:tc>
          <w:tcPr>
            <w:tcW w:w="593" w:type="dxa"/>
            <w:tcBorders>
              <w:right w:val="single" w:sz="6" w:space="0" w:color="000000"/>
            </w:tcBorders>
          </w:tcPr>
          <w:p>
            <w:pPr>
              <w:pStyle w:val="TAC"/>
              <w:rPr>
                <w:lang w:val="en-GB"/>
              </w:rPr>
            </w:pPr>
            <w:r>
              <w:rPr>
                <w:lang w:val="en-GB"/>
              </w:rPr>
              <w:t>30</w:t>
            </w:r>
          </w:p>
        </w:tc>
      </w:tr>
      <w:tr>
        <w:trPr>
          <w:trHeight w:val="259" w:hRule="atLeast"/>
        </w:trPr>
        <w:tc>
          <w:tcPr>
            <w:tcW w:w="1452" w:type="dxa"/>
            <w:tcBorders>
              <w:left w:val="single" w:sz="6" w:space="0" w:color="000000"/>
            </w:tcBorders>
          </w:tcPr>
          <w:p>
            <w:pPr>
              <w:pStyle w:val="TAL"/>
              <w:rPr>
                <w:lang w:val="en-GB"/>
              </w:rPr>
            </w:pPr>
            <w:r>
              <w:rPr>
                <w:lang w:val="en-GB"/>
              </w:rPr>
              <w:t>MS Noise</w:t>
            </w:r>
          </w:p>
        </w:tc>
        <w:tc>
          <w:tcPr>
            <w:tcW w:w="567" w:type="dxa"/>
            <w:tcBorders>
              <w:left w:val="single" w:sz="6" w:space="0" w:color="000000"/>
              <w:right w:val="single" w:sz="6" w:space="0" w:color="000000"/>
            </w:tcBorders>
          </w:tcPr>
          <w:p>
            <w:pPr>
              <w:pStyle w:val="TAC"/>
              <w:rPr>
                <w:lang w:val="en-GB"/>
              </w:rPr>
            </w:pPr>
            <w:r>
              <w:rPr>
                <w:lang w:val="en-GB"/>
              </w:rPr>
              <w:t>-44</w:t>
            </w:r>
          </w:p>
        </w:tc>
        <w:tc>
          <w:tcPr>
            <w:tcW w:w="567" w:type="dxa"/>
            <w:tcBorders>
              <w:right w:val="single" w:sz="6" w:space="0" w:color="000000"/>
            </w:tcBorders>
          </w:tcPr>
          <w:p>
            <w:pPr>
              <w:pStyle w:val="TAC"/>
              <w:rPr>
                <w:lang w:val="en-GB"/>
              </w:rPr>
            </w:pPr>
            <w:r>
              <w:rPr>
                <w:lang w:val="en-GB"/>
              </w:rPr>
              <w:t>-48</w:t>
            </w:r>
          </w:p>
        </w:tc>
        <w:tc>
          <w:tcPr>
            <w:tcW w:w="60" w:type="dxa"/>
            <w:tcBorders/>
          </w:tcPr>
          <w:p>
            <w:pPr>
              <w:pStyle w:val="TAC"/>
              <w:snapToGrid w:val="false"/>
              <w:rPr>
                <w:lang w:val="en-GB"/>
              </w:rPr>
            </w:pPr>
            <w:r>
              <w:rPr>
                <w:lang w:val="en-GB"/>
              </w:rPr>
            </w:r>
          </w:p>
        </w:tc>
        <w:tc>
          <w:tcPr>
            <w:tcW w:w="658" w:type="dxa"/>
            <w:tcBorders>
              <w:left w:val="single" w:sz="6" w:space="0" w:color="000000"/>
              <w:right w:val="single" w:sz="6" w:space="0" w:color="000000"/>
            </w:tcBorders>
          </w:tcPr>
          <w:p>
            <w:pPr>
              <w:pStyle w:val="TAC"/>
              <w:rPr>
                <w:lang w:val="en-GB"/>
              </w:rPr>
            </w:pPr>
            <w:r>
              <w:rPr>
                <w:lang w:val="en-GB"/>
              </w:rPr>
              <w:t>-44</w:t>
            </w:r>
          </w:p>
        </w:tc>
        <w:tc>
          <w:tcPr>
            <w:tcW w:w="567" w:type="dxa"/>
            <w:gridSpan w:val="2"/>
            <w:tcBorders>
              <w:left w:val="single" w:sz="6" w:space="0" w:color="000000"/>
              <w:right w:val="single" w:sz="6" w:space="0" w:color="000000"/>
            </w:tcBorders>
          </w:tcPr>
          <w:p>
            <w:pPr>
              <w:pStyle w:val="TAC"/>
              <w:rPr>
                <w:lang w:val="en-GB"/>
              </w:rPr>
            </w:pPr>
            <w:r>
              <w:rPr>
                <w:lang w:val="en-GB"/>
              </w:rPr>
              <w:t>-44</w:t>
            </w:r>
          </w:p>
        </w:tc>
        <w:tc>
          <w:tcPr>
            <w:tcW w:w="567" w:type="dxa"/>
            <w:gridSpan w:val="2"/>
            <w:tcBorders>
              <w:left w:val="single" w:sz="6" w:space="0" w:color="000000"/>
              <w:right w:val="single" w:sz="6" w:space="0" w:color="000000"/>
            </w:tcBorders>
          </w:tcPr>
          <w:p>
            <w:pPr>
              <w:pStyle w:val="TAC"/>
              <w:rPr>
                <w:lang w:val="en-GB"/>
              </w:rPr>
            </w:pPr>
            <w:r>
              <w:rPr>
                <w:lang w:val="en-GB"/>
              </w:rPr>
              <w:t>-44</w:t>
            </w:r>
          </w:p>
        </w:tc>
        <w:tc>
          <w:tcPr>
            <w:tcW w:w="581" w:type="dxa"/>
            <w:gridSpan w:val="2"/>
            <w:tcBorders>
              <w:left w:val="single" w:sz="6" w:space="0" w:color="000000"/>
              <w:right w:val="single" w:sz="6" w:space="0" w:color="000000"/>
            </w:tcBorders>
          </w:tcPr>
          <w:p>
            <w:pPr>
              <w:pStyle w:val="TAC"/>
              <w:rPr>
                <w:lang w:val="en-GB"/>
              </w:rPr>
            </w:pPr>
            <w:r>
              <w:rPr>
                <w:lang w:val="en-GB"/>
              </w:rPr>
              <w:t>-44</w:t>
            </w:r>
          </w:p>
        </w:tc>
        <w:tc>
          <w:tcPr>
            <w:tcW w:w="553" w:type="dxa"/>
            <w:gridSpan w:val="2"/>
            <w:tcBorders>
              <w:left w:val="single" w:sz="6" w:space="0" w:color="000000"/>
              <w:right w:val="single" w:sz="6" w:space="0" w:color="000000"/>
            </w:tcBorders>
          </w:tcPr>
          <w:p>
            <w:pPr>
              <w:pStyle w:val="TAC"/>
              <w:rPr>
                <w:lang w:val="en-GB"/>
              </w:rPr>
            </w:pPr>
            <w:r>
              <w:rPr>
                <w:lang w:val="en-GB"/>
              </w:rPr>
              <w:t>-44</w:t>
            </w:r>
          </w:p>
        </w:tc>
        <w:tc>
          <w:tcPr>
            <w:tcW w:w="35" w:type="dxa"/>
            <w:tcBorders/>
          </w:tcPr>
          <w:p>
            <w:pPr>
              <w:pStyle w:val="TAC"/>
              <w:snapToGrid w:val="false"/>
              <w:rPr>
                <w:lang w:val="en-GB"/>
              </w:rPr>
            </w:pPr>
            <w:r>
              <w:rPr>
                <w:lang w:val="en-GB"/>
              </w:rPr>
            </w:r>
          </w:p>
        </w:tc>
        <w:tc>
          <w:tcPr>
            <w:tcW w:w="721" w:type="dxa"/>
            <w:gridSpan w:val="4"/>
            <w:tcBorders>
              <w:left w:val="single" w:sz="6" w:space="0" w:color="000000"/>
              <w:right w:val="single" w:sz="6" w:space="0" w:color="000000"/>
            </w:tcBorders>
          </w:tcPr>
          <w:p>
            <w:pPr>
              <w:pStyle w:val="TAC"/>
              <w:rPr>
                <w:lang w:val="en-GB"/>
              </w:rPr>
            </w:pPr>
            <w:r>
              <w:rPr>
                <w:lang w:val="en-GB"/>
              </w:rPr>
              <w:t>-48</w:t>
            </w:r>
          </w:p>
        </w:tc>
        <w:tc>
          <w:tcPr>
            <w:tcW w:w="566" w:type="dxa"/>
            <w:gridSpan w:val="2"/>
            <w:tcBorders>
              <w:left w:val="single" w:sz="6" w:space="0" w:color="000000"/>
              <w:right w:val="single" w:sz="6" w:space="0" w:color="000000"/>
            </w:tcBorders>
          </w:tcPr>
          <w:p>
            <w:pPr>
              <w:pStyle w:val="TAC"/>
              <w:rPr>
                <w:lang w:val="en-GB"/>
              </w:rPr>
            </w:pPr>
            <w:r>
              <w:rPr>
                <w:lang w:val="en-GB"/>
              </w:rPr>
              <w:t>-48</w:t>
            </w:r>
          </w:p>
        </w:tc>
        <w:tc>
          <w:tcPr>
            <w:tcW w:w="567" w:type="dxa"/>
            <w:gridSpan w:val="2"/>
            <w:tcBorders>
              <w:right w:val="single" w:sz="6" w:space="0" w:color="000000"/>
            </w:tcBorders>
          </w:tcPr>
          <w:p>
            <w:pPr>
              <w:pStyle w:val="TAC"/>
              <w:rPr>
                <w:lang w:val="en-GB"/>
              </w:rPr>
            </w:pPr>
            <w:r>
              <w:rPr>
                <w:lang w:val="en-GB"/>
              </w:rPr>
              <w:t>-48</w:t>
            </w:r>
          </w:p>
        </w:tc>
        <w:tc>
          <w:tcPr>
            <w:tcW w:w="593" w:type="dxa"/>
            <w:tcBorders>
              <w:right w:val="single" w:sz="6" w:space="0" w:color="000000"/>
            </w:tcBorders>
          </w:tcPr>
          <w:p>
            <w:pPr>
              <w:pStyle w:val="TAC"/>
              <w:rPr>
                <w:lang w:val="en-GB"/>
              </w:rPr>
            </w:pPr>
            <w:r>
              <w:rPr>
                <w:lang w:val="en-GB"/>
              </w:rPr>
              <w:t>-48</w:t>
            </w:r>
          </w:p>
        </w:tc>
      </w:tr>
      <w:tr>
        <w:trPr>
          <w:trHeight w:val="259" w:hRule="atLeast"/>
        </w:trPr>
        <w:tc>
          <w:tcPr>
            <w:tcW w:w="1452" w:type="dxa"/>
            <w:tcBorders>
              <w:left w:val="single" w:sz="6" w:space="0" w:color="000000"/>
            </w:tcBorders>
          </w:tcPr>
          <w:p>
            <w:pPr>
              <w:pStyle w:val="TAL"/>
              <w:rPr>
                <w:lang w:val="en-GB"/>
              </w:rPr>
            </w:pPr>
            <w:r>
              <w:rPr>
                <w:lang w:val="en-GB"/>
              </w:rPr>
              <w:t>MS Blocking</w:t>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tcBorders>
              <w:right w:val="single" w:sz="6" w:space="0" w:color="000000"/>
            </w:tcBorders>
          </w:tcPr>
          <w:p>
            <w:pPr>
              <w:pStyle w:val="TAC"/>
              <w:rPr>
                <w:lang w:val="en-GB"/>
              </w:rPr>
            </w:pPr>
            <w:r>
              <w:rPr>
                <w:lang w:val="en-GB"/>
              </w:rPr>
              <w:t>-26</w:t>
            </w:r>
          </w:p>
        </w:tc>
        <w:tc>
          <w:tcPr>
            <w:tcW w:w="60" w:type="dxa"/>
            <w:tcBorders/>
          </w:tcPr>
          <w:p>
            <w:pPr>
              <w:pStyle w:val="TAC"/>
              <w:snapToGrid w:val="false"/>
              <w:rPr>
                <w:lang w:val="en-GB"/>
              </w:rPr>
            </w:pPr>
            <w:r>
              <w:rPr>
                <w:lang w:val="en-GB"/>
              </w:rPr>
            </w:r>
          </w:p>
        </w:tc>
        <w:tc>
          <w:tcPr>
            <w:tcW w:w="658" w:type="dxa"/>
            <w:tcBorders>
              <w:left w:val="single" w:sz="6" w:space="0" w:color="000000"/>
              <w:right w:val="single" w:sz="6" w:space="0" w:color="000000"/>
            </w:tcBorders>
          </w:tcPr>
          <w:p>
            <w:pPr>
              <w:pStyle w:val="TAC"/>
              <w:rPr>
                <w:lang w:val="en-GB"/>
              </w:rPr>
            </w:pPr>
            <w:r>
              <w:rPr>
                <w:lang w:val="en-GB"/>
              </w:rPr>
              <w:t>-23</w:t>
            </w:r>
          </w:p>
        </w:tc>
        <w:tc>
          <w:tcPr>
            <w:tcW w:w="567" w:type="dxa"/>
            <w:gridSpan w:val="2"/>
            <w:tcBorders>
              <w:left w:val="single" w:sz="6" w:space="0" w:color="000000"/>
              <w:right w:val="single" w:sz="6" w:space="0" w:color="000000"/>
            </w:tcBorders>
          </w:tcPr>
          <w:p>
            <w:pPr>
              <w:pStyle w:val="TAC"/>
              <w:rPr>
                <w:lang w:val="en-GB"/>
              </w:rPr>
            </w:pPr>
            <w:r>
              <w:rPr>
                <w:lang w:val="en-GB"/>
              </w:rPr>
              <w:t>-23</w:t>
            </w:r>
          </w:p>
        </w:tc>
        <w:tc>
          <w:tcPr>
            <w:tcW w:w="567" w:type="dxa"/>
            <w:gridSpan w:val="2"/>
            <w:tcBorders>
              <w:left w:val="single" w:sz="6" w:space="0" w:color="000000"/>
              <w:right w:val="single" w:sz="6" w:space="0" w:color="000000"/>
            </w:tcBorders>
          </w:tcPr>
          <w:p>
            <w:pPr>
              <w:pStyle w:val="TAC"/>
              <w:rPr>
                <w:lang w:val="en-GB"/>
              </w:rPr>
            </w:pPr>
            <w:r>
              <w:rPr>
                <w:lang w:val="en-GB"/>
              </w:rPr>
              <w:t>-23</w:t>
            </w:r>
          </w:p>
        </w:tc>
        <w:tc>
          <w:tcPr>
            <w:tcW w:w="581" w:type="dxa"/>
            <w:gridSpan w:val="2"/>
            <w:tcBorders>
              <w:left w:val="single" w:sz="6" w:space="0" w:color="000000"/>
              <w:right w:val="single" w:sz="6" w:space="0" w:color="000000"/>
            </w:tcBorders>
          </w:tcPr>
          <w:p>
            <w:pPr>
              <w:pStyle w:val="TAC"/>
              <w:rPr>
                <w:lang w:val="en-GB"/>
              </w:rPr>
            </w:pPr>
            <w:r>
              <w:rPr>
                <w:lang w:val="en-GB"/>
              </w:rPr>
              <w:t>-23</w:t>
            </w:r>
          </w:p>
        </w:tc>
        <w:tc>
          <w:tcPr>
            <w:tcW w:w="553" w:type="dxa"/>
            <w:gridSpan w:val="2"/>
            <w:tcBorders>
              <w:left w:val="single" w:sz="6" w:space="0" w:color="000000"/>
              <w:right w:val="single" w:sz="6" w:space="0" w:color="000000"/>
            </w:tcBorders>
          </w:tcPr>
          <w:p>
            <w:pPr>
              <w:pStyle w:val="TAC"/>
              <w:rPr>
                <w:lang w:val="en-GB"/>
              </w:rPr>
            </w:pPr>
            <w:r>
              <w:rPr>
                <w:lang w:val="en-GB"/>
              </w:rPr>
              <w:t>-23</w:t>
            </w:r>
          </w:p>
        </w:tc>
        <w:tc>
          <w:tcPr>
            <w:tcW w:w="35" w:type="dxa"/>
            <w:tcBorders/>
          </w:tcPr>
          <w:p>
            <w:pPr>
              <w:pStyle w:val="TAC"/>
              <w:snapToGrid w:val="false"/>
              <w:rPr>
                <w:lang w:val="en-GB"/>
              </w:rPr>
            </w:pPr>
            <w:r>
              <w:rPr>
                <w:lang w:val="en-GB"/>
              </w:rPr>
            </w:r>
          </w:p>
        </w:tc>
        <w:tc>
          <w:tcPr>
            <w:tcW w:w="721" w:type="dxa"/>
            <w:gridSpan w:val="4"/>
            <w:tcBorders>
              <w:left w:val="single" w:sz="6" w:space="0" w:color="000000"/>
              <w:right w:val="single" w:sz="6" w:space="0" w:color="000000"/>
            </w:tcBorders>
          </w:tcPr>
          <w:p>
            <w:pPr>
              <w:pStyle w:val="TAC"/>
              <w:rPr>
                <w:lang w:val="en-GB"/>
              </w:rPr>
            </w:pPr>
            <w:r>
              <w:rPr>
                <w:lang w:val="en-GB"/>
              </w:rPr>
              <w:t>-26</w:t>
            </w:r>
          </w:p>
        </w:tc>
        <w:tc>
          <w:tcPr>
            <w:tcW w:w="566" w:type="dxa"/>
            <w:gridSpan w:val="2"/>
            <w:tcBorders>
              <w:left w:val="single" w:sz="6" w:space="0" w:color="000000"/>
              <w:right w:val="single" w:sz="6" w:space="0" w:color="000000"/>
            </w:tcBorders>
          </w:tcPr>
          <w:p>
            <w:pPr>
              <w:pStyle w:val="TAC"/>
              <w:rPr>
                <w:lang w:val="en-GB"/>
              </w:rPr>
            </w:pPr>
            <w:r>
              <w:rPr>
                <w:lang w:val="en-GB"/>
              </w:rPr>
              <w:t>-26</w:t>
            </w:r>
          </w:p>
        </w:tc>
        <w:tc>
          <w:tcPr>
            <w:tcW w:w="567" w:type="dxa"/>
            <w:gridSpan w:val="2"/>
            <w:tcBorders>
              <w:right w:val="single" w:sz="6" w:space="0" w:color="000000"/>
            </w:tcBorders>
          </w:tcPr>
          <w:p>
            <w:pPr>
              <w:pStyle w:val="TAC"/>
              <w:rPr>
                <w:lang w:val="en-GB"/>
              </w:rPr>
            </w:pPr>
            <w:r>
              <w:rPr>
                <w:lang w:val="en-GB"/>
              </w:rPr>
              <w:t>-26</w:t>
            </w:r>
          </w:p>
        </w:tc>
        <w:tc>
          <w:tcPr>
            <w:tcW w:w="593" w:type="dxa"/>
            <w:tcBorders>
              <w:right w:val="single" w:sz="6" w:space="0" w:color="000000"/>
            </w:tcBorders>
          </w:tcPr>
          <w:p>
            <w:pPr>
              <w:pStyle w:val="TAC"/>
              <w:rPr>
                <w:lang w:val="en-GB"/>
              </w:rPr>
            </w:pPr>
            <w:r>
              <w:rPr>
                <w:lang w:val="en-GB"/>
              </w:rPr>
              <w:t>-26</w:t>
            </w:r>
          </w:p>
        </w:tc>
      </w:tr>
      <w:tr>
        <w:trPr>
          <w:trHeight w:val="259" w:hRule="atLeast"/>
        </w:trPr>
        <w:tc>
          <w:tcPr>
            <w:tcW w:w="1452" w:type="dxa"/>
            <w:tcBorders>
              <w:left w:val="single" w:sz="6" w:space="0" w:color="000000"/>
            </w:tcBorders>
          </w:tcPr>
          <w:p>
            <w:pPr>
              <w:pStyle w:val="TAL"/>
              <w:rPr>
                <w:lang w:val="en-GB"/>
              </w:rPr>
            </w:pPr>
            <w:r>
              <w:rPr>
                <w:lang w:val="en-GB"/>
              </w:rPr>
              <w:t>MS Sensitivity</w:t>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tcBorders>
              <w:right w:val="single" w:sz="6" w:space="0" w:color="000000"/>
            </w:tcBorders>
          </w:tcPr>
          <w:p>
            <w:pPr>
              <w:pStyle w:val="TAC"/>
              <w:rPr>
                <w:lang w:val="en-GB"/>
              </w:rPr>
            </w:pPr>
            <w:r>
              <w:rPr>
                <w:lang w:val="en-GB"/>
              </w:rPr>
              <w:t>-100</w:t>
            </w:r>
          </w:p>
        </w:tc>
        <w:tc>
          <w:tcPr>
            <w:tcW w:w="60" w:type="dxa"/>
            <w:tcBorders/>
          </w:tcPr>
          <w:p>
            <w:pPr>
              <w:pStyle w:val="TAC"/>
              <w:snapToGrid w:val="false"/>
              <w:rPr>
                <w:lang w:val="en-GB"/>
              </w:rPr>
            </w:pPr>
            <w:r>
              <w:rPr>
                <w:lang w:val="en-GB"/>
              </w:rPr>
            </w:r>
          </w:p>
        </w:tc>
        <w:tc>
          <w:tcPr>
            <w:tcW w:w="658" w:type="dxa"/>
            <w:tcBorders>
              <w:left w:val="single" w:sz="6" w:space="0" w:color="000000"/>
              <w:right w:val="single" w:sz="6" w:space="0" w:color="000000"/>
            </w:tcBorders>
          </w:tcPr>
          <w:p>
            <w:pPr>
              <w:pStyle w:val="TAC"/>
              <w:rPr>
                <w:lang w:val="en-GB"/>
              </w:rPr>
            </w:pPr>
            <w:r>
              <w:rPr>
                <w:lang w:val="en-GB"/>
              </w:rPr>
              <w:t>-102</w:t>
            </w:r>
          </w:p>
        </w:tc>
        <w:tc>
          <w:tcPr>
            <w:tcW w:w="567" w:type="dxa"/>
            <w:gridSpan w:val="2"/>
            <w:tcBorders>
              <w:left w:val="single" w:sz="6" w:space="0" w:color="000000"/>
              <w:right w:val="single" w:sz="6" w:space="0" w:color="000000"/>
            </w:tcBorders>
          </w:tcPr>
          <w:p>
            <w:pPr>
              <w:pStyle w:val="TAC"/>
              <w:rPr>
                <w:lang w:val="en-GB"/>
              </w:rPr>
            </w:pPr>
            <w:r>
              <w:rPr>
                <w:lang w:val="en-GB"/>
              </w:rPr>
              <w:t>-102</w:t>
            </w:r>
          </w:p>
        </w:tc>
        <w:tc>
          <w:tcPr>
            <w:tcW w:w="567" w:type="dxa"/>
            <w:gridSpan w:val="2"/>
            <w:tcBorders>
              <w:left w:val="single" w:sz="6" w:space="0" w:color="000000"/>
              <w:right w:val="single" w:sz="6" w:space="0" w:color="000000"/>
            </w:tcBorders>
          </w:tcPr>
          <w:p>
            <w:pPr>
              <w:pStyle w:val="TAC"/>
              <w:rPr>
                <w:lang w:val="en-GB"/>
              </w:rPr>
            </w:pPr>
            <w:r>
              <w:rPr>
                <w:lang w:val="en-GB"/>
              </w:rPr>
              <w:t>-102</w:t>
            </w:r>
          </w:p>
        </w:tc>
        <w:tc>
          <w:tcPr>
            <w:tcW w:w="581" w:type="dxa"/>
            <w:gridSpan w:val="2"/>
            <w:tcBorders>
              <w:left w:val="single" w:sz="6" w:space="0" w:color="000000"/>
              <w:right w:val="single" w:sz="6" w:space="0" w:color="000000"/>
            </w:tcBorders>
          </w:tcPr>
          <w:p>
            <w:pPr>
              <w:pStyle w:val="TAC"/>
              <w:rPr>
                <w:lang w:val="en-GB"/>
              </w:rPr>
            </w:pPr>
            <w:r>
              <w:rPr>
                <w:lang w:val="en-GB"/>
              </w:rPr>
              <w:t>-102</w:t>
            </w:r>
          </w:p>
        </w:tc>
        <w:tc>
          <w:tcPr>
            <w:tcW w:w="553" w:type="dxa"/>
            <w:gridSpan w:val="2"/>
            <w:tcBorders>
              <w:left w:val="single" w:sz="6" w:space="0" w:color="000000"/>
              <w:right w:val="single" w:sz="6" w:space="0" w:color="000000"/>
            </w:tcBorders>
          </w:tcPr>
          <w:p>
            <w:pPr>
              <w:pStyle w:val="TAC"/>
              <w:rPr>
                <w:lang w:val="en-GB"/>
              </w:rPr>
            </w:pPr>
            <w:r>
              <w:rPr>
                <w:lang w:val="en-GB"/>
              </w:rPr>
              <w:t>-102</w:t>
            </w:r>
          </w:p>
        </w:tc>
        <w:tc>
          <w:tcPr>
            <w:tcW w:w="35" w:type="dxa"/>
            <w:tcBorders/>
          </w:tcPr>
          <w:p>
            <w:pPr>
              <w:pStyle w:val="TAC"/>
              <w:snapToGrid w:val="false"/>
              <w:rPr>
                <w:lang w:val="en-GB"/>
              </w:rPr>
            </w:pPr>
            <w:r>
              <w:rPr>
                <w:lang w:val="en-GB"/>
              </w:rPr>
            </w:r>
          </w:p>
        </w:tc>
        <w:tc>
          <w:tcPr>
            <w:tcW w:w="721" w:type="dxa"/>
            <w:gridSpan w:val="4"/>
            <w:tcBorders>
              <w:left w:val="single" w:sz="6" w:space="0" w:color="000000"/>
              <w:right w:val="single" w:sz="6" w:space="0" w:color="000000"/>
            </w:tcBorders>
          </w:tcPr>
          <w:p>
            <w:pPr>
              <w:pStyle w:val="TAC"/>
              <w:rPr>
                <w:lang w:val="en-GB"/>
              </w:rPr>
            </w:pPr>
            <w:r>
              <w:rPr>
                <w:lang w:val="en-GB"/>
              </w:rPr>
              <w:t>-100</w:t>
            </w:r>
          </w:p>
        </w:tc>
        <w:tc>
          <w:tcPr>
            <w:tcW w:w="566" w:type="dxa"/>
            <w:gridSpan w:val="2"/>
            <w:tcBorders>
              <w:left w:val="single" w:sz="6" w:space="0" w:color="000000"/>
              <w:right w:val="single" w:sz="6" w:space="0" w:color="000000"/>
            </w:tcBorders>
          </w:tcPr>
          <w:p>
            <w:pPr>
              <w:pStyle w:val="TAC"/>
              <w:rPr>
                <w:lang w:val="en-GB"/>
              </w:rPr>
            </w:pPr>
            <w:r>
              <w:rPr>
                <w:lang w:val="en-GB"/>
              </w:rPr>
              <w:t>-100</w:t>
            </w:r>
          </w:p>
        </w:tc>
        <w:tc>
          <w:tcPr>
            <w:tcW w:w="567" w:type="dxa"/>
            <w:gridSpan w:val="2"/>
            <w:tcBorders>
              <w:right w:val="single" w:sz="6" w:space="0" w:color="000000"/>
            </w:tcBorders>
          </w:tcPr>
          <w:p>
            <w:pPr>
              <w:pStyle w:val="TAC"/>
              <w:rPr>
                <w:lang w:val="en-GB"/>
              </w:rPr>
            </w:pPr>
            <w:r>
              <w:rPr>
                <w:lang w:val="en-GB"/>
              </w:rPr>
              <w:t>-100</w:t>
            </w:r>
          </w:p>
        </w:tc>
        <w:tc>
          <w:tcPr>
            <w:tcW w:w="593" w:type="dxa"/>
            <w:tcBorders>
              <w:right w:val="single" w:sz="6" w:space="0" w:color="000000"/>
            </w:tcBorders>
          </w:tcPr>
          <w:p>
            <w:pPr>
              <w:pStyle w:val="TAC"/>
              <w:rPr>
                <w:lang w:val="en-GB"/>
              </w:rPr>
            </w:pPr>
            <w:r>
              <w:rPr>
                <w:lang w:val="en-GB"/>
              </w:rPr>
              <w:t>-100</w:t>
            </w:r>
          </w:p>
        </w:tc>
      </w:tr>
      <w:tr>
        <w:trPr>
          <w:trHeight w:val="259" w:hRule="atLeast"/>
        </w:trPr>
        <w:tc>
          <w:tcPr>
            <w:tcW w:w="1452" w:type="dxa"/>
            <w:tcBorders>
              <w:top w:val="single" w:sz="6" w:space="0" w:color="000000"/>
              <w:left w:val="single" w:sz="6" w:space="0" w:color="000000"/>
            </w:tcBorders>
          </w:tcPr>
          <w:p>
            <w:pPr>
              <w:pStyle w:val="TAL"/>
              <w:rPr/>
            </w:pPr>
            <w:r>
              <w:rPr>
                <w:lang w:val="en-GB"/>
              </w:rPr>
              <w:t>BTS Power</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21</w:t>
            </w:r>
          </w:p>
        </w:tc>
        <w:tc>
          <w:tcPr>
            <w:tcW w:w="567" w:type="dxa"/>
            <w:tcBorders>
              <w:top w:val="single" w:sz="6" w:space="0" w:color="000000"/>
              <w:right w:val="single" w:sz="6" w:space="0" w:color="000000"/>
            </w:tcBorders>
            <w:shd w:fill="DFDFDF" w:val="clear"/>
          </w:tcPr>
          <w:p>
            <w:pPr>
              <w:pStyle w:val="TAC"/>
              <w:rPr>
                <w:lang w:val="en-GB"/>
              </w:rPr>
            </w:pPr>
            <w:r>
              <w:rPr>
                <w:lang w:val="en-GB"/>
              </w:rPr>
              <w:t>24</w:t>
            </w:r>
          </w:p>
        </w:tc>
        <w:tc>
          <w:tcPr>
            <w:tcW w:w="60" w:type="dxa"/>
            <w:tcBorders/>
            <w:shd w:fill="DFDFDF" w:val="clear"/>
          </w:tcPr>
          <w:p>
            <w:pPr>
              <w:pStyle w:val="TAC"/>
              <w:snapToGrid w:val="false"/>
              <w:rPr>
                <w:lang w:val="en-GB"/>
              </w:rPr>
            </w:pPr>
            <w:r>
              <w:rPr>
                <w:lang w:val="en-GB"/>
              </w:rPr>
            </w:r>
          </w:p>
        </w:tc>
        <w:tc>
          <w:tcPr>
            <w:tcW w:w="658" w:type="dxa"/>
            <w:tcBorders>
              <w:top w:val="single" w:sz="6" w:space="0" w:color="000000"/>
              <w:left w:val="single" w:sz="6" w:space="0" w:color="000000"/>
              <w:right w:val="single" w:sz="6" w:space="0" w:color="000000"/>
            </w:tcBorders>
            <w:shd w:fill="DFDFDF" w:val="clear"/>
          </w:tcPr>
          <w:p>
            <w:pPr>
              <w:pStyle w:val="TAC"/>
              <w:rPr>
                <w:lang w:val="en-GB"/>
              </w:rPr>
            </w:pPr>
            <w:r>
              <w:rPr>
                <w:lang w:val="en-GB"/>
              </w:rPr>
              <w:t>34</w:t>
            </w:r>
          </w:p>
        </w:tc>
        <w:tc>
          <w:tcPr>
            <w:tcW w:w="567"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25</w:t>
            </w:r>
          </w:p>
        </w:tc>
        <w:tc>
          <w:tcPr>
            <w:tcW w:w="567"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20</w:t>
            </w:r>
          </w:p>
        </w:tc>
        <w:tc>
          <w:tcPr>
            <w:tcW w:w="581"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15</w:t>
            </w:r>
          </w:p>
        </w:tc>
        <w:tc>
          <w:tcPr>
            <w:tcW w:w="553"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10</w:t>
            </w:r>
          </w:p>
        </w:tc>
        <w:tc>
          <w:tcPr>
            <w:tcW w:w="35" w:type="dxa"/>
            <w:tcBorders/>
            <w:shd w:fill="DFDFDF" w:val="clear"/>
          </w:tcPr>
          <w:p>
            <w:pPr>
              <w:pStyle w:val="TAC"/>
              <w:snapToGrid w:val="false"/>
              <w:rPr>
                <w:lang w:val="en-GB"/>
              </w:rPr>
            </w:pPr>
            <w:r>
              <w:rPr>
                <w:lang w:val="en-GB"/>
              </w:rPr>
            </w:r>
          </w:p>
        </w:tc>
        <w:tc>
          <w:tcPr>
            <w:tcW w:w="721" w:type="dxa"/>
            <w:gridSpan w:val="4"/>
            <w:tcBorders>
              <w:top w:val="single" w:sz="6" w:space="0" w:color="000000"/>
              <w:left w:val="single" w:sz="6" w:space="0" w:color="000000"/>
              <w:right w:val="single" w:sz="6" w:space="0" w:color="000000"/>
            </w:tcBorders>
            <w:shd w:fill="DFDFDF" w:val="clear"/>
          </w:tcPr>
          <w:p>
            <w:pPr>
              <w:pStyle w:val="TAC"/>
              <w:rPr>
                <w:lang w:val="en-GB"/>
              </w:rPr>
            </w:pPr>
            <w:r>
              <w:rPr>
                <w:lang w:val="en-GB"/>
              </w:rPr>
              <w:t>37</w:t>
            </w:r>
          </w:p>
        </w:tc>
        <w:tc>
          <w:tcPr>
            <w:tcW w:w="566"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32</w:t>
            </w:r>
          </w:p>
        </w:tc>
        <w:tc>
          <w:tcPr>
            <w:tcW w:w="567" w:type="dxa"/>
            <w:gridSpan w:val="2"/>
            <w:tcBorders>
              <w:top w:val="single" w:sz="6" w:space="0" w:color="000000"/>
              <w:right w:val="single" w:sz="6" w:space="0" w:color="000000"/>
            </w:tcBorders>
            <w:shd w:fill="DFDFDF" w:val="clear"/>
          </w:tcPr>
          <w:p>
            <w:pPr>
              <w:pStyle w:val="TAC"/>
              <w:rPr>
                <w:lang w:val="en-GB"/>
              </w:rPr>
            </w:pPr>
            <w:r>
              <w:rPr>
                <w:lang w:val="en-GB"/>
              </w:rPr>
              <w:t>27</w:t>
            </w:r>
          </w:p>
        </w:tc>
        <w:tc>
          <w:tcPr>
            <w:tcW w:w="593" w:type="dxa"/>
            <w:tcBorders>
              <w:top w:val="single" w:sz="6" w:space="0" w:color="000000"/>
              <w:right w:val="single" w:sz="6" w:space="0" w:color="000000"/>
            </w:tcBorders>
            <w:shd w:fill="DFDFDF" w:val="clear"/>
          </w:tcPr>
          <w:p>
            <w:pPr>
              <w:pStyle w:val="TAC"/>
              <w:rPr>
                <w:lang w:val="en-GB"/>
              </w:rPr>
            </w:pPr>
            <w:r>
              <w:rPr>
                <w:lang w:val="en-GB"/>
              </w:rPr>
              <w:t>22</w:t>
            </w:r>
          </w:p>
        </w:tc>
      </w:tr>
      <w:tr>
        <w:trPr>
          <w:trHeight w:val="259" w:hRule="atLeast"/>
        </w:trPr>
        <w:tc>
          <w:tcPr>
            <w:tcW w:w="1452" w:type="dxa"/>
            <w:tcBorders>
              <w:left w:val="single" w:sz="6" w:space="0" w:color="000000"/>
            </w:tcBorders>
          </w:tcPr>
          <w:p>
            <w:pPr>
              <w:pStyle w:val="TAL"/>
              <w:rPr>
                <w:lang w:val="en-GB"/>
              </w:rPr>
            </w:pPr>
            <w:r>
              <w:rPr>
                <w:lang w:val="en-GB"/>
              </w:rPr>
              <w:t xml:space="preserve">BTS Noise </w:t>
            </w:r>
          </w:p>
        </w:tc>
        <w:tc>
          <w:tcPr>
            <w:tcW w:w="567" w:type="dxa"/>
            <w:tcBorders>
              <w:left w:val="single" w:sz="6" w:space="0" w:color="000000"/>
              <w:right w:val="single" w:sz="6" w:space="0" w:color="000000"/>
            </w:tcBorders>
            <w:shd w:fill="DFDFDF" w:val="clear"/>
          </w:tcPr>
          <w:p>
            <w:pPr>
              <w:pStyle w:val="TAC"/>
              <w:rPr>
                <w:lang w:val="en-GB"/>
              </w:rPr>
            </w:pPr>
            <w:r>
              <w:rPr>
                <w:lang w:val="en-GB"/>
              </w:rPr>
              <w:t>-67</w:t>
            </w:r>
          </w:p>
        </w:tc>
        <w:tc>
          <w:tcPr>
            <w:tcW w:w="567" w:type="dxa"/>
            <w:tcBorders>
              <w:left w:val="single" w:sz="6" w:space="0" w:color="000000"/>
              <w:right w:val="single" w:sz="6" w:space="0" w:color="000000"/>
            </w:tcBorders>
            <w:shd w:fill="DFDFDF" w:val="clear"/>
          </w:tcPr>
          <w:p>
            <w:pPr>
              <w:pStyle w:val="TAC"/>
              <w:rPr>
                <w:lang w:val="en-GB"/>
              </w:rPr>
            </w:pPr>
            <w:r>
              <w:rPr>
                <w:lang w:val="en-GB"/>
              </w:rPr>
              <w:t>-59</w:t>
            </w:r>
          </w:p>
        </w:tc>
        <w:tc>
          <w:tcPr>
            <w:tcW w:w="60" w:type="dxa"/>
            <w:tcBorders>
              <w:left w:val="single" w:sz="6" w:space="0" w:color="000000"/>
              <w:right w:val="single" w:sz="6" w:space="0" w:color="000000"/>
            </w:tcBorders>
            <w:shd w:fill="DFDFDF" w:val="clear"/>
          </w:tcPr>
          <w:p>
            <w:pPr>
              <w:pStyle w:val="TAC"/>
              <w:snapToGrid w:val="false"/>
              <w:rPr>
                <w:lang w:val="en-GB"/>
              </w:rPr>
            </w:pPr>
            <w:r>
              <w:rPr>
                <w:lang w:val="en-GB"/>
              </w:rPr>
            </w:r>
          </w:p>
        </w:tc>
        <w:tc>
          <w:tcPr>
            <w:tcW w:w="658" w:type="dxa"/>
            <w:tcBorders>
              <w:left w:val="single" w:sz="6" w:space="0" w:color="000000"/>
              <w:right w:val="single" w:sz="6" w:space="0" w:color="000000"/>
            </w:tcBorders>
            <w:shd w:fill="DFDFDF" w:val="clear"/>
          </w:tcPr>
          <w:p>
            <w:pPr>
              <w:pStyle w:val="TAC"/>
              <w:rPr>
                <w:lang w:val="en-GB"/>
              </w:rPr>
            </w:pPr>
            <w:r>
              <w:rPr>
                <w:lang w:val="en-GB"/>
              </w:rPr>
              <w:t>-49</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-58</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-63</w:t>
            </w:r>
          </w:p>
        </w:tc>
        <w:tc>
          <w:tcPr>
            <w:tcW w:w="581" w:type="dxa"/>
            <w:gridSpan w:val="2"/>
            <w:tcBorders>
              <w:left w:val="single" w:sz="6" w:space="0" w:color="000000"/>
              <w:right w:val="single" w:sz="6" w:space="0" w:color="000000"/>
            </w:tcBorders>
            <w:shd w:fill="DFDFDF" w:val="clear"/>
          </w:tcPr>
          <w:p>
            <w:pPr>
              <w:pStyle w:val="TAC"/>
              <w:rPr>
                <w:lang w:val="en-GB"/>
              </w:rPr>
            </w:pPr>
            <w:r>
              <w:rPr>
                <w:lang w:val="en-GB"/>
              </w:rPr>
              <w:t>-68</w:t>
            </w:r>
          </w:p>
        </w:tc>
        <w:tc>
          <w:tcPr>
            <w:tcW w:w="553" w:type="dxa"/>
            <w:gridSpan w:val="2"/>
            <w:tcBorders>
              <w:left w:val="single" w:sz="6" w:space="0" w:color="000000"/>
              <w:right w:val="single" w:sz="6" w:space="0" w:color="000000"/>
            </w:tcBorders>
            <w:shd w:fill="DFDFDF" w:val="clear"/>
          </w:tcPr>
          <w:p>
            <w:pPr>
              <w:pStyle w:val="TAC"/>
              <w:rPr>
                <w:lang w:val="en-GB"/>
              </w:rPr>
            </w:pPr>
            <w:r>
              <w:rPr>
                <w:lang w:val="en-GB"/>
              </w:rPr>
              <w:t>-73</w:t>
            </w:r>
          </w:p>
        </w:tc>
        <w:tc>
          <w:tcPr>
            <w:tcW w:w="35" w:type="dxa"/>
            <w:tcBorders>
              <w:left w:val="single" w:sz="6" w:space="0" w:color="000000"/>
              <w:right w:val="single" w:sz="6" w:space="0" w:color="000000"/>
            </w:tcBorders>
            <w:shd w:fill="DFDFDF" w:val="clear"/>
          </w:tcPr>
          <w:p>
            <w:pPr>
              <w:pStyle w:val="TAC"/>
              <w:snapToGrid w:val="false"/>
              <w:rPr>
                <w:lang w:val="en-GB"/>
              </w:rPr>
            </w:pPr>
            <w:r>
              <w:rPr>
                <w:lang w:val="en-GB"/>
              </w:rPr>
            </w:r>
          </w:p>
        </w:tc>
        <w:tc>
          <w:tcPr>
            <w:tcW w:w="721" w:type="dxa"/>
            <w:gridSpan w:val="4"/>
            <w:tcBorders>
              <w:left w:val="single" w:sz="6" w:space="0" w:color="000000"/>
              <w:right w:val="single" w:sz="6" w:space="0" w:color="000000"/>
            </w:tcBorders>
            <w:shd w:fill="DFDFDF" w:val="clear"/>
          </w:tcPr>
          <w:p>
            <w:pPr>
              <w:pStyle w:val="TAC"/>
              <w:rPr>
                <w:lang w:val="en-GB"/>
              </w:rPr>
            </w:pPr>
            <w:r>
              <w:rPr>
                <w:lang w:val="en-GB"/>
              </w:rPr>
              <w:t>-46</w:t>
            </w:r>
          </w:p>
        </w:tc>
        <w:tc>
          <w:tcPr>
            <w:tcW w:w="566" w:type="dxa"/>
            <w:gridSpan w:val="2"/>
            <w:tcBorders>
              <w:left w:val="single" w:sz="6" w:space="0" w:color="000000"/>
              <w:right w:val="single" w:sz="6" w:space="0" w:color="000000"/>
            </w:tcBorders>
            <w:shd w:fill="DFDFDF" w:val="clear"/>
          </w:tcPr>
          <w:p>
            <w:pPr>
              <w:pStyle w:val="TAC"/>
              <w:rPr>
                <w:lang w:val="en-GB"/>
              </w:rPr>
            </w:pPr>
            <w:r>
              <w:rPr>
                <w:lang w:val="en-GB"/>
              </w:rPr>
              <w:t>-51</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-56</w:t>
            </w:r>
          </w:p>
        </w:tc>
        <w:tc>
          <w:tcPr>
            <w:tcW w:w="593" w:type="dxa"/>
            <w:tcBorders>
              <w:left w:val="single" w:sz="6" w:space="0" w:color="000000"/>
              <w:right w:val="single" w:sz="6" w:space="0" w:color="000000"/>
            </w:tcBorders>
            <w:shd w:fill="DFDFDF" w:val="clear"/>
          </w:tcPr>
          <w:p>
            <w:pPr>
              <w:pStyle w:val="TAC"/>
              <w:rPr>
                <w:lang w:val="en-GB"/>
              </w:rPr>
            </w:pPr>
            <w:r>
              <w:rPr>
                <w:lang w:val="en-GB"/>
              </w:rPr>
              <w:t>-61</w:t>
            </w:r>
          </w:p>
        </w:tc>
      </w:tr>
      <w:tr>
        <w:trPr>
          <w:trHeight w:val="259" w:hRule="atLeast"/>
        </w:trPr>
        <w:tc>
          <w:tcPr>
            <w:tcW w:w="1452" w:type="dxa"/>
            <w:tcBorders>
              <w:left w:val="single" w:sz="6" w:space="0" w:color="000000"/>
            </w:tcBorders>
          </w:tcPr>
          <w:p>
            <w:pPr>
              <w:pStyle w:val="TAL"/>
              <w:rPr>
                <w:lang w:val="en-GB"/>
              </w:rPr>
            </w:pPr>
            <w:r>
              <w:rPr>
                <w:lang w:val="en-GB"/>
              </w:rPr>
              <w:t>BTS Blocking</w:t>
            </w:r>
          </w:p>
        </w:tc>
        <w:tc>
          <w:tcPr>
            <w:tcW w:w="567" w:type="dxa"/>
            <w:tcBorders>
              <w:left w:val="single" w:sz="6" w:space="0" w:color="000000"/>
              <w:right w:val="single" w:sz="6" w:space="0" w:color="000000"/>
            </w:tcBorders>
            <w:shd w:fill="DFDFDF" w:val="clear"/>
          </w:tcPr>
          <w:p>
            <w:pPr>
              <w:pStyle w:val="TAC"/>
              <w:rPr>
                <w:lang w:val="en-GB"/>
              </w:rPr>
            </w:pPr>
            <w:r>
              <w:rPr>
                <w:lang w:val="en-GB"/>
              </w:rPr>
              <w:t>-15</w:t>
            </w:r>
          </w:p>
        </w:tc>
        <w:tc>
          <w:tcPr>
            <w:tcW w:w="567" w:type="dxa"/>
            <w:tcBorders>
              <w:right w:val="single" w:sz="6" w:space="0" w:color="000000"/>
            </w:tcBorders>
            <w:shd w:fill="DFDFDF" w:val="clear"/>
          </w:tcPr>
          <w:p>
            <w:pPr>
              <w:pStyle w:val="TAC"/>
              <w:rPr>
                <w:lang w:val="en-GB"/>
              </w:rPr>
            </w:pPr>
            <w:r>
              <w:rPr>
                <w:lang w:val="en-GB"/>
              </w:rPr>
              <w:t>-20</w:t>
            </w:r>
          </w:p>
        </w:tc>
        <w:tc>
          <w:tcPr>
            <w:tcW w:w="60" w:type="dxa"/>
            <w:tcBorders>
              <w:right w:val="single" w:sz="6" w:space="0" w:color="000000"/>
            </w:tcBorders>
            <w:shd w:fill="DFDFDF" w:val="clear"/>
          </w:tcPr>
          <w:p>
            <w:pPr>
              <w:pStyle w:val="TAC"/>
              <w:snapToGrid w:val="false"/>
              <w:rPr>
                <w:lang w:val="en-GB"/>
              </w:rPr>
            </w:pPr>
            <w:r>
              <w:rPr>
                <w:lang w:val="en-GB"/>
              </w:rPr>
            </w:r>
          </w:p>
        </w:tc>
        <w:tc>
          <w:tcPr>
            <w:tcW w:w="658" w:type="dxa"/>
            <w:tcBorders>
              <w:right w:val="single" w:sz="6" w:space="0" w:color="000000"/>
            </w:tcBorders>
            <w:shd w:fill="DFDFDF" w:val="clear"/>
          </w:tcPr>
          <w:p>
            <w:pPr>
              <w:pStyle w:val="TAC"/>
              <w:rPr>
                <w:lang w:val="en-GB"/>
              </w:rPr>
            </w:pPr>
            <w:r>
              <w:rPr>
                <w:lang w:val="en-GB"/>
              </w:rPr>
              <w:t>-13</w:t>
            </w:r>
          </w:p>
        </w:tc>
        <w:tc>
          <w:tcPr>
            <w:tcW w:w="567" w:type="dxa"/>
            <w:gridSpan w:val="2"/>
            <w:tcBorders>
              <w:right w:val="single" w:sz="6" w:space="0" w:color="000000"/>
            </w:tcBorders>
            <w:shd w:fill="DFDFDF" w:val="clear"/>
          </w:tcPr>
          <w:p>
            <w:pPr>
              <w:pStyle w:val="TAC"/>
              <w:rPr>
                <w:lang w:val="en-GB"/>
              </w:rPr>
            </w:pPr>
            <w:r>
              <w:rPr>
                <w:lang w:val="en-GB"/>
              </w:rPr>
              <w:t>-4</w:t>
            </w:r>
          </w:p>
        </w:tc>
        <w:tc>
          <w:tcPr>
            <w:tcW w:w="567" w:type="dxa"/>
            <w:gridSpan w:val="2"/>
            <w:tcBorders>
              <w:right w:val="single" w:sz="6" w:space="0" w:color="000000"/>
            </w:tcBorders>
            <w:shd w:fill="DFDFDF" w:val="clear"/>
          </w:tcPr>
          <w:p>
            <w:pPr>
              <w:pStyle w:val="TAC"/>
              <w:rPr>
                <w:lang w:val="en-GB"/>
              </w:rPr>
            </w:pPr>
            <w:r>
              <w:rPr>
                <w:lang w:val="en-GB"/>
              </w:rPr>
              <w:t>1</w:t>
            </w:r>
          </w:p>
        </w:tc>
        <w:tc>
          <w:tcPr>
            <w:tcW w:w="581" w:type="dxa"/>
            <w:gridSpan w:val="2"/>
            <w:tcBorders>
              <w:right w:val="single" w:sz="6" w:space="0" w:color="000000"/>
            </w:tcBorders>
            <w:shd w:fill="DFDFDF" w:val="clear"/>
          </w:tcPr>
          <w:p>
            <w:pPr>
              <w:pStyle w:val="TAC"/>
              <w:rPr>
                <w:lang w:val="en-GB"/>
              </w:rPr>
            </w:pPr>
            <w:r>
              <w:rPr>
                <w:lang w:val="en-GB"/>
              </w:rPr>
              <w:t>6</w:t>
            </w:r>
          </w:p>
        </w:tc>
        <w:tc>
          <w:tcPr>
            <w:tcW w:w="553" w:type="dxa"/>
            <w:gridSpan w:val="2"/>
            <w:tcBorders>
              <w:right w:val="single" w:sz="6" w:space="0" w:color="000000"/>
            </w:tcBorders>
            <w:shd w:fill="DFDFDF" w:val="clear"/>
          </w:tcPr>
          <w:p>
            <w:pPr>
              <w:pStyle w:val="TAC"/>
              <w:rPr>
                <w:lang w:val="en-GB"/>
              </w:rPr>
            </w:pPr>
            <w:r>
              <w:rPr>
                <w:lang w:val="en-GB"/>
              </w:rPr>
              <w:t>11</w:t>
            </w:r>
          </w:p>
        </w:tc>
        <w:tc>
          <w:tcPr>
            <w:tcW w:w="35" w:type="dxa"/>
            <w:tcBorders/>
            <w:shd w:fill="DFDFDF" w:val="clear"/>
          </w:tcPr>
          <w:p>
            <w:pPr>
              <w:pStyle w:val="TAC"/>
              <w:snapToGrid w:val="false"/>
              <w:rPr>
                <w:lang w:val="en-GB"/>
              </w:rPr>
            </w:pPr>
            <w:r>
              <w:rPr>
                <w:lang w:val="en-GB"/>
              </w:rPr>
            </w:r>
          </w:p>
        </w:tc>
        <w:tc>
          <w:tcPr>
            <w:tcW w:w="721" w:type="dxa"/>
            <w:gridSpan w:val="4"/>
            <w:tcBorders>
              <w:left w:val="single" w:sz="6" w:space="0" w:color="000000"/>
              <w:right w:val="single" w:sz="6" w:space="0" w:color="000000"/>
            </w:tcBorders>
            <w:shd w:fill="DFDFDF" w:val="clear"/>
          </w:tcPr>
          <w:p>
            <w:pPr>
              <w:pStyle w:val="TAC"/>
              <w:rPr>
                <w:lang w:val="en-GB"/>
              </w:rPr>
            </w:pPr>
            <w:r>
              <w:rPr>
                <w:lang w:val="en-GB"/>
              </w:rPr>
              <w:t>-25</w:t>
            </w:r>
          </w:p>
        </w:tc>
        <w:tc>
          <w:tcPr>
            <w:tcW w:w="566" w:type="dxa"/>
            <w:gridSpan w:val="2"/>
            <w:tcBorders>
              <w:left w:val="single" w:sz="6" w:space="0" w:color="000000"/>
              <w:right w:val="single" w:sz="6" w:space="0" w:color="000000"/>
            </w:tcBorders>
            <w:shd w:fill="DFDFDF" w:val="clear"/>
          </w:tcPr>
          <w:p>
            <w:pPr>
              <w:pStyle w:val="TAC"/>
              <w:rPr>
                <w:lang w:val="en-GB"/>
              </w:rPr>
            </w:pPr>
            <w:r>
              <w:rPr>
                <w:lang w:val="en-GB"/>
              </w:rPr>
              <w:t>-20</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-15</w:t>
            </w:r>
          </w:p>
        </w:tc>
        <w:tc>
          <w:tcPr>
            <w:tcW w:w="593" w:type="dxa"/>
            <w:tcBorders>
              <w:left w:val="single" w:sz="6" w:space="0" w:color="000000"/>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tcBorders>
          </w:tcPr>
          <w:p>
            <w:pPr>
              <w:pStyle w:val="TAL"/>
              <w:rPr>
                <w:lang w:val="en-GB"/>
              </w:rPr>
            </w:pPr>
            <w:r>
              <w:rPr>
                <w:lang w:val="en-GB"/>
              </w:rPr>
              <w:t>BTS Sensitivity</w:t>
            </w:r>
          </w:p>
        </w:tc>
        <w:tc>
          <w:tcPr>
            <w:tcW w:w="567" w:type="dxa"/>
            <w:tcBorders>
              <w:left w:val="single" w:sz="6" w:space="0" w:color="000000"/>
              <w:right w:val="single" w:sz="6" w:space="0" w:color="000000"/>
            </w:tcBorders>
            <w:shd w:fill="DFDFDF" w:val="clear"/>
          </w:tcPr>
          <w:p>
            <w:pPr>
              <w:pStyle w:val="TAC"/>
              <w:rPr>
                <w:lang w:val="en-GB"/>
              </w:rPr>
            </w:pPr>
            <w:r>
              <w:rPr>
                <w:lang w:val="en-GB"/>
              </w:rPr>
              <w:t>-79</w:t>
            </w:r>
          </w:p>
        </w:tc>
        <w:tc>
          <w:tcPr>
            <w:tcW w:w="567" w:type="dxa"/>
            <w:tcBorders>
              <w:right w:val="single" w:sz="6" w:space="0" w:color="000000"/>
            </w:tcBorders>
            <w:shd w:fill="DFDFDF" w:val="clear"/>
          </w:tcPr>
          <w:p>
            <w:pPr>
              <w:pStyle w:val="TAC"/>
              <w:rPr>
                <w:lang w:val="en-GB"/>
              </w:rPr>
            </w:pPr>
            <w:r>
              <w:rPr>
                <w:lang w:val="en-GB"/>
              </w:rPr>
              <w:t>-89</w:t>
            </w:r>
          </w:p>
        </w:tc>
        <w:tc>
          <w:tcPr>
            <w:tcW w:w="60" w:type="dxa"/>
            <w:tcBorders/>
            <w:shd w:fill="DFDFDF" w:val="clear"/>
          </w:tcPr>
          <w:p>
            <w:pPr>
              <w:pStyle w:val="TAC"/>
              <w:snapToGrid w:val="false"/>
              <w:rPr>
                <w:lang w:val="en-GB"/>
              </w:rPr>
            </w:pPr>
            <w:r>
              <w:rPr>
                <w:lang w:val="en-GB"/>
              </w:rPr>
            </w:r>
          </w:p>
        </w:tc>
        <w:tc>
          <w:tcPr>
            <w:tcW w:w="658" w:type="dxa"/>
            <w:tcBorders>
              <w:left w:val="single" w:sz="6" w:space="0" w:color="000000"/>
              <w:right w:val="single" w:sz="6" w:space="0" w:color="000000"/>
            </w:tcBorders>
            <w:shd w:fill="DFDFDF" w:val="clear"/>
          </w:tcPr>
          <w:p>
            <w:pPr>
              <w:pStyle w:val="TAC"/>
              <w:rPr>
                <w:lang w:val="en-GB"/>
              </w:rPr>
            </w:pPr>
            <w:r>
              <w:rPr>
                <w:lang w:val="en-GB"/>
              </w:rPr>
              <w:t>-104</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-95</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-90</w:t>
            </w:r>
          </w:p>
        </w:tc>
        <w:tc>
          <w:tcPr>
            <w:tcW w:w="581" w:type="dxa"/>
            <w:gridSpan w:val="2"/>
            <w:tcBorders>
              <w:left w:val="single" w:sz="6" w:space="0" w:color="000000"/>
              <w:right w:val="single" w:sz="6" w:space="0" w:color="000000"/>
            </w:tcBorders>
            <w:shd w:fill="DFDFDF" w:val="clear"/>
          </w:tcPr>
          <w:p>
            <w:pPr>
              <w:pStyle w:val="TAC"/>
              <w:rPr>
                <w:lang w:val="en-GB"/>
              </w:rPr>
            </w:pPr>
            <w:r>
              <w:rPr>
                <w:lang w:val="en-GB"/>
              </w:rPr>
              <w:t>-85</w:t>
            </w:r>
          </w:p>
        </w:tc>
        <w:tc>
          <w:tcPr>
            <w:tcW w:w="553" w:type="dxa"/>
            <w:gridSpan w:val="2"/>
            <w:tcBorders>
              <w:left w:val="single" w:sz="6" w:space="0" w:color="000000"/>
              <w:right w:val="single" w:sz="6" w:space="0" w:color="000000"/>
            </w:tcBorders>
            <w:shd w:fill="DFDFDF" w:val="clear"/>
          </w:tcPr>
          <w:p>
            <w:pPr>
              <w:pStyle w:val="TAC"/>
              <w:rPr>
                <w:lang w:val="en-GB"/>
              </w:rPr>
            </w:pPr>
            <w:r>
              <w:rPr>
                <w:lang w:val="en-GB"/>
              </w:rPr>
              <w:t>-80</w:t>
            </w:r>
          </w:p>
        </w:tc>
        <w:tc>
          <w:tcPr>
            <w:tcW w:w="35" w:type="dxa"/>
            <w:tcBorders/>
            <w:shd w:fill="DFDFDF" w:val="clear"/>
          </w:tcPr>
          <w:p>
            <w:pPr>
              <w:pStyle w:val="TAC"/>
              <w:snapToGrid w:val="false"/>
              <w:rPr>
                <w:lang w:val="en-GB"/>
              </w:rPr>
            </w:pPr>
            <w:r>
              <w:rPr>
                <w:lang w:val="en-GB"/>
              </w:rPr>
            </w:r>
          </w:p>
        </w:tc>
        <w:tc>
          <w:tcPr>
            <w:tcW w:w="721" w:type="dxa"/>
            <w:gridSpan w:val="4"/>
            <w:tcBorders>
              <w:left w:val="single" w:sz="6" w:space="0" w:color="000000"/>
              <w:right w:val="single" w:sz="6" w:space="0" w:color="000000"/>
            </w:tcBorders>
            <w:shd w:fill="DFDFDF" w:val="clear"/>
          </w:tcPr>
          <w:p>
            <w:pPr>
              <w:pStyle w:val="TAC"/>
              <w:rPr>
                <w:lang w:val="en-GB"/>
              </w:rPr>
            </w:pPr>
            <w:r>
              <w:rPr>
                <w:lang w:val="en-GB"/>
              </w:rPr>
              <w:t>-104</w:t>
            </w:r>
          </w:p>
        </w:tc>
        <w:tc>
          <w:tcPr>
            <w:tcW w:w="566" w:type="dxa"/>
            <w:gridSpan w:val="2"/>
            <w:tcBorders>
              <w:left w:val="single" w:sz="6" w:space="0" w:color="000000"/>
              <w:right w:val="single" w:sz="6" w:space="0" w:color="000000"/>
            </w:tcBorders>
            <w:shd w:fill="DFDFDF" w:val="clear"/>
          </w:tcPr>
          <w:p>
            <w:pPr>
              <w:pStyle w:val="TAC"/>
              <w:rPr>
                <w:lang w:val="en-GB"/>
              </w:rPr>
            </w:pPr>
            <w:r>
              <w:rPr>
                <w:lang w:val="en-GB"/>
              </w:rPr>
              <w:t>-99</w:t>
            </w:r>
          </w:p>
        </w:tc>
        <w:tc>
          <w:tcPr>
            <w:tcW w:w="567" w:type="dxa"/>
            <w:gridSpan w:val="2"/>
            <w:tcBorders>
              <w:right w:val="single" w:sz="6" w:space="0" w:color="000000"/>
            </w:tcBorders>
            <w:shd w:fill="DFDFDF" w:val="clear"/>
          </w:tcPr>
          <w:p>
            <w:pPr>
              <w:pStyle w:val="TAC"/>
              <w:rPr>
                <w:lang w:val="en-GB"/>
              </w:rPr>
            </w:pPr>
            <w:r>
              <w:rPr>
                <w:lang w:val="en-GB"/>
              </w:rPr>
              <w:t>-94</w:t>
            </w:r>
          </w:p>
        </w:tc>
        <w:tc>
          <w:tcPr>
            <w:tcW w:w="593" w:type="dxa"/>
            <w:tcBorders>
              <w:right w:val="single" w:sz="6" w:space="0" w:color="000000"/>
            </w:tcBorders>
            <w:shd w:fill="DFDFDF" w:val="clear"/>
          </w:tcPr>
          <w:p>
            <w:pPr>
              <w:pStyle w:val="TAC"/>
              <w:rPr>
                <w:lang w:val="en-GB"/>
              </w:rPr>
            </w:pPr>
            <w:r>
              <w:rPr>
                <w:lang w:val="en-GB"/>
              </w:rPr>
              <w:t>-89</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Base MCL</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44</w:t>
            </w:r>
          </w:p>
        </w:tc>
        <w:tc>
          <w:tcPr>
            <w:tcW w:w="567"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50</w:t>
            </w:r>
          </w:p>
        </w:tc>
        <w:tc>
          <w:tcPr>
            <w:tcW w:w="60" w:type="dxa"/>
            <w:tcBorders/>
            <w:shd w:fill="DFDFDF" w:val="clear"/>
          </w:tcPr>
          <w:p>
            <w:pPr>
              <w:pStyle w:val="TAC"/>
              <w:snapToGrid w:val="false"/>
              <w:rPr>
                <w:lang w:val="en-GB"/>
              </w:rPr>
            </w:pPr>
            <w:r>
              <w:rPr>
                <w:lang w:val="en-GB"/>
              </w:rPr>
            </w:r>
          </w:p>
        </w:tc>
        <w:tc>
          <w:tcPr>
            <w:tcW w:w="658"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69</w:t>
            </w:r>
          </w:p>
        </w:tc>
        <w:tc>
          <w:tcPr>
            <w:tcW w:w="567"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60</w:t>
            </w:r>
          </w:p>
        </w:tc>
        <w:tc>
          <w:tcPr>
            <w:tcW w:w="567"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55</w:t>
            </w:r>
          </w:p>
        </w:tc>
        <w:tc>
          <w:tcPr>
            <w:tcW w:w="581"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50</w:t>
            </w:r>
          </w:p>
        </w:tc>
        <w:tc>
          <w:tcPr>
            <w:tcW w:w="553"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45</w:t>
            </w:r>
          </w:p>
        </w:tc>
        <w:tc>
          <w:tcPr>
            <w:tcW w:w="35" w:type="dxa"/>
            <w:tcBorders/>
            <w:shd w:fill="DFDFDF" w:val="clear"/>
          </w:tcPr>
          <w:p>
            <w:pPr>
              <w:pStyle w:val="TAC"/>
              <w:snapToGrid w:val="false"/>
              <w:rPr>
                <w:lang w:val="en-GB"/>
              </w:rPr>
            </w:pPr>
            <w:r>
              <w:rPr>
                <w:lang w:val="en-GB"/>
              </w:rPr>
            </w:r>
          </w:p>
        </w:tc>
        <w:tc>
          <w:tcPr>
            <w:tcW w:w="721" w:type="dxa"/>
            <w:gridSpan w:val="4"/>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65</w:t>
            </w:r>
          </w:p>
        </w:tc>
        <w:tc>
          <w:tcPr>
            <w:tcW w:w="566"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60</w:t>
            </w:r>
          </w:p>
        </w:tc>
        <w:tc>
          <w:tcPr>
            <w:tcW w:w="567" w:type="dxa"/>
            <w:gridSpan w:val="2"/>
            <w:tcBorders>
              <w:top w:val="single" w:sz="6" w:space="0" w:color="000000"/>
              <w:bottom w:val="single" w:sz="6" w:space="0" w:color="000000"/>
              <w:right w:val="single" w:sz="6" w:space="0" w:color="000000"/>
            </w:tcBorders>
            <w:shd w:fill="DFDFDF" w:val="clear"/>
          </w:tcPr>
          <w:p>
            <w:pPr>
              <w:pStyle w:val="TAC"/>
              <w:rPr>
                <w:lang w:val="en-GB"/>
              </w:rPr>
            </w:pPr>
            <w:r>
              <w:rPr>
                <w:lang w:val="en-GB"/>
              </w:rPr>
              <w:t>55</w:t>
            </w:r>
          </w:p>
        </w:tc>
        <w:tc>
          <w:tcPr>
            <w:tcW w:w="593"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50</w:t>
            </w:r>
          </w:p>
        </w:tc>
      </w:tr>
      <w:tr>
        <w:trPr>
          <w:trHeight w:val="259" w:hRule="atLeast"/>
        </w:trPr>
        <w:tc>
          <w:tcPr>
            <w:tcW w:w="3442" w:type="dxa"/>
            <w:gridSpan w:val="6"/>
            <w:tcBorders>
              <w:top w:val="single" w:sz="6" w:space="0" w:color="000000"/>
              <w:left w:val="single" w:sz="6" w:space="0" w:color="000000"/>
            </w:tcBorders>
          </w:tcPr>
          <w:p>
            <w:pPr>
              <w:pStyle w:val="TAL"/>
              <w:rPr>
                <w:lang w:val="en-GB"/>
              </w:rPr>
            </w:pPr>
            <w:r>
              <w:rPr>
                <w:lang w:val="en-GB"/>
              </w:rPr>
              <w:t>Margins for MCLs (+ve = good);</w:t>
            </w:r>
          </w:p>
        </w:tc>
        <w:tc>
          <w:tcPr>
            <w:tcW w:w="567"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597" w:type="dxa"/>
            <w:gridSpan w:val="3"/>
            <w:tcBorders/>
          </w:tcPr>
          <w:p>
            <w:pPr>
              <w:pStyle w:val="TAL"/>
              <w:snapToGrid w:val="false"/>
              <w:rPr>
                <w:lang w:val="en-GB"/>
              </w:rPr>
            </w:pPr>
            <w:r>
              <w:rPr>
                <w:lang w:val="en-GB"/>
              </w:rPr>
            </w:r>
          </w:p>
        </w:tc>
        <w:tc>
          <w:tcPr>
            <w:tcW w:w="23" w:type="dxa"/>
            <w:tcBorders/>
          </w:tcPr>
          <w:p>
            <w:pPr>
              <w:pStyle w:val="TAL"/>
              <w:snapToGrid w:val="false"/>
              <w:rPr>
                <w:lang w:val="en-GB"/>
              </w:rPr>
            </w:pPr>
            <w:r>
              <w:rPr>
                <w:lang w:val="en-GB"/>
              </w:rPr>
            </w:r>
          </w:p>
        </w:tc>
        <w:tc>
          <w:tcPr>
            <w:tcW w:w="489" w:type="dxa"/>
            <w:tcBorders/>
          </w:tcPr>
          <w:p>
            <w:pPr>
              <w:pStyle w:val="TAL"/>
              <w:snapToGrid w:val="false"/>
              <w:rPr>
                <w:lang w:val="en-GB"/>
              </w:rPr>
            </w:pPr>
            <w:r>
              <w:rPr>
                <w:lang w:val="en-GB"/>
              </w:rPr>
            </w:r>
          </w:p>
        </w:tc>
        <w:tc>
          <w:tcPr>
            <w:tcW w:w="604"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612" w:type="dxa"/>
            <w:gridSpan w:val="2"/>
            <w:tcBorders/>
          </w:tcPr>
          <w:p>
            <w:pPr>
              <w:pStyle w:val="TAL"/>
              <w:snapToGrid w:val="false"/>
              <w:rPr>
                <w:lang w:val="en-GB"/>
              </w:rPr>
            </w:pPr>
            <w:r>
              <w:rPr>
                <w:lang w:val="en-GB"/>
              </w:rPr>
            </w:r>
          </w:p>
        </w:tc>
      </w:tr>
      <w:tr>
        <w:trPr>
          <w:trHeight w:val="259" w:hRule="atLeast"/>
        </w:trPr>
        <w:tc>
          <w:tcPr>
            <w:tcW w:w="1452" w:type="dxa"/>
            <w:tcBorders>
              <w:top w:val="single" w:sz="6" w:space="0" w:color="000000"/>
              <w:left w:val="single" w:sz="6" w:space="0" w:color="000000"/>
            </w:tcBorders>
          </w:tcPr>
          <w:p>
            <w:pPr>
              <w:pStyle w:val="TAL"/>
              <w:rPr>
                <w:lang w:val="en-GB"/>
              </w:rPr>
            </w:pPr>
            <w:r>
              <w:rPr>
                <w:lang w:val="en-GB"/>
              </w:rPr>
              <w:t>MS Blocking</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0" w:type="dxa"/>
            <w:tcBorders>
              <w:left w:val="single" w:sz="6" w:space="0" w:color="000000"/>
              <w:right w:val="single" w:sz="6" w:space="0" w:color="000000"/>
            </w:tcBorders>
          </w:tcPr>
          <w:p>
            <w:pPr>
              <w:pStyle w:val="TAC"/>
              <w:snapToGrid w:val="false"/>
              <w:rPr>
                <w:lang w:val="en-GB"/>
              </w:rPr>
            </w:pPr>
            <w:r>
              <w:rPr>
                <w:lang w:val="en-GB"/>
              </w:rPr>
            </w:r>
          </w:p>
        </w:tc>
        <w:tc>
          <w:tcPr>
            <w:tcW w:w="658" w:type="dxa"/>
            <w:tcBorders>
              <w:top w:val="single" w:sz="6" w:space="0" w:color="000000"/>
              <w:left w:val="single" w:sz="6" w:space="0" w:color="000000"/>
              <w:right w:val="single" w:sz="6" w:space="0" w:color="000000"/>
            </w:tcBorders>
          </w:tcPr>
          <w:p>
            <w:pPr>
              <w:pStyle w:val="TAC"/>
              <w:rPr>
                <w:lang w:val="en-GB"/>
              </w:rPr>
            </w:pPr>
            <w:r>
              <w:rPr>
                <w:lang w:val="en-GB"/>
              </w:rPr>
              <w:t>12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12</w:t>
            </w:r>
          </w:p>
        </w:tc>
        <w:tc>
          <w:tcPr>
            <w:tcW w:w="581" w:type="dxa"/>
            <w:gridSpan w:val="2"/>
            <w:tcBorders>
              <w:top w:val="single" w:sz="6" w:space="0" w:color="000000"/>
              <w:left w:val="single" w:sz="6" w:space="0" w:color="000000"/>
              <w:right w:val="single" w:sz="6" w:space="0" w:color="000000"/>
            </w:tcBorders>
          </w:tcPr>
          <w:p>
            <w:pPr>
              <w:pStyle w:val="TAC"/>
              <w:rPr>
                <w:lang w:val="en-GB"/>
              </w:rPr>
            </w:pPr>
            <w:r>
              <w:rPr>
                <w:lang w:val="en-GB"/>
              </w:rPr>
              <w:t>12</w:t>
            </w:r>
          </w:p>
        </w:tc>
        <w:tc>
          <w:tcPr>
            <w:tcW w:w="553" w:type="dxa"/>
            <w:gridSpan w:val="2"/>
            <w:tcBorders>
              <w:top w:val="single" w:sz="6" w:space="0" w:color="000000"/>
              <w:left w:val="single" w:sz="6" w:space="0" w:color="000000"/>
              <w:right w:val="single" w:sz="6" w:space="0" w:color="000000"/>
            </w:tcBorders>
          </w:tcPr>
          <w:p>
            <w:pPr>
              <w:pStyle w:val="TAC"/>
              <w:rPr>
                <w:lang w:val="en-GB"/>
              </w:rPr>
            </w:pPr>
            <w:r>
              <w:rPr>
                <w:lang w:val="en-GB"/>
              </w:rPr>
              <w:t>12</w:t>
            </w:r>
          </w:p>
        </w:tc>
        <w:tc>
          <w:tcPr>
            <w:tcW w:w="35" w:type="dxa"/>
            <w:tcBorders>
              <w:left w:val="single" w:sz="6" w:space="0" w:color="000000"/>
              <w:right w:val="single" w:sz="6" w:space="0" w:color="000000"/>
            </w:tcBorders>
          </w:tcPr>
          <w:p>
            <w:pPr>
              <w:pStyle w:val="TAC"/>
              <w:snapToGrid w:val="false"/>
              <w:rPr>
                <w:lang w:val="en-GB"/>
              </w:rPr>
            </w:pPr>
            <w:r>
              <w:rPr>
                <w:lang w:val="en-GB"/>
              </w:rPr>
            </w:r>
          </w:p>
        </w:tc>
        <w:tc>
          <w:tcPr>
            <w:tcW w:w="721" w:type="dxa"/>
            <w:gridSpan w:val="4"/>
            <w:tcBorders>
              <w:top w:val="single" w:sz="6" w:space="0" w:color="000000"/>
              <w:left w:val="single" w:sz="6" w:space="0" w:color="000000"/>
              <w:right w:val="single" w:sz="6" w:space="0" w:color="000000"/>
            </w:tcBorders>
          </w:tcPr>
          <w:p>
            <w:pPr>
              <w:pStyle w:val="TAC"/>
              <w:rPr>
                <w:lang w:val="en-GB"/>
              </w:rPr>
            </w:pPr>
            <w:r>
              <w:rPr>
                <w:lang w:val="en-GB"/>
              </w:rPr>
              <w:t>2</w:t>
            </w:r>
          </w:p>
        </w:tc>
        <w:tc>
          <w:tcPr>
            <w:tcW w:w="566" w:type="dxa"/>
            <w:gridSpan w:val="2"/>
            <w:tcBorders>
              <w:top w:val="single" w:sz="6" w:space="0" w:color="000000"/>
              <w:left w:val="single" w:sz="6" w:space="0" w:color="000000"/>
              <w:right w:val="single" w:sz="6" w:space="0" w:color="000000"/>
            </w:tcBorders>
          </w:tcPr>
          <w:p>
            <w:pPr>
              <w:pStyle w:val="TAC"/>
              <w:rPr>
                <w:lang w:val="en-GB"/>
              </w:rPr>
            </w:pPr>
            <w:r>
              <w:rPr>
                <w:lang w:val="en-GB"/>
              </w:rPr>
              <w:t>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2</w:t>
            </w:r>
          </w:p>
        </w:tc>
        <w:tc>
          <w:tcPr>
            <w:tcW w:w="593" w:type="dxa"/>
            <w:tcBorders>
              <w:top w:val="single" w:sz="6" w:space="0" w:color="000000"/>
              <w:left w:val="single" w:sz="6" w:space="0" w:color="000000"/>
              <w:right w:val="single" w:sz="6" w:space="0" w:color="000000"/>
            </w:tcBorders>
          </w:tcPr>
          <w:p>
            <w:pPr>
              <w:pStyle w:val="TAC"/>
              <w:rPr>
                <w:lang w:val="en-GB"/>
              </w:rPr>
            </w:pPr>
            <w:r>
              <w:rPr>
                <w:lang w:val="en-GB"/>
              </w:rPr>
              <w:t>2</w:t>
            </w:r>
          </w:p>
        </w:tc>
      </w:tr>
      <w:tr>
        <w:trPr>
          <w:trHeight w:val="259" w:hRule="atLeast"/>
        </w:trPr>
        <w:tc>
          <w:tcPr>
            <w:tcW w:w="1452" w:type="dxa"/>
            <w:tcBorders>
              <w:left w:val="single" w:sz="6" w:space="0" w:color="000000"/>
            </w:tcBorders>
          </w:tcPr>
          <w:p>
            <w:pPr>
              <w:pStyle w:val="TAL"/>
              <w:rPr>
                <w:lang w:val="en-GB"/>
              </w:rPr>
            </w:pPr>
            <w:r>
              <w:rPr>
                <w:lang w:val="en-GB"/>
              </w:rPr>
              <w:t xml:space="preserve">BTS Noise </w:t>
            </w:r>
          </w:p>
        </w:tc>
        <w:tc>
          <w:tcPr>
            <w:tcW w:w="567" w:type="dxa"/>
            <w:tcBorders>
              <w:left w:val="single" w:sz="6" w:space="0" w:color="000000"/>
              <w:right w:val="single" w:sz="6" w:space="0" w:color="000000"/>
            </w:tcBorders>
          </w:tcPr>
          <w:p>
            <w:pPr>
              <w:pStyle w:val="TAC"/>
              <w:rPr>
                <w:lang w:val="en-GB"/>
              </w:rPr>
            </w:pPr>
            <w:r>
              <w:rPr>
                <w:lang w:val="en-GB"/>
              </w:rPr>
              <w:t>0</w:t>
            </w:r>
          </w:p>
        </w:tc>
        <w:tc>
          <w:tcPr>
            <w:tcW w:w="567" w:type="dxa"/>
            <w:tcBorders>
              <w:left w:val="single" w:sz="6" w:space="0" w:color="000000"/>
              <w:right w:val="single" w:sz="6" w:space="0" w:color="000000"/>
            </w:tcBorders>
          </w:tcPr>
          <w:p>
            <w:pPr>
              <w:pStyle w:val="TAC"/>
              <w:rPr>
                <w:lang w:val="en-GB"/>
              </w:rPr>
            </w:pPr>
            <w:r>
              <w:rPr>
                <w:lang w:val="en-GB"/>
              </w:rPr>
              <w:t>0</w:t>
            </w:r>
          </w:p>
        </w:tc>
        <w:tc>
          <w:tcPr>
            <w:tcW w:w="60" w:type="dxa"/>
            <w:tcBorders>
              <w:left w:val="single" w:sz="6" w:space="0" w:color="000000"/>
              <w:right w:val="single" w:sz="6" w:space="0" w:color="000000"/>
            </w:tcBorders>
          </w:tcPr>
          <w:p>
            <w:pPr>
              <w:pStyle w:val="TAC"/>
              <w:snapToGrid w:val="false"/>
              <w:rPr>
                <w:lang w:val="en-GB"/>
              </w:rPr>
            </w:pPr>
            <w:r>
              <w:rPr>
                <w:lang w:val="en-GB"/>
              </w:rPr>
            </w:r>
          </w:p>
        </w:tc>
        <w:tc>
          <w:tcPr>
            <w:tcW w:w="658" w:type="dxa"/>
            <w:tcBorders>
              <w:left w:val="single" w:sz="6" w:space="0" w:color="000000"/>
              <w:right w:val="single" w:sz="6" w:space="0" w:color="000000"/>
            </w:tcBorders>
          </w:tcPr>
          <w:p>
            <w:pPr>
              <w:pStyle w:val="TAC"/>
              <w:rPr>
                <w:lang w:val="en-GB"/>
              </w:rPr>
            </w:pPr>
            <w:r>
              <w:rPr>
                <w:lang w:val="en-GB"/>
              </w:rPr>
              <w:t>7</w:t>
            </w:r>
          </w:p>
        </w:tc>
        <w:tc>
          <w:tcPr>
            <w:tcW w:w="567" w:type="dxa"/>
            <w:gridSpan w:val="2"/>
            <w:tcBorders>
              <w:left w:val="single" w:sz="6" w:space="0" w:color="000000"/>
              <w:right w:val="single" w:sz="6" w:space="0" w:color="000000"/>
            </w:tcBorders>
          </w:tcPr>
          <w:p>
            <w:pPr>
              <w:pStyle w:val="TAC"/>
              <w:rPr>
                <w:lang w:val="en-GB"/>
              </w:rPr>
            </w:pPr>
            <w:r>
              <w:rPr>
                <w:lang w:val="en-GB"/>
              </w:rPr>
              <w:t>7</w:t>
            </w:r>
          </w:p>
        </w:tc>
        <w:tc>
          <w:tcPr>
            <w:tcW w:w="567" w:type="dxa"/>
            <w:gridSpan w:val="2"/>
            <w:tcBorders>
              <w:left w:val="single" w:sz="6" w:space="0" w:color="000000"/>
              <w:right w:val="single" w:sz="6" w:space="0" w:color="000000"/>
            </w:tcBorders>
          </w:tcPr>
          <w:p>
            <w:pPr>
              <w:pStyle w:val="TAC"/>
              <w:rPr>
                <w:lang w:val="en-GB"/>
              </w:rPr>
            </w:pPr>
            <w:r>
              <w:rPr>
                <w:lang w:val="en-GB"/>
              </w:rPr>
              <w:t>7</w:t>
            </w:r>
          </w:p>
        </w:tc>
        <w:tc>
          <w:tcPr>
            <w:tcW w:w="581" w:type="dxa"/>
            <w:gridSpan w:val="2"/>
            <w:tcBorders>
              <w:left w:val="single" w:sz="6" w:space="0" w:color="000000"/>
              <w:right w:val="single" w:sz="6" w:space="0" w:color="000000"/>
            </w:tcBorders>
          </w:tcPr>
          <w:p>
            <w:pPr>
              <w:pStyle w:val="TAC"/>
              <w:rPr>
                <w:lang w:val="en-GB"/>
              </w:rPr>
            </w:pPr>
            <w:r>
              <w:rPr>
                <w:lang w:val="en-GB"/>
              </w:rPr>
              <w:t>7</w:t>
            </w:r>
          </w:p>
        </w:tc>
        <w:tc>
          <w:tcPr>
            <w:tcW w:w="553" w:type="dxa"/>
            <w:gridSpan w:val="2"/>
            <w:tcBorders>
              <w:left w:val="single" w:sz="6" w:space="0" w:color="000000"/>
              <w:right w:val="single" w:sz="6" w:space="0" w:color="000000"/>
            </w:tcBorders>
          </w:tcPr>
          <w:p>
            <w:pPr>
              <w:pStyle w:val="TAC"/>
              <w:rPr>
                <w:lang w:val="en-GB"/>
              </w:rPr>
            </w:pPr>
            <w:r>
              <w:rPr>
                <w:lang w:val="en-GB"/>
              </w:rPr>
              <w:t>7</w:t>
            </w:r>
          </w:p>
        </w:tc>
        <w:tc>
          <w:tcPr>
            <w:tcW w:w="35" w:type="dxa"/>
            <w:tcBorders>
              <w:left w:val="single" w:sz="6" w:space="0" w:color="000000"/>
              <w:right w:val="single" w:sz="6" w:space="0" w:color="000000"/>
            </w:tcBorders>
          </w:tcPr>
          <w:p>
            <w:pPr>
              <w:pStyle w:val="TAC"/>
              <w:snapToGrid w:val="false"/>
              <w:rPr>
                <w:lang w:val="en-GB"/>
              </w:rPr>
            </w:pPr>
            <w:r>
              <w:rPr>
                <w:lang w:val="en-GB"/>
              </w:rPr>
            </w:r>
          </w:p>
        </w:tc>
        <w:tc>
          <w:tcPr>
            <w:tcW w:w="721" w:type="dxa"/>
            <w:gridSpan w:val="4"/>
            <w:tcBorders>
              <w:left w:val="single" w:sz="6" w:space="0" w:color="000000"/>
              <w:right w:val="single" w:sz="6" w:space="0" w:color="000000"/>
            </w:tcBorders>
          </w:tcPr>
          <w:p>
            <w:pPr>
              <w:pStyle w:val="TAC"/>
              <w:rPr>
                <w:lang w:val="en-GB"/>
              </w:rPr>
            </w:pPr>
            <w:r>
              <w:rPr>
                <w:lang w:val="en-GB"/>
              </w:rPr>
              <w:t>2</w:t>
            </w:r>
          </w:p>
        </w:tc>
        <w:tc>
          <w:tcPr>
            <w:tcW w:w="566" w:type="dxa"/>
            <w:gridSpan w:val="2"/>
            <w:tcBorders>
              <w:left w:val="single" w:sz="6" w:space="0" w:color="000000"/>
              <w:right w:val="single" w:sz="6" w:space="0" w:color="000000"/>
            </w:tcBorders>
          </w:tcPr>
          <w:p>
            <w:pPr>
              <w:pStyle w:val="TAC"/>
              <w:rPr>
                <w:lang w:val="en-GB"/>
              </w:rPr>
            </w:pPr>
            <w:r>
              <w:rPr>
                <w:lang w:val="en-GB"/>
              </w:rPr>
              <w:t>2</w:t>
            </w:r>
          </w:p>
        </w:tc>
        <w:tc>
          <w:tcPr>
            <w:tcW w:w="567" w:type="dxa"/>
            <w:gridSpan w:val="2"/>
            <w:tcBorders>
              <w:left w:val="single" w:sz="6" w:space="0" w:color="000000"/>
              <w:right w:val="single" w:sz="6" w:space="0" w:color="000000"/>
            </w:tcBorders>
          </w:tcPr>
          <w:p>
            <w:pPr>
              <w:pStyle w:val="TAC"/>
              <w:rPr>
                <w:lang w:val="en-GB"/>
              </w:rPr>
            </w:pPr>
            <w:r>
              <w:rPr>
                <w:lang w:val="en-GB"/>
              </w:rPr>
              <w:t>2</w:t>
            </w:r>
          </w:p>
        </w:tc>
        <w:tc>
          <w:tcPr>
            <w:tcW w:w="593" w:type="dxa"/>
            <w:tcBorders>
              <w:left w:val="single" w:sz="6" w:space="0" w:color="000000"/>
              <w:right w:val="single" w:sz="6" w:space="0" w:color="000000"/>
            </w:tcBorders>
          </w:tcPr>
          <w:p>
            <w:pPr>
              <w:pStyle w:val="TAC"/>
              <w:rPr>
                <w:lang w:val="en-GB"/>
              </w:rPr>
            </w:pPr>
            <w:r>
              <w:rPr>
                <w:lang w:val="en-GB"/>
              </w:rPr>
              <w:t>2</w:t>
            </w:r>
          </w:p>
        </w:tc>
      </w:tr>
      <w:tr>
        <w:trPr>
          <w:trHeight w:val="259" w:hRule="atLeast"/>
        </w:trPr>
        <w:tc>
          <w:tcPr>
            <w:tcW w:w="1452" w:type="dxa"/>
            <w:tcBorders>
              <w:top w:val="single" w:sz="6" w:space="0" w:color="000000"/>
              <w:left w:val="single" w:sz="6" w:space="0" w:color="000000"/>
            </w:tcBorders>
          </w:tcPr>
          <w:p>
            <w:pPr>
              <w:pStyle w:val="TAL"/>
              <w:rPr>
                <w:lang w:val="en-GB"/>
              </w:rPr>
            </w:pPr>
            <w:r>
              <w:rPr>
                <w:lang w:val="en-GB"/>
              </w:rPr>
              <w:t>BTS Blocking</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0" w:type="dxa"/>
            <w:tcBorders>
              <w:top w:val="single" w:sz="6" w:space="0" w:color="000000"/>
            </w:tcBorders>
          </w:tcPr>
          <w:p>
            <w:pPr>
              <w:pStyle w:val="TAC"/>
              <w:snapToGrid w:val="false"/>
              <w:rPr>
                <w:lang w:val="en-GB"/>
              </w:rPr>
            </w:pPr>
            <w:r>
              <w:rPr>
                <w:lang w:val="en-GB"/>
              </w:rPr>
            </w:r>
          </w:p>
        </w:tc>
        <w:tc>
          <w:tcPr>
            <w:tcW w:w="658" w:type="dxa"/>
            <w:tcBorders>
              <w:top w:val="single" w:sz="6" w:space="0" w:color="000000"/>
              <w:left w:val="single" w:sz="6" w:space="0" w:color="000000"/>
              <w:right w:val="single" w:sz="6" w:space="0" w:color="000000"/>
            </w:tcBorders>
          </w:tcPr>
          <w:p>
            <w:pPr>
              <w:pStyle w:val="TAC"/>
              <w:rPr>
                <w:lang w:val="en-GB"/>
              </w:rPr>
            </w:pPr>
            <w:r>
              <w:rPr>
                <w:lang w:val="en-GB"/>
              </w:rPr>
              <w:t>27</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27</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27</w:t>
            </w:r>
          </w:p>
        </w:tc>
        <w:tc>
          <w:tcPr>
            <w:tcW w:w="581" w:type="dxa"/>
            <w:gridSpan w:val="2"/>
            <w:tcBorders>
              <w:top w:val="single" w:sz="6" w:space="0" w:color="000000"/>
              <w:left w:val="single" w:sz="6" w:space="0" w:color="000000"/>
              <w:right w:val="single" w:sz="6" w:space="0" w:color="000000"/>
            </w:tcBorders>
          </w:tcPr>
          <w:p>
            <w:pPr>
              <w:pStyle w:val="TAC"/>
              <w:rPr>
                <w:lang w:val="en-GB"/>
              </w:rPr>
            </w:pPr>
            <w:r>
              <w:rPr>
                <w:lang w:val="en-GB"/>
              </w:rPr>
              <w:t>27</w:t>
            </w:r>
          </w:p>
        </w:tc>
        <w:tc>
          <w:tcPr>
            <w:tcW w:w="553" w:type="dxa"/>
            <w:gridSpan w:val="2"/>
            <w:tcBorders>
              <w:top w:val="single" w:sz="6" w:space="0" w:color="000000"/>
              <w:left w:val="single" w:sz="6" w:space="0" w:color="000000"/>
              <w:right w:val="single" w:sz="6" w:space="0" w:color="000000"/>
            </w:tcBorders>
          </w:tcPr>
          <w:p>
            <w:pPr>
              <w:pStyle w:val="TAC"/>
              <w:rPr>
                <w:lang w:val="en-GB"/>
              </w:rPr>
            </w:pPr>
            <w:r>
              <w:rPr>
                <w:lang w:val="en-GB"/>
              </w:rPr>
              <w:t>27</w:t>
            </w:r>
          </w:p>
        </w:tc>
        <w:tc>
          <w:tcPr>
            <w:tcW w:w="35" w:type="dxa"/>
            <w:tcBorders>
              <w:top w:val="single" w:sz="6" w:space="0" w:color="000000"/>
            </w:tcBorders>
          </w:tcPr>
          <w:p>
            <w:pPr>
              <w:pStyle w:val="TAC"/>
              <w:snapToGrid w:val="false"/>
              <w:rPr>
                <w:lang w:val="en-GB"/>
              </w:rPr>
            </w:pPr>
            <w:r>
              <w:rPr>
                <w:lang w:val="en-GB"/>
              </w:rPr>
            </w:r>
          </w:p>
        </w:tc>
        <w:tc>
          <w:tcPr>
            <w:tcW w:w="721" w:type="dxa"/>
            <w:gridSpan w:val="4"/>
            <w:tcBorders>
              <w:top w:val="single" w:sz="6" w:space="0" w:color="000000"/>
              <w:left w:val="single" w:sz="6" w:space="0" w:color="000000"/>
              <w:right w:val="single" w:sz="6" w:space="0" w:color="000000"/>
            </w:tcBorders>
          </w:tcPr>
          <w:p>
            <w:pPr>
              <w:pStyle w:val="TAC"/>
              <w:rPr>
                <w:lang w:val="en-GB"/>
              </w:rPr>
            </w:pPr>
            <w:r>
              <w:rPr>
                <w:lang w:val="en-GB"/>
              </w:rPr>
              <w:t>10</w:t>
            </w:r>
          </w:p>
        </w:tc>
        <w:tc>
          <w:tcPr>
            <w:tcW w:w="566"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593" w:type="dxa"/>
            <w:tcBorders>
              <w:top w:val="single" w:sz="6" w:space="0" w:color="000000"/>
              <w:left w:val="single" w:sz="6" w:space="0" w:color="000000"/>
              <w:right w:val="single" w:sz="6" w:space="0" w:color="000000"/>
            </w:tcBorders>
          </w:tcPr>
          <w:p>
            <w:pPr>
              <w:pStyle w:val="TAC"/>
              <w:rPr>
                <w:lang w:val="en-GB"/>
              </w:rPr>
            </w:pPr>
            <w:r>
              <w:rPr>
                <w:lang w:val="en-GB"/>
              </w:rPr>
              <w:t>10</w:t>
            </w:r>
          </w:p>
        </w:tc>
      </w:tr>
      <w:tr>
        <w:trPr>
          <w:trHeight w:val="259" w:hRule="atLeast"/>
        </w:trPr>
        <w:tc>
          <w:tcPr>
            <w:tcW w:w="1452" w:type="dxa"/>
            <w:tcBorders>
              <w:left w:val="single" w:sz="6" w:space="0" w:color="000000"/>
              <w:bottom w:val="single" w:sz="6" w:space="0" w:color="000000"/>
            </w:tcBorders>
          </w:tcPr>
          <w:p>
            <w:pPr>
              <w:pStyle w:val="TAL"/>
              <w:rPr>
                <w:lang w:val="en-GB"/>
              </w:rPr>
            </w:pPr>
            <w:r>
              <w:rPr>
                <w:lang w:val="en-GB"/>
              </w:rPr>
              <w:t>MS Noise</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60" w:type="dxa"/>
            <w:tcBorders/>
          </w:tcPr>
          <w:p>
            <w:pPr>
              <w:pStyle w:val="TAC"/>
              <w:snapToGrid w:val="false"/>
              <w:rPr>
                <w:lang w:val="fr-FR"/>
              </w:rPr>
            </w:pPr>
            <w:r>
              <w:rPr>
                <w:lang w:val="fr-FR"/>
              </w:rPr>
            </w:r>
          </w:p>
        </w:tc>
        <w:tc>
          <w:tcPr>
            <w:tcW w:w="658"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81"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53"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35" w:type="dxa"/>
            <w:tcBorders/>
          </w:tcPr>
          <w:p>
            <w:pPr>
              <w:pStyle w:val="TAC"/>
              <w:snapToGrid w:val="false"/>
              <w:rPr>
                <w:lang w:val="fr-FR"/>
              </w:rPr>
            </w:pPr>
            <w:r>
              <w:rPr>
                <w:lang w:val="fr-FR"/>
              </w:rPr>
            </w:r>
          </w:p>
        </w:tc>
        <w:tc>
          <w:tcPr>
            <w:tcW w:w="721" w:type="dxa"/>
            <w:gridSpan w:val="4"/>
            <w:tcBorders>
              <w:left w:val="single" w:sz="6" w:space="0" w:color="000000"/>
              <w:bottom w:val="single" w:sz="6" w:space="0" w:color="000000"/>
              <w:right w:val="single" w:sz="6" w:space="0" w:color="000000"/>
            </w:tcBorders>
          </w:tcPr>
          <w:p>
            <w:pPr>
              <w:pStyle w:val="TAC"/>
              <w:rPr>
                <w:lang w:val="fr-FR"/>
              </w:rPr>
            </w:pPr>
            <w:r>
              <w:rPr>
                <w:lang w:val="fr-FR"/>
              </w:rPr>
              <w:t>0</w:t>
            </w:r>
          </w:p>
        </w:tc>
        <w:tc>
          <w:tcPr>
            <w:tcW w:w="566"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93" w:type="dxa"/>
            <w:tcBorders>
              <w:left w:val="single" w:sz="6" w:space="0" w:color="000000"/>
              <w:bottom w:val="single" w:sz="6" w:space="0" w:color="000000"/>
              <w:right w:val="single" w:sz="6" w:space="0" w:color="000000"/>
            </w:tcBorders>
          </w:tcPr>
          <w:p>
            <w:pPr>
              <w:pStyle w:val="TAC"/>
              <w:rPr>
                <w:lang w:val="fr-FR"/>
              </w:rPr>
            </w:pPr>
            <w:r>
              <w:rPr>
                <w:lang w:val="fr-FR"/>
              </w:rPr>
              <w:t>0</w:t>
            </w:r>
          </w:p>
        </w:tc>
      </w:tr>
      <w:tr>
        <w:trPr>
          <w:trHeight w:val="259" w:hRule="atLeast"/>
        </w:trPr>
        <w:tc>
          <w:tcPr>
            <w:tcW w:w="1452" w:type="dxa"/>
            <w:tcBorders>
              <w:top w:val="single" w:sz="6" w:space="0" w:color="000000"/>
              <w:left w:val="single" w:sz="6" w:space="0" w:color="000000"/>
              <w:right w:val="single" w:sz="6" w:space="0" w:color="000000"/>
            </w:tcBorders>
          </w:tcPr>
          <w:p>
            <w:pPr>
              <w:pStyle w:val="TAL"/>
              <w:rPr>
                <w:lang w:val="fr-FR"/>
              </w:rPr>
            </w:pPr>
            <w:r>
              <w:rPr>
                <w:lang w:val="fr-FR"/>
              </w:rPr>
              <w:t>D/L Bias</w:t>
            </w:r>
          </w:p>
        </w:tc>
        <w:tc>
          <w:tcPr>
            <w:tcW w:w="567" w:type="dxa"/>
            <w:tcBorders>
              <w:top w:val="single" w:sz="6" w:space="0" w:color="000000"/>
              <w:right w:val="single" w:sz="6" w:space="0" w:color="000000"/>
            </w:tcBorders>
          </w:tcPr>
          <w:p>
            <w:pPr>
              <w:pStyle w:val="TAC"/>
              <w:rPr>
                <w:lang w:val="en-GB"/>
              </w:rPr>
            </w:pPr>
            <w:r>
              <w:rPr>
                <w:b/>
                <w:lang w:val="en-GB"/>
              </w:rPr>
              <w:t>12</w:t>
            </w:r>
          </w:p>
        </w:tc>
        <w:tc>
          <w:tcPr>
            <w:tcW w:w="567" w:type="dxa"/>
            <w:tcBorders>
              <w:top w:val="single" w:sz="6" w:space="0" w:color="000000"/>
              <w:right w:val="single" w:sz="6" w:space="0" w:color="000000"/>
            </w:tcBorders>
          </w:tcPr>
          <w:p>
            <w:pPr>
              <w:pStyle w:val="TAC"/>
              <w:rPr>
                <w:lang w:val="en-GB"/>
              </w:rPr>
            </w:pPr>
            <w:r>
              <w:rPr>
                <w:b/>
                <w:lang w:val="en-GB"/>
              </w:rPr>
              <w:t>2</w:t>
            </w:r>
          </w:p>
        </w:tc>
        <w:tc>
          <w:tcPr>
            <w:tcW w:w="60" w:type="dxa"/>
            <w:tcBorders/>
          </w:tcPr>
          <w:p>
            <w:pPr>
              <w:pStyle w:val="TAC"/>
              <w:snapToGrid w:val="false"/>
              <w:rPr>
                <w:lang w:val="en-GB"/>
              </w:rPr>
            </w:pPr>
            <w:r>
              <w:rPr>
                <w:lang w:val="en-GB"/>
              </w:rPr>
            </w:r>
          </w:p>
        </w:tc>
        <w:tc>
          <w:tcPr>
            <w:tcW w:w="658"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81"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53"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35" w:type="dxa"/>
            <w:tcBorders/>
          </w:tcPr>
          <w:p>
            <w:pPr>
              <w:pStyle w:val="TAC"/>
              <w:snapToGrid w:val="false"/>
              <w:rPr>
                <w:lang w:val="en-GB"/>
              </w:rPr>
            </w:pPr>
            <w:r>
              <w:rPr>
                <w:lang w:val="en-GB"/>
              </w:rPr>
            </w:r>
          </w:p>
        </w:tc>
        <w:tc>
          <w:tcPr>
            <w:tcW w:w="721" w:type="dxa"/>
            <w:gridSpan w:val="4"/>
            <w:tcBorders>
              <w:top w:val="single" w:sz="6" w:space="0" w:color="000000"/>
              <w:left w:val="single" w:sz="6" w:space="0" w:color="000000"/>
              <w:right w:val="single" w:sz="6" w:space="0" w:color="000000"/>
            </w:tcBorders>
          </w:tcPr>
          <w:p>
            <w:pPr>
              <w:pStyle w:val="TAC"/>
              <w:rPr>
                <w:lang w:val="en-GB"/>
              </w:rPr>
            </w:pPr>
            <w:r>
              <w:rPr>
                <w:b/>
                <w:lang w:val="en-GB"/>
              </w:rPr>
              <w:t>0</w:t>
            </w:r>
          </w:p>
        </w:tc>
        <w:tc>
          <w:tcPr>
            <w:tcW w:w="566"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93" w:type="dxa"/>
            <w:tcBorders>
              <w:top w:val="single" w:sz="6" w:space="0" w:color="000000"/>
              <w:left w:val="single" w:sz="6" w:space="0" w:color="000000"/>
              <w:right w:val="single" w:sz="6" w:space="0" w:color="000000"/>
            </w:tcBorders>
          </w:tcPr>
          <w:p>
            <w:pPr>
              <w:pStyle w:val="TAC"/>
              <w:rPr>
                <w:lang w:val="en-GB"/>
              </w:rPr>
            </w:pPr>
            <w:r>
              <w:rPr>
                <w:b/>
                <w:lang w:val="en-GB"/>
              </w:rPr>
              <w:t>0</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Max Loss</w:t>
            </w:r>
          </w:p>
        </w:tc>
        <w:tc>
          <w:tcPr>
            <w:tcW w:w="567" w:type="dxa"/>
            <w:tcBorders>
              <w:right w:val="single" w:sz="6" w:space="0" w:color="000000"/>
            </w:tcBorders>
          </w:tcPr>
          <w:p>
            <w:pPr>
              <w:pStyle w:val="TAC"/>
              <w:rPr>
                <w:lang w:val="en-GB"/>
              </w:rPr>
            </w:pPr>
            <w:r>
              <w:rPr>
                <w:b/>
                <w:lang w:val="en-GB"/>
              </w:rPr>
              <w:t>111</w:t>
            </w:r>
          </w:p>
        </w:tc>
        <w:tc>
          <w:tcPr>
            <w:tcW w:w="567" w:type="dxa"/>
            <w:tcBorders>
              <w:right w:val="single" w:sz="6" w:space="0" w:color="000000"/>
            </w:tcBorders>
          </w:tcPr>
          <w:p>
            <w:pPr>
              <w:pStyle w:val="TAC"/>
              <w:rPr>
                <w:lang w:val="en-GB"/>
              </w:rPr>
            </w:pPr>
            <w:r>
              <w:rPr>
                <w:b/>
                <w:lang w:val="en-GB"/>
              </w:rPr>
              <w:t>122</w:t>
            </w:r>
          </w:p>
        </w:tc>
        <w:tc>
          <w:tcPr>
            <w:tcW w:w="60" w:type="dxa"/>
            <w:tcBorders/>
          </w:tcPr>
          <w:p>
            <w:pPr>
              <w:pStyle w:val="TAC"/>
              <w:snapToGrid w:val="false"/>
              <w:rPr>
                <w:lang w:val="en-GB"/>
              </w:rPr>
            </w:pPr>
            <w:r>
              <w:rPr>
                <w:lang w:val="en-GB"/>
              </w:rPr>
            </w:r>
          </w:p>
        </w:tc>
        <w:tc>
          <w:tcPr>
            <w:tcW w:w="658" w:type="dxa"/>
            <w:tcBorders>
              <w:left w:val="single" w:sz="6" w:space="0" w:color="000000"/>
              <w:right w:val="single" w:sz="6" w:space="0" w:color="000000"/>
            </w:tcBorders>
          </w:tcPr>
          <w:p>
            <w:pPr>
              <w:pStyle w:val="TAC"/>
              <w:rPr>
                <w:lang w:val="en-GB"/>
              </w:rPr>
            </w:pPr>
            <w:r>
              <w:rPr>
                <w:b/>
                <w:lang w:val="en-GB"/>
              </w:rPr>
              <w:t>136</w:t>
            </w:r>
          </w:p>
        </w:tc>
        <w:tc>
          <w:tcPr>
            <w:tcW w:w="567" w:type="dxa"/>
            <w:gridSpan w:val="2"/>
            <w:tcBorders>
              <w:left w:val="single" w:sz="6" w:space="0" w:color="000000"/>
              <w:right w:val="single" w:sz="6" w:space="0" w:color="000000"/>
            </w:tcBorders>
          </w:tcPr>
          <w:p>
            <w:pPr>
              <w:pStyle w:val="TAC"/>
              <w:rPr>
                <w:lang w:val="en-GB"/>
              </w:rPr>
            </w:pPr>
            <w:r>
              <w:rPr>
                <w:b/>
                <w:lang w:val="en-GB"/>
              </w:rPr>
              <w:t>127</w:t>
            </w:r>
          </w:p>
        </w:tc>
        <w:tc>
          <w:tcPr>
            <w:tcW w:w="567" w:type="dxa"/>
            <w:gridSpan w:val="2"/>
            <w:tcBorders>
              <w:left w:val="single" w:sz="6" w:space="0" w:color="000000"/>
              <w:right w:val="single" w:sz="6" w:space="0" w:color="000000"/>
            </w:tcBorders>
          </w:tcPr>
          <w:p>
            <w:pPr>
              <w:pStyle w:val="TAC"/>
              <w:rPr>
                <w:lang w:val="en-GB"/>
              </w:rPr>
            </w:pPr>
            <w:r>
              <w:rPr>
                <w:b/>
                <w:lang w:val="en-GB"/>
              </w:rPr>
              <w:t>122</w:t>
            </w:r>
          </w:p>
        </w:tc>
        <w:tc>
          <w:tcPr>
            <w:tcW w:w="581" w:type="dxa"/>
            <w:gridSpan w:val="2"/>
            <w:tcBorders>
              <w:left w:val="single" w:sz="6" w:space="0" w:color="000000"/>
              <w:right w:val="single" w:sz="6" w:space="0" w:color="000000"/>
            </w:tcBorders>
          </w:tcPr>
          <w:p>
            <w:pPr>
              <w:pStyle w:val="TAC"/>
              <w:rPr>
                <w:lang w:val="en-GB"/>
              </w:rPr>
            </w:pPr>
            <w:r>
              <w:rPr>
                <w:b/>
                <w:lang w:val="en-GB"/>
              </w:rPr>
              <w:t>117</w:t>
            </w:r>
          </w:p>
        </w:tc>
        <w:tc>
          <w:tcPr>
            <w:tcW w:w="553" w:type="dxa"/>
            <w:gridSpan w:val="2"/>
            <w:tcBorders>
              <w:left w:val="single" w:sz="6" w:space="0" w:color="000000"/>
              <w:right w:val="single" w:sz="6" w:space="0" w:color="000000"/>
            </w:tcBorders>
          </w:tcPr>
          <w:p>
            <w:pPr>
              <w:pStyle w:val="TAC"/>
              <w:rPr>
                <w:lang w:val="en-GB"/>
              </w:rPr>
            </w:pPr>
            <w:r>
              <w:rPr>
                <w:b/>
                <w:lang w:val="en-GB"/>
              </w:rPr>
              <w:t>112</w:t>
            </w:r>
          </w:p>
        </w:tc>
        <w:tc>
          <w:tcPr>
            <w:tcW w:w="35" w:type="dxa"/>
            <w:tcBorders/>
          </w:tcPr>
          <w:p>
            <w:pPr>
              <w:pStyle w:val="TAC"/>
              <w:snapToGrid w:val="false"/>
              <w:rPr>
                <w:lang w:val="en-GB"/>
              </w:rPr>
            </w:pPr>
            <w:r>
              <w:rPr>
                <w:lang w:val="en-GB"/>
              </w:rPr>
            </w:r>
          </w:p>
        </w:tc>
        <w:tc>
          <w:tcPr>
            <w:tcW w:w="721" w:type="dxa"/>
            <w:gridSpan w:val="4"/>
            <w:tcBorders>
              <w:left w:val="single" w:sz="6" w:space="0" w:color="000000"/>
              <w:right w:val="single" w:sz="6" w:space="0" w:color="000000"/>
            </w:tcBorders>
          </w:tcPr>
          <w:p>
            <w:pPr>
              <w:pStyle w:val="TAC"/>
              <w:rPr>
                <w:lang w:val="en-GB"/>
              </w:rPr>
            </w:pPr>
            <w:r>
              <w:rPr>
                <w:b/>
                <w:lang w:val="en-GB"/>
              </w:rPr>
              <w:t>137</w:t>
            </w:r>
          </w:p>
        </w:tc>
        <w:tc>
          <w:tcPr>
            <w:tcW w:w="566" w:type="dxa"/>
            <w:gridSpan w:val="2"/>
            <w:tcBorders>
              <w:left w:val="single" w:sz="6" w:space="0" w:color="000000"/>
              <w:right w:val="single" w:sz="6" w:space="0" w:color="000000"/>
            </w:tcBorders>
          </w:tcPr>
          <w:p>
            <w:pPr>
              <w:pStyle w:val="TAC"/>
              <w:rPr>
                <w:lang w:val="en-GB"/>
              </w:rPr>
            </w:pPr>
            <w:r>
              <w:rPr>
                <w:b/>
                <w:lang w:val="en-GB"/>
              </w:rPr>
              <w:t>132</w:t>
            </w:r>
          </w:p>
        </w:tc>
        <w:tc>
          <w:tcPr>
            <w:tcW w:w="567" w:type="dxa"/>
            <w:gridSpan w:val="2"/>
            <w:tcBorders>
              <w:left w:val="single" w:sz="6" w:space="0" w:color="000000"/>
              <w:right w:val="single" w:sz="6" w:space="0" w:color="000000"/>
            </w:tcBorders>
          </w:tcPr>
          <w:p>
            <w:pPr>
              <w:pStyle w:val="TAC"/>
              <w:rPr>
                <w:lang w:val="en-GB"/>
              </w:rPr>
            </w:pPr>
            <w:r>
              <w:rPr>
                <w:b/>
                <w:lang w:val="en-GB"/>
              </w:rPr>
              <w:t>127</w:t>
            </w:r>
          </w:p>
        </w:tc>
        <w:tc>
          <w:tcPr>
            <w:tcW w:w="593" w:type="dxa"/>
            <w:tcBorders>
              <w:left w:val="single" w:sz="6" w:space="0" w:color="000000"/>
              <w:right w:val="single" w:sz="6" w:space="0" w:color="000000"/>
            </w:tcBorders>
          </w:tcPr>
          <w:p>
            <w:pPr>
              <w:pStyle w:val="TAC"/>
              <w:rPr>
                <w:lang w:val="en-GB"/>
              </w:rPr>
            </w:pPr>
            <w:r>
              <w:rPr>
                <w:b/>
                <w:lang w:val="en-GB"/>
              </w:rPr>
              <w:t>122</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MCL</w:t>
            </w:r>
          </w:p>
        </w:tc>
        <w:tc>
          <w:tcPr>
            <w:tcW w:w="567" w:type="dxa"/>
            <w:tcBorders>
              <w:right w:val="single" w:sz="6" w:space="0" w:color="000000"/>
            </w:tcBorders>
          </w:tcPr>
          <w:p>
            <w:pPr>
              <w:pStyle w:val="TAC"/>
              <w:rPr>
                <w:lang w:val="en-GB"/>
              </w:rPr>
            </w:pPr>
            <w:r>
              <w:rPr>
                <w:b/>
                <w:lang w:val="en-GB"/>
              </w:rPr>
              <w:t>44</w:t>
            </w:r>
          </w:p>
        </w:tc>
        <w:tc>
          <w:tcPr>
            <w:tcW w:w="567" w:type="dxa"/>
            <w:tcBorders>
              <w:right w:val="single" w:sz="6" w:space="0" w:color="000000"/>
            </w:tcBorders>
          </w:tcPr>
          <w:p>
            <w:pPr>
              <w:pStyle w:val="TAC"/>
              <w:rPr>
                <w:lang w:val="en-GB"/>
              </w:rPr>
            </w:pPr>
            <w:r>
              <w:rPr>
                <w:b/>
                <w:lang w:val="en-GB"/>
              </w:rPr>
              <w:t>50</w:t>
            </w:r>
          </w:p>
        </w:tc>
        <w:tc>
          <w:tcPr>
            <w:tcW w:w="60" w:type="dxa"/>
            <w:tcBorders/>
          </w:tcPr>
          <w:p>
            <w:pPr>
              <w:pStyle w:val="TAC"/>
              <w:snapToGrid w:val="false"/>
              <w:rPr>
                <w:lang w:val="en-GB"/>
              </w:rPr>
            </w:pPr>
            <w:r>
              <w:rPr>
                <w:lang w:val="en-GB"/>
              </w:rPr>
            </w:r>
          </w:p>
        </w:tc>
        <w:tc>
          <w:tcPr>
            <w:tcW w:w="658" w:type="dxa"/>
            <w:tcBorders>
              <w:left w:val="single" w:sz="6" w:space="0" w:color="000000"/>
              <w:right w:val="single" w:sz="6" w:space="0" w:color="000000"/>
            </w:tcBorders>
          </w:tcPr>
          <w:p>
            <w:pPr>
              <w:pStyle w:val="TAC"/>
              <w:rPr>
                <w:lang w:val="en-GB"/>
              </w:rPr>
            </w:pPr>
            <w:r>
              <w:rPr>
                <w:b/>
                <w:lang w:val="en-GB"/>
              </w:rPr>
              <w:t>69</w:t>
            </w:r>
          </w:p>
        </w:tc>
        <w:tc>
          <w:tcPr>
            <w:tcW w:w="567" w:type="dxa"/>
            <w:gridSpan w:val="2"/>
            <w:tcBorders>
              <w:left w:val="single" w:sz="6" w:space="0" w:color="000000"/>
              <w:right w:val="single" w:sz="6" w:space="0" w:color="000000"/>
            </w:tcBorders>
          </w:tcPr>
          <w:p>
            <w:pPr>
              <w:pStyle w:val="TAC"/>
              <w:rPr>
                <w:lang w:val="en-GB"/>
              </w:rPr>
            </w:pPr>
            <w:r>
              <w:rPr>
                <w:b/>
                <w:lang w:val="en-GB"/>
              </w:rPr>
              <w:t>60</w:t>
            </w:r>
          </w:p>
        </w:tc>
        <w:tc>
          <w:tcPr>
            <w:tcW w:w="567" w:type="dxa"/>
            <w:gridSpan w:val="2"/>
            <w:tcBorders>
              <w:left w:val="single" w:sz="6" w:space="0" w:color="000000"/>
              <w:right w:val="single" w:sz="6" w:space="0" w:color="000000"/>
            </w:tcBorders>
          </w:tcPr>
          <w:p>
            <w:pPr>
              <w:pStyle w:val="TAC"/>
              <w:rPr>
                <w:lang w:val="en-GB"/>
              </w:rPr>
            </w:pPr>
            <w:r>
              <w:rPr>
                <w:b/>
                <w:lang w:val="en-GB"/>
              </w:rPr>
              <w:t>55</w:t>
            </w:r>
          </w:p>
        </w:tc>
        <w:tc>
          <w:tcPr>
            <w:tcW w:w="581" w:type="dxa"/>
            <w:gridSpan w:val="2"/>
            <w:tcBorders>
              <w:left w:val="single" w:sz="6" w:space="0" w:color="000000"/>
              <w:right w:val="single" w:sz="6" w:space="0" w:color="000000"/>
            </w:tcBorders>
          </w:tcPr>
          <w:p>
            <w:pPr>
              <w:pStyle w:val="TAC"/>
              <w:rPr>
                <w:lang w:val="en-GB"/>
              </w:rPr>
            </w:pPr>
            <w:r>
              <w:rPr>
                <w:b/>
                <w:lang w:val="en-GB"/>
              </w:rPr>
              <w:t>50</w:t>
            </w:r>
          </w:p>
        </w:tc>
        <w:tc>
          <w:tcPr>
            <w:tcW w:w="553" w:type="dxa"/>
            <w:gridSpan w:val="2"/>
            <w:tcBorders>
              <w:left w:val="single" w:sz="6" w:space="0" w:color="000000"/>
              <w:right w:val="single" w:sz="6" w:space="0" w:color="000000"/>
            </w:tcBorders>
          </w:tcPr>
          <w:p>
            <w:pPr>
              <w:pStyle w:val="TAC"/>
              <w:rPr>
                <w:lang w:val="en-GB"/>
              </w:rPr>
            </w:pPr>
            <w:r>
              <w:rPr>
                <w:b/>
                <w:lang w:val="en-GB"/>
              </w:rPr>
              <w:t>45</w:t>
            </w:r>
          </w:p>
        </w:tc>
        <w:tc>
          <w:tcPr>
            <w:tcW w:w="35" w:type="dxa"/>
            <w:tcBorders/>
          </w:tcPr>
          <w:p>
            <w:pPr>
              <w:pStyle w:val="TAC"/>
              <w:snapToGrid w:val="false"/>
              <w:rPr>
                <w:lang w:val="en-GB"/>
              </w:rPr>
            </w:pPr>
            <w:r>
              <w:rPr>
                <w:lang w:val="en-GB"/>
              </w:rPr>
            </w:r>
          </w:p>
        </w:tc>
        <w:tc>
          <w:tcPr>
            <w:tcW w:w="721" w:type="dxa"/>
            <w:gridSpan w:val="4"/>
            <w:tcBorders>
              <w:left w:val="single" w:sz="6" w:space="0" w:color="000000"/>
              <w:right w:val="single" w:sz="6" w:space="0" w:color="000000"/>
            </w:tcBorders>
          </w:tcPr>
          <w:p>
            <w:pPr>
              <w:pStyle w:val="TAC"/>
              <w:rPr>
                <w:lang w:val="en-GB"/>
              </w:rPr>
            </w:pPr>
            <w:r>
              <w:rPr>
                <w:b/>
                <w:lang w:val="en-GB"/>
              </w:rPr>
              <w:t>65</w:t>
            </w:r>
          </w:p>
        </w:tc>
        <w:tc>
          <w:tcPr>
            <w:tcW w:w="566" w:type="dxa"/>
            <w:gridSpan w:val="2"/>
            <w:tcBorders>
              <w:left w:val="single" w:sz="6" w:space="0" w:color="000000"/>
              <w:right w:val="single" w:sz="6" w:space="0" w:color="000000"/>
            </w:tcBorders>
          </w:tcPr>
          <w:p>
            <w:pPr>
              <w:pStyle w:val="TAC"/>
              <w:rPr>
                <w:lang w:val="en-GB"/>
              </w:rPr>
            </w:pPr>
            <w:r>
              <w:rPr>
                <w:b/>
                <w:lang w:val="en-GB"/>
              </w:rPr>
              <w:t>60</w:t>
            </w:r>
          </w:p>
        </w:tc>
        <w:tc>
          <w:tcPr>
            <w:tcW w:w="567" w:type="dxa"/>
            <w:gridSpan w:val="2"/>
            <w:tcBorders>
              <w:left w:val="single" w:sz="6" w:space="0" w:color="000000"/>
              <w:right w:val="single" w:sz="6" w:space="0" w:color="000000"/>
            </w:tcBorders>
          </w:tcPr>
          <w:p>
            <w:pPr>
              <w:pStyle w:val="TAC"/>
              <w:rPr>
                <w:lang w:val="en-GB"/>
              </w:rPr>
            </w:pPr>
            <w:r>
              <w:rPr>
                <w:b/>
                <w:lang w:val="en-GB"/>
              </w:rPr>
              <w:t>55</w:t>
            </w:r>
          </w:p>
        </w:tc>
        <w:tc>
          <w:tcPr>
            <w:tcW w:w="593" w:type="dxa"/>
            <w:tcBorders>
              <w:left w:val="single" w:sz="6" w:space="0" w:color="000000"/>
              <w:right w:val="single" w:sz="6" w:space="0" w:color="000000"/>
            </w:tcBorders>
          </w:tcPr>
          <w:p>
            <w:pPr>
              <w:pStyle w:val="TAC"/>
              <w:rPr>
                <w:lang w:val="en-GB"/>
              </w:rPr>
            </w:pPr>
            <w:r>
              <w:rPr>
                <w:b/>
                <w:lang w:val="en-GB"/>
              </w:rPr>
              <w:t>50</w:t>
            </w:r>
          </w:p>
        </w:tc>
      </w:tr>
      <w:tr>
        <w:trPr>
          <w:trHeight w:val="259" w:hRule="atLeast"/>
        </w:trPr>
        <w:tc>
          <w:tcPr>
            <w:tcW w:w="1452" w:type="dxa"/>
            <w:tcBorders>
              <w:left w:val="single" w:sz="6" w:space="0" w:color="000000"/>
              <w:bottom w:val="single" w:sz="6" w:space="0" w:color="000000"/>
              <w:right w:val="single" w:sz="6" w:space="0" w:color="000000"/>
            </w:tcBorders>
          </w:tcPr>
          <w:p>
            <w:pPr>
              <w:pStyle w:val="TAL"/>
              <w:rPr>
                <w:lang w:val="en-GB"/>
              </w:rPr>
            </w:pPr>
            <w:r>
              <w:rPr>
                <w:lang w:val="en-GB"/>
              </w:rPr>
              <w:t>Dyn Range</w:t>
            </w:r>
          </w:p>
        </w:tc>
        <w:tc>
          <w:tcPr>
            <w:tcW w:w="567" w:type="dxa"/>
            <w:tcBorders>
              <w:bottom w:val="single" w:sz="6" w:space="0" w:color="000000"/>
              <w:right w:val="single" w:sz="6" w:space="0" w:color="000000"/>
            </w:tcBorders>
          </w:tcPr>
          <w:p>
            <w:pPr>
              <w:pStyle w:val="TAC"/>
              <w:rPr>
                <w:lang w:val="en-GB"/>
              </w:rPr>
            </w:pPr>
            <w:r>
              <w:rPr>
                <w:b/>
                <w:lang w:val="en-GB"/>
              </w:rPr>
              <w:t>67</w:t>
            </w:r>
          </w:p>
        </w:tc>
        <w:tc>
          <w:tcPr>
            <w:tcW w:w="567" w:type="dxa"/>
            <w:tcBorders>
              <w:bottom w:val="single" w:sz="6" w:space="0" w:color="000000"/>
              <w:right w:val="single" w:sz="6" w:space="0" w:color="000000"/>
            </w:tcBorders>
          </w:tcPr>
          <w:p>
            <w:pPr>
              <w:pStyle w:val="TAC"/>
              <w:rPr>
                <w:lang w:val="en-GB"/>
              </w:rPr>
            </w:pPr>
            <w:r>
              <w:rPr>
                <w:b/>
                <w:lang w:val="en-GB"/>
              </w:rPr>
              <w:t>72</w:t>
            </w:r>
          </w:p>
        </w:tc>
        <w:tc>
          <w:tcPr>
            <w:tcW w:w="60" w:type="dxa"/>
            <w:tcBorders/>
          </w:tcPr>
          <w:p>
            <w:pPr>
              <w:pStyle w:val="TAC"/>
              <w:snapToGrid w:val="false"/>
              <w:rPr>
                <w:lang w:val="en-GB"/>
              </w:rPr>
            </w:pPr>
            <w:r>
              <w:rPr>
                <w:lang w:val="en-GB"/>
              </w:rPr>
            </w:r>
          </w:p>
        </w:tc>
        <w:tc>
          <w:tcPr>
            <w:tcW w:w="658" w:type="dxa"/>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581" w:type="dxa"/>
            <w:gridSpan w:val="2"/>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553" w:type="dxa"/>
            <w:gridSpan w:val="2"/>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35" w:type="dxa"/>
            <w:tcBorders/>
          </w:tcPr>
          <w:p>
            <w:pPr>
              <w:pStyle w:val="TAC"/>
              <w:snapToGrid w:val="false"/>
              <w:rPr>
                <w:lang w:val="en-GB"/>
              </w:rPr>
            </w:pPr>
            <w:r>
              <w:rPr>
                <w:lang w:val="en-GB"/>
              </w:rPr>
            </w:r>
          </w:p>
        </w:tc>
        <w:tc>
          <w:tcPr>
            <w:tcW w:w="721" w:type="dxa"/>
            <w:gridSpan w:val="4"/>
            <w:tcBorders>
              <w:left w:val="single" w:sz="6" w:space="0" w:color="000000"/>
              <w:bottom w:val="single" w:sz="6" w:space="0" w:color="000000"/>
              <w:right w:val="single" w:sz="6" w:space="0" w:color="000000"/>
            </w:tcBorders>
          </w:tcPr>
          <w:p>
            <w:pPr>
              <w:pStyle w:val="TAC"/>
              <w:rPr>
                <w:lang w:val="en-GB"/>
              </w:rPr>
            </w:pPr>
            <w:r>
              <w:rPr>
                <w:b/>
                <w:lang w:val="en-GB"/>
              </w:rPr>
              <w:t>72</w:t>
            </w:r>
          </w:p>
        </w:tc>
        <w:tc>
          <w:tcPr>
            <w:tcW w:w="566" w:type="dxa"/>
            <w:gridSpan w:val="2"/>
            <w:tcBorders>
              <w:left w:val="single" w:sz="6" w:space="0" w:color="000000"/>
              <w:bottom w:val="single" w:sz="6" w:space="0" w:color="000000"/>
              <w:right w:val="single" w:sz="6" w:space="0" w:color="000000"/>
            </w:tcBorders>
          </w:tcPr>
          <w:p>
            <w:pPr>
              <w:pStyle w:val="TAC"/>
              <w:rPr>
                <w:lang w:val="en-GB"/>
              </w:rPr>
            </w:pPr>
            <w:r>
              <w:rPr>
                <w:b/>
                <w:lang w:val="en-GB"/>
              </w:rPr>
              <w:t>72</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72</w:t>
            </w:r>
          </w:p>
        </w:tc>
        <w:tc>
          <w:tcPr>
            <w:tcW w:w="593" w:type="dxa"/>
            <w:tcBorders>
              <w:left w:val="single" w:sz="6" w:space="0" w:color="000000"/>
              <w:bottom w:val="single" w:sz="6" w:space="0" w:color="000000"/>
              <w:right w:val="single" w:sz="6" w:space="0" w:color="000000"/>
            </w:tcBorders>
          </w:tcPr>
          <w:p>
            <w:pPr>
              <w:pStyle w:val="TAC"/>
              <w:rPr>
                <w:lang w:val="en-GB"/>
              </w:rPr>
            </w:pPr>
            <w:r>
              <w:rPr>
                <w:b/>
                <w:lang w:val="en-GB"/>
              </w:rPr>
              <w:t>72</w:t>
            </w:r>
          </w:p>
        </w:tc>
      </w:tr>
    </w:tbl>
    <w:p>
      <w:pPr>
        <w:pStyle w:val="NF"/>
        <w:rPr/>
      </w:pPr>
      <w:r>
        <w:rPr/>
      </w:r>
    </w:p>
    <w:p>
      <w:pPr>
        <w:pStyle w:val="NF"/>
        <w:rPr/>
      </w:pPr>
      <w:r>
        <w:rPr/>
        <w:t>NOTE 1:</w:t>
        <w:tab/>
        <w:t>See annex 1 for further information.</w:t>
      </w:r>
    </w:p>
    <w:p>
      <w:pPr>
        <w:pStyle w:val="NF"/>
        <w:rPr/>
      </w:pPr>
      <w:r>
        <w:rPr/>
        <w:t>NOTE 2:</w:t>
        <w:tab/>
        <w:t>Shaded boxes are changeable parameters.</w:t>
      </w:r>
    </w:p>
    <w:p>
      <w:pPr>
        <w:pStyle w:val="NF"/>
        <w:rPr/>
      </w:pPr>
      <w:r>
        <w:rPr/>
        <w:t>NOTE 3:</w:t>
        <w:tab/>
        <w:t>Max loss excludes any antenna gain / cable loss.</w:t>
      </w:r>
    </w:p>
    <w:p>
      <w:pPr>
        <w:pStyle w:val="NF"/>
        <w:rPr/>
      </w:pPr>
      <w:r>
        <w:rPr/>
        <w:t>NOTE 4:</w:t>
        <w:tab/>
        <w:t>Powers and sensitvities are specified at the antenna connector.</w:t>
      </w:r>
    </w:p>
    <w:p>
      <w:pPr>
        <w:pStyle w:val="NF"/>
        <w:rPr/>
      </w:pPr>
      <w:r>
        <w:rPr/>
        <w:t>NOTE 5</w:t>
        <w:tab/>
        <w:t>Noise measured in 180 kHz.</w:t>
      </w:r>
    </w:p>
    <w:p>
      <w:pPr>
        <w:pStyle w:val="NF"/>
        <w:rPr/>
      </w:pPr>
      <w:r>
        <w:rPr/>
      </w:r>
    </w:p>
    <w:p>
      <w:pPr>
        <w:pStyle w:val="TF"/>
        <w:rPr/>
      </w:pPr>
      <w:r>
        <w:rPr/>
        <w:t>Figure 2: Microcell RF Parameters after Stages 1 to 3</w:t>
      </w:r>
    </w:p>
    <w:p>
      <w:pPr>
        <w:pStyle w:val="Normal"/>
        <w:rPr/>
      </w:pPr>
      <w:r>
        <w:rPr/>
      </w:r>
    </w:p>
    <w:tbl>
      <w:tblPr>
        <w:tblW w:w="7945" w:type="dxa"/>
        <w:jc w:val="center"/>
        <w:tblInd w:w="0" w:type="dxa"/>
        <w:tblLayout w:type="fixed"/>
        <w:tblCellMar>
          <w:top w:w="0" w:type="dxa"/>
          <w:left w:w="0" w:type="dxa"/>
          <w:bottom w:w="0" w:type="dxa"/>
          <w:right w:w="0" w:type="dxa"/>
        </w:tblCellMar>
      </w:tblPr>
      <w:tblGrid>
        <w:gridCol w:w="1452"/>
        <w:gridCol w:w="631"/>
        <w:gridCol w:w="631"/>
        <w:gridCol w:w="60"/>
        <w:gridCol w:w="567"/>
        <w:gridCol w:w="6"/>
        <w:gridCol w:w="561"/>
        <w:gridCol w:w="6"/>
        <w:gridCol w:w="561"/>
        <w:gridCol w:w="6"/>
        <w:gridCol w:w="561"/>
        <w:gridCol w:w="6"/>
        <w:gridCol w:w="561"/>
        <w:gridCol w:w="6"/>
        <w:gridCol w:w="56"/>
        <w:gridCol w:w="6"/>
        <w:gridCol w:w="561"/>
        <w:gridCol w:w="6"/>
        <w:gridCol w:w="561"/>
        <w:gridCol w:w="6"/>
        <w:gridCol w:w="561"/>
        <w:gridCol w:w="6"/>
        <w:gridCol w:w="561"/>
        <w:gridCol w:w="6"/>
      </w:tblGrid>
      <w:tr>
        <w:trPr>
          <w:trHeight w:val="259" w:hRule="atLeast"/>
        </w:trPr>
        <w:tc>
          <w:tcPr>
            <w:tcW w:w="1452" w:type="dxa"/>
            <w:tcBorders/>
          </w:tcPr>
          <w:p>
            <w:pPr>
              <w:pStyle w:val="TAH"/>
              <w:snapToGrid w:val="false"/>
              <w:rPr>
                <w:lang w:eastAsia="en-US"/>
              </w:rPr>
            </w:pPr>
            <w:r>
              <w:rPr>
                <w:lang w:eastAsia="en-US"/>
              </w:rPr>
            </w:r>
          </w:p>
        </w:tc>
        <w:tc>
          <w:tcPr>
            <w:tcW w:w="1262" w:type="dxa"/>
            <w:gridSpan w:val="2"/>
            <w:tcBorders/>
          </w:tcPr>
          <w:p>
            <w:pPr>
              <w:pStyle w:val="TAH"/>
              <w:rPr>
                <w:lang w:eastAsia="en-US"/>
              </w:rPr>
            </w:pPr>
            <w:r>
              <w:rPr>
                <w:sz w:val="16"/>
                <w:lang w:eastAsia="en-US"/>
              </w:rPr>
              <w:t>Baseline</w:t>
            </w:r>
          </w:p>
        </w:tc>
        <w:tc>
          <w:tcPr>
            <w:tcW w:w="60" w:type="dxa"/>
            <w:tcBorders/>
          </w:tcPr>
          <w:p>
            <w:pPr>
              <w:pStyle w:val="TAH"/>
              <w:snapToGrid w:val="false"/>
              <w:rPr>
                <w:lang w:eastAsia="en-US"/>
              </w:rPr>
            </w:pPr>
            <w:r>
              <w:rPr>
                <w:lang w:eastAsia="en-US"/>
              </w:rPr>
            </w:r>
          </w:p>
        </w:tc>
        <w:tc>
          <w:tcPr>
            <w:tcW w:w="567" w:type="dxa"/>
            <w:tcBorders/>
          </w:tcPr>
          <w:p>
            <w:pPr>
              <w:pStyle w:val="TAH"/>
              <w:rPr>
                <w:lang w:eastAsia="en-US"/>
              </w:rPr>
            </w:pPr>
            <w:r>
              <w:rPr>
                <w:sz w:val="16"/>
                <w:lang w:eastAsia="en-US"/>
              </w:rPr>
              <w:t>Normal</w:t>
            </w:r>
          </w:p>
        </w:tc>
        <w:tc>
          <w:tcPr>
            <w:tcW w:w="567" w:type="dxa"/>
            <w:gridSpan w:val="2"/>
            <w:tcBorders/>
          </w:tcPr>
          <w:p>
            <w:pPr>
              <w:pStyle w:val="TAH"/>
              <w:rPr>
                <w:lang w:eastAsia="en-US"/>
              </w:rPr>
            </w:pPr>
            <w:r>
              <w:rPr>
                <w:sz w:val="16"/>
                <w:lang w:eastAsia="en-US"/>
              </w:rPr>
              <w:t>Class 1</w:t>
            </w:r>
          </w:p>
        </w:tc>
        <w:tc>
          <w:tcPr>
            <w:tcW w:w="567" w:type="dxa"/>
            <w:gridSpan w:val="2"/>
            <w:tcBorders/>
          </w:tcPr>
          <w:p>
            <w:pPr>
              <w:pStyle w:val="TAH"/>
              <w:rPr>
                <w:lang w:eastAsia="en-US"/>
              </w:rPr>
            </w:pPr>
            <w:r>
              <w:rPr>
                <w:sz w:val="16"/>
                <w:lang w:eastAsia="en-US"/>
              </w:rPr>
              <w:t>Class 2</w:t>
            </w:r>
          </w:p>
        </w:tc>
        <w:tc>
          <w:tcPr>
            <w:tcW w:w="567" w:type="dxa"/>
            <w:gridSpan w:val="2"/>
            <w:tcBorders/>
          </w:tcPr>
          <w:p>
            <w:pPr>
              <w:pStyle w:val="TAH"/>
              <w:rPr>
                <w:lang w:eastAsia="en-US"/>
              </w:rPr>
            </w:pPr>
            <w:r>
              <w:rPr>
                <w:sz w:val="16"/>
                <w:lang w:eastAsia="en-US"/>
              </w:rPr>
              <w:t>Class 3</w:t>
            </w:r>
          </w:p>
        </w:tc>
        <w:tc>
          <w:tcPr>
            <w:tcW w:w="567" w:type="dxa"/>
            <w:gridSpan w:val="2"/>
            <w:tcBorders/>
          </w:tcPr>
          <w:p>
            <w:pPr>
              <w:pStyle w:val="TAH"/>
              <w:rPr>
                <w:lang w:eastAsia="en-US"/>
              </w:rPr>
            </w:pPr>
            <w:r>
              <w:rPr>
                <w:sz w:val="16"/>
                <w:lang w:eastAsia="en-US"/>
              </w:rPr>
              <w:t>Class 4</w:t>
            </w:r>
          </w:p>
        </w:tc>
        <w:tc>
          <w:tcPr>
            <w:tcW w:w="62" w:type="dxa"/>
            <w:gridSpan w:val="2"/>
            <w:tcBorders/>
          </w:tcPr>
          <w:p>
            <w:pPr>
              <w:pStyle w:val="TAH"/>
              <w:snapToGrid w:val="false"/>
              <w:rPr>
                <w:lang w:eastAsia="en-US"/>
              </w:rPr>
            </w:pPr>
            <w:r>
              <w:rPr>
                <w:lang w:eastAsia="en-US"/>
              </w:rPr>
            </w:r>
          </w:p>
        </w:tc>
        <w:tc>
          <w:tcPr>
            <w:tcW w:w="567" w:type="dxa"/>
            <w:gridSpan w:val="2"/>
            <w:tcBorders/>
          </w:tcPr>
          <w:p>
            <w:pPr>
              <w:pStyle w:val="TAH"/>
              <w:rPr>
                <w:lang w:eastAsia="en-US"/>
              </w:rPr>
            </w:pPr>
            <w:r>
              <w:rPr>
                <w:sz w:val="16"/>
                <w:lang w:eastAsia="en-US"/>
              </w:rPr>
              <w:t>Normal</w:t>
            </w:r>
          </w:p>
        </w:tc>
        <w:tc>
          <w:tcPr>
            <w:tcW w:w="567" w:type="dxa"/>
            <w:gridSpan w:val="2"/>
            <w:tcBorders/>
          </w:tcPr>
          <w:p>
            <w:pPr>
              <w:pStyle w:val="TAH"/>
              <w:rPr>
                <w:lang w:eastAsia="en-US"/>
              </w:rPr>
            </w:pPr>
            <w:r>
              <w:rPr>
                <w:sz w:val="16"/>
                <w:lang w:eastAsia="en-US"/>
              </w:rPr>
              <w:t>Class 1</w:t>
            </w:r>
          </w:p>
        </w:tc>
        <w:tc>
          <w:tcPr>
            <w:tcW w:w="567" w:type="dxa"/>
            <w:gridSpan w:val="2"/>
            <w:tcBorders/>
          </w:tcPr>
          <w:p>
            <w:pPr>
              <w:pStyle w:val="TAH"/>
              <w:rPr>
                <w:lang w:eastAsia="en-US"/>
              </w:rPr>
            </w:pPr>
            <w:r>
              <w:rPr>
                <w:sz w:val="16"/>
                <w:lang w:eastAsia="en-US"/>
              </w:rPr>
              <w:t>Class 2</w:t>
            </w:r>
          </w:p>
        </w:tc>
        <w:tc>
          <w:tcPr>
            <w:tcW w:w="567" w:type="dxa"/>
            <w:gridSpan w:val="2"/>
            <w:tcBorders/>
          </w:tcPr>
          <w:p>
            <w:pPr>
              <w:pStyle w:val="TAH"/>
              <w:rPr>
                <w:lang w:eastAsia="en-US"/>
              </w:rPr>
            </w:pPr>
            <w:r>
              <w:rPr>
                <w:sz w:val="16"/>
                <w:lang w:eastAsia="en-US"/>
              </w:rPr>
              <w:t>Class 3</w:t>
            </w:r>
          </w:p>
        </w:tc>
      </w:tr>
      <w:tr>
        <w:trPr>
          <w:trHeight w:val="259" w:hRule="atLeast"/>
        </w:trPr>
        <w:tc>
          <w:tcPr>
            <w:tcW w:w="1452"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6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6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DCS</w:t>
            </w:r>
          </w:p>
        </w:tc>
        <w:tc>
          <w:tcPr>
            <w:tcW w:w="60" w:type="dxa"/>
            <w:tcBorders/>
          </w:tcPr>
          <w:p>
            <w:pPr>
              <w:pStyle w:val="TAH"/>
              <w:snapToGrid w:val="false"/>
              <w:rPr>
                <w:lang w:eastAsia="en-US"/>
              </w:rPr>
            </w:pPr>
            <w:r>
              <w:rPr>
                <w:lang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62" w:type="dxa"/>
            <w:gridSpan w:val="2"/>
            <w:tcBorders/>
          </w:tcPr>
          <w:p>
            <w:pPr>
              <w:pStyle w:val="TAH"/>
              <w:snapToGrid w:val="false"/>
              <w:rPr>
                <w:lang w:eastAsia="en-US"/>
              </w:rPr>
            </w:pPr>
            <w:r>
              <w:rPr>
                <w:lang w:eastAsia="en-US"/>
              </w:rPr>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DCS</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r>
      <w:tr>
        <w:trPr>
          <w:trHeight w:val="259" w:hRule="atLeast"/>
        </w:trPr>
        <w:tc>
          <w:tcPr>
            <w:tcW w:w="1452" w:type="dxa"/>
            <w:tcBorders>
              <w:top w:val="single" w:sz="6" w:space="0" w:color="000000"/>
              <w:left w:val="single" w:sz="6" w:space="0" w:color="000000"/>
              <w:right w:val="single" w:sz="6" w:space="0" w:color="000000"/>
            </w:tcBorders>
          </w:tcPr>
          <w:p>
            <w:pPr>
              <w:pStyle w:val="TAL"/>
              <w:rPr>
                <w:lang w:val="en-GB"/>
              </w:rPr>
            </w:pPr>
            <w:r>
              <w:rPr>
                <w:lang w:val="en-GB"/>
              </w:rPr>
              <w:t xml:space="preserve">C/ I </w:t>
            </w:r>
          </w:p>
        </w:tc>
        <w:tc>
          <w:tcPr>
            <w:tcW w:w="631" w:type="dxa"/>
            <w:tcBorders>
              <w:top w:val="single" w:sz="6" w:space="0" w:color="000000"/>
              <w:right w:val="single" w:sz="6" w:space="0" w:color="000000"/>
            </w:tcBorders>
          </w:tcPr>
          <w:p>
            <w:pPr>
              <w:pStyle w:val="TAC"/>
              <w:rPr>
                <w:lang w:val="en-GB"/>
              </w:rPr>
            </w:pPr>
            <w:r>
              <w:rPr>
                <w:lang w:val="en-GB"/>
              </w:rPr>
              <w:t>9</w:t>
            </w:r>
          </w:p>
        </w:tc>
        <w:tc>
          <w:tcPr>
            <w:tcW w:w="631" w:type="dxa"/>
            <w:tcBorders>
              <w:top w:val="single" w:sz="6" w:space="0" w:color="000000"/>
              <w:right w:val="single" w:sz="6" w:space="0" w:color="000000"/>
            </w:tcBorders>
          </w:tcPr>
          <w:p>
            <w:pPr>
              <w:pStyle w:val="TAC"/>
              <w:rPr>
                <w:lang w:val="en-GB"/>
              </w:rPr>
            </w:pPr>
            <w:r>
              <w:rPr>
                <w:lang w:val="en-GB"/>
              </w:rPr>
              <w:t>9</w:t>
            </w:r>
          </w:p>
        </w:tc>
        <w:tc>
          <w:tcPr>
            <w:tcW w:w="60" w:type="dxa"/>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62" w:type="dxa"/>
            <w:gridSpan w:val="2"/>
            <w:tcBorders/>
          </w:tcPr>
          <w:p>
            <w:pPr>
              <w:pStyle w:val="TAC"/>
              <w:snapToGrid w:val="false"/>
              <w:rPr>
                <w:lang w:val="en-GB"/>
              </w:rPr>
            </w:pPr>
            <w:r>
              <w:rPr>
                <w:lang w:val="en-GB"/>
              </w:rPr>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right w:val="single" w:sz="6" w:space="0" w:color="000000"/>
            </w:tcBorders>
          </w:tcPr>
          <w:p>
            <w:pPr>
              <w:pStyle w:val="TAC"/>
              <w:rPr>
                <w:lang w:val="en-GB"/>
              </w:rPr>
            </w:pPr>
            <w:r>
              <w:rPr>
                <w:lang w:val="en-GB"/>
              </w:rPr>
              <w:t>9</w:t>
            </w:r>
          </w:p>
        </w:tc>
        <w:tc>
          <w:tcPr>
            <w:tcW w:w="567" w:type="dxa"/>
            <w:gridSpan w:val="2"/>
            <w:tcBorders>
              <w:top w:val="single" w:sz="6" w:space="0" w:color="000000"/>
              <w:right w:val="single" w:sz="6" w:space="0" w:color="000000"/>
            </w:tcBorders>
          </w:tcPr>
          <w:p>
            <w:pPr>
              <w:pStyle w:val="TAC"/>
              <w:rPr>
                <w:lang w:val="en-GB"/>
              </w:rPr>
            </w:pPr>
            <w:r>
              <w:rPr>
                <w:lang w:val="en-GB"/>
              </w:rPr>
              <w:t>9</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BTS MIM</w:t>
            </w:r>
          </w:p>
        </w:tc>
        <w:tc>
          <w:tcPr>
            <w:tcW w:w="631" w:type="dxa"/>
            <w:tcBorders>
              <w:right w:val="single" w:sz="6" w:space="0" w:color="000000"/>
            </w:tcBorders>
            <w:shd w:fill="DFDFDF" w:val="clear"/>
          </w:tcPr>
          <w:p>
            <w:pPr>
              <w:pStyle w:val="TAC"/>
              <w:rPr>
                <w:lang w:val="en-GB"/>
              </w:rPr>
            </w:pPr>
            <w:r>
              <w:rPr>
                <w:lang w:val="en-GB"/>
              </w:rPr>
              <w:t>10</w:t>
            </w:r>
          </w:p>
        </w:tc>
        <w:tc>
          <w:tcPr>
            <w:tcW w:w="631" w:type="dxa"/>
            <w:tcBorders>
              <w:right w:val="single" w:sz="6" w:space="0" w:color="000000"/>
            </w:tcBorders>
            <w:shd w:fill="DFDFDF" w:val="clear"/>
          </w:tcPr>
          <w:p>
            <w:pPr>
              <w:pStyle w:val="TAC"/>
              <w:rPr>
                <w:lang w:val="en-GB"/>
              </w:rPr>
            </w:pPr>
            <w:r>
              <w:rPr>
                <w:lang w:val="en-GB"/>
              </w:rPr>
              <w:t>10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62" w:type="dxa"/>
            <w:gridSpan w:val="2"/>
            <w:tcBorders>
              <w:right w:val="single" w:sz="6" w:space="0" w:color="000000"/>
            </w:tcBorders>
            <w:shd w:fill="DFDFDF" w:val="clear"/>
          </w:tcPr>
          <w:p>
            <w:pPr>
              <w:pStyle w:val="TAC"/>
              <w:snapToGrid w:val="false"/>
              <w:rPr>
                <w:lang w:val="en-GB"/>
              </w:rPr>
            </w:pPr>
            <w:r>
              <w:rPr>
                <w:lang w:val="en-GB"/>
              </w:rPr>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MS Margin</w:t>
            </w:r>
          </w:p>
        </w:tc>
        <w:tc>
          <w:tcPr>
            <w:tcW w:w="631" w:type="dxa"/>
            <w:tcBorders>
              <w:right w:val="single" w:sz="6" w:space="0" w:color="000000"/>
            </w:tcBorders>
            <w:shd w:fill="DFDFDF" w:val="clear"/>
          </w:tcPr>
          <w:p>
            <w:pPr>
              <w:pStyle w:val="TAC"/>
              <w:rPr>
                <w:lang w:val="en-GB"/>
              </w:rPr>
            </w:pPr>
            <w:r>
              <w:rPr>
                <w:lang w:val="en-GB"/>
              </w:rPr>
              <w:t>10</w:t>
            </w:r>
          </w:p>
        </w:tc>
        <w:tc>
          <w:tcPr>
            <w:tcW w:w="631" w:type="dxa"/>
            <w:tcBorders>
              <w:right w:val="single" w:sz="6" w:space="0" w:color="000000"/>
            </w:tcBorders>
            <w:shd w:fill="DFDFDF" w:val="clear"/>
          </w:tcPr>
          <w:p>
            <w:pPr>
              <w:pStyle w:val="TAC"/>
              <w:rPr>
                <w:lang w:val="en-GB"/>
              </w:rPr>
            </w:pPr>
            <w:r>
              <w:rPr>
                <w:lang w:val="en-GB"/>
              </w:rPr>
              <w:t>10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62" w:type="dxa"/>
            <w:gridSpan w:val="2"/>
            <w:tcBorders>
              <w:right w:val="single" w:sz="6" w:space="0" w:color="000000"/>
            </w:tcBorders>
            <w:shd w:fill="DFDFDF" w:val="clear"/>
          </w:tcPr>
          <w:p>
            <w:pPr>
              <w:pStyle w:val="TAC"/>
              <w:snapToGrid w:val="false"/>
              <w:rPr>
                <w:lang w:val="en-GB"/>
              </w:rPr>
            </w:pPr>
            <w:r>
              <w:rPr>
                <w:lang w:val="en-GB"/>
              </w:rPr>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c>
          <w:tcPr>
            <w:tcW w:w="567" w:type="dxa"/>
            <w:gridSpan w:val="2"/>
            <w:tcBorders>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bottom w:val="single" w:sz="6" w:space="0" w:color="000000"/>
              <w:right w:val="single" w:sz="6" w:space="0" w:color="000000"/>
            </w:tcBorders>
          </w:tcPr>
          <w:p>
            <w:pPr>
              <w:pStyle w:val="TAL"/>
              <w:rPr>
                <w:lang w:val="en-GB"/>
              </w:rPr>
            </w:pPr>
            <w:r>
              <w:rPr>
                <w:lang w:val="en-GB"/>
              </w:rPr>
              <w:t>BTS Div. Gain</w:t>
            </w:r>
          </w:p>
        </w:tc>
        <w:tc>
          <w:tcPr>
            <w:tcW w:w="631" w:type="dxa"/>
            <w:tcBorders>
              <w:bottom w:val="single" w:sz="6" w:space="0" w:color="000000"/>
              <w:right w:val="single" w:sz="6" w:space="0" w:color="000000"/>
            </w:tcBorders>
            <w:shd w:fill="DFDFDF" w:val="clear"/>
          </w:tcPr>
          <w:p>
            <w:pPr>
              <w:pStyle w:val="TAC"/>
              <w:rPr>
                <w:lang w:val="en-GB"/>
              </w:rPr>
            </w:pPr>
            <w:r>
              <w:rPr>
                <w:lang w:val="en-GB"/>
              </w:rPr>
              <w:t>3</w:t>
            </w:r>
          </w:p>
        </w:tc>
        <w:tc>
          <w:tcPr>
            <w:tcW w:w="631" w:type="dxa"/>
            <w:tcBorders>
              <w:bottom w:val="single" w:sz="6" w:space="0" w:color="000000"/>
              <w:right w:val="single" w:sz="6" w:space="0" w:color="000000"/>
            </w:tcBorders>
            <w:shd w:fill="DFDFDF" w:val="clear"/>
          </w:tcPr>
          <w:p>
            <w:pPr>
              <w:pStyle w:val="TAC"/>
              <w:rPr>
                <w:lang w:val="en-GB"/>
              </w:rPr>
            </w:pPr>
            <w:r>
              <w:rPr>
                <w:lang w:val="en-GB"/>
              </w:rPr>
              <w:t>3</w:t>
            </w:r>
          </w:p>
        </w:tc>
        <w:tc>
          <w:tcPr>
            <w:tcW w:w="60" w:type="dxa"/>
            <w:tcBorders>
              <w:bottom w:val="single" w:sz="6" w:space="0" w:color="000000"/>
              <w:right w:val="single" w:sz="6" w:space="0" w:color="000000"/>
            </w:tcBorders>
            <w:shd w:fill="DFDFDF" w:val="clear"/>
          </w:tcPr>
          <w:p>
            <w:pPr>
              <w:pStyle w:val="TAC"/>
              <w:snapToGrid w:val="false"/>
              <w:rPr>
                <w:lang w:val="en-GB"/>
              </w:rPr>
            </w:pPr>
            <w:r>
              <w:rPr>
                <w:lang w:val="en-GB"/>
              </w:rPr>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62" w:type="dxa"/>
            <w:gridSpan w:val="2"/>
            <w:tcBorders>
              <w:bottom w:val="single" w:sz="6" w:space="0" w:color="000000"/>
              <w:right w:val="single" w:sz="6" w:space="0" w:color="000000"/>
            </w:tcBorders>
            <w:shd w:fill="DFDFDF" w:val="clear"/>
          </w:tcPr>
          <w:p>
            <w:pPr>
              <w:pStyle w:val="TAC"/>
              <w:snapToGrid w:val="false"/>
              <w:rPr>
                <w:lang w:val="en-GB"/>
              </w:rPr>
            </w:pPr>
            <w:r>
              <w:rPr>
                <w:lang w:val="en-GB"/>
              </w:rPr>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c>
          <w:tcPr>
            <w:tcW w:w="567" w:type="dxa"/>
            <w:gridSpan w:val="2"/>
            <w:tcBorders>
              <w:bottom w:val="single" w:sz="6" w:space="0" w:color="000000"/>
              <w:right w:val="single" w:sz="6" w:space="0" w:color="000000"/>
            </w:tcBorders>
            <w:shd w:fill="DFDFDF" w:val="clear"/>
          </w:tcPr>
          <w:p>
            <w:pPr>
              <w:pStyle w:val="TAC"/>
              <w:rPr>
                <w:lang w:val="en-GB"/>
              </w:rPr>
            </w:pPr>
            <w:r>
              <w:rPr>
                <w:lang w:val="en-GB"/>
              </w:rPr>
              <w:t>3</w:t>
            </w:r>
          </w:p>
        </w:tc>
      </w:tr>
      <w:tr>
        <w:trPr>
          <w:trHeight w:val="259" w:hRule="atLeast"/>
        </w:trPr>
        <w:tc>
          <w:tcPr>
            <w:tcW w:w="1452" w:type="dxa"/>
            <w:tcBorders>
              <w:left w:val="single" w:sz="6" w:space="0" w:color="000000"/>
            </w:tcBorders>
          </w:tcPr>
          <w:p>
            <w:pPr>
              <w:pStyle w:val="TAL"/>
              <w:rPr>
                <w:lang w:val="en-GB"/>
              </w:rPr>
            </w:pPr>
            <w:r>
              <w:rPr>
                <w:lang w:val="en-GB"/>
              </w:rPr>
              <w:t>MS Power</w:t>
            </w:r>
          </w:p>
        </w:tc>
        <w:tc>
          <w:tcPr>
            <w:tcW w:w="631" w:type="dxa"/>
            <w:tcBorders>
              <w:left w:val="single" w:sz="6" w:space="0" w:color="000000"/>
              <w:right w:val="single" w:sz="6" w:space="0" w:color="000000"/>
            </w:tcBorders>
          </w:tcPr>
          <w:p>
            <w:pPr>
              <w:pStyle w:val="TAC"/>
              <w:rPr>
                <w:lang w:val="en-GB"/>
              </w:rPr>
            </w:pPr>
            <w:r>
              <w:rPr>
                <w:lang w:val="en-GB"/>
              </w:rPr>
              <w:t>29</w:t>
            </w:r>
          </w:p>
        </w:tc>
        <w:tc>
          <w:tcPr>
            <w:tcW w:w="631" w:type="dxa"/>
            <w:tcBorders>
              <w:right w:val="single" w:sz="6" w:space="0" w:color="000000"/>
            </w:tcBorders>
          </w:tcPr>
          <w:p>
            <w:pPr>
              <w:pStyle w:val="TAC"/>
              <w:rPr>
                <w:lang w:val="en-GB"/>
              </w:rPr>
            </w:pPr>
            <w:r>
              <w:rPr>
                <w:lang w:val="en-GB"/>
              </w:rPr>
              <w:t>30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gridSpan w:val="2"/>
            <w:tcBorders>
              <w:left w:val="single" w:sz="6" w:space="0" w:color="000000"/>
              <w:right w:val="single" w:sz="6" w:space="0" w:color="000000"/>
            </w:tcBorders>
          </w:tcPr>
          <w:p>
            <w:pPr>
              <w:pStyle w:val="TAC"/>
              <w:rPr>
                <w:lang w:val="en-GB"/>
              </w:rPr>
            </w:pPr>
            <w:r>
              <w:rPr>
                <w:lang w:val="en-GB"/>
              </w:rPr>
              <w:t>29</w:t>
            </w:r>
          </w:p>
        </w:tc>
        <w:tc>
          <w:tcPr>
            <w:tcW w:w="567" w:type="dxa"/>
            <w:gridSpan w:val="2"/>
            <w:tcBorders>
              <w:left w:val="single" w:sz="6" w:space="0" w:color="000000"/>
              <w:right w:val="single" w:sz="6" w:space="0" w:color="000000"/>
            </w:tcBorders>
          </w:tcPr>
          <w:p>
            <w:pPr>
              <w:pStyle w:val="TAC"/>
              <w:rPr>
                <w:lang w:val="en-GB"/>
              </w:rPr>
            </w:pPr>
            <w:r>
              <w:rPr>
                <w:lang w:val="en-GB"/>
              </w:rPr>
              <w:t>29</w:t>
            </w:r>
          </w:p>
        </w:tc>
        <w:tc>
          <w:tcPr>
            <w:tcW w:w="567" w:type="dxa"/>
            <w:gridSpan w:val="2"/>
            <w:tcBorders>
              <w:left w:val="single" w:sz="6" w:space="0" w:color="000000"/>
              <w:right w:val="single" w:sz="6" w:space="0" w:color="000000"/>
            </w:tcBorders>
          </w:tcPr>
          <w:p>
            <w:pPr>
              <w:pStyle w:val="TAC"/>
              <w:rPr>
                <w:lang w:val="en-GB"/>
              </w:rPr>
            </w:pPr>
            <w:r>
              <w:rPr>
                <w:lang w:val="en-GB"/>
              </w:rPr>
              <w:t>29</w:t>
            </w:r>
          </w:p>
        </w:tc>
        <w:tc>
          <w:tcPr>
            <w:tcW w:w="567" w:type="dxa"/>
            <w:gridSpan w:val="2"/>
            <w:tcBorders>
              <w:left w:val="single" w:sz="6" w:space="0" w:color="000000"/>
              <w:right w:val="single" w:sz="6" w:space="0" w:color="000000"/>
            </w:tcBorders>
          </w:tcPr>
          <w:p>
            <w:pPr>
              <w:pStyle w:val="TAC"/>
              <w:rPr>
                <w:lang w:val="en-GB"/>
              </w:rPr>
            </w:pPr>
            <w:r>
              <w:rPr>
                <w:lang w:val="en-GB"/>
              </w:rPr>
              <w:t>29</w:t>
            </w:r>
          </w:p>
        </w:tc>
        <w:tc>
          <w:tcPr>
            <w:tcW w:w="62" w:type="dxa"/>
            <w:gridSpan w:val="2"/>
            <w:tcBorders/>
          </w:tcPr>
          <w:p>
            <w:pPr>
              <w:pStyle w:val="TAC"/>
              <w:snapToGrid w:val="false"/>
              <w:rPr>
                <w:lang w:val="en-GB"/>
              </w:rPr>
            </w:pPr>
            <w:r>
              <w:rPr>
                <w:lang w:val="en-GB"/>
              </w:rPr>
            </w:r>
          </w:p>
        </w:tc>
        <w:tc>
          <w:tcPr>
            <w:tcW w:w="567" w:type="dxa"/>
            <w:gridSpan w:val="2"/>
            <w:tcBorders>
              <w:left w:val="single" w:sz="6" w:space="0" w:color="000000"/>
              <w:right w:val="single" w:sz="6" w:space="0" w:color="000000"/>
            </w:tcBorders>
          </w:tcPr>
          <w:p>
            <w:pPr>
              <w:pStyle w:val="TAC"/>
              <w:rPr>
                <w:lang w:val="en-GB"/>
              </w:rPr>
            </w:pPr>
            <w:r>
              <w:rPr>
                <w:lang w:val="en-GB"/>
              </w:rPr>
              <w:t>30</w:t>
            </w:r>
          </w:p>
        </w:tc>
        <w:tc>
          <w:tcPr>
            <w:tcW w:w="567" w:type="dxa"/>
            <w:gridSpan w:val="2"/>
            <w:tcBorders>
              <w:left w:val="single" w:sz="6" w:space="0" w:color="000000"/>
              <w:right w:val="single" w:sz="6" w:space="0" w:color="000000"/>
            </w:tcBorders>
          </w:tcPr>
          <w:p>
            <w:pPr>
              <w:pStyle w:val="TAC"/>
              <w:rPr>
                <w:lang w:val="en-GB"/>
              </w:rPr>
            </w:pPr>
            <w:r>
              <w:rPr>
                <w:lang w:val="en-GB"/>
              </w:rPr>
              <w:t>30</w:t>
            </w:r>
          </w:p>
        </w:tc>
        <w:tc>
          <w:tcPr>
            <w:tcW w:w="567" w:type="dxa"/>
            <w:gridSpan w:val="2"/>
            <w:tcBorders>
              <w:right w:val="single" w:sz="6" w:space="0" w:color="000000"/>
            </w:tcBorders>
          </w:tcPr>
          <w:p>
            <w:pPr>
              <w:pStyle w:val="TAC"/>
              <w:rPr>
                <w:lang w:val="en-GB"/>
              </w:rPr>
            </w:pPr>
            <w:r>
              <w:rPr>
                <w:lang w:val="en-GB"/>
              </w:rPr>
              <w:t>30</w:t>
            </w:r>
          </w:p>
        </w:tc>
        <w:tc>
          <w:tcPr>
            <w:tcW w:w="567" w:type="dxa"/>
            <w:gridSpan w:val="2"/>
            <w:tcBorders>
              <w:right w:val="single" w:sz="6" w:space="0" w:color="000000"/>
            </w:tcBorders>
          </w:tcPr>
          <w:p>
            <w:pPr>
              <w:pStyle w:val="TAC"/>
              <w:rPr>
                <w:lang w:val="en-GB"/>
              </w:rPr>
            </w:pPr>
            <w:r>
              <w:rPr>
                <w:lang w:val="en-GB"/>
              </w:rPr>
              <w:t>30</w:t>
            </w:r>
          </w:p>
        </w:tc>
      </w:tr>
      <w:tr>
        <w:trPr>
          <w:trHeight w:val="259" w:hRule="atLeast"/>
        </w:trPr>
        <w:tc>
          <w:tcPr>
            <w:tcW w:w="1452" w:type="dxa"/>
            <w:tcBorders>
              <w:left w:val="single" w:sz="6" w:space="0" w:color="000000"/>
            </w:tcBorders>
          </w:tcPr>
          <w:p>
            <w:pPr>
              <w:pStyle w:val="TAL"/>
              <w:rPr>
                <w:lang w:val="en-GB"/>
              </w:rPr>
            </w:pPr>
            <w:r>
              <w:rPr>
                <w:lang w:val="en-GB"/>
              </w:rPr>
              <w:t>MS Noise</w:t>
            </w:r>
          </w:p>
        </w:tc>
        <w:tc>
          <w:tcPr>
            <w:tcW w:w="631" w:type="dxa"/>
            <w:tcBorders>
              <w:left w:val="single" w:sz="6" w:space="0" w:color="000000"/>
              <w:right w:val="single" w:sz="6" w:space="0" w:color="000000"/>
            </w:tcBorders>
          </w:tcPr>
          <w:p>
            <w:pPr>
              <w:pStyle w:val="TAC"/>
              <w:rPr>
                <w:lang w:val="en-GB"/>
              </w:rPr>
            </w:pPr>
            <w:r>
              <w:rPr>
                <w:lang w:val="en-GB"/>
              </w:rPr>
              <w:t>-44</w:t>
            </w:r>
          </w:p>
        </w:tc>
        <w:tc>
          <w:tcPr>
            <w:tcW w:w="631" w:type="dxa"/>
            <w:tcBorders>
              <w:right w:val="single" w:sz="6" w:space="0" w:color="000000"/>
            </w:tcBorders>
          </w:tcPr>
          <w:p>
            <w:pPr>
              <w:pStyle w:val="TAC"/>
              <w:rPr>
                <w:lang w:val="en-GB"/>
              </w:rPr>
            </w:pPr>
            <w:r>
              <w:rPr>
                <w:lang w:val="en-GB"/>
              </w:rPr>
              <w:t>-48</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-44</w:t>
            </w:r>
          </w:p>
        </w:tc>
        <w:tc>
          <w:tcPr>
            <w:tcW w:w="567" w:type="dxa"/>
            <w:gridSpan w:val="2"/>
            <w:tcBorders>
              <w:left w:val="single" w:sz="6" w:space="0" w:color="000000"/>
              <w:right w:val="single" w:sz="6" w:space="0" w:color="000000"/>
            </w:tcBorders>
          </w:tcPr>
          <w:p>
            <w:pPr>
              <w:pStyle w:val="TAC"/>
              <w:rPr>
                <w:lang w:val="en-GB"/>
              </w:rPr>
            </w:pPr>
            <w:r>
              <w:rPr>
                <w:lang w:val="en-GB"/>
              </w:rPr>
              <w:t>-44</w:t>
            </w:r>
          </w:p>
        </w:tc>
        <w:tc>
          <w:tcPr>
            <w:tcW w:w="567" w:type="dxa"/>
            <w:gridSpan w:val="2"/>
            <w:tcBorders>
              <w:left w:val="single" w:sz="6" w:space="0" w:color="000000"/>
              <w:right w:val="single" w:sz="6" w:space="0" w:color="000000"/>
            </w:tcBorders>
          </w:tcPr>
          <w:p>
            <w:pPr>
              <w:pStyle w:val="TAC"/>
              <w:rPr>
                <w:lang w:val="en-GB"/>
              </w:rPr>
            </w:pPr>
            <w:r>
              <w:rPr>
                <w:lang w:val="en-GB"/>
              </w:rPr>
              <w:t>-44</w:t>
            </w:r>
          </w:p>
        </w:tc>
        <w:tc>
          <w:tcPr>
            <w:tcW w:w="567" w:type="dxa"/>
            <w:gridSpan w:val="2"/>
            <w:tcBorders>
              <w:left w:val="single" w:sz="6" w:space="0" w:color="000000"/>
              <w:right w:val="single" w:sz="6" w:space="0" w:color="000000"/>
            </w:tcBorders>
          </w:tcPr>
          <w:p>
            <w:pPr>
              <w:pStyle w:val="TAC"/>
              <w:rPr>
                <w:lang w:val="en-GB"/>
              </w:rPr>
            </w:pPr>
            <w:r>
              <w:rPr>
                <w:lang w:val="en-GB"/>
              </w:rPr>
              <w:t>-44</w:t>
            </w:r>
          </w:p>
        </w:tc>
        <w:tc>
          <w:tcPr>
            <w:tcW w:w="567" w:type="dxa"/>
            <w:gridSpan w:val="2"/>
            <w:tcBorders>
              <w:left w:val="single" w:sz="6" w:space="0" w:color="000000"/>
              <w:right w:val="single" w:sz="6" w:space="0" w:color="000000"/>
            </w:tcBorders>
          </w:tcPr>
          <w:p>
            <w:pPr>
              <w:pStyle w:val="TAC"/>
              <w:rPr>
                <w:lang w:val="en-GB"/>
              </w:rPr>
            </w:pPr>
            <w:r>
              <w:rPr>
                <w:lang w:val="en-GB"/>
              </w:rPr>
              <w:t>-44</w:t>
            </w:r>
          </w:p>
        </w:tc>
        <w:tc>
          <w:tcPr>
            <w:tcW w:w="62" w:type="dxa"/>
            <w:gridSpan w:val="2"/>
            <w:tcBorders/>
          </w:tcPr>
          <w:p>
            <w:pPr>
              <w:pStyle w:val="TAC"/>
              <w:snapToGrid w:val="false"/>
              <w:rPr>
                <w:lang w:val="en-GB"/>
              </w:rPr>
            </w:pPr>
            <w:r>
              <w:rPr>
                <w:lang w:val="en-GB"/>
              </w:rPr>
            </w:r>
          </w:p>
        </w:tc>
        <w:tc>
          <w:tcPr>
            <w:tcW w:w="567" w:type="dxa"/>
            <w:gridSpan w:val="2"/>
            <w:tcBorders>
              <w:left w:val="single" w:sz="6" w:space="0" w:color="000000"/>
              <w:right w:val="single" w:sz="6" w:space="0" w:color="000000"/>
            </w:tcBorders>
          </w:tcPr>
          <w:p>
            <w:pPr>
              <w:pStyle w:val="TAC"/>
              <w:rPr>
                <w:lang w:val="en-GB"/>
              </w:rPr>
            </w:pPr>
            <w:r>
              <w:rPr>
                <w:lang w:val="en-GB"/>
              </w:rPr>
              <w:t>-48</w:t>
            </w:r>
          </w:p>
        </w:tc>
        <w:tc>
          <w:tcPr>
            <w:tcW w:w="567" w:type="dxa"/>
            <w:gridSpan w:val="2"/>
            <w:tcBorders>
              <w:left w:val="single" w:sz="6" w:space="0" w:color="000000"/>
              <w:right w:val="single" w:sz="6" w:space="0" w:color="000000"/>
            </w:tcBorders>
          </w:tcPr>
          <w:p>
            <w:pPr>
              <w:pStyle w:val="TAC"/>
              <w:rPr>
                <w:lang w:val="en-GB"/>
              </w:rPr>
            </w:pPr>
            <w:r>
              <w:rPr>
                <w:lang w:val="en-GB"/>
              </w:rPr>
              <w:t>-48</w:t>
            </w:r>
          </w:p>
        </w:tc>
        <w:tc>
          <w:tcPr>
            <w:tcW w:w="567" w:type="dxa"/>
            <w:gridSpan w:val="2"/>
            <w:tcBorders>
              <w:right w:val="single" w:sz="6" w:space="0" w:color="000000"/>
            </w:tcBorders>
          </w:tcPr>
          <w:p>
            <w:pPr>
              <w:pStyle w:val="TAC"/>
              <w:rPr>
                <w:lang w:val="en-GB"/>
              </w:rPr>
            </w:pPr>
            <w:r>
              <w:rPr>
                <w:lang w:val="en-GB"/>
              </w:rPr>
              <w:t>-48</w:t>
            </w:r>
          </w:p>
        </w:tc>
        <w:tc>
          <w:tcPr>
            <w:tcW w:w="567" w:type="dxa"/>
            <w:gridSpan w:val="2"/>
            <w:tcBorders>
              <w:right w:val="single" w:sz="6" w:space="0" w:color="000000"/>
            </w:tcBorders>
          </w:tcPr>
          <w:p>
            <w:pPr>
              <w:pStyle w:val="TAC"/>
              <w:rPr>
                <w:lang w:val="en-GB"/>
              </w:rPr>
            </w:pPr>
            <w:r>
              <w:rPr>
                <w:lang w:val="en-GB"/>
              </w:rPr>
              <w:t>-48</w:t>
            </w:r>
          </w:p>
        </w:tc>
      </w:tr>
      <w:tr>
        <w:trPr>
          <w:trHeight w:val="259" w:hRule="atLeast"/>
        </w:trPr>
        <w:tc>
          <w:tcPr>
            <w:tcW w:w="1452" w:type="dxa"/>
            <w:tcBorders>
              <w:left w:val="single" w:sz="6" w:space="0" w:color="000000"/>
            </w:tcBorders>
          </w:tcPr>
          <w:p>
            <w:pPr>
              <w:pStyle w:val="TAL"/>
              <w:rPr>
                <w:lang w:val="en-GB"/>
              </w:rPr>
            </w:pPr>
            <w:r>
              <w:rPr>
                <w:lang w:val="en-GB"/>
              </w:rPr>
              <w:t>MS Blocking</w:t>
            </w:r>
          </w:p>
        </w:tc>
        <w:tc>
          <w:tcPr>
            <w:tcW w:w="631" w:type="dxa"/>
            <w:tcBorders>
              <w:left w:val="single" w:sz="6" w:space="0" w:color="000000"/>
              <w:right w:val="single" w:sz="6" w:space="0" w:color="000000"/>
            </w:tcBorders>
          </w:tcPr>
          <w:p>
            <w:pPr>
              <w:pStyle w:val="TAC"/>
              <w:rPr>
                <w:lang w:val="en-GB"/>
              </w:rPr>
            </w:pPr>
            <w:r>
              <w:rPr>
                <w:lang w:val="en-GB"/>
              </w:rPr>
              <w:t>-23</w:t>
            </w:r>
          </w:p>
        </w:tc>
        <w:tc>
          <w:tcPr>
            <w:tcW w:w="631" w:type="dxa"/>
            <w:tcBorders>
              <w:right w:val="single" w:sz="6" w:space="0" w:color="000000"/>
            </w:tcBorders>
          </w:tcPr>
          <w:p>
            <w:pPr>
              <w:pStyle w:val="TAC"/>
              <w:rPr>
                <w:lang w:val="en-GB"/>
              </w:rPr>
            </w:pPr>
            <w:r>
              <w:rPr>
                <w:lang w:val="en-GB"/>
              </w:rPr>
              <w:t>-26</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gridSpan w:val="2"/>
            <w:tcBorders>
              <w:left w:val="single" w:sz="6" w:space="0" w:color="000000"/>
              <w:right w:val="single" w:sz="6" w:space="0" w:color="000000"/>
            </w:tcBorders>
          </w:tcPr>
          <w:p>
            <w:pPr>
              <w:pStyle w:val="TAC"/>
              <w:rPr>
                <w:lang w:val="en-GB"/>
              </w:rPr>
            </w:pPr>
            <w:r>
              <w:rPr>
                <w:lang w:val="en-GB"/>
              </w:rPr>
              <w:t>-23</w:t>
            </w:r>
          </w:p>
        </w:tc>
        <w:tc>
          <w:tcPr>
            <w:tcW w:w="567" w:type="dxa"/>
            <w:gridSpan w:val="2"/>
            <w:tcBorders>
              <w:left w:val="single" w:sz="6" w:space="0" w:color="000000"/>
              <w:right w:val="single" w:sz="6" w:space="0" w:color="000000"/>
            </w:tcBorders>
          </w:tcPr>
          <w:p>
            <w:pPr>
              <w:pStyle w:val="TAC"/>
              <w:rPr>
                <w:lang w:val="en-GB"/>
              </w:rPr>
            </w:pPr>
            <w:r>
              <w:rPr>
                <w:lang w:val="en-GB"/>
              </w:rPr>
              <w:t>-23</w:t>
            </w:r>
          </w:p>
        </w:tc>
        <w:tc>
          <w:tcPr>
            <w:tcW w:w="567" w:type="dxa"/>
            <w:gridSpan w:val="2"/>
            <w:tcBorders>
              <w:left w:val="single" w:sz="6" w:space="0" w:color="000000"/>
              <w:right w:val="single" w:sz="6" w:space="0" w:color="000000"/>
            </w:tcBorders>
          </w:tcPr>
          <w:p>
            <w:pPr>
              <w:pStyle w:val="TAC"/>
              <w:rPr>
                <w:lang w:val="en-GB"/>
              </w:rPr>
            </w:pPr>
            <w:r>
              <w:rPr>
                <w:lang w:val="en-GB"/>
              </w:rPr>
              <w:t>-23</w:t>
            </w:r>
          </w:p>
        </w:tc>
        <w:tc>
          <w:tcPr>
            <w:tcW w:w="567" w:type="dxa"/>
            <w:gridSpan w:val="2"/>
            <w:tcBorders>
              <w:left w:val="single" w:sz="6" w:space="0" w:color="000000"/>
              <w:right w:val="single" w:sz="6" w:space="0" w:color="000000"/>
            </w:tcBorders>
          </w:tcPr>
          <w:p>
            <w:pPr>
              <w:pStyle w:val="TAC"/>
              <w:rPr>
                <w:lang w:val="en-GB"/>
              </w:rPr>
            </w:pPr>
            <w:r>
              <w:rPr>
                <w:lang w:val="en-GB"/>
              </w:rPr>
              <w:t>-23</w:t>
            </w:r>
          </w:p>
        </w:tc>
        <w:tc>
          <w:tcPr>
            <w:tcW w:w="62" w:type="dxa"/>
            <w:gridSpan w:val="2"/>
            <w:tcBorders/>
          </w:tcPr>
          <w:p>
            <w:pPr>
              <w:pStyle w:val="TAC"/>
              <w:snapToGrid w:val="false"/>
              <w:rPr>
                <w:lang w:val="en-GB"/>
              </w:rPr>
            </w:pPr>
            <w:r>
              <w:rPr>
                <w:lang w:val="en-GB"/>
              </w:rPr>
            </w:r>
          </w:p>
        </w:tc>
        <w:tc>
          <w:tcPr>
            <w:tcW w:w="567" w:type="dxa"/>
            <w:gridSpan w:val="2"/>
            <w:tcBorders>
              <w:left w:val="single" w:sz="6" w:space="0" w:color="000000"/>
              <w:right w:val="single" w:sz="6" w:space="0" w:color="000000"/>
            </w:tcBorders>
          </w:tcPr>
          <w:p>
            <w:pPr>
              <w:pStyle w:val="TAC"/>
              <w:rPr>
                <w:lang w:val="en-GB"/>
              </w:rPr>
            </w:pPr>
            <w:r>
              <w:rPr>
                <w:lang w:val="en-GB"/>
              </w:rPr>
              <w:t>-26</w:t>
            </w:r>
          </w:p>
        </w:tc>
        <w:tc>
          <w:tcPr>
            <w:tcW w:w="567" w:type="dxa"/>
            <w:gridSpan w:val="2"/>
            <w:tcBorders>
              <w:left w:val="single" w:sz="6" w:space="0" w:color="000000"/>
              <w:right w:val="single" w:sz="6" w:space="0" w:color="000000"/>
            </w:tcBorders>
          </w:tcPr>
          <w:p>
            <w:pPr>
              <w:pStyle w:val="TAC"/>
              <w:rPr>
                <w:lang w:val="en-GB"/>
              </w:rPr>
            </w:pPr>
            <w:r>
              <w:rPr>
                <w:lang w:val="en-GB"/>
              </w:rPr>
              <w:t>-26</w:t>
            </w:r>
          </w:p>
        </w:tc>
        <w:tc>
          <w:tcPr>
            <w:tcW w:w="567" w:type="dxa"/>
            <w:gridSpan w:val="2"/>
            <w:tcBorders>
              <w:right w:val="single" w:sz="6" w:space="0" w:color="000000"/>
            </w:tcBorders>
          </w:tcPr>
          <w:p>
            <w:pPr>
              <w:pStyle w:val="TAC"/>
              <w:rPr>
                <w:lang w:val="en-GB"/>
              </w:rPr>
            </w:pPr>
            <w:r>
              <w:rPr>
                <w:lang w:val="en-GB"/>
              </w:rPr>
              <w:t>-26</w:t>
            </w:r>
          </w:p>
        </w:tc>
        <w:tc>
          <w:tcPr>
            <w:tcW w:w="567" w:type="dxa"/>
            <w:gridSpan w:val="2"/>
            <w:tcBorders>
              <w:right w:val="single" w:sz="6" w:space="0" w:color="000000"/>
            </w:tcBorders>
          </w:tcPr>
          <w:p>
            <w:pPr>
              <w:pStyle w:val="TAC"/>
              <w:rPr>
                <w:lang w:val="en-GB"/>
              </w:rPr>
            </w:pPr>
            <w:r>
              <w:rPr>
                <w:lang w:val="en-GB"/>
              </w:rPr>
              <w:t>-26</w:t>
            </w:r>
          </w:p>
        </w:tc>
      </w:tr>
      <w:tr>
        <w:trPr>
          <w:trHeight w:val="259" w:hRule="atLeast"/>
        </w:trPr>
        <w:tc>
          <w:tcPr>
            <w:tcW w:w="1452" w:type="dxa"/>
            <w:tcBorders>
              <w:left w:val="single" w:sz="6" w:space="0" w:color="000000"/>
            </w:tcBorders>
          </w:tcPr>
          <w:p>
            <w:pPr>
              <w:pStyle w:val="TAL"/>
              <w:rPr>
                <w:lang w:val="en-GB"/>
              </w:rPr>
            </w:pPr>
            <w:r>
              <w:rPr>
                <w:lang w:val="en-GB"/>
              </w:rPr>
              <w:t>MS Sensitivity</w:t>
            </w:r>
          </w:p>
        </w:tc>
        <w:tc>
          <w:tcPr>
            <w:tcW w:w="631" w:type="dxa"/>
            <w:tcBorders>
              <w:left w:val="single" w:sz="6" w:space="0" w:color="000000"/>
              <w:right w:val="single" w:sz="6" w:space="0" w:color="000000"/>
            </w:tcBorders>
          </w:tcPr>
          <w:p>
            <w:pPr>
              <w:pStyle w:val="TAC"/>
              <w:rPr>
                <w:lang w:val="en-GB"/>
              </w:rPr>
            </w:pPr>
            <w:r>
              <w:rPr>
                <w:lang w:val="en-GB"/>
              </w:rPr>
              <w:t>-102</w:t>
            </w:r>
          </w:p>
        </w:tc>
        <w:tc>
          <w:tcPr>
            <w:tcW w:w="631" w:type="dxa"/>
            <w:tcBorders>
              <w:right w:val="single" w:sz="6" w:space="0" w:color="000000"/>
            </w:tcBorders>
          </w:tcPr>
          <w:p>
            <w:pPr>
              <w:pStyle w:val="TAC"/>
              <w:rPr>
                <w:lang w:val="en-GB"/>
              </w:rPr>
            </w:pPr>
            <w:r>
              <w:rPr>
                <w:lang w:val="en-GB"/>
              </w:rPr>
              <w:t>-100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gridSpan w:val="2"/>
            <w:tcBorders>
              <w:left w:val="single" w:sz="6" w:space="0" w:color="000000"/>
              <w:right w:val="single" w:sz="6" w:space="0" w:color="000000"/>
            </w:tcBorders>
          </w:tcPr>
          <w:p>
            <w:pPr>
              <w:pStyle w:val="TAC"/>
              <w:rPr>
                <w:lang w:val="en-GB"/>
              </w:rPr>
            </w:pPr>
            <w:r>
              <w:rPr>
                <w:lang w:val="en-GB"/>
              </w:rPr>
              <w:t>-102</w:t>
            </w:r>
          </w:p>
        </w:tc>
        <w:tc>
          <w:tcPr>
            <w:tcW w:w="567" w:type="dxa"/>
            <w:gridSpan w:val="2"/>
            <w:tcBorders>
              <w:left w:val="single" w:sz="6" w:space="0" w:color="000000"/>
              <w:right w:val="single" w:sz="6" w:space="0" w:color="000000"/>
            </w:tcBorders>
          </w:tcPr>
          <w:p>
            <w:pPr>
              <w:pStyle w:val="TAC"/>
              <w:rPr>
                <w:lang w:val="en-GB"/>
              </w:rPr>
            </w:pPr>
            <w:r>
              <w:rPr>
                <w:lang w:val="en-GB"/>
              </w:rPr>
              <w:t>-102</w:t>
            </w:r>
          </w:p>
        </w:tc>
        <w:tc>
          <w:tcPr>
            <w:tcW w:w="567" w:type="dxa"/>
            <w:gridSpan w:val="2"/>
            <w:tcBorders>
              <w:left w:val="single" w:sz="6" w:space="0" w:color="000000"/>
              <w:right w:val="single" w:sz="6" w:space="0" w:color="000000"/>
            </w:tcBorders>
          </w:tcPr>
          <w:p>
            <w:pPr>
              <w:pStyle w:val="TAC"/>
              <w:rPr>
                <w:lang w:val="en-GB"/>
              </w:rPr>
            </w:pPr>
            <w:r>
              <w:rPr>
                <w:lang w:val="en-GB"/>
              </w:rPr>
              <w:t>-102</w:t>
            </w:r>
          </w:p>
        </w:tc>
        <w:tc>
          <w:tcPr>
            <w:tcW w:w="567" w:type="dxa"/>
            <w:gridSpan w:val="2"/>
            <w:tcBorders>
              <w:left w:val="single" w:sz="6" w:space="0" w:color="000000"/>
              <w:right w:val="single" w:sz="6" w:space="0" w:color="000000"/>
            </w:tcBorders>
          </w:tcPr>
          <w:p>
            <w:pPr>
              <w:pStyle w:val="TAC"/>
              <w:rPr>
                <w:lang w:val="en-GB"/>
              </w:rPr>
            </w:pPr>
            <w:r>
              <w:rPr>
                <w:lang w:val="en-GB"/>
              </w:rPr>
              <w:t>-102</w:t>
            </w:r>
          </w:p>
        </w:tc>
        <w:tc>
          <w:tcPr>
            <w:tcW w:w="62" w:type="dxa"/>
            <w:gridSpan w:val="2"/>
            <w:tcBorders/>
          </w:tcPr>
          <w:p>
            <w:pPr>
              <w:pStyle w:val="TAC"/>
              <w:snapToGrid w:val="false"/>
              <w:rPr>
                <w:lang w:val="en-GB"/>
              </w:rPr>
            </w:pPr>
            <w:r>
              <w:rPr>
                <w:lang w:val="en-GB"/>
              </w:rPr>
            </w:r>
          </w:p>
        </w:tc>
        <w:tc>
          <w:tcPr>
            <w:tcW w:w="567" w:type="dxa"/>
            <w:gridSpan w:val="2"/>
            <w:tcBorders>
              <w:left w:val="single" w:sz="6" w:space="0" w:color="000000"/>
              <w:right w:val="single" w:sz="6" w:space="0" w:color="000000"/>
            </w:tcBorders>
          </w:tcPr>
          <w:p>
            <w:pPr>
              <w:pStyle w:val="TAC"/>
              <w:rPr>
                <w:lang w:val="en-GB"/>
              </w:rPr>
            </w:pPr>
            <w:r>
              <w:rPr>
                <w:lang w:val="en-GB"/>
              </w:rPr>
              <w:t>-100</w:t>
            </w:r>
          </w:p>
        </w:tc>
        <w:tc>
          <w:tcPr>
            <w:tcW w:w="567" w:type="dxa"/>
            <w:gridSpan w:val="2"/>
            <w:tcBorders>
              <w:left w:val="single" w:sz="6" w:space="0" w:color="000000"/>
              <w:right w:val="single" w:sz="6" w:space="0" w:color="000000"/>
            </w:tcBorders>
          </w:tcPr>
          <w:p>
            <w:pPr>
              <w:pStyle w:val="TAC"/>
              <w:rPr>
                <w:lang w:val="en-GB"/>
              </w:rPr>
            </w:pPr>
            <w:r>
              <w:rPr>
                <w:lang w:val="en-GB"/>
              </w:rPr>
              <w:t>-100</w:t>
            </w:r>
          </w:p>
        </w:tc>
        <w:tc>
          <w:tcPr>
            <w:tcW w:w="567" w:type="dxa"/>
            <w:gridSpan w:val="2"/>
            <w:tcBorders>
              <w:right w:val="single" w:sz="6" w:space="0" w:color="000000"/>
            </w:tcBorders>
          </w:tcPr>
          <w:p>
            <w:pPr>
              <w:pStyle w:val="TAC"/>
              <w:rPr>
                <w:lang w:val="en-GB"/>
              </w:rPr>
            </w:pPr>
            <w:r>
              <w:rPr>
                <w:lang w:val="en-GB"/>
              </w:rPr>
              <w:t>-100</w:t>
            </w:r>
          </w:p>
        </w:tc>
        <w:tc>
          <w:tcPr>
            <w:tcW w:w="567" w:type="dxa"/>
            <w:gridSpan w:val="2"/>
            <w:tcBorders>
              <w:right w:val="single" w:sz="6" w:space="0" w:color="000000"/>
            </w:tcBorders>
          </w:tcPr>
          <w:p>
            <w:pPr>
              <w:pStyle w:val="TAC"/>
              <w:rPr>
                <w:lang w:val="en-GB"/>
              </w:rPr>
            </w:pPr>
            <w:r>
              <w:rPr>
                <w:lang w:val="en-GB"/>
              </w:rPr>
              <w:t>-100</w:t>
            </w:r>
          </w:p>
        </w:tc>
      </w:tr>
      <w:tr>
        <w:trPr>
          <w:trHeight w:val="259" w:hRule="atLeast"/>
        </w:trPr>
        <w:tc>
          <w:tcPr>
            <w:tcW w:w="1452" w:type="dxa"/>
            <w:tcBorders>
              <w:top w:val="single" w:sz="6" w:space="0" w:color="000000"/>
              <w:left w:val="single" w:sz="6" w:space="0" w:color="000000"/>
            </w:tcBorders>
          </w:tcPr>
          <w:p>
            <w:pPr>
              <w:pStyle w:val="TAL"/>
              <w:rPr>
                <w:lang w:val="en-GB"/>
              </w:rPr>
            </w:pPr>
            <w:r>
              <w:rPr>
                <w:lang w:val="en-GB"/>
              </w:rPr>
              <w:t>BTS Power</w:t>
            </w:r>
          </w:p>
        </w:tc>
        <w:tc>
          <w:tcPr>
            <w:tcW w:w="631" w:type="dxa"/>
            <w:tcBorders>
              <w:top w:val="single" w:sz="6" w:space="0" w:color="000000"/>
              <w:left w:val="single" w:sz="6" w:space="0" w:color="000000"/>
              <w:right w:val="single" w:sz="6" w:space="0" w:color="000000"/>
            </w:tcBorders>
            <w:shd w:fill="DFDFDF" w:val="clear"/>
          </w:tcPr>
          <w:p>
            <w:pPr>
              <w:pStyle w:val="TAC"/>
              <w:rPr>
                <w:lang w:val="en-GB"/>
              </w:rPr>
            </w:pPr>
            <w:r>
              <w:rPr>
                <w:lang w:val="en-GB"/>
              </w:rPr>
              <w:t>21</w:t>
            </w:r>
          </w:p>
        </w:tc>
        <w:tc>
          <w:tcPr>
            <w:tcW w:w="631" w:type="dxa"/>
            <w:tcBorders>
              <w:top w:val="single" w:sz="6" w:space="0" w:color="000000"/>
              <w:right w:val="single" w:sz="6" w:space="0" w:color="000000"/>
            </w:tcBorders>
            <w:shd w:fill="DFDFDF" w:val="clear"/>
          </w:tcPr>
          <w:p>
            <w:pPr>
              <w:pStyle w:val="TAC"/>
              <w:rPr>
                <w:lang w:val="en-GB"/>
              </w:rPr>
            </w:pPr>
            <w:r>
              <w:rPr>
                <w:lang w:val="en-GB"/>
              </w:rPr>
              <w:t>24</w:t>
            </w:r>
          </w:p>
        </w:tc>
        <w:tc>
          <w:tcPr>
            <w:tcW w:w="60" w:type="dxa"/>
            <w:tcBorders/>
            <w:shd w:fill="DFDFDF" w:val="clear"/>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34</w:t>
            </w:r>
          </w:p>
        </w:tc>
        <w:tc>
          <w:tcPr>
            <w:tcW w:w="567"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25</w:t>
            </w:r>
          </w:p>
        </w:tc>
        <w:tc>
          <w:tcPr>
            <w:tcW w:w="567"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20</w:t>
            </w:r>
          </w:p>
        </w:tc>
        <w:tc>
          <w:tcPr>
            <w:tcW w:w="567"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15</w:t>
            </w:r>
          </w:p>
        </w:tc>
        <w:tc>
          <w:tcPr>
            <w:tcW w:w="567"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10</w:t>
            </w:r>
          </w:p>
        </w:tc>
        <w:tc>
          <w:tcPr>
            <w:tcW w:w="62" w:type="dxa"/>
            <w:gridSpan w:val="2"/>
            <w:tcBorders/>
            <w:shd w:fill="DFDFDF" w:val="clear"/>
          </w:tcPr>
          <w:p>
            <w:pPr>
              <w:pStyle w:val="TAC"/>
              <w:snapToGrid w:val="false"/>
              <w:rPr>
                <w:lang w:val="en-GB"/>
              </w:rPr>
            </w:pPr>
            <w:r>
              <w:rPr>
                <w:lang w:val="en-GB"/>
              </w:rPr>
            </w:r>
          </w:p>
        </w:tc>
        <w:tc>
          <w:tcPr>
            <w:tcW w:w="567"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37</w:t>
            </w:r>
          </w:p>
        </w:tc>
        <w:tc>
          <w:tcPr>
            <w:tcW w:w="567" w:type="dxa"/>
            <w:gridSpan w:val="2"/>
            <w:tcBorders>
              <w:top w:val="single" w:sz="6" w:space="0" w:color="000000"/>
              <w:left w:val="single" w:sz="6" w:space="0" w:color="000000"/>
              <w:right w:val="single" w:sz="6" w:space="0" w:color="000000"/>
            </w:tcBorders>
            <w:shd w:fill="DFDFDF" w:val="clear"/>
          </w:tcPr>
          <w:p>
            <w:pPr>
              <w:pStyle w:val="TAC"/>
              <w:rPr>
                <w:lang w:val="en-GB"/>
              </w:rPr>
            </w:pPr>
            <w:r>
              <w:rPr>
                <w:lang w:val="en-GB"/>
              </w:rPr>
              <w:t>32</w:t>
            </w:r>
          </w:p>
        </w:tc>
        <w:tc>
          <w:tcPr>
            <w:tcW w:w="567" w:type="dxa"/>
            <w:gridSpan w:val="2"/>
            <w:tcBorders>
              <w:top w:val="single" w:sz="6" w:space="0" w:color="000000"/>
              <w:right w:val="single" w:sz="6" w:space="0" w:color="000000"/>
            </w:tcBorders>
            <w:shd w:fill="DFDFDF" w:val="clear"/>
          </w:tcPr>
          <w:p>
            <w:pPr>
              <w:pStyle w:val="TAC"/>
              <w:rPr>
                <w:lang w:val="en-GB"/>
              </w:rPr>
            </w:pPr>
            <w:r>
              <w:rPr>
                <w:lang w:val="en-GB"/>
              </w:rPr>
              <w:t>27</w:t>
            </w:r>
          </w:p>
        </w:tc>
        <w:tc>
          <w:tcPr>
            <w:tcW w:w="567" w:type="dxa"/>
            <w:gridSpan w:val="2"/>
            <w:tcBorders>
              <w:top w:val="single" w:sz="6" w:space="0" w:color="000000"/>
              <w:right w:val="single" w:sz="6" w:space="0" w:color="000000"/>
            </w:tcBorders>
            <w:shd w:fill="DFDFDF" w:val="clear"/>
          </w:tcPr>
          <w:p>
            <w:pPr>
              <w:pStyle w:val="TAC"/>
              <w:rPr>
                <w:lang w:val="en-GB"/>
              </w:rPr>
            </w:pPr>
            <w:r>
              <w:rPr>
                <w:lang w:val="en-GB"/>
              </w:rPr>
              <w:t>22</w:t>
            </w:r>
          </w:p>
        </w:tc>
      </w:tr>
      <w:tr>
        <w:trPr>
          <w:trHeight w:val="259" w:hRule="atLeast"/>
        </w:trPr>
        <w:tc>
          <w:tcPr>
            <w:tcW w:w="1452" w:type="dxa"/>
            <w:tcBorders>
              <w:left w:val="single" w:sz="6" w:space="0" w:color="000000"/>
            </w:tcBorders>
          </w:tcPr>
          <w:p>
            <w:pPr>
              <w:pStyle w:val="TAL"/>
              <w:rPr/>
            </w:pPr>
            <w:r>
              <w:rPr>
                <w:lang w:val="en-GB"/>
              </w:rPr>
              <w:t xml:space="preserve">BTS Noise </w:t>
            </w:r>
          </w:p>
        </w:tc>
        <w:tc>
          <w:tcPr>
            <w:tcW w:w="631" w:type="dxa"/>
            <w:tcBorders>
              <w:left w:val="single" w:sz="6" w:space="0" w:color="000000"/>
              <w:right w:val="single" w:sz="6" w:space="0" w:color="000000"/>
            </w:tcBorders>
            <w:shd w:fill="DFDFDF" w:val="clear"/>
          </w:tcPr>
          <w:p>
            <w:pPr>
              <w:pStyle w:val="TAC"/>
              <w:rPr>
                <w:lang w:val="en-GB"/>
              </w:rPr>
            </w:pPr>
            <w:r>
              <w:rPr>
                <w:lang w:val="en-GB"/>
              </w:rPr>
              <w:t>-67</w:t>
            </w:r>
          </w:p>
        </w:tc>
        <w:tc>
          <w:tcPr>
            <w:tcW w:w="631" w:type="dxa"/>
            <w:tcBorders>
              <w:left w:val="single" w:sz="6" w:space="0" w:color="000000"/>
              <w:right w:val="single" w:sz="6" w:space="0" w:color="000000"/>
            </w:tcBorders>
            <w:shd w:fill="DFDFDF" w:val="clear"/>
          </w:tcPr>
          <w:p>
            <w:pPr>
              <w:pStyle w:val="TAC"/>
              <w:rPr>
                <w:lang w:val="en-GB"/>
              </w:rPr>
            </w:pPr>
            <w:r>
              <w:rPr>
                <w:lang w:val="en-GB"/>
              </w:rPr>
              <w:t>-59</w:t>
            </w:r>
          </w:p>
        </w:tc>
        <w:tc>
          <w:tcPr>
            <w:tcW w:w="60" w:type="dxa"/>
            <w:tcBorders>
              <w:left w:val="single" w:sz="6" w:space="0" w:color="000000"/>
              <w:right w:val="single" w:sz="6" w:space="0" w:color="000000"/>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-49</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-51</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-56</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-61</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-66</w:t>
            </w:r>
          </w:p>
        </w:tc>
        <w:tc>
          <w:tcPr>
            <w:tcW w:w="62" w:type="dxa"/>
            <w:gridSpan w:val="2"/>
            <w:tcBorders>
              <w:left w:val="single" w:sz="6" w:space="0" w:color="000000"/>
              <w:right w:val="single" w:sz="6" w:space="0" w:color="000000"/>
            </w:tcBorders>
            <w:shd w:fill="DFDFDF" w:val="clear"/>
          </w:tcPr>
          <w:p>
            <w:pPr>
              <w:pStyle w:val="TAC"/>
              <w:snapToGrid w:val="false"/>
              <w:rPr>
                <w:lang w:val="en-GB"/>
              </w:rPr>
            </w:pPr>
            <w:r>
              <w:rPr>
                <w:lang w:val="en-GB"/>
              </w:rPr>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-46</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-49</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-54</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-59</w:t>
            </w:r>
          </w:p>
        </w:tc>
      </w:tr>
      <w:tr>
        <w:trPr>
          <w:trHeight w:val="259" w:hRule="atLeast"/>
        </w:trPr>
        <w:tc>
          <w:tcPr>
            <w:tcW w:w="1452" w:type="dxa"/>
            <w:tcBorders>
              <w:left w:val="single" w:sz="6" w:space="0" w:color="000000"/>
            </w:tcBorders>
          </w:tcPr>
          <w:p>
            <w:pPr>
              <w:pStyle w:val="TAL"/>
              <w:rPr>
                <w:lang w:val="en-GB"/>
              </w:rPr>
            </w:pPr>
            <w:r>
              <w:rPr>
                <w:lang w:val="en-GB"/>
              </w:rPr>
              <w:t>BTS Blocking</w:t>
            </w:r>
          </w:p>
        </w:tc>
        <w:tc>
          <w:tcPr>
            <w:tcW w:w="631" w:type="dxa"/>
            <w:tcBorders>
              <w:left w:val="single" w:sz="6" w:space="0" w:color="000000"/>
              <w:right w:val="single" w:sz="6" w:space="0" w:color="000000"/>
            </w:tcBorders>
            <w:shd w:fill="DFDFDF" w:val="clear"/>
          </w:tcPr>
          <w:p>
            <w:pPr>
              <w:pStyle w:val="TAC"/>
              <w:rPr>
                <w:lang w:val="en-GB"/>
              </w:rPr>
            </w:pPr>
            <w:r>
              <w:rPr>
                <w:lang w:val="en-GB"/>
              </w:rPr>
              <w:t>-15</w:t>
            </w:r>
          </w:p>
        </w:tc>
        <w:tc>
          <w:tcPr>
            <w:tcW w:w="631" w:type="dxa"/>
            <w:tcBorders>
              <w:right w:val="single" w:sz="6" w:space="0" w:color="000000"/>
            </w:tcBorders>
            <w:shd w:fill="DFDFDF" w:val="clear"/>
          </w:tcPr>
          <w:p>
            <w:pPr>
              <w:pStyle w:val="TAC"/>
              <w:rPr>
                <w:lang w:val="en-GB"/>
              </w:rPr>
            </w:pPr>
            <w:r>
              <w:rPr>
                <w:lang w:val="en-GB"/>
              </w:rPr>
              <w:t>-20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-13</w:t>
            </w:r>
          </w:p>
        </w:tc>
        <w:tc>
          <w:tcPr>
            <w:tcW w:w="567" w:type="dxa"/>
            <w:gridSpan w:val="2"/>
            <w:tcBorders>
              <w:right w:val="single" w:sz="6" w:space="0" w:color="000000"/>
            </w:tcBorders>
            <w:shd w:fill="DFDFDF" w:val="clear"/>
          </w:tcPr>
          <w:p>
            <w:pPr>
              <w:pStyle w:val="TAC"/>
              <w:rPr>
                <w:lang w:val="en-GB"/>
              </w:rPr>
            </w:pPr>
            <w:r>
              <w:rPr>
                <w:lang w:val="en-GB"/>
              </w:rPr>
              <w:t>-21</w:t>
            </w:r>
          </w:p>
        </w:tc>
        <w:tc>
          <w:tcPr>
            <w:tcW w:w="567" w:type="dxa"/>
            <w:gridSpan w:val="2"/>
            <w:tcBorders>
              <w:right w:val="single" w:sz="6" w:space="0" w:color="000000"/>
            </w:tcBorders>
            <w:shd w:fill="DFDFDF" w:val="clear"/>
          </w:tcPr>
          <w:p>
            <w:pPr>
              <w:pStyle w:val="TAC"/>
              <w:rPr>
                <w:lang w:val="en-GB"/>
              </w:rPr>
            </w:pPr>
            <w:r>
              <w:rPr>
                <w:lang w:val="en-GB"/>
              </w:rPr>
              <w:t>-16</w:t>
            </w:r>
          </w:p>
        </w:tc>
        <w:tc>
          <w:tcPr>
            <w:tcW w:w="567" w:type="dxa"/>
            <w:gridSpan w:val="2"/>
            <w:tcBorders>
              <w:right w:val="single" w:sz="6" w:space="0" w:color="000000"/>
            </w:tcBorders>
            <w:shd w:fill="DFDFDF" w:val="clear"/>
          </w:tcPr>
          <w:p>
            <w:pPr>
              <w:pStyle w:val="TAC"/>
              <w:rPr>
                <w:lang w:val="en-GB"/>
              </w:rPr>
            </w:pPr>
            <w:r>
              <w:rPr>
                <w:lang w:val="en-GB"/>
              </w:rPr>
              <w:t>-11</w:t>
            </w:r>
          </w:p>
        </w:tc>
        <w:tc>
          <w:tcPr>
            <w:tcW w:w="567" w:type="dxa"/>
            <w:gridSpan w:val="2"/>
            <w:tcBorders>
              <w:right w:val="single" w:sz="6" w:space="0" w:color="000000"/>
            </w:tcBorders>
            <w:shd w:fill="DFDFDF" w:val="clear"/>
          </w:tcPr>
          <w:p>
            <w:pPr>
              <w:pStyle w:val="TAC"/>
              <w:rPr>
                <w:lang w:val="en-GB"/>
              </w:rPr>
            </w:pPr>
            <w:r>
              <w:rPr>
                <w:lang w:val="en-GB"/>
              </w:rPr>
              <w:t>-6</w:t>
            </w:r>
          </w:p>
        </w:tc>
        <w:tc>
          <w:tcPr>
            <w:tcW w:w="62" w:type="dxa"/>
            <w:gridSpan w:val="2"/>
            <w:tcBorders/>
            <w:shd w:fill="DFDFDF" w:val="clear"/>
          </w:tcPr>
          <w:p>
            <w:pPr>
              <w:pStyle w:val="TAC"/>
              <w:snapToGrid w:val="false"/>
              <w:rPr>
                <w:lang w:val="en-GB"/>
              </w:rPr>
            </w:pPr>
            <w:r>
              <w:rPr>
                <w:lang w:val="en-GB"/>
              </w:rPr>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-25</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-20</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-15</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-10</w:t>
            </w:r>
          </w:p>
        </w:tc>
      </w:tr>
      <w:tr>
        <w:trPr>
          <w:trHeight w:val="259" w:hRule="atLeast"/>
        </w:trPr>
        <w:tc>
          <w:tcPr>
            <w:tcW w:w="1452" w:type="dxa"/>
            <w:tcBorders>
              <w:left w:val="single" w:sz="6" w:space="0" w:color="000000"/>
            </w:tcBorders>
          </w:tcPr>
          <w:p>
            <w:pPr>
              <w:pStyle w:val="TAL"/>
              <w:rPr>
                <w:lang w:val="en-GB"/>
              </w:rPr>
            </w:pPr>
            <w:r>
              <w:rPr>
                <w:lang w:val="en-GB"/>
              </w:rPr>
              <w:t>BTS Sensitivity</w:t>
            </w:r>
          </w:p>
        </w:tc>
        <w:tc>
          <w:tcPr>
            <w:tcW w:w="631" w:type="dxa"/>
            <w:tcBorders>
              <w:left w:val="single" w:sz="6" w:space="0" w:color="000000"/>
              <w:right w:val="single" w:sz="6" w:space="0" w:color="000000"/>
            </w:tcBorders>
            <w:shd w:fill="DFDFDF" w:val="clear"/>
          </w:tcPr>
          <w:p>
            <w:pPr>
              <w:pStyle w:val="TAC"/>
              <w:rPr>
                <w:lang w:val="en-GB"/>
              </w:rPr>
            </w:pPr>
            <w:r>
              <w:rPr>
                <w:lang w:val="en-GB"/>
              </w:rPr>
              <w:t>-79</w:t>
            </w:r>
          </w:p>
        </w:tc>
        <w:tc>
          <w:tcPr>
            <w:tcW w:w="631" w:type="dxa"/>
            <w:tcBorders>
              <w:right w:val="single" w:sz="6" w:space="0" w:color="000000"/>
            </w:tcBorders>
            <w:shd w:fill="DFDFDF" w:val="clear"/>
          </w:tcPr>
          <w:p>
            <w:pPr>
              <w:pStyle w:val="TAC"/>
              <w:rPr>
                <w:lang w:val="en-GB"/>
              </w:rPr>
            </w:pPr>
            <w:r>
              <w:rPr>
                <w:lang w:val="en-GB"/>
              </w:rPr>
              <w:t>-89</w:t>
            </w:r>
          </w:p>
        </w:tc>
        <w:tc>
          <w:tcPr>
            <w:tcW w:w="60" w:type="dxa"/>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-104</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-95</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-90</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-85</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-80</w:t>
            </w:r>
          </w:p>
        </w:tc>
        <w:tc>
          <w:tcPr>
            <w:tcW w:w="62" w:type="dxa"/>
            <w:gridSpan w:val="2"/>
            <w:tcBorders/>
            <w:shd w:fill="DFDFDF" w:val="clear"/>
          </w:tcPr>
          <w:p>
            <w:pPr>
              <w:pStyle w:val="TAC"/>
              <w:snapToGrid w:val="false"/>
              <w:rPr>
                <w:lang w:val="en-GB"/>
              </w:rPr>
            </w:pPr>
            <w:r>
              <w:rPr>
                <w:lang w:val="en-GB"/>
              </w:rPr>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-104</w:t>
            </w:r>
          </w:p>
        </w:tc>
        <w:tc>
          <w:tcPr>
            <w:tcW w:w="567" w:type="dxa"/>
            <w:gridSpan w:val="2"/>
            <w:tcBorders>
              <w:left w:val="single" w:sz="6" w:space="0" w:color="000000"/>
              <w:right w:val="single" w:sz="6" w:space="0" w:color="000000"/>
            </w:tcBorders>
            <w:shd w:fill="DFDFDF" w:val="clear"/>
          </w:tcPr>
          <w:p>
            <w:pPr>
              <w:pStyle w:val="TAC"/>
              <w:rPr>
                <w:lang w:val="en-GB"/>
              </w:rPr>
            </w:pPr>
            <w:r>
              <w:rPr>
                <w:lang w:val="en-GB"/>
              </w:rPr>
              <w:t>-99</w:t>
            </w:r>
          </w:p>
        </w:tc>
        <w:tc>
          <w:tcPr>
            <w:tcW w:w="567" w:type="dxa"/>
            <w:gridSpan w:val="2"/>
            <w:tcBorders>
              <w:right w:val="single" w:sz="6" w:space="0" w:color="000000"/>
            </w:tcBorders>
            <w:shd w:fill="DFDFDF" w:val="clear"/>
          </w:tcPr>
          <w:p>
            <w:pPr>
              <w:pStyle w:val="TAC"/>
              <w:rPr>
                <w:lang w:val="en-GB"/>
              </w:rPr>
            </w:pPr>
            <w:r>
              <w:rPr>
                <w:lang w:val="en-GB"/>
              </w:rPr>
              <w:t>-94</w:t>
            </w:r>
          </w:p>
        </w:tc>
        <w:tc>
          <w:tcPr>
            <w:tcW w:w="567" w:type="dxa"/>
            <w:gridSpan w:val="2"/>
            <w:tcBorders>
              <w:right w:val="single" w:sz="6" w:space="0" w:color="000000"/>
            </w:tcBorders>
            <w:shd w:fill="DFDFDF" w:val="clear"/>
          </w:tcPr>
          <w:p>
            <w:pPr>
              <w:pStyle w:val="TAC"/>
              <w:rPr>
                <w:lang w:val="en-GB"/>
              </w:rPr>
            </w:pPr>
            <w:r>
              <w:rPr>
                <w:lang w:val="en-GB"/>
              </w:rPr>
              <w:t>-89</w:t>
            </w:r>
          </w:p>
        </w:tc>
      </w:tr>
      <w:tr>
        <w:trPr>
          <w:trHeight w:val="259" w:hRule="atLeast"/>
        </w:trPr>
        <w:tc>
          <w:tcPr>
            <w:tcW w:w="1452" w:type="dxa"/>
            <w:tcBorders>
              <w:top w:val="single" w:sz="6" w:space="0" w:color="000000"/>
              <w:left w:val="single" w:sz="6" w:space="0" w:color="000000"/>
              <w:bottom w:val="single" w:sz="6" w:space="0" w:color="000000"/>
            </w:tcBorders>
          </w:tcPr>
          <w:p>
            <w:pPr>
              <w:pStyle w:val="TAL"/>
              <w:rPr>
                <w:lang w:val="en-GB"/>
              </w:rPr>
            </w:pPr>
            <w:r>
              <w:rPr>
                <w:lang w:val="en-GB"/>
              </w:rPr>
              <w:t>Base MCL</w:t>
            </w:r>
          </w:p>
        </w:tc>
        <w:tc>
          <w:tcPr>
            <w:tcW w:w="631"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44</w:t>
            </w:r>
          </w:p>
        </w:tc>
        <w:tc>
          <w:tcPr>
            <w:tcW w:w="631"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50</w:t>
            </w:r>
          </w:p>
        </w:tc>
        <w:tc>
          <w:tcPr>
            <w:tcW w:w="60" w:type="dxa"/>
            <w:tcBorders/>
            <w:shd w:fill="DFDFDF" w:val="clear"/>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69</w:t>
            </w:r>
          </w:p>
        </w:tc>
        <w:tc>
          <w:tcPr>
            <w:tcW w:w="567"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60</w:t>
            </w:r>
          </w:p>
        </w:tc>
        <w:tc>
          <w:tcPr>
            <w:tcW w:w="567"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55</w:t>
            </w:r>
          </w:p>
        </w:tc>
        <w:tc>
          <w:tcPr>
            <w:tcW w:w="567"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50</w:t>
            </w:r>
          </w:p>
        </w:tc>
        <w:tc>
          <w:tcPr>
            <w:tcW w:w="567"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45</w:t>
            </w:r>
          </w:p>
        </w:tc>
        <w:tc>
          <w:tcPr>
            <w:tcW w:w="62" w:type="dxa"/>
            <w:gridSpan w:val="2"/>
            <w:tcBorders/>
            <w:shd w:fill="DFDFDF" w:val="clear"/>
          </w:tcPr>
          <w:p>
            <w:pPr>
              <w:pStyle w:val="TAC"/>
              <w:snapToGrid w:val="false"/>
              <w:rPr>
                <w:lang w:val="en-GB"/>
              </w:rPr>
            </w:pPr>
            <w:r>
              <w:rPr>
                <w:lang w:val="en-GB"/>
              </w:rPr>
            </w:r>
          </w:p>
        </w:tc>
        <w:tc>
          <w:tcPr>
            <w:tcW w:w="567"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65</w:t>
            </w:r>
          </w:p>
        </w:tc>
        <w:tc>
          <w:tcPr>
            <w:tcW w:w="567" w:type="dxa"/>
            <w:gridSpan w:val="2"/>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60</w:t>
            </w:r>
          </w:p>
        </w:tc>
        <w:tc>
          <w:tcPr>
            <w:tcW w:w="567" w:type="dxa"/>
            <w:gridSpan w:val="2"/>
            <w:tcBorders>
              <w:top w:val="single" w:sz="6" w:space="0" w:color="000000"/>
              <w:bottom w:val="single" w:sz="6" w:space="0" w:color="000000"/>
              <w:right w:val="single" w:sz="6" w:space="0" w:color="000000"/>
            </w:tcBorders>
            <w:shd w:fill="DFDFDF" w:val="clear"/>
          </w:tcPr>
          <w:p>
            <w:pPr>
              <w:pStyle w:val="TAC"/>
              <w:rPr>
                <w:lang w:val="en-GB"/>
              </w:rPr>
            </w:pPr>
            <w:r>
              <w:rPr>
                <w:lang w:val="en-GB"/>
              </w:rPr>
              <w:t>55</w:t>
            </w:r>
          </w:p>
        </w:tc>
        <w:tc>
          <w:tcPr>
            <w:tcW w:w="567" w:type="dxa"/>
            <w:gridSpan w:val="2"/>
            <w:tcBorders>
              <w:top w:val="single" w:sz="6" w:space="0" w:color="000000"/>
              <w:bottom w:val="single" w:sz="6" w:space="0" w:color="000000"/>
              <w:right w:val="single" w:sz="6" w:space="0" w:color="000000"/>
            </w:tcBorders>
            <w:shd w:fill="DFDFDF" w:val="clear"/>
          </w:tcPr>
          <w:p>
            <w:pPr>
              <w:pStyle w:val="TAC"/>
              <w:rPr>
                <w:lang w:val="en-GB"/>
              </w:rPr>
            </w:pPr>
            <w:r>
              <w:rPr>
                <w:lang w:val="en-GB"/>
              </w:rPr>
              <w:t>50</w:t>
            </w:r>
          </w:p>
        </w:tc>
      </w:tr>
      <w:tr>
        <w:trPr>
          <w:trHeight w:val="259" w:hRule="atLeast"/>
        </w:trPr>
        <w:tc>
          <w:tcPr>
            <w:tcW w:w="3347" w:type="dxa"/>
            <w:gridSpan w:val="6"/>
            <w:tcBorders>
              <w:top w:val="single" w:sz="6" w:space="0" w:color="000000"/>
              <w:left w:val="single" w:sz="6" w:space="0" w:color="000000"/>
            </w:tcBorders>
          </w:tcPr>
          <w:p>
            <w:pPr>
              <w:pStyle w:val="TAL"/>
              <w:rPr>
                <w:lang w:val="en-GB"/>
              </w:rPr>
            </w:pPr>
            <w:r>
              <w:rPr>
                <w:lang w:val="en-GB"/>
              </w:rPr>
              <w:t>Margins for MCLs (+ve = good);</w:t>
            </w:r>
          </w:p>
        </w:tc>
        <w:tc>
          <w:tcPr>
            <w:tcW w:w="567"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62"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567" w:type="dxa"/>
            <w:gridSpan w:val="2"/>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r>
      <w:tr>
        <w:trPr>
          <w:trHeight w:val="259" w:hRule="atLeast"/>
        </w:trPr>
        <w:tc>
          <w:tcPr>
            <w:tcW w:w="1452" w:type="dxa"/>
            <w:tcBorders>
              <w:top w:val="single" w:sz="6" w:space="0" w:color="000000"/>
              <w:left w:val="single" w:sz="6" w:space="0" w:color="000000"/>
            </w:tcBorders>
          </w:tcPr>
          <w:p>
            <w:pPr>
              <w:pStyle w:val="TAL"/>
              <w:rPr>
                <w:lang w:val="en-GB"/>
              </w:rPr>
            </w:pPr>
            <w:r>
              <w:rPr>
                <w:lang w:val="en-GB"/>
              </w:rPr>
              <w:t>MS Blocking</w:t>
            </w:r>
          </w:p>
        </w:tc>
        <w:tc>
          <w:tcPr>
            <w:tcW w:w="631"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31"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0" w:type="dxa"/>
            <w:tcBorders>
              <w:left w:val="single" w:sz="6" w:space="0" w:color="000000"/>
              <w:right w:val="single" w:sz="6" w:space="0" w:color="000000"/>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12</w:t>
            </w:r>
          </w:p>
        </w:tc>
        <w:tc>
          <w:tcPr>
            <w:tcW w:w="62" w:type="dxa"/>
            <w:gridSpan w:val="2"/>
            <w:tcBorders>
              <w:left w:val="single" w:sz="6" w:space="0" w:color="000000"/>
              <w:right w:val="single" w:sz="6" w:space="0" w:color="000000"/>
            </w:tcBorders>
          </w:tcPr>
          <w:p>
            <w:pPr>
              <w:pStyle w:val="TAC"/>
              <w:snapToGrid w:val="false"/>
              <w:rPr>
                <w:lang w:val="en-GB"/>
              </w:rPr>
            </w:pPr>
            <w:r>
              <w:rPr>
                <w:lang w:val="en-GB"/>
              </w:rPr>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2</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2</w:t>
            </w:r>
          </w:p>
        </w:tc>
      </w:tr>
      <w:tr>
        <w:trPr>
          <w:trHeight w:val="259" w:hRule="atLeast"/>
        </w:trPr>
        <w:tc>
          <w:tcPr>
            <w:tcW w:w="1452" w:type="dxa"/>
            <w:tcBorders>
              <w:left w:val="single" w:sz="6" w:space="0" w:color="000000"/>
            </w:tcBorders>
          </w:tcPr>
          <w:p>
            <w:pPr>
              <w:pStyle w:val="TAL"/>
              <w:rPr>
                <w:lang w:val="en-GB"/>
              </w:rPr>
            </w:pPr>
            <w:r>
              <w:rPr>
                <w:lang w:val="en-GB"/>
              </w:rPr>
              <w:t xml:space="preserve">BTS Noise </w:t>
            </w:r>
          </w:p>
        </w:tc>
        <w:tc>
          <w:tcPr>
            <w:tcW w:w="631" w:type="dxa"/>
            <w:tcBorders>
              <w:left w:val="single" w:sz="6" w:space="0" w:color="000000"/>
              <w:right w:val="single" w:sz="6" w:space="0" w:color="000000"/>
            </w:tcBorders>
          </w:tcPr>
          <w:p>
            <w:pPr>
              <w:pStyle w:val="TAC"/>
              <w:rPr>
                <w:lang w:val="en-GB"/>
              </w:rPr>
            </w:pPr>
            <w:r>
              <w:rPr>
                <w:lang w:val="en-GB"/>
              </w:rPr>
              <w:t>0</w:t>
            </w:r>
          </w:p>
        </w:tc>
        <w:tc>
          <w:tcPr>
            <w:tcW w:w="631" w:type="dxa"/>
            <w:tcBorders>
              <w:left w:val="single" w:sz="6" w:space="0" w:color="000000"/>
              <w:right w:val="single" w:sz="6" w:space="0" w:color="000000"/>
            </w:tcBorders>
          </w:tcPr>
          <w:p>
            <w:pPr>
              <w:pStyle w:val="TAC"/>
              <w:rPr>
                <w:lang w:val="en-GB"/>
              </w:rPr>
            </w:pPr>
            <w:r>
              <w:rPr>
                <w:lang w:val="en-GB"/>
              </w:rPr>
              <w:t>0</w:t>
            </w:r>
          </w:p>
        </w:tc>
        <w:tc>
          <w:tcPr>
            <w:tcW w:w="60" w:type="dxa"/>
            <w:tcBorders>
              <w:left w:val="single" w:sz="6" w:space="0" w:color="000000"/>
              <w:right w:val="single" w:sz="6" w:space="0" w:color="000000"/>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7</w:t>
            </w:r>
          </w:p>
        </w:tc>
        <w:tc>
          <w:tcPr>
            <w:tcW w:w="567" w:type="dxa"/>
            <w:gridSpan w:val="2"/>
            <w:tcBorders>
              <w:left w:val="single" w:sz="6" w:space="0" w:color="000000"/>
              <w:right w:val="single" w:sz="6" w:space="0" w:color="000000"/>
            </w:tcBorders>
          </w:tcPr>
          <w:p>
            <w:pPr>
              <w:pStyle w:val="TAC"/>
              <w:rPr>
                <w:lang w:val="en-GB"/>
              </w:rPr>
            </w:pPr>
            <w:r>
              <w:rPr>
                <w:lang w:val="en-GB"/>
              </w:rPr>
              <w:t>0</w:t>
            </w:r>
          </w:p>
        </w:tc>
        <w:tc>
          <w:tcPr>
            <w:tcW w:w="567" w:type="dxa"/>
            <w:gridSpan w:val="2"/>
            <w:tcBorders>
              <w:left w:val="single" w:sz="6" w:space="0" w:color="000000"/>
              <w:right w:val="single" w:sz="6" w:space="0" w:color="000000"/>
            </w:tcBorders>
          </w:tcPr>
          <w:p>
            <w:pPr>
              <w:pStyle w:val="TAC"/>
              <w:rPr>
                <w:lang w:val="en-GB"/>
              </w:rPr>
            </w:pPr>
            <w:r>
              <w:rPr>
                <w:lang w:val="en-GB"/>
              </w:rPr>
              <w:t>0</w:t>
            </w:r>
          </w:p>
        </w:tc>
        <w:tc>
          <w:tcPr>
            <w:tcW w:w="567" w:type="dxa"/>
            <w:gridSpan w:val="2"/>
            <w:tcBorders>
              <w:left w:val="single" w:sz="6" w:space="0" w:color="000000"/>
              <w:right w:val="single" w:sz="6" w:space="0" w:color="000000"/>
            </w:tcBorders>
          </w:tcPr>
          <w:p>
            <w:pPr>
              <w:pStyle w:val="TAC"/>
              <w:rPr>
                <w:lang w:val="en-GB"/>
              </w:rPr>
            </w:pPr>
            <w:r>
              <w:rPr>
                <w:lang w:val="en-GB"/>
              </w:rPr>
              <w:t>0</w:t>
            </w:r>
          </w:p>
        </w:tc>
        <w:tc>
          <w:tcPr>
            <w:tcW w:w="567" w:type="dxa"/>
            <w:gridSpan w:val="2"/>
            <w:tcBorders>
              <w:left w:val="single" w:sz="6" w:space="0" w:color="000000"/>
              <w:right w:val="single" w:sz="6" w:space="0" w:color="000000"/>
            </w:tcBorders>
          </w:tcPr>
          <w:p>
            <w:pPr>
              <w:pStyle w:val="TAC"/>
              <w:rPr>
                <w:lang w:val="en-GB"/>
              </w:rPr>
            </w:pPr>
            <w:r>
              <w:rPr>
                <w:lang w:val="en-GB"/>
              </w:rPr>
              <w:t>0</w:t>
            </w:r>
          </w:p>
        </w:tc>
        <w:tc>
          <w:tcPr>
            <w:tcW w:w="62" w:type="dxa"/>
            <w:gridSpan w:val="2"/>
            <w:tcBorders>
              <w:left w:val="single" w:sz="6" w:space="0" w:color="000000"/>
              <w:right w:val="single" w:sz="6" w:space="0" w:color="000000"/>
            </w:tcBorders>
          </w:tcPr>
          <w:p>
            <w:pPr>
              <w:pStyle w:val="TAC"/>
              <w:snapToGrid w:val="false"/>
              <w:rPr>
                <w:lang w:val="en-GB"/>
              </w:rPr>
            </w:pPr>
            <w:r>
              <w:rPr>
                <w:lang w:val="en-GB"/>
              </w:rPr>
            </w:r>
          </w:p>
        </w:tc>
        <w:tc>
          <w:tcPr>
            <w:tcW w:w="567" w:type="dxa"/>
            <w:gridSpan w:val="2"/>
            <w:tcBorders>
              <w:left w:val="single" w:sz="6" w:space="0" w:color="000000"/>
              <w:right w:val="single" w:sz="6" w:space="0" w:color="000000"/>
            </w:tcBorders>
          </w:tcPr>
          <w:p>
            <w:pPr>
              <w:pStyle w:val="TAC"/>
              <w:rPr>
                <w:lang w:val="en-GB"/>
              </w:rPr>
            </w:pPr>
            <w:r>
              <w:rPr>
                <w:lang w:val="en-GB"/>
              </w:rPr>
              <w:t>2</w:t>
            </w:r>
          </w:p>
        </w:tc>
        <w:tc>
          <w:tcPr>
            <w:tcW w:w="567" w:type="dxa"/>
            <w:gridSpan w:val="2"/>
            <w:tcBorders>
              <w:left w:val="single" w:sz="6" w:space="0" w:color="000000"/>
              <w:right w:val="single" w:sz="6" w:space="0" w:color="000000"/>
            </w:tcBorders>
          </w:tcPr>
          <w:p>
            <w:pPr>
              <w:pStyle w:val="TAC"/>
              <w:rPr>
                <w:lang w:val="en-GB"/>
              </w:rPr>
            </w:pPr>
            <w:r>
              <w:rPr>
                <w:lang w:val="en-GB"/>
              </w:rPr>
              <w:t>0</w:t>
            </w:r>
          </w:p>
        </w:tc>
        <w:tc>
          <w:tcPr>
            <w:tcW w:w="567" w:type="dxa"/>
            <w:gridSpan w:val="2"/>
            <w:tcBorders>
              <w:left w:val="single" w:sz="6" w:space="0" w:color="000000"/>
              <w:right w:val="single" w:sz="6" w:space="0" w:color="000000"/>
            </w:tcBorders>
          </w:tcPr>
          <w:p>
            <w:pPr>
              <w:pStyle w:val="TAC"/>
              <w:rPr>
                <w:lang w:val="en-GB"/>
              </w:rPr>
            </w:pPr>
            <w:r>
              <w:rPr>
                <w:lang w:val="en-GB"/>
              </w:rPr>
              <w:t>0</w:t>
            </w:r>
          </w:p>
        </w:tc>
        <w:tc>
          <w:tcPr>
            <w:tcW w:w="567" w:type="dxa"/>
            <w:gridSpan w:val="2"/>
            <w:tcBorders>
              <w:left w:val="single" w:sz="6" w:space="0" w:color="000000"/>
              <w:right w:val="single" w:sz="6" w:space="0" w:color="000000"/>
            </w:tcBorders>
          </w:tcPr>
          <w:p>
            <w:pPr>
              <w:pStyle w:val="TAC"/>
              <w:rPr>
                <w:lang w:val="en-GB"/>
              </w:rPr>
            </w:pPr>
            <w:r>
              <w:rPr>
                <w:lang w:val="en-GB"/>
              </w:rPr>
              <w:t>0</w:t>
            </w:r>
          </w:p>
        </w:tc>
      </w:tr>
      <w:tr>
        <w:trPr>
          <w:trHeight w:val="259" w:hRule="atLeast"/>
        </w:trPr>
        <w:tc>
          <w:tcPr>
            <w:tcW w:w="1452" w:type="dxa"/>
            <w:tcBorders>
              <w:top w:val="single" w:sz="6" w:space="0" w:color="000000"/>
              <w:left w:val="single" w:sz="6" w:space="0" w:color="000000"/>
            </w:tcBorders>
          </w:tcPr>
          <w:p>
            <w:pPr>
              <w:pStyle w:val="TAL"/>
              <w:rPr>
                <w:lang w:val="en-GB"/>
              </w:rPr>
            </w:pPr>
            <w:r>
              <w:rPr>
                <w:lang w:val="en-GB"/>
              </w:rPr>
              <w:t>BTS Blocking</w:t>
            </w:r>
          </w:p>
        </w:tc>
        <w:tc>
          <w:tcPr>
            <w:tcW w:w="631"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31"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0" w:type="dxa"/>
            <w:tcBorders>
              <w:top w:val="single" w:sz="6" w:space="0" w:color="000000"/>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27</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62" w:type="dxa"/>
            <w:gridSpan w:val="2"/>
            <w:tcBorders>
              <w:top w:val="single" w:sz="6" w:space="0" w:color="000000"/>
            </w:tcBorders>
          </w:tcPr>
          <w:p>
            <w:pPr>
              <w:pStyle w:val="TAC"/>
              <w:snapToGrid w:val="false"/>
              <w:rPr>
                <w:lang w:val="en-GB"/>
              </w:rPr>
            </w:pPr>
            <w:r>
              <w:rPr>
                <w:lang w:val="en-GB"/>
              </w:rPr>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lang w:val="en-GB"/>
              </w:rPr>
              <w:t>10</w:t>
            </w:r>
          </w:p>
        </w:tc>
      </w:tr>
      <w:tr>
        <w:trPr>
          <w:trHeight w:val="259" w:hRule="atLeast"/>
        </w:trPr>
        <w:tc>
          <w:tcPr>
            <w:tcW w:w="1452" w:type="dxa"/>
            <w:tcBorders>
              <w:left w:val="single" w:sz="6" w:space="0" w:color="000000"/>
              <w:bottom w:val="single" w:sz="6" w:space="0" w:color="000000"/>
            </w:tcBorders>
          </w:tcPr>
          <w:p>
            <w:pPr>
              <w:pStyle w:val="TAL"/>
              <w:rPr>
                <w:lang w:val="en-GB"/>
              </w:rPr>
            </w:pPr>
            <w:r>
              <w:rPr>
                <w:lang w:val="en-GB"/>
              </w:rPr>
              <w:t>MS Noise</w:t>
            </w:r>
          </w:p>
        </w:tc>
        <w:tc>
          <w:tcPr>
            <w:tcW w:w="631"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631"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60" w:type="dxa"/>
            <w:tcBorders/>
          </w:tcPr>
          <w:p>
            <w:pPr>
              <w:pStyle w:val="TAC"/>
              <w:snapToGrid w:val="false"/>
              <w:rPr>
                <w:lang w:val="fr-FR"/>
              </w:rPr>
            </w:pPr>
            <w:r>
              <w:rPr>
                <w:lang w:val="fr-FR"/>
              </w:rPr>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62" w:type="dxa"/>
            <w:gridSpan w:val="2"/>
            <w:tcBorders/>
          </w:tcPr>
          <w:p>
            <w:pPr>
              <w:pStyle w:val="TAC"/>
              <w:snapToGrid w:val="false"/>
              <w:rPr>
                <w:lang w:val="fr-FR"/>
              </w:rPr>
            </w:pPr>
            <w:r>
              <w:rPr>
                <w:lang w:val="fr-FR"/>
              </w:rPr>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gridSpan w:val="2"/>
            <w:tcBorders>
              <w:left w:val="single" w:sz="6" w:space="0" w:color="000000"/>
              <w:bottom w:val="single" w:sz="6" w:space="0" w:color="000000"/>
              <w:right w:val="single" w:sz="6" w:space="0" w:color="000000"/>
            </w:tcBorders>
          </w:tcPr>
          <w:p>
            <w:pPr>
              <w:pStyle w:val="TAC"/>
              <w:rPr>
                <w:lang w:val="fr-FR"/>
              </w:rPr>
            </w:pPr>
            <w:r>
              <w:rPr>
                <w:lang w:val="fr-FR"/>
              </w:rPr>
              <w:t>0</w:t>
            </w:r>
          </w:p>
        </w:tc>
      </w:tr>
      <w:tr>
        <w:trPr>
          <w:trHeight w:val="259" w:hRule="atLeast"/>
        </w:trPr>
        <w:tc>
          <w:tcPr>
            <w:tcW w:w="1452" w:type="dxa"/>
            <w:tcBorders>
              <w:top w:val="single" w:sz="6" w:space="0" w:color="000000"/>
              <w:left w:val="single" w:sz="6" w:space="0" w:color="000000"/>
              <w:right w:val="single" w:sz="6" w:space="0" w:color="000000"/>
            </w:tcBorders>
          </w:tcPr>
          <w:p>
            <w:pPr>
              <w:pStyle w:val="TAL"/>
              <w:rPr>
                <w:lang w:val="fr-FR"/>
              </w:rPr>
            </w:pPr>
            <w:r>
              <w:rPr>
                <w:lang w:val="fr-FR"/>
              </w:rPr>
              <w:t>D/L Bias</w:t>
            </w:r>
          </w:p>
        </w:tc>
        <w:tc>
          <w:tcPr>
            <w:tcW w:w="631" w:type="dxa"/>
            <w:tcBorders>
              <w:top w:val="single" w:sz="6" w:space="0" w:color="000000"/>
              <w:right w:val="single" w:sz="6" w:space="0" w:color="000000"/>
            </w:tcBorders>
          </w:tcPr>
          <w:p>
            <w:pPr>
              <w:pStyle w:val="TAC"/>
              <w:rPr>
                <w:lang w:val="en-GB"/>
              </w:rPr>
            </w:pPr>
            <w:r>
              <w:rPr>
                <w:b/>
                <w:lang w:val="en-GB"/>
              </w:rPr>
              <w:t>12</w:t>
            </w:r>
          </w:p>
        </w:tc>
        <w:tc>
          <w:tcPr>
            <w:tcW w:w="631" w:type="dxa"/>
            <w:tcBorders>
              <w:top w:val="single" w:sz="6" w:space="0" w:color="000000"/>
              <w:right w:val="single" w:sz="6" w:space="0" w:color="000000"/>
            </w:tcBorders>
          </w:tcPr>
          <w:p>
            <w:pPr>
              <w:pStyle w:val="TAC"/>
              <w:rPr>
                <w:lang w:val="en-GB"/>
              </w:rPr>
            </w:pPr>
            <w:r>
              <w:rPr>
                <w:b/>
                <w:lang w:val="en-GB"/>
              </w:rPr>
              <w:t>2</w:t>
            </w:r>
          </w:p>
        </w:tc>
        <w:tc>
          <w:tcPr>
            <w:tcW w:w="60" w:type="dxa"/>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62" w:type="dxa"/>
            <w:gridSpan w:val="2"/>
            <w:tcBorders/>
          </w:tcPr>
          <w:p>
            <w:pPr>
              <w:pStyle w:val="TAC"/>
              <w:snapToGrid w:val="false"/>
              <w:rPr>
                <w:lang w:val="en-GB"/>
              </w:rPr>
            </w:pPr>
            <w:r>
              <w:rPr>
                <w:lang w:val="en-GB"/>
              </w:rPr>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gridSpan w:val="2"/>
            <w:tcBorders>
              <w:top w:val="single" w:sz="6" w:space="0" w:color="000000"/>
              <w:left w:val="single" w:sz="6" w:space="0" w:color="000000"/>
              <w:right w:val="single" w:sz="6" w:space="0" w:color="000000"/>
            </w:tcBorders>
          </w:tcPr>
          <w:p>
            <w:pPr>
              <w:pStyle w:val="TAC"/>
              <w:rPr>
                <w:lang w:val="en-GB"/>
              </w:rPr>
            </w:pPr>
            <w:r>
              <w:rPr>
                <w:b/>
                <w:lang w:val="en-GB"/>
              </w:rPr>
              <w:t>0</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Max Loss</w:t>
            </w:r>
          </w:p>
        </w:tc>
        <w:tc>
          <w:tcPr>
            <w:tcW w:w="631" w:type="dxa"/>
            <w:tcBorders>
              <w:right w:val="single" w:sz="6" w:space="0" w:color="000000"/>
            </w:tcBorders>
          </w:tcPr>
          <w:p>
            <w:pPr>
              <w:pStyle w:val="TAC"/>
              <w:rPr>
                <w:lang w:val="en-GB"/>
              </w:rPr>
            </w:pPr>
            <w:r>
              <w:rPr>
                <w:b/>
                <w:lang w:val="en-GB"/>
              </w:rPr>
              <w:t>111</w:t>
            </w:r>
          </w:p>
        </w:tc>
        <w:tc>
          <w:tcPr>
            <w:tcW w:w="631" w:type="dxa"/>
            <w:tcBorders>
              <w:right w:val="single" w:sz="6" w:space="0" w:color="000000"/>
            </w:tcBorders>
          </w:tcPr>
          <w:p>
            <w:pPr>
              <w:pStyle w:val="TAC"/>
              <w:rPr>
                <w:lang w:val="en-GB"/>
              </w:rPr>
            </w:pPr>
            <w:r>
              <w:rPr>
                <w:b/>
                <w:lang w:val="en-GB"/>
              </w:rPr>
              <w:t>122</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b/>
                <w:lang w:val="en-GB"/>
              </w:rPr>
              <w:t>136</w:t>
            </w:r>
          </w:p>
        </w:tc>
        <w:tc>
          <w:tcPr>
            <w:tcW w:w="567" w:type="dxa"/>
            <w:gridSpan w:val="2"/>
            <w:tcBorders>
              <w:left w:val="single" w:sz="6" w:space="0" w:color="000000"/>
              <w:right w:val="single" w:sz="6" w:space="0" w:color="000000"/>
            </w:tcBorders>
          </w:tcPr>
          <w:p>
            <w:pPr>
              <w:pStyle w:val="TAC"/>
              <w:rPr>
                <w:lang w:val="en-GB"/>
              </w:rPr>
            </w:pPr>
            <w:r>
              <w:rPr>
                <w:b/>
                <w:lang w:val="en-GB"/>
              </w:rPr>
              <w:t>127</w:t>
            </w:r>
          </w:p>
        </w:tc>
        <w:tc>
          <w:tcPr>
            <w:tcW w:w="567" w:type="dxa"/>
            <w:gridSpan w:val="2"/>
            <w:tcBorders>
              <w:left w:val="single" w:sz="6" w:space="0" w:color="000000"/>
              <w:right w:val="single" w:sz="6" w:space="0" w:color="000000"/>
            </w:tcBorders>
          </w:tcPr>
          <w:p>
            <w:pPr>
              <w:pStyle w:val="TAC"/>
              <w:rPr>
                <w:lang w:val="en-GB"/>
              </w:rPr>
            </w:pPr>
            <w:r>
              <w:rPr>
                <w:b/>
                <w:lang w:val="en-GB"/>
              </w:rPr>
              <w:t>122</w:t>
            </w:r>
          </w:p>
        </w:tc>
        <w:tc>
          <w:tcPr>
            <w:tcW w:w="567" w:type="dxa"/>
            <w:gridSpan w:val="2"/>
            <w:tcBorders>
              <w:left w:val="single" w:sz="6" w:space="0" w:color="000000"/>
              <w:right w:val="single" w:sz="6" w:space="0" w:color="000000"/>
            </w:tcBorders>
          </w:tcPr>
          <w:p>
            <w:pPr>
              <w:pStyle w:val="TAC"/>
              <w:rPr>
                <w:lang w:val="en-GB"/>
              </w:rPr>
            </w:pPr>
            <w:r>
              <w:rPr>
                <w:b/>
                <w:lang w:val="en-GB"/>
              </w:rPr>
              <w:t>117</w:t>
            </w:r>
          </w:p>
        </w:tc>
        <w:tc>
          <w:tcPr>
            <w:tcW w:w="567" w:type="dxa"/>
            <w:gridSpan w:val="2"/>
            <w:tcBorders>
              <w:left w:val="single" w:sz="6" w:space="0" w:color="000000"/>
              <w:right w:val="single" w:sz="6" w:space="0" w:color="000000"/>
            </w:tcBorders>
          </w:tcPr>
          <w:p>
            <w:pPr>
              <w:pStyle w:val="TAC"/>
              <w:rPr>
                <w:lang w:val="en-GB"/>
              </w:rPr>
            </w:pPr>
            <w:r>
              <w:rPr>
                <w:b/>
                <w:lang w:val="en-GB"/>
              </w:rPr>
              <w:t>112</w:t>
            </w:r>
          </w:p>
        </w:tc>
        <w:tc>
          <w:tcPr>
            <w:tcW w:w="62" w:type="dxa"/>
            <w:gridSpan w:val="2"/>
            <w:tcBorders/>
          </w:tcPr>
          <w:p>
            <w:pPr>
              <w:pStyle w:val="TAC"/>
              <w:snapToGrid w:val="false"/>
              <w:rPr>
                <w:lang w:val="en-GB"/>
              </w:rPr>
            </w:pPr>
            <w:r>
              <w:rPr>
                <w:lang w:val="en-GB"/>
              </w:rPr>
            </w:r>
          </w:p>
        </w:tc>
        <w:tc>
          <w:tcPr>
            <w:tcW w:w="567" w:type="dxa"/>
            <w:gridSpan w:val="2"/>
            <w:tcBorders>
              <w:left w:val="single" w:sz="6" w:space="0" w:color="000000"/>
              <w:right w:val="single" w:sz="6" w:space="0" w:color="000000"/>
            </w:tcBorders>
          </w:tcPr>
          <w:p>
            <w:pPr>
              <w:pStyle w:val="TAC"/>
              <w:rPr>
                <w:lang w:val="en-GB"/>
              </w:rPr>
            </w:pPr>
            <w:r>
              <w:rPr>
                <w:b/>
                <w:lang w:val="en-GB"/>
              </w:rPr>
              <w:t>137</w:t>
            </w:r>
          </w:p>
        </w:tc>
        <w:tc>
          <w:tcPr>
            <w:tcW w:w="567" w:type="dxa"/>
            <w:gridSpan w:val="2"/>
            <w:tcBorders>
              <w:left w:val="single" w:sz="6" w:space="0" w:color="000000"/>
              <w:right w:val="single" w:sz="6" w:space="0" w:color="000000"/>
            </w:tcBorders>
          </w:tcPr>
          <w:p>
            <w:pPr>
              <w:pStyle w:val="TAC"/>
              <w:rPr>
                <w:lang w:val="en-GB"/>
              </w:rPr>
            </w:pPr>
            <w:r>
              <w:rPr>
                <w:b/>
                <w:lang w:val="en-GB"/>
              </w:rPr>
              <w:t>132</w:t>
            </w:r>
          </w:p>
        </w:tc>
        <w:tc>
          <w:tcPr>
            <w:tcW w:w="567" w:type="dxa"/>
            <w:gridSpan w:val="2"/>
            <w:tcBorders>
              <w:left w:val="single" w:sz="6" w:space="0" w:color="000000"/>
              <w:right w:val="single" w:sz="6" w:space="0" w:color="000000"/>
            </w:tcBorders>
          </w:tcPr>
          <w:p>
            <w:pPr>
              <w:pStyle w:val="TAC"/>
              <w:rPr>
                <w:lang w:val="en-GB"/>
              </w:rPr>
            </w:pPr>
            <w:r>
              <w:rPr>
                <w:b/>
                <w:lang w:val="en-GB"/>
              </w:rPr>
              <w:t>127</w:t>
            </w:r>
          </w:p>
        </w:tc>
        <w:tc>
          <w:tcPr>
            <w:tcW w:w="567" w:type="dxa"/>
            <w:gridSpan w:val="2"/>
            <w:tcBorders>
              <w:left w:val="single" w:sz="6" w:space="0" w:color="000000"/>
              <w:right w:val="single" w:sz="6" w:space="0" w:color="000000"/>
            </w:tcBorders>
          </w:tcPr>
          <w:p>
            <w:pPr>
              <w:pStyle w:val="TAC"/>
              <w:rPr>
                <w:lang w:val="en-GB"/>
              </w:rPr>
            </w:pPr>
            <w:r>
              <w:rPr>
                <w:b/>
                <w:lang w:val="en-GB"/>
              </w:rPr>
              <w:t>122</w:t>
            </w:r>
          </w:p>
        </w:tc>
      </w:tr>
      <w:tr>
        <w:trPr>
          <w:trHeight w:val="259" w:hRule="atLeast"/>
        </w:trPr>
        <w:tc>
          <w:tcPr>
            <w:tcW w:w="1452" w:type="dxa"/>
            <w:tcBorders>
              <w:left w:val="single" w:sz="6" w:space="0" w:color="000000"/>
              <w:right w:val="single" w:sz="6" w:space="0" w:color="000000"/>
            </w:tcBorders>
          </w:tcPr>
          <w:p>
            <w:pPr>
              <w:pStyle w:val="TAL"/>
              <w:rPr>
                <w:lang w:val="en-GB"/>
              </w:rPr>
            </w:pPr>
            <w:r>
              <w:rPr>
                <w:lang w:val="en-GB"/>
              </w:rPr>
              <w:t>MCL</w:t>
            </w:r>
          </w:p>
        </w:tc>
        <w:tc>
          <w:tcPr>
            <w:tcW w:w="631" w:type="dxa"/>
            <w:tcBorders>
              <w:right w:val="single" w:sz="6" w:space="0" w:color="000000"/>
            </w:tcBorders>
          </w:tcPr>
          <w:p>
            <w:pPr>
              <w:pStyle w:val="TAC"/>
              <w:rPr>
                <w:lang w:val="en-GB"/>
              </w:rPr>
            </w:pPr>
            <w:r>
              <w:rPr>
                <w:b/>
                <w:lang w:val="en-GB"/>
              </w:rPr>
              <w:t>44</w:t>
            </w:r>
          </w:p>
        </w:tc>
        <w:tc>
          <w:tcPr>
            <w:tcW w:w="631" w:type="dxa"/>
            <w:tcBorders>
              <w:right w:val="single" w:sz="6" w:space="0" w:color="000000"/>
            </w:tcBorders>
          </w:tcPr>
          <w:p>
            <w:pPr>
              <w:pStyle w:val="TAC"/>
              <w:rPr>
                <w:lang w:val="en-GB"/>
              </w:rPr>
            </w:pPr>
            <w:r>
              <w:rPr>
                <w:b/>
                <w:lang w:val="en-GB"/>
              </w:rPr>
              <w:t>50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b/>
                <w:lang w:val="en-GB"/>
              </w:rPr>
              <w:t>69</w:t>
            </w:r>
          </w:p>
        </w:tc>
        <w:tc>
          <w:tcPr>
            <w:tcW w:w="567" w:type="dxa"/>
            <w:gridSpan w:val="2"/>
            <w:tcBorders>
              <w:left w:val="single" w:sz="6" w:space="0" w:color="000000"/>
              <w:right w:val="single" w:sz="6" w:space="0" w:color="000000"/>
            </w:tcBorders>
          </w:tcPr>
          <w:p>
            <w:pPr>
              <w:pStyle w:val="TAC"/>
              <w:rPr>
                <w:lang w:val="en-GB"/>
              </w:rPr>
            </w:pPr>
            <w:r>
              <w:rPr>
                <w:b/>
                <w:lang w:val="en-GB"/>
              </w:rPr>
              <w:t>60</w:t>
            </w:r>
          </w:p>
        </w:tc>
        <w:tc>
          <w:tcPr>
            <w:tcW w:w="567" w:type="dxa"/>
            <w:gridSpan w:val="2"/>
            <w:tcBorders>
              <w:left w:val="single" w:sz="6" w:space="0" w:color="000000"/>
              <w:right w:val="single" w:sz="6" w:space="0" w:color="000000"/>
            </w:tcBorders>
          </w:tcPr>
          <w:p>
            <w:pPr>
              <w:pStyle w:val="TAC"/>
              <w:rPr>
                <w:lang w:val="en-GB"/>
              </w:rPr>
            </w:pPr>
            <w:r>
              <w:rPr>
                <w:b/>
                <w:lang w:val="en-GB"/>
              </w:rPr>
              <w:t>55</w:t>
            </w:r>
          </w:p>
        </w:tc>
        <w:tc>
          <w:tcPr>
            <w:tcW w:w="567" w:type="dxa"/>
            <w:gridSpan w:val="2"/>
            <w:tcBorders>
              <w:left w:val="single" w:sz="6" w:space="0" w:color="000000"/>
              <w:right w:val="single" w:sz="6" w:space="0" w:color="000000"/>
            </w:tcBorders>
          </w:tcPr>
          <w:p>
            <w:pPr>
              <w:pStyle w:val="TAC"/>
              <w:rPr>
                <w:lang w:val="en-GB"/>
              </w:rPr>
            </w:pPr>
            <w:r>
              <w:rPr>
                <w:b/>
                <w:lang w:val="en-GB"/>
              </w:rPr>
              <w:t>50</w:t>
            </w:r>
          </w:p>
        </w:tc>
        <w:tc>
          <w:tcPr>
            <w:tcW w:w="567" w:type="dxa"/>
            <w:gridSpan w:val="2"/>
            <w:tcBorders>
              <w:left w:val="single" w:sz="6" w:space="0" w:color="000000"/>
              <w:right w:val="single" w:sz="6" w:space="0" w:color="000000"/>
            </w:tcBorders>
          </w:tcPr>
          <w:p>
            <w:pPr>
              <w:pStyle w:val="TAC"/>
              <w:rPr>
                <w:lang w:val="en-GB"/>
              </w:rPr>
            </w:pPr>
            <w:r>
              <w:rPr>
                <w:b/>
                <w:lang w:val="en-GB"/>
              </w:rPr>
              <w:t>45</w:t>
            </w:r>
          </w:p>
        </w:tc>
        <w:tc>
          <w:tcPr>
            <w:tcW w:w="62" w:type="dxa"/>
            <w:gridSpan w:val="2"/>
            <w:tcBorders/>
          </w:tcPr>
          <w:p>
            <w:pPr>
              <w:pStyle w:val="TAC"/>
              <w:snapToGrid w:val="false"/>
              <w:rPr>
                <w:lang w:val="en-GB"/>
              </w:rPr>
            </w:pPr>
            <w:r>
              <w:rPr>
                <w:lang w:val="en-GB"/>
              </w:rPr>
            </w:r>
          </w:p>
        </w:tc>
        <w:tc>
          <w:tcPr>
            <w:tcW w:w="567" w:type="dxa"/>
            <w:gridSpan w:val="2"/>
            <w:tcBorders>
              <w:left w:val="single" w:sz="6" w:space="0" w:color="000000"/>
              <w:right w:val="single" w:sz="6" w:space="0" w:color="000000"/>
            </w:tcBorders>
          </w:tcPr>
          <w:p>
            <w:pPr>
              <w:pStyle w:val="TAC"/>
              <w:rPr>
                <w:lang w:val="en-GB"/>
              </w:rPr>
            </w:pPr>
            <w:r>
              <w:rPr>
                <w:b/>
                <w:lang w:val="en-GB"/>
              </w:rPr>
              <w:t>65</w:t>
            </w:r>
          </w:p>
        </w:tc>
        <w:tc>
          <w:tcPr>
            <w:tcW w:w="567" w:type="dxa"/>
            <w:gridSpan w:val="2"/>
            <w:tcBorders>
              <w:left w:val="single" w:sz="6" w:space="0" w:color="000000"/>
              <w:right w:val="single" w:sz="6" w:space="0" w:color="000000"/>
            </w:tcBorders>
          </w:tcPr>
          <w:p>
            <w:pPr>
              <w:pStyle w:val="TAC"/>
              <w:rPr>
                <w:lang w:val="en-GB"/>
              </w:rPr>
            </w:pPr>
            <w:r>
              <w:rPr>
                <w:b/>
                <w:lang w:val="en-GB"/>
              </w:rPr>
              <w:t>60</w:t>
            </w:r>
          </w:p>
        </w:tc>
        <w:tc>
          <w:tcPr>
            <w:tcW w:w="567" w:type="dxa"/>
            <w:gridSpan w:val="2"/>
            <w:tcBorders>
              <w:left w:val="single" w:sz="6" w:space="0" w:color="000000"/>
              <w:right w:val="single" w:sz="6" w:space="0" w:color="000000"/>
            </w:tcBorders>
          </w:tcPr>
          <w:p>
            <w:pPr>
              <w:pStyle w:val="TAC"/>
              <w:rPr>
                <w:lang w:val="en-GB"/>
              </w:rPr>
            </w:pPr>
            <w:r>
              <w:rPr>
                <w:b/>
                <w:lang w:val="en-GB"/>
              </w:rPr>
              <w:t>55</w:t>
            </w:r>
          </w:p>
        </w:tc>
        <w:tc>
          <w:tcPr>
            <w:tcW w:w="567" w:type="dxa"/>
            <w:gridSpan w:val="2"/>
            <w:tcBorders>
              <w:left w:val="single" w:sz="6" w:space="0" w:color="000000"/>
              <w:right w:val="single" w:sz="6" w:space="0" w:color="000000"/>
            </w:tcBorders>
          </w:tcPr>
          <w:p>
            <w:pPr>
              <w:pStyle w:val="TAC"/>
              <w:rPr>
                <w:lang w:val="en-GB"/>
              </w:rPr>
            </w:pPr>
            <w:r>
              <w:rPr>
                <w:b/>
                <w:lang w:val="en-GB"/>
              </w:rPr>
              <w:t>50</w:t>
            </w:r>
          </w:p>
        </w:tc>
      </w:tr>
      <w:tr>
        <w:trPr>
          <w:trHeight w:val="259" w:hRule="atLeast"/>
        </w:trPr>
        <w:tc>
          <w:tcPr>
            <w:tcW w:w="1452" w:type="dxa"/>
            <w:tcBorders>
              <w:left w:val="single" w:sz="6" w:space="0" w:color="000000"/>
              <w:bottom w:val="single" w:sz="6" w:space="0" w:color="000000"/>
              <w:right w:val="single" w:sz="6" w:space="0" w:color="000000"/>
            </w:tcBorders>
          </w:tcPr>
          <w:p>
            <w:pPr>
              <w:pStyle w:val="TAL"/>
              <w:rPr>
                <w:lang w:val="en-GB"/>
              </w:rPr>
            </w:pPr>
            <w:r>
              <w:rPr>
                <w:lang w:val="en-GB"/>
              </w:rPr>
              <w:t>Dyn Range</w:t>
            </w:r>
          </w:p>
        </w:tc>
        <w:tc>
          <w:tcPr>
            <w:tcW w:w="631" w:type="dxa"/>
            <w:tcBorders>
              <w:bottom w:val="single" w:sz="6" w:space="0" w:color="000000"/>
              <w:right w:val="single" w:sz="6" w:space="0" w:color="000000"/>
            </w:tcBorders>
          </w:tcPr>
          <w:p>
            <w:pPr>
              <w:pStyle w:val="TAC"/>
              <w:rPr>
                <w:lang w:val="en-GB"/>
              </w:rPr>
            </w:pPr>
            <w:r>
              <w:rPr>
                <w:b/>
                <w:lang w:val="en-GB"/>
              </w:rPr>
              <w:t>67</w:t>
            </w:r>
          </w:p>
        </w:tc>
        <w:tc>
          <w:tcPr>
            <w:tcW w:w="631" w:type="dxa"/>
            <w:tcBorders>
              <w:bottom w:val="single" w:sz="6" w:space="0" w:color="000000"/>
              <w:right w:val="single" w:sz="6" w:space="0" w:color="000000"/>
            </w:tcBorders>
          </w:tcPr>
          <w:p>
            <w:pPr>
              <w:pStyle w:val="TAC"/>
              <w:rPr>
                <w:lang w:val="en-GB"/>
              </w:rPr>
            </w:pPr>
            <w:r>
              <w:rPr>
                <w:b/>
                <w:lang w:val="en-GB"/>
              </w:rPr>
              <w:t>72</w:t>
            </w:r>
          </w:p>
        </w:tc>
        <w:tc>
          <w:tcPr>
            <w:tcW w:w="60" w:type="dxa"/>
            <w:tcBorders/>
          </w:tcPr>
          <w:p>
            <w:pPr>
              <w:pStyle w:val="TAC"/>
              <w:snapToGrid w:val="false"/>
              <w:rPr>
                <w:lang w:val="en-GB"/>
              </w:rPr>
            </w:pPr>
            <w:r>
              <w:rPr>
                <w:lang w:val="en-GB"/>
              </w:rPr>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67</w:t>
            </w:r>
          </w:p>
        </w:tc>
        <w:tc>
          <w:tcPr>
            <w:tcW w:w="62" w:type="dxa"/>
            <w:gridSpan w:val="2"/>
            <w:tcBorders/>
          </w:tcPr>
          <w:p>
            <w:pPr>
              <w:pStyle w:val="TAC"/>
              <w:snapToGrid w:val="false"/>
              <w:rPr>
                <w:lang w:val="en-GB"/>
              </w:rPr>
            </w:pPr>
            <w:r>
              <w:rPr>
                <w:lang w:val="en-GB"/>
              </w:rPr>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72</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72</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72</w:t>
            </w:r>
          </w:p>
        </w:tc>
        <w:tc>
          <w:tcPr>
            <w:tcW w:w="567" w:type="dxa"/>
            <w:gridSpan w:val="2"/>
            <w:tcBorders>
              <w:left w:val="single" w:sz="6" w:space="0" w:color="000000"/>
              <w:bottom w:val="single" w:sz="6" w:space="0" w:color="000000"/>
              <w:right w:val="single" w:sz="6" w:space="0" w:color="000000"/>
            </w:tcBorders>
          </w:tcPr>
          <w:p>
            <w:pPr>
              <w:pStyle w:val="TAC"/>
              <w:rPr>
                <w:lang w:val="en-GB"/>
              </w:rPr>
            </w:pPr>
            <w:r>
              <w:rPr>
                <w:b/>
                <w:lang w:val="en-GB"/>
              </w:rPr>
              <w:t>72</w:t>
            </w:r>
          </w:p>
        </w:tc>
      </w:tr>
    </w:tbl>
    <w:p>
      <w:pPr>
        <w:pStyle w:val="NF"/>
        <w:rPr/>
      </w:pPr>
      <w:r>
        <w:rPr/>
      </w:r>
    </w:p>
    <w:p>
      <w:pPr>
        <w:pStyle w:val="NF"/>
        <w:rPr/>
      </w:pPr>
      <w:r>
        <w:rPr/>
        <w:t>NOTE 1:</w:t>
        <w:tab/>
        <w:t>See annex 1 for further information.</w:t>
      </w:r>
    </w:p>
    <w:p>
      <w:pPr>
        <w:pStyle w:val="NF"/>
        <w:rPr/>
      </w:pPr>
      <w:r>
        <w:rPr/>
        <w:t>NOTE 2:</w:t>
        <w:tab/>
        <w:t>Shaded boxes are changeable parameters.</w:t>
      </w:r>
    </w:p>
    <w:p>
      <w:pPr>
        <w:pStyle w:val="NF"/>
        <w:rPr/>
      </w:pPr>
      <w:r>
        <w:rPr/>
        <w:t>NOTE 3:</w:t>
        <w:tab/>
        <w:t>Max loss excludes any antenna gain / cable loss.</w:t>
      </w:r>
    </w:p>
    <w:p>
      <w:pPr>
        <w:pStyle w:val="NF"/>
        <w:rPr/>
      </w:pPr>
      <w:r>
        <w:rPr/>
        <w:t>NOTE 4:</w:t>
        <w:tab/>
        <w:t>Powers and sensitvities are specified at the antenna connector.</w:t>
      </w:r>
    </w:p>
    <w:p>
      <w:pPr>
        <w:pStyle w:val="NF"/>
        <w:rPr/>
      </w:pPr>
      <w:r>
        <w:rPr/>
        <w:t>NOTE 5:</w:t>
        <w:tab/>
        <w:t>Noise measured in 180 kHz.</w:t>
      </w:r>
    </w:p>
    <w:p>
      <w:pPr>
        <w:pStyle w:val="NF"/>
        <w:rPr/>
      </w:pPr>
      <w:r>
        <w:rPr/>
      </w:r>
    </w:p>
    <w:p>
      <w:pPr>
        <w:pStyle w:val="TF"/>
        <w:rPr/>
      </w:pPr>
      <w:r>
        <w:rPr/>
        <w:t>Figure 3: Microcell RF Parameters after Stages 1 to 4</w:t>
      </w:r>
      <w:r>
        <w:br w:type="page"/>
      </w:r>
    </w:p>
    <w:p>
      <w:pPr>
        <w:pStyle w:val="Normal"/>
        <w:rPr>
          <w:b/>
          <w:b/>
        </w:rPr>
      </w:pPr>
      <w:r>
        <w:rPr>
          <w:b/>
        </w:rPr>
        <w:t>Annex 1:</w:t>
        <w:br/>
        <w:t>Microcell RF Parameters Abbreviations</w:t>
      </w:r>
    </w:p>
    <w:p>
      <w:pPr>
        <w:pStyle w:val="B1"/>
        <w:rPr/>
      </w:pPr>
      <w:r>
        <w:rPr/>
        <w:t>P = Power (dBm)</w:t>
      </w:r>
    </w:p>
    <w:p>
      <w:pPr>
        <w:pStyle w:val="B1"/>
        <w:rPr/>
      </w:pPr>
      <w:r>
        <w:rPr/>
        <w:t>N = Noise floor in Rx bandwidth (dBm) (&gt;6 MHz)</w:t>
      </w:r>
    </w:p>
    <w:p>
      <w:pPr>
        <w:pStyle w:val="B1"/>
        <w:rPr/>
      </w:pPr>
      <w:r>
        <w:rPr/>
        <w:t>B = Blocking level (dBm) (&gt;3 MHz)</w:t>
      </w:r>
    </w:p>
    <w:p>
      <w:pPr>
        <w:pStyle w:val="B1"/>
        <w:rPr/>
      </w:pPr>
      <w:r>
        <w:rPr/>
        <w:t>S = Reference sensitivity (dBm)</w:t>
      </w:r>
    </w:p>
    <w:p>
      <w:pPr>
        <w:pStyle w:val="B1"/>
        <w:rPr/>
      </w:pPr>
      <w:r>
        <w:rPr/>
        <w:t>MIM = Multiple interferers margin from BTS (dB)</w:t>
      </w:r>
    </w:p>
    <w:p>
      <w:pPr>
        <w:pStyle w:val="B1"/>
        <w:rPr/>
      </w:pPr>
      <w:r>
        <w:rPr/>
        <w:t>MSM = MS margin (dB) amount by which MS can fail the scenarios, cf base station</w:t>
      </w:r>
    </w:p>
    <w:p>
      <w:pPr>
        <w:pStyle w:val="B1"/>
        <w:rPr/>
      </w:pPr>
      <w:r>
        <w:rPr/>
        <w:t>MCL = Minimum coupling loss (dB) between antenna connectors (proximity)</w:t>
      </w:r>
    </w:p>
    <w:p>
      <w:pPr>
        <w:pStyle w:val="B1"/>
        <w:rPr/>
      </w:pPr>
      <w:r>
        <w:rPr/>
        <w:t>Max. loss = Maximum coupling loss (dB) between antenna connectors (range excluding antennas and cables)</w:t>
      </w:r>
    </w:p>
    <w:p>
      <w:pPr>
        <w:pStyle w:val="B1"/>
        <w:rPr/>
      </w:pPr>
      <w:r>
        <w:rPr/>
        <w:t>C/I = Reference co-channel interference ratio, assumed to equal interference margin below sensitivity</w:t>
      </w:r>
    </w:p>
    <w:p>
      <w:pPr>
        <w:pStyle w:val="Normal"/>
        <w:rPr/>
      </w:pPr>
      <w:r>
        <w:rPr>
          <w:i/>
        </w:rPr>
        <w:t>Equations for Deriving Minimum uBTS specifications from those of the MS such that a given MCL is guaranteed</w:t>
      </w:r>
    </w:p>
    <w:p>
      <w:pPr>
        <w:pStyle w:val="B1"/>
        <w:tabs>
          <w:tab w:val="clear" w:pos="284"/>
          <w:tab w:val="left" w:pos="6237" w:leader="none"/>
        </w:tabs>
        <w:rPr/>
      </w:pPr>
      <w:r>
        <w:rPr>
          <w:lang w:val="pt-BR"/>
        </w:rPr>
        <w:t>P</w:t>
      </w:r>
      <w:r>
        <w:rPr>
          <w:position w:val="-6"/>
          <w:lang w:val="pt-BR"/>
        </w:rPr>
        <w:t xml:space="preserve">BTS  </w:t>
      </w:r>
      <w:r>
        <w:rPr>
          <w:lang w:val="pt-BR"/>
        </w:rPr>
        <w:t>= MCL + B</w:t>
      </w:r>
      <w:r>
        <w:rPr>
          <w:position w:val="-6"/>
          <w:lang w:val="pt-BR"/>
        </w:rPr>
        <w:t>MS</w:t>
      </w:r>
      <w:r>
        <w:rPr>
          <w:lang w:val="pt-BR"/>
        </w:rPr>
        <w:t xml:space="preserve"> - MIM + MSM</w:t>
        <w:tab/>
        <w:t>(1)</w:t>
      </w:r>
    </w:p>
    <w:p>
      <w:pPr>
        <w:pStyle w:val="B1"/>
        <w:tabs>
          <w:tab w:val="clear" w:pos="284"/>
          <w:tab w:val="left" w:pos="6237" w:leader="none"/>
        </w:tabs>
        <w:rPr/>
      </w:pPr>
      <w:r>
        <w:rPr>
          <w:lang w:val="sv-SE"/>
        </w:rPr>
        <w:t>N</w:t>
      </w:r>
      <w:r>
        <w:rPr>
          <w:position w:val="-6"/>
          <w:lang w:val="sv-SE"/>
        </w:rPr>
        <w:t>BTS</w:t>
      </w:r>
      <w:r>
        <w:rPr>
          <w:lang w:val="sv-SE"/>
        </w:rPr>
        <w:t xml:space="preserve"> = MCL + (S</w:t>
      </w:r>
      <w:r>
        <w:rPr>
          <w:position w:val="-6"/>
          <w:lang w:val="sv-SE"/>
        </w:rPr>
        <w:t>MS</w:t>
      </w:r>
      <w:r>
        <w:rPr>
          <w:lang w:val="sv-SE"/>
        </w:rPr>
        <w:t xml:space="preserve"> + MSM - C/I) - MIM</w:t>
        <w:tab/>
        <w:t>(2)</w:t>
      </w:r>
    </w:p>
    <w:p>
      <w:pPr>
        <w:pStyle w:val="B1"/>
        <w:tabs>
          <w:tab w:val="clear" w:pos="284"/>
          <w:tab w:val="left" w:pos="6237" w:leader="none"/>
        </w:tabs>
        <w:rPr/>
      </w:pPr>
      <w:r>
        <w:rPr>
          <w:lang w:val="sv-SE"/>
        </w:rPr>
        <w:t>B</w:t>
      </w:r>
      <w:r>
        <w:rPr>
          <w:position w:val="-6"/>
          <w:lang w:val="sv-SE"/>
        </w:rPr>
        <w:t>BTS</w:t>
      </w:r>
      <w:r>
        <w:rPr>
          <w:lang w:val="sv-SE"/>
        </w:rPr>
        <w:t xml:space="preserve"> = P</w:t>
      </w:r>
      <w:r>
        <w:rPr>
          <w:position w:val="-6"/>
          <w:lang w:val="sv-SE"/>
        </w:rPr>
        <w:t>MS</w:t>
      </w:r>
      <w:r>
        <w:rPr>
          <w:lang w:val="sv-SE"/>
        </w:rPr>
        <w:t xml:space="preserve"> - MCL</w:t>
        <w:tab/>
        <w:t>(3)</w:t>
      </w:r>
    </w:p>
    <w:p>
      <w:pPr>
        <w:pStyle w:val="B1"/>
        <w:tabs>
          <w:tab w:val="clear" w:pos="284"/>
          <w:tab w:val="left" w:pos="6237" w:leader="none"/>
        </w:tabs>
        <w:rPr/>
      </w:pPr>
      <w:r>
        <w:rPr>
          <w:lang w:val="sv-SE"/>
        </w:rPr>
        <w:t>S</w:t>
      </w:r>
      <w:r>
        <w:rPr>
          <w:position w:val="-6"/>
          <w:lang w:val="sv-SE"/>
        </w:rPr>
        <w:t>BTS</w:t>
      </w:r>
      <w:r>
        <w:rPr>
          <w:lang w:val="sv-SE"/>
        </w:rPr>
        <w:t xml:space="preserve"> = N</w:t>
      </w:r>
      <w:r>
        <w:rPr>
          <w:position w:val="-6"/>
          <w:lang w:val="sv-SE"/>
        </w:rPr>
        <w:t>MS</w:t>
      </w:r>
      <w:r>
        <w:rPr>
          <w:lang w:val="sv-SE"/>
        </w:rPr>
        <w:t>- MCL + C/I</w:t>
        <w:tab/>
        <w:t>(4)</w:t>
      </w:r>
    </w:p>
    <w:p>
      <w:pPr>
        <w:pStyle w:val="Normal"/>
        <w:rPr>
          <w:i/>
          <w:i/>
        </w:rPr>
      </w:pPr>
      <w:r>
        <w:rPr>
          <w:i/>
        </w:rPr>
        <w:t>uBTS Performance Equations</w:t>
      </w:r>
    </w:p>
    <w:p>
      <w:pPr>
        <w:pStyle w:val="B1"/>
        <w:tabs>
          <w:tab w:val="clear" w:pos="284"/>
          <w:tab w:val="left" w:pos="6237" w:leader="none"/>
        </w:tabs>
        <w:rPr/>
      </w:pPr>
      <w:r>
        <w:rPr/>
        <w:t>[Down link bias] = P</w:t>
      </w:r>
      <w:r>
        <w:rPr>
          <w:position w:val="-6"/>
        </w:rPr>
        <w:t>BTS</w:t>
      </w:r>
      <w:r>
        <w:rPr/>
        <w:t xml:space="preserve"> - S</w:t>
      </w:r>
      <w:r>
        <w:rPr>
          <w:position w:val="-6"/>
        </w:rPr>
        <w:t>MS</w:t>
      </w:r>
      <w:r>
        <w:rPr/>
        <w:t xml:space="preserve"> - (P</w:t>
      </w:r>
      <w:r>
        <w:rPr>
          <w:position w:val="-6"/>
        </w:rPr>
        <w:t>MS</w:t>
      </w:r>
      <w:r>
        <w:rPr/>
        <w:t xml:space="preserve"> - S</w:t>
      </w:r>
      <w:r>
        <w:rPr>
          <w:position w:val="-6"/>
        </w:rPr>
        <w:t>BTS</w:t>
      </w:r>
      <w:r>
        <w:rPr/>
        <w:t xml:space="preserve"> + [Diversity Gain])</w:t>
        <w:tab/>
        <w:t>(5)</w:t>
      </w:r>
    </w:p>
    <w:p>
      <w:pPr>
        <w:pStyle w:val="B1"/>
        <w:tabs>
          <w:tab w:val="clear" w:pos="284"/>
          <w:tab w:val="left" w:pos="6237" w:leader="none"/>
        </w:tabs>
        <w:rPr/>
      </w:pPr>
      <w:r>
        <w:rPr/>
        <w:t>[Max. loss] = min ( P</w:t>
      </w:r>
      <w:r>
        <w:rPr>
          <w:position w:val="-6"/>
        </w:rPr>
        <w:t>BTS</w:t>
      </w:r>
      <w:r>
        <w:rPr/>
        <w:t xml:space="preserve"> - S</w:t>
      </w:r>
      <w:r>
        <w:rPr>
          <w:position w:val="-6"/>
        </w:rPr>
        <w:t>MS</w:t>
      </w:r>
      <w:r>
        <w:rPr/>
        <w:t>, P</w:t>
      </w:r>
      <w:r>
        <w:rPr>
          <w:position w:val="-6"/>
        </w:rPr>
        <w:t>MS</w:t>
      </w:r>
      <w:r>
        <w:rPr/>
        <w:t xml:space="preserve"> - S</w:t>
      </w:r>
      <w:r>
        <w:rPr>
          <w:position w:val="-6"/>
        </w:rPr>
        <w:t>BTS</w:t>
      </w:r>
      <w:r>
        <w:rPr/>
        <w:t xml:space="preserve"> + [Diversity Gain])</w:t>
        <w:tab/>
        <w:t>(6)</w:t>
      </w:r>
    </w:p>
    <w:p>
      <w:pPr>
        <w:pStyle w:val="B1"/>
        <w:tabs>
          <w:tab w:val="clear" w:pos="284"/>
          <w:tab w:val="left" w:pos="6237" w:leader="none"/>
        </w:tabs>
        <w:rPr/>
      </w:pPr>
      <w:r>
        <w:rPr>
          <w:lang w:val="pt-BR"/>
        </w:rPr>
        <w:t>MCL = max ( P</w:t>
      </w:r>
      <w:r>
        <w:rPr>
          <w:position w:val="-6"/>
          <w:lang w:val="pt-BR"/>
        </w:rPr>
        <w:t>BTS</w:t>
      </w:r>
      <w:r>
        <w:rPr>
          <w:lang w:val="pt-BR"/>
        </w:rPr>
        <w:t xml:space="preserve"> + MIM - B</w:t>
      </w:r>
      <w:r>
        <w:rPr>
          <w:position w:val="-6"/>
          <w:lang w:val="pt-BR"/>
        </w:rPr>
        <w:t>MS</w:t>
      </w:r>
      <w:r>
        <w:rPr>
          <w:lang w:val="pt-BR"/>
        </w:rPr>
        <w:t xml:space="preserve"> - MSM, </w:t>
      </w:r>
    </w:p>
    <w:p>
      <w:pPr>
        <w:pStyle w:val="B2"/>
        <w:tabs>
          <w:tab w:val="clear" w:pos="284"/>
          <w:tab w:val="left" w:pos="6237" w:leader="none"/>
        </w:tabs>
        <w:rPr/>
      </w:pPr>
      <w:r>
        <w:rPr>
          <w:lang w:val="pt-BR"/>
        </w:rPr>
        <w:tab/>
        <w:t>N</w:t>
      </w:r>
      <w:r>
        <w:rPr>
          <w:position w:val="-6"/>
          <w:lang w:val="pt-BR"/>
        </w:rPr>
        <w:t>BTS</w:t>
      </w:r>
      <w:r>
        <w:rPr>
          <w:lang w:val="pt-BR"/>
        </w:rPr>
        <w:t xml:space="preserve"> + MIM - (S</w:t>
      </w:r>
      <w:r>
        <w:rPr>
          <w:position w:val="-6"/>
          <w:lang w:val="pt-BR"/>
        </w:rPr>
        <w:t>MS</w:t>
      </w:r>
      <w:r>
        <w:rPr>
          <w:lang w:val="pt-BR"/>
        </w:rPr>
        <w:t xml:space="preserve"> + MSM - C/I),</w:t>
      </w:r>
    </w:p>
    <w:p>
      <w:pPr>
        <w:pStyle w:val="B2"/>
        <w:tabs>
          <w:tab w:val="clear" w:pos="284"/>
          <w:tab w:val="left" w:pos="6237" w:leader="none"/>
        </w:tabs>
        <w:rPr>
          <w:lang w:val="pt-BR"/>
        </w:rPr>
      </w:pPr>
      <w:r>
        <w:rPr>
          <w:lang w:val="pt-BR"/>
        </w:rPr>
        <w:tab/>
        <w:t>P</w:t>
      </w:r>
      <w:r>
        <w:rPr>
          <w:position w:val="-6"/>
          <w:lang w:val="pt-BR"/>
        </w:rPr>
        <w:t>MS</w:t>
      </w:r>
      <w:r>
        <w:rPr>
          <w:lang w:val="pt-BR"/>
        </w:rPr>
        <w:t xml:space="preserve"> - B</w:t>
      </w:r>
      <w:r>
        <w:rPr>
          <w:position w:val="-6"/>
          <w:lang w:val="pt-BR"/>
        </w:rPr>
        <w:t xml:space="preserve">BTS </w:t>
      </w:r>
    </w:p>
    <w:p>
      <w:pPr>
        <w:pStyle w:val="B2"/>
        <w:tabs>
          <w:tab w:val="clear" w:pos="284"/>
          <w:tab w:val="left" w:pos="6237" w:leader="none"/>
        </w:tabs>
        <w:rPr/>
      </w:pPr>
      <w:r>
        <w:rPr>
          <w:lang w:val="pt-BR"/>
        </w:rPr>
        <w:tab/>
        <w:t>N</w:t>
      </w:r>
      <w:r>
        <w:rPr>
          <w:position w:val="-6"/>
          <w:lang w:val="pt-BR"/>
        </w:rPr>
        <w:t>MS</w:t>
      </w:r>
      <w:r>
        <w:rPr>
          <w:lang w:val="pt-BR"/>
        </w:rPr>
        <w:t xml:space="preserve"> - S</w:t>
      </w:r>
      <w:r>
        <w:rPr>
          <w:position w:val="-6"/>
          <w:lang w:val="pt-BR"/>
        </w:rPr>
        <w:t>BTS</w:t>
      </w:r>
      <w:r>
        <w:rPr>
          <w:lang w:val="pt-BR"/>
        </w:rPr>
        <w:t xml:space="preserve"> + C/I)</w:t>
        <w:tab/>
        <w:t>(7)</w:t>
      </w:r>
    </w:p>
    <w:p>
      <w:pPr>
        <w:pStyle w:val="B1"/>
        <w:tabs>
          <w:tab w:val="clear" w:pos="284"/>
          <w:tab w:val="left" w:pos="6237" w:leader="none"/>
        </w:tabs>
        <w:rPr/>
      </w:pPr>
      <w:r>
        <w:rPr/>
        <w:t>[Dyn. Range] = [Max. loss] - MCL</w:t>
        <w:tab/>
        <w:t>(8)</w:t>
      </w:r>
      <w:r>
        <w:br w:type="page"/>
      </w:r>
    </w:p>
    <w:p>
      <w:pPr>
        <w:pStyle w:val="Normal"/>
        <w:tabs>
          <w:tab w:val="clear" w:pos="284"/>
          <w:tab w:val="right" w:pos="9639" w:leader="none"/>
        </w:tabs>
        <w:rPr/>
      </w:pPr>
      <w:r>
        <w:rPr/>
        <w:t>ETSI/STC SMG2 Ad Hoc</w:t>
        <w:tab/>
        <w:t>T.doc 4/92</w:t>
      </w:r>
    </w:p>
    <w:p>
      <w:pPr>
        <w:pStyle w:val="Normal"/>
        <w:rPr/>
      </w:pPr>
      <w:r>
        <w:rPr/>
        <w:t>Bristol, 3-4 November 1992</w:t>
      </w:r>
    </w:p>
    <w:p>
      <w:pPr>
        <w:pStyle w:val="Normal"/>
        <w:rPr/>
      </w:pPr>
      <w:r>
        <w:rPr/>
        <w:t>Source: The Technology Partnership (UK)</w:t>
      </w:r>
    </w:p>
    <w:p>
      <w:pPr>
        <w:pStyle w:val="Normal"/>
        <w:rPr>
          <w:b/>
          <w:b/>
        </w:rPr>
      </w:pPr>
      <w:r>
        <w:rPr>
          <w:b/>
        </w:rPr>
        <w:t>Title: REVISED PROPOSALS FOR MICROCELL RF PARAMETERS</w:t>
      </w:r>
    </w:p>
    <w:p>
      <w:pPr>
        <w:pStyle w:val="Normal"/>
        <w:rPr/>
      </w:pPr>
      <w:r>
        <w:rPr/>
        <w:t>The present document is an update to SMG2 T.doc 144/92 presented in Strasbourg to include:</w:t>
      </w:r>
    </w:p>
    <w:p>
      <w:pPr>
        <w:pStyle w:val="B1"/>
        <w:rPr/>
      </w:pPr>
      <w:r>
        <w:rPr/>
        <w:t>1)</w:t>
        <w:tab/>
        <w:t>the new proposed GSM MS noise figures (note).</w:t>
      </w:r>
    </w:p>
    <w:p>
      <w:pPr>
        <w:pStyle w:val="B1"/>
        <w:rPr/>
      </w:pPr>
      <w:r>
        <w:rPr/>
        <w:t>2)</w:t>
        <w:tab/>
        <w:t>the method of interpreting GSM 05.05 subclause 4.2.1 agreed at the SMG2 ad hoc in Malmesbury (a 2 dB correction).</w:t>
      </w:r>
    </w:p>
    <w:p>
      <w:pPr>
        <w:pStyle w:val="Normal"/>
        <w:rPr/>
      </w:pPr>
      <w:r>
        <w:rPr/>
        <w:t>The table below shows the calculation of the noise floor.</w:t>
      </w:r>
    </w:p>
    <w:tbl>
      <w:tblPr>
        <w:tblW w:w="8203" w:type="dxa"/>
        <w:jc w:val="center"/>
        <w:tblInd w:w="0" w:type="dxa"/>
        <w:tblLayout w:type="fixed"/>
        <w:tblCellMar>
          <w:top w:w="0" w:type="dxa"/>
          <w:left w:w="28" w:type="dxa"/>
          <w:bottom w:w="0" w:type="dxa"/>
          <w:right w:w="28" w:type="dxa"/>
        </w:tblCellMar>
      </w:tblPr>
      <w:tblGrid>
        <w:gridCol w:w="1116"/>
        <w:gridCol w:w="1417"/>
        <w:gridCol w:w="1418"/>
        <w:gridCol w:w="1276"/>
        <w:gridCol w:w="1417"/>
        <w:gridCol w:w="1559"/>
      </w:tblGrid>
      <w:tr>
        <w:trPr/>
        <w:tc>
          <w:tcPr>
            <w:tcW w:w="1116"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141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 power</w:t>
            </w:r>
          </w:p>
        </w:tc>
        <w:tc>
          <w:tcPr>
            <w:tcW w:w="141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4.2.1 table</w:t>
            </w:r>
          </w:p>
          <w:p>
            <w:pPr>
              <w:pStyle w:val="TAH"/>
              <w:rPr>
                <w:lang w:eastAsia="en-US"/>
              </w:rPr>
            </w:pPr>
            <w:r>
              <w:rPr>
                <w:lang w:eastAsia="en-US"/>
              </w:rPr>
              <w:t>entry</w:t>
            </w:r>
          </w:p>
        </w:tc>
        <w:tc>
          <w:tcPr>
            <w:tcW w:w="127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at frequency</w:t>
            </w:r>
          </w:p>
          <w:p>
            <w:pPr>
              <w:pStyle w:val="TAH"/>
              <w:rPr>
                <w:lang w:eastAsia="en-US"/>
              </w:rPr>
            </w:pPr>
            <w:r>
              <w:rPr>
                <w:lang w:eastAsia="en-US"/>
              </w:rPr>
              <w:t>offset</w:t>
            </w:r>
          </w:p>
        </w:tc>
        <w:tc>
          <w:tcPr>
            <w:tcW w:w="141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level in</w:t>
            </w:r>
          </w:p>
          <w:p>
            <w:pPr>
              <w:pStyle w:val="TAH"/>
              <w:rPr>
                <w:lang w:eastAsia="en-US"/>
              </w:rPr>
            </w:pPr>
            <w:r>
              <w:rPr>
                <w:lang w:eastAsia="en-US"/>
              </w:rPr>
              <w:t>100 kHz</w:t>
            </w:r>
          </w:p>
        </w:tc>
        <w:tc>
          <w:tcPr>
            <w:tcW w:w="155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level in</w:t>
            </w:r>
          </w:p>
          <w:p>
            <w:pPr>
              <w:pStyle w:val="TAH"/>
              <w:rPr>
                <w:lang w:eastAsia="en-US"/>
              </w:rPr>
            </w:pPr>
            <w:r>
              <w:rPr>
                <w:lang w:eastAsia="en-US"/>
              </w:rPr>
              <w:t>180 kHz</w:t>
            </w:r>
          </w:p>
        </w:tc>
      </w:tr>
      <w:tr>
        <w:trPr/>
        <w:tc>
          <w:tcPr>
            <w:tcW w:w="1116" w:type="dxa"/>
            <w:tcBorders>
              <w:top w:val="single" w:sz="6" w:space="0" w:color="000000"/>
              <w:left w:val="single" w:sz="6" w:space="0" w:color="000000"/>
              <w:bottom w:val="single" w:sz="6" w:space="0" w:color="000000"/>
              <w:right w:val="single" w:sz="6" w:space="0" w:color="000000"/>
            </w:tcBorders>
          </w:tcPr>
          <w:p>
            <w:pPr>
              <w:pStyle w:val="TAL"/>
              <w:rPr>
                <w:b/>
                <w:b/>
                <w:lang w:val="en-GB"/>
              </w:rPr>
            </w:pPr>
            <w:r>
              <w:rPr>
                <w:b/>
                <w:lang w:val="en-GB"/>
              </w:rPr>
              <w:t>GSM</w:t>
            </w:r>
          </w:p>
        </w:tc>
        <w:tc>
          <w:tcPr>
            <w:tcW w:w="14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29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-71 dB</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1,8 MHz</w:t>
            </w:r>
          </w:p>
        </w:tc>
        <w:tc>
          <w:tcPr>
            <w:tcW w:w="14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-43 dBm</w:t>
            </w:r>
          </w:p>
        </w:tc>
      </w:tr>
      <w:tr>
        <w:trPr/>
        <w:tc>
          <w:tcPr>
            <w:tcW w:w="1116" w:type="dxa"/>
            <w:tcBorders>
              <w:top w:val="single" w:sz="6" w:space="0" w:color="000000"/>
              <w:left w:val="single" w:sz="6" w:space="0" w:color="000000"/>
              <w:bottom w:val="single" w:sz="6" w:space="0" w:color="000000"/>
              <w:right w:val="single" w:sz="6" w:space="0" w:color="000000"/>
            </w:tcBorders>
          </w:tcPr>
          <w:p>
            <w:pPr>
              <w:pStyle w:val="TAL"/>
              <w:rPr>
                <w:b/>
                <w:b/>
                <w:lang w:val="en-GB"/>
              </w:rPr>
            </w:pPr>
            <w:r>
              <w:rPr>
                <w:b/>
                <w:lang w:val="en-GB"/>
              </w:rPr>
              <w:t>DCS</w:t>
            </w:r>
          </w:p>
        </w:tc>
        <w:tc>
          <w:tcPr>
            <w:tcW w:w="14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-75 dB</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 MHz</w:t>
            </w:r>
          </w:p>
        </w:tc>
        <w:tc>
          <w:tcPr>
            <w:tcW w:w="14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-53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 dBm</w:t>
            </w:r>
          </w:p>
        </w:tc>
      </w:tr>
    </w:tbl>
    <w:p>
      <w:pPr>
        <w:pStyle w:val="Normal"/>
        <w:rPr/>
      </w:pPr>
      <w:r>
        <w:rPr/>
      </w:r>
    </w:p>
    <w:p>
      <w:pPr>
        <w:pStyle w:val="Normal"/>
        <w:rPr/>
      </w:pPr>
      <w:r>
        <w:rPr/>
        <w:t>The conversion factor of total MS power to that measured in 30 kHz on carrier is taken to be 8 dB rather than the 6 dB assumed for phase 1 DCS1800.</w:t>
      </w:r>
    </w:p>
    <w:p>
      <w:pPr>
        <w:pStyle w:val="Normal"/>
        <w:rPr/>
      </w:pPr>
      <w:r>
        <w:rPr/>
        <w:t>The revised proposals are shown in figure 1 and are otherwise calculated in the same manner as described in SMG2 T.doc 144/92.  Since the MS noise was the limiting factor in close proximity performance, the change leads to a significant improvement in the overall system especially for microcells.</w:t>
      </w:r>
    </w:p>
    <w:p>
      <w:pPr>
        <w:pStyle w:val="NO"/>
        <w:rPr/>
      </w:pPr>
      <w:r>
        <w:rPr/>
        <w:t>NOTE:</w:t>
        <w:tab/>
        <w:t>The figures proposed in Strasbourg were:</w:t>
      </w:r>
    </w:p>
    <w:tbl>
      <w:tblPr>
        <w:tblW w:w="8046" w:type="dxa"/>
        <w:jc w:val="center"/>
        <w:tblInd w:w="0" w:type="dxa"/>
        <w:tblLayout w:type="fixed"/>
        <w:tblCellMar>
          <w:top w:w="0" w:type="dxa"/>
          <w:left w:w="28" w:type="dxa"/>
          <w:bottom w:w="0" w:type="dxa"/>
          <w:right w:w="28" w:type="dxa"/>
        </w:tblCellMar>
      </w:tblPr>
      <w:tblGrid>
        <w:gridCol w:w="3652"/>
        <w:gridCol w:w="4394"/>
      </w:tblGrid>
      <w:tr>
        <w:trPr/>
        <w:tc>
          <w:tcPr>
            <w:tcW w:w="365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MS power</w:t>
            </w:r>
          </w:p>
        </w:tc>
        <w:tc>
          <w:tcPr>
            <w:tcW w:w="439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 xml:space="preserve">4.2.1 table entry </w:t>
            </w:r>
            <w:r>
              <w:rPr>
                <w:rFonts w:eastAsia="Symbol" w:cs="Symbol" w:ascii="Symbol" w:hAnsi="Symbol"/>
                <w:lang w:eastAsia="en-US"/>
              </w:rPr>
              <w:t></w:t>
            </w:r>
            <w:r>
              <w:rPr>
                <w:lang w:eastAsia="en-US"/>
              </w:rPr>
              <w:t xml:space="preserve"> 1,8 MHz</w:t>
            </w:r>
          </w:p>
        </w:tc>
      </w:tr>
      <w:tr>
        <w:trPr/>
        <w:tc>
          <w:tcPr>
            <w:tcW w:w="3652" w:type="dxa"/>
            <w:tcBorders>
              <w:top w:val="single" w:sz="6" w:space="0" w:color="000000"/>
              <w:left w:val="single" w:sz="6" w:space="0" w:color="000000"/>
              <w:bottom w:val="single" w:sz="6" w:space="0" w:color="000000"/>
              <w:right w:val="single" w:sz="6" w:space="0" w:color="000000"/>
            </w:tcBorders>
          </w:tcPr>
          <w:p>
            <w:pPr>
              <w:pStyle w:val="TAC"/>
              <w:rPr/>
            </w:pPr>
            <w:r>
              <w:rPr>
                <w:rFonts w:eastAsia="Symbol" w:cs="Symbol" w:ascii="Symbol" w:hAnsi="Symbol"/>
                <w:lang w:val="en-GB"/>
              </w:rPr>
              <w:t></w:t>
            </w:r>
            <w:r>
              <w:rPr>
                <w:rFonts w:eastAsia="Arial"/>
                <w:lang w:val="en-GB"/>
              </w:rPr>
              <w:t xml:space="preserve"> </w:t>
            </w:r>
            <w:r>
              <w:rPr>
                <w:lang w:val="en-GB"/>
              </w:rPr>
              <w:t>43 dBm</w:t>
            </w:r>
          </w:p>
        </w:tc>
        <w:tc>
          <w:tcPr>
            <w:tcW w:w="439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-81 dB</w:t>
            </w:r>
          </w:p>
        </w:tc>
      </w:tr>
      <w:tr>
        <w:trPr/>
        <w:tc>
          <w:tcPr>
            <w:tcW w:w="36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41 dBm</w:t>
            </w:r>
          </w:p>
          <w:p>
            <w:pPr>
              <w:pStyle w:val="TAC"/>
              <w:rPr>
                <w:lang w:val="en-GB"/>
              </w:rPr>
            </w:pPr>
            <w:r>
              <w:rPr>
                <w:lang w:val="en-GB"/>
              </w:rPr>
              <w:t>.</w:t>
            </w:r>
          </w:p>
          <w:p>
            <w:pPr>
              <w:pStyle w:val="TAC"/>
              <w:rPr>
                <w:lang w:val="en-GB"/>
              </w:rPr>
            </w:pPr>
            <w:r>
              <w:rPr>
                <w:lang w:val="en-GB"/>
              </w:rPr>
              <w:t>.</w:t>
            </w:r>
          </w:p>
          <w:p>
            <w:pPr>
              <w:pStyle w:val="TAC"/>
              <w:rPr>
                <w:lang w:val="en-GB"/>
              </w:rPr>
            </w:pPr>
            <w:r>
              <w:rPr>
                <w:lang w:val="en-GB"/>
              </w:rPr>
              <w:t>.</w:t>
            </w:r>
          </w:p>
          <w:p>
            <w:pPr>
              <w:pStyle w:val="TAC"/>
              <w:rPr/>
            </w:pPr>
            <w:r>
              <w:rPr>
                <w:rFonts w:eastAsia="Symbol" w:cs="Symbol" w:ascii="Symbol" w:hAnsi="Symbol"/>
                <w:lang w:val="en-GB"/>
              </w:rPr>
              <w:t></w:t>
            </w:r>
            <w:r>
              <w:rPr>
                <w:rFonts w:eastAsia="Arial"/>
                <w:lang w:val="en-GB"/>
              </w:rPr>
              <w:t xml:space="preserve"> </w:t>
            </w:r>
            <w:r>
              <w:rPr>
                <w:lang w:val="en-GB"/>
              </w:rPr>
              <w:t>33 dBm</w:t>
            </w:r>
          </w:p>
        </w:tc>
        <w:tc>
          <w:tcPr>
            <w:tcW w:w="439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-79 dB</w:t>
            </w:r>
          </w:p>
          <w:p>
            <w:pPr>
              <w:pStyle w:val="TAC"/>
              <w:rPr>
                <w:lang w:val="en-GB"/>
              </w:rPr>
            </w:pPr>
            <w:r>
              <w:rPr>
                <w:lang w:val="en-GB"/>
              </w:rPr>
              <w:t>.</w:t>
            </w:r>
          </w:p>
          <w:p>
            <w:pPr>
              <w:pStyle w:val="TAC"/>
              <w:rPr>
                <w:lang w:val="en-GB"/>
              </w:rPr>
            </w:pPr>
            <w:r>
              <w:rPr>
                <w:lang w:val="en-GB"/>
              </w:rPr>
              <w:t>.</w:t>
            </w:r>
          </w:p>
          <w:p>
            <w:pPr>
              <w:pStyle w:val="TAC"/>
              <w:rPr>
                <w:lang w:val="en-GB"/>
              </w:rPr>
            </w:pPr>
            <w:r>
              <w:rPr>
                <w:lang w:val="en-GB"/>
              </w:rPr>
              <w:t>.</w:t>
            </w:r>
          </w:p>
          <w:p>
            <w:pPr>
              <w:pStyle w:val="TAC"/>
              <w:rPr>
                <w:lang w:val="en-GB"/>
              </w:rPr>
            </w:pPr>
            <w:r>
              <w:rPr>
                <w:lang w:val="en-GB"/>
              </w:rPr>
              <w:t>-71 dB</w:t>
            </w:r>
          </w:p>
        </w:tc>
      </w:tr>
    </w:tbl>
    <w:p>
      <w:pPr>
        <w:pStyle w:val="Normal"/>
        <w:rPr/>
      </w:pPr>
      <w:r>
        <w:rPr/>
      </w:r>
    </w:p>
    <w:tbl>
      <w:tblPr>
        <w:tblW w:w="8109" w:type="dxa"/>
        <w:jc w:val="center"/>
        <w:tblInd w:w="0" w:type="dxa"/>
        <w:tblLayout w:type="fixed"/>
        <w:tblCellMar>
          <w:top w:w="0" w:type="dxa"/>
          <w:left w:w="0" w:type="dxa"/>
          <w:bottom w:w="0" w:type="dxa"/>
          <w:right w:w="0" w:type="dxa"/>
        </w:tblCellMar>
      </w:tblPr>
      <w:tblGrid>
        <w:gridCol w:w="1627"/>
        <w:gridCol w:w="631"/>
        <w:gridCol w:w="631"/>
        <w:gridCol w:w="60"/>
        <w:gridCol w:w="567"/>
        <w:gridCol w:w="567"/>
        <w:gridCol w:w="567"/>
        <w:gridCol w:w="567"/>
        <w:gridCol w:w="567"/>
        <w:gridCol w:w="57"/>
        <w:gridCol w:w="567"/>
        <w:gridCol w:w="567"/>
        <w:gridCol w:w="567"/>
        <w:gridCol w:w="567"/>
      </w:tblGrid>
      <w:tr>
        <w:trPr>
          <w:trHeight w:val="259" w:hRule="atLeast"/>
        </w:trPr>
        <w:tc>
          <w:tcPr>
            <w:tcW w:w="1627" w:type="dxa"/>
            <w:tcBorders/>
          </w:tcPr>
          <w:p>
            <w:pPr>
              <w:pStyle w:val="TAH"/>
              <w:snapToGrid w:val="false"/>
              <w:rPr>
                <w:lang w:eastAsia="en-US"/>
              </w:rPr>
            </w:pPr>
            <w:r>
              <w:rPr>
                <w:lang w:eastAsia="en-US"/>
              </w:rPr>
            </w:r>
          </w:p>
        </w:tc>
        <w:tc>
          <w:tcPr>
            <w:tcW w:w="1262" w:type="dxa"/>
            <w:gridSpan w:val="2"/>
            <w:tcBorders/>
          </w:tcPr>
          <w:p>
            <w:pPr>
              <w:pStyle w:val="TAH"/>
              <w:rPr>
                <w:lang w:eastAsia="en-US"/>
              </w:rPr>
            </w:pPr>
            <w:r>
              <w:rPr>
                <w:sz w:val="16"/>
                <w:lang w:eastAsia="en-US"/>
              </w:rPr>
              <w:t>Baseline</w:t>
            </w:r>
          </w:p>
        </w:tc>
        <w:tc>
          <w:tcPr>
            <w:tcW w:w="60" w:type="dxa"/>
            <w:tcBorders/>
          </w:tcPr>
          <w:p>
            <w:pPr>
              <w:pStyle w:val="TAH"/>
              <w:snapToGrid w:val="false"/>
              <w:rPr>
                <w:lang w:eastAsia="en-US"/>
              </w:rPr>
            </w:pPr>
            <w:r>
              <w:rPr>
                <w:lang w:eastAsia="en-US"/>
              </w:rPr>
            </w:r>
          </w:p>
        </w:tc>
        <w:tc>
          <w:tcPr>
            <w:tcW w:w="567" w:type="dxa"/>
            <w:tcBorders/>
          </w:tcPr>
          <w:p>
            <w:pPr>
              <w:pStyle w:val="TAH"/>
              <w:rPr>
                <w:lang w:eastAsia="en-US"/>
              </w:rPr>
            </w:pPr>
            <w:r>
              <w:rPr>
                <w:sz w:val="16"/>
                <w:lang w:eastAsia="en-US"/>
              </w:rPr>
              <w:t>Normal</w:t>
            </w:r>
          </w:p>
        </w:tc>
        <w:tc>
          <w:tcPr>
            <w:tcW w:w="567" w:type="dxa"/>
            <w:tcBorders/>
          </w:tcPr>
          <w:p>
            <w:pPr>
              <w:pStyle w:val="TAH"/>
              <w:rPr>
                <w:lang w:eastAsia="en-US"/>
              </w:rPr>
            </w:pPr>
            <w:r>
              <w:rPr>
                <w:sz w:val="16"/>
                <w:lang w:eastAsia="en-US"/>
              </w:rPr>
              <w:t>Class 1</w:t>
            </w:r>
          </w:p>
        </w:tc>
        <w:tc>
          <w:tcPr>
            <w:tcW w:w="567" w:type="dxa"/>
            <w:tcBorders/>
          </w:tcPr>
          <w:p>
            <w:pPr>
              <w:pStyle w:val="TAH"/>
              <w:rPr>
                <w:lang w:eastAsia="en-US"/>
              </w:rPr>
            </w:pPr>
            <w:r>
              <w:rPr>
                <w:sz w:val="16"/>
                <w:lang w:eastAsia="en-US"/>
              </w:rPr>
              <w:t>Class 2</w:t>
            </w:r>
          </w:p>
        </w:tc>
        <w:tc>
          <w:tcPr>
            <w:tcW w:w="567" w:type="dxa"/>
            <w:tcBorders/>
          </w:tcPr>
          <w:p>
            <w:pPr>
              <w:pStyle w:val="TAH"/>
              <w:rPr>
                <w:lang w:eastAsia="en-US"/>
              </w:rPr>
            </w:pPr>
            <w:r>
              <w:rPr>
                <w:sz w:val="16"/>
                <w:lang w:eastAsia="en-US"/>
              </w:rPr>
              <w:t>Class 3</w:t>
            </w:r>
          </w:p>
        </w:tc>
        <w:tc>
          <w:tcPr>
            <w:tcW w:w="567" w:type="dxa"/>
            <w:tcBorders/>
          </w:tcPr>
          <w:p>
            <w:pPr>
              <w:pStyle w:val="TAH"/>
              <w:rPr>
                <w:lang w:eastAsia="en-US"/>
              </w:rPr>
            </w:pPr>
            <w:r>
              <w:rPr>
                <w:sz w:val="16"/>
                <w:lang w:eastAsia="en-US"/>
              </w:rPr>
              <w:t>Class 4</w:t>
            </w:r>
          </w:p>
        </w:tc>
        <w:tc>
          <w:tcPr>
            <w:tcW w:w="57" w:type="dxa"/>
            <w:tcBorders/>
          </w:tcPr>
          <w:p>
            <w:pPr>
              <w:pStyle w:val="TAH"/>
              <w:snapToGrid w:val="false"/>
              <w:rPr>
                <w:lang w:eastAsia="en-US"/>
              </w:rPr>
            </w:pPr>
            <w:r>
              <w:rPr>
                <w:lang w:eastAsia="en-US"/>
              </w:rPr>
            </w:r>
          </w:p>
        </w:tc>
        <w:tc>
          <w:tcPr>
            <w:tcW w:w="567" w:type="dxa"/>
            <w:tcBorders/>
          </w:tcPr>
          <w:p>
            <w:pPr>
              <w:pStyle w:val="TAH"/>
              <w:rPr>
                <w:lang w:eastAsia="en-US"/>
              </w:rPr>
            </w:pPr>
            <w:r>
              <w:rPr>
                <w:sz w:val="16"/>
                <w:lang w:eastAsia="en-US"/>
              </w:rPr>
              <w:t>Normal</w:t>
            </w:r>
          </w:p>
        </w:tc>
        <w:tc>
          <w:tcPr>
            <w:tcW w:w="567" w:type="dxa"/>
            <w:tcBorders/>
          </w:tcPr>
          <w:p>
            <w:pPr>
              <w:pStyle w:val="TAH"/>
              <w:rPr>
                <w:lang w:eastAsia="en-US"/>
              </w:rPr>
            </w:pPr>
            <w:r>
              <w:rPr>
                <w:sz w:val="16"/>
                <w:lang w:eastAsia="en-US"/>
              </w:rPr>
              <w:t>Class 1</w:t>
            </w:r>
          </w:p>
        </w:tc>
        <w:tc>
          <w:tcPr>
            <w:tcW w:w="567" w:type="dxa"/>
            <w:tcBorders/>
          </w:tcPr>
          <w:p>
            <w:pPr>
              <w:pStyle w:val="TAH"/>
              <w:rPr>
                <w:lang w:eastAsia="en-US"/>
              </w:rPr>
            </w:pPr>
            <w:r>
              <w:rPr>
                <w:sz w:val="16"/>
                <w:lang w:eastAsia="en-US"/>
              </w:rPr>
              <w:t>Class 2</w:t>
            </w:r>
          </w:p>
        </w:tc>
        <w:tc>
          <w:tcPr>
            <w:tcW w:w="567" w:type="dxa"/>
            <w:tcBorders/>
          </w:tcPr>
          <w:p>
            <w:pPr>
              <w:pStyle w:val="TAH"/>
              <w:rPr>
                <w:lang w:eastAsia="en-US"/>
              </w:rPr>
            </w:pPr>
            <w:r>
              <w:rPr>
                <w:sz w:val="16"/>
                <w:lang w:eastAsia="en-US"/>
              </w:rPr>
              <w:t>Class 3</w:t>
            </w:r>
          </w:p>
        </w:tc>
      </w:tr>
      <w:tr>
        <w:trPr>
          <w:trHeight w:val="259" w:hRule="atLeast"/>
        </w:trPr>
        <w:tc>
          <w:tcPr>
            <w:tcW w:w="1627"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6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6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DCS</w:t>
            </w:r>
          </w:p>
        </w:tc>
        <w:tc>
          <w:tcPr>
            <w:tcW w:w="60" w:type="dxa"/>
            <w:tcBorders/>
          </w:tcPr>
          <w:p>
            <w:pPr>
              <w:pStyle w:val="TAH"/>
              <w:snapToGrid w:val="false"/>
              <w:rPr>
                <w:lang w:eastAsia="en-US"/>
              </w:rPr>
            </w:pPr>
            <w:r>
              <w:rPr>
                <w:lang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GSM</w:t>
            </w:r>
          </w:p>
        </w:tc>
        <w:tc>
          <w:tcPr>
            <w:tcW w:w="57" w:type="dxa"/>
            <w:tcBorders/>
          </w:tcPr>
          <w:p>
            <w:pPr>
              <w:pStyle w:val="TAH"/>
              <w:snapToGrid w:val="false"/>
              <w:rPr>
                <w:lang w:eastAsia="en-US"/>
              </w:rPr>
            </w:pPr>
            <w:r>
              <w:rPr>
                <w:lang w:eastAsia="en-US"/>
              </w:rPr>
            </w:r>
          </w:p>
        </w:tc>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color w:val="000000"/>
                <w:lang w:eastAsia="en-US"/>
              </w:rPr>
              <w:t>DCS</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color w:val="000000"/>
                <w:lang w:val="fr-FR" w:eastAsia="en-US"/>
              </w:rPr>
              <w:t>DCS</w:t>
            </w:r>
          </w:p>
        </w:tc>
      </w:tr>
      <w:tr>
        <w:trPr>
          <w:trHeight w:val="259" w:hRule="atLeast"/>
        </w:trPr>
        <w:tc>
          <w:tcPr>
            <w:tcW w:w="1627" w:type="dxa"/>
            <w:tcBorders>
              <w:top w:val="single" w:sz="6" w:space="0" w:color="000000"/>
              <w:left w:val="single" w:sz="6" w:space="0" w:color="000000"/>
              <w:right w:val="single" w:sz="6" w:space="0" w:color="000000"/>
            </w:tcBorders>
          </w:tcPr>
          <w:p>
            <w:pPr>
              <w:pStyle w:val="TAL"/>
              <w:rPr>
                <w:lang w:val="en-GB"/>
              </w:rPr>
            </w:pPr>
            <w:r>
              <w:rPr>
                <w:lang w:val="en-GB"/>
              </w:rPr>
              <w:t xml:space="preserve">C/ I </w:t>
            </w:r>
          </w:p>
        </w:tc>
        <w:tc>
          <w:tcPr>
            <w:tcW w:w="631" w:type="dxa"/>
            <w:tcBorders>
              <w:top w:val="single" w:sz="6" w:space="0" w:color="000000"/>
              <w:right w:val="single" w:sz="6" w:space="0" w:color="000000"/>
            </w:tcBorders>
          </w:tcPr>
          <w:p>
            <w:pPr>
              <w:pStyle w:val="TAC"/>
              <w:rPr>
                <w:lang w:val="en-GB"/>
              </w:rPr>
            </w:pPr>
            <w:r>
              <w:rPr>
                <w:lang w:val="en-GB"/>
              </w:rPr>
              <w:t>9</w:t>
            </w:r>
          </w:p>
        </w:tc>
        <w:tc>
          <w:tcPr>
            <w:tcW w:w="631" w:type="dxa"/>
            <w:tcBorders>
              <w:top w:val="single" w:sz="6" w:space="0" w:color="000000"/>
              <w:right w:val="single" w:sz="6" w:space="0" w:color="000000"/>
            </w:tcBorders>
          </w:tcPr>
          <w:p>
            <w:pPr>
              <w:pStyle w:val="TAC"/>
              <w:rPr>
                <w:lang w:val="en-GB"/>
              </w:rPr>
            </w:pPr>
            <w:r>
              <w:rPr>
                <w:lang w:val="en-GB"/>
              </w:rPr>
              <w:t>9</w:t>
            </w:r>
          </w:p>
        </w:tc>
        <w:tc>
          <w:tcPr>
            <w:tcW w:w="60" w:type="dxa"/>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7" w:type="dxa"/>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right w:val="single" w:sz="6" w:space="0" w:color="000000"/>
            </w:tcBorders>
          </w:tcPr>
          <w:p>
            <w:pPr>
              <w:pStyle w:val="TAC"/>
              <w:rPr>
                <w:lang w:val="en-GB"/>
              </w:rPr>
            </w:pPr>
            <w:r>
              <w:rPr>
                <w:lang w:val="en-GB"/>
              </w:rPr>
              <w:t>9</w:t>
            </w:r>
          </w:p>
        </w:tc>
      </w:tr>
      <w:tr>
        <w:trPr>
          <w:trHeight w:val="259" w:hRule="atLeast"/>
        </w:trPr>
        <w:tc>
          <w:tcPr>
            <w:tcW w:w="1627" w:type="dxa"/>
            <w:tcBorders>
              <w:left w:val="single" w:sz="6" w:space="0" w:color="000000"/>
              <w:right w:val="single" w:sz="6" w:space="0" w:color="000000"/>
            </w:tcBorders>
          </w:tcPr>
          <w:p>
            <w:pPr>
              <w:pStyle w:val="TAL"/>
              <w:rPr>
                <w:lang w:val="en-GB"/>
              </w:rPr>
            </w:pPr>
            <w:r>
              <w:rPr>
                <w:lang w:val="en-GB"/>
              </w:rPr>
              <w:t>BTS MIM</w:t>
            </w:r>
          </w:p>
        </w:tc>
        <w:tc>
          <w:tcPr>
            <w:tcW w:w="631" w:type="dxa"/>
            <w:tcBorders>
              <w:right w:val="single" w:sz="6" w:space="0" w:color="000000"/>
            </w:tcBorders>
            <w:shd w:fill="DFDFDF" w:val="clear"/>
          </w:tcPr>
          <w:p>
            <w:pPr>
              <w:pStyle w:val="TAC"/>
              <w:rPr>
                <w:lang w:val="en-GB"/>
              </w:rPr>
            </w:pPr>
            <w:r>
              <w:rPr>
                <w:lang w:val="en-GB"/>
              </w:rPr>
              <w:t>10</w:t>
            </w:r>
          </w:p>
        </w:tc>
        <w:tc>
          <w:tcPr>
            <w:tcW w:w="631" w:type="dxa"/>
            <w:tcBorders>
              <w:right w:val="single" w:sz="6" w:space="0" w:color="000000"/>
            </w:tcBorders>
            <w:shd w:fill="DFDFDF" w:val="clear"/>
          </w:tcPr>
          <w:p>
            <w:pPr>
              <w:pStyle w:val="TAC"/>
              <w:rPr>
                <w:lang w:val="en-GB"/>
              </w:rPr>
            </w:pPr>
            <w:r>
              <w:rPr>
                <w:lang w:val="en-GB"/>
              </w:rPr>
              <w:t>10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7"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r>
      <w:tr>
        <w:trPr>
          <w:trHeight w:val="259" w:hRule="atLeast"/>
        </w:trPr>
        <w:tc>
          <w:tcPr>
            <w:tcW w:w="1627" w:type="dxa"/>
            <w:tcBorders>
              <w:left w:val="single" w:sz="6" w:space="0" w:color="000000"/>
              <w:right w:val="single" w:sz="6" w:space="0" w:color="000000"/>
            </w:tcBorders>
          </w:tcPr>
          <w:p>
            <w:pPr>
              <w:pStyle w:val="TAL"/>
              <w:rPr>
                <w:lang w:val="en-GB"/>
              </w:rPr>
            </w:pPr>
            <w:r>
              <w:rPr>
                <w:lang w:val="en-GB"/>
              </w:rPr>
              <w:t>MS Margin</w:t>
            </w:r>
          </w:p>
        </w:tc>
        <w:tc>
          <w:tcPr>
            <w:tcW w:w="631" w:type="dxa"/>
            <w:tcBorders>
              <w:right w:val="single" w:sz="6" w:space="0" w:color="000000"/>
            </w:tcBorders>
            <w:shd w:fill="DFDFDF" w:val="clear"/>
          </w:tcPr>
          <w:p>
            <w:pPr>
              <w:pStyle w:val="TAC"/>
              <w:rPr>
                <w:lang w:val="en-GB"/>
              </w:rPr>
            </w:pPr>
            <w:r>
              <w:rPr>
                <w:lang w:val="en-GB"/>
              </w:rPr>
              <w:t>10</w:t>
            </w:r>
          </w:p>
        </w:tc>
        <w:tc>
          <w:tcPr>
            <w:tcW w:w="631" w:type="dxa"/>
            <w:tcBorders>
              <w:right w:val="single" w:sz="6" w:space="0" w:color="000000"/>
            </w:tcBorders>
            <w:shd w:fill="DFDFDF" w:val="clear"/>
          </w:tcPr>
          <w:p>
            <w:pPr>
              <w:pStyle w:val="TAC"/>
              <w:rPr>
                <w:lang w:val="en-GB"/>
              </w:rPr>
            </w:pPr>
            <w:r>
              <w:rPr>
                <w:lang w:val="en-GB"/>
              </w:rPr>
              <w:t>10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7"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c>
          <w:tcPr>
            <w:tcW w:w="567" w:type="dxa"/>
            <w:tcBorders>
              <w:right w:val="single" w:sz="6" w:space="0" w:color="000000"/>
            </w:tcBorders>
            <w:shd w:fill="DFDFDF" w:val="clear"/>
          </w:tcPr>
          <w:p>
            <w:pPr>
              <w:pStyle w:val="TAC"/>
              <w:rPr>
                <w:lang w:val="en-GB"/>
              </w:rPr>
            </w:pPr>
            <w:r>
              <w:rPr>
                <w:lang w:val="en-GB"/>
              </w:rPr>
              <w:t>10</w:t>
            </w:r>
          </w:p>
        </w:tc>
      </w:tr>
      <w:tr>
        <w:trPr>
          <w:trHeight w:val="259" w:hRule="atLeast"/>
        </w:trPr>
        <w:tc>
          <w:tcPr>
            <w:tcW w:w="1627" w:type="dxa"/>
            <w:tcBorders>
              <w:left w:val="single" w:sz="6" w:space="0" w:color="000000"/>
              <w:bottom w:val="single" w:sz="6" w:space="0" w:color="000000"/>
              <w:right w:val="single" w:sz="6" w:space="0" w:color="000000"/>
            </w:tcBorders>
          </w:tcPr>
          <w:p>
            <w:pPr>
              <w:pStyle w:val="TAL"/>
              <w:rPr>
                <w:lang w:val="en-GB"/>
              </w:rPr>
            </w:pPr>
            <w:r>
              <w:rPr>
                <w:lang w:val="en-GB"/>
              </w:rPr>
              <w:t>BTS Div. Gain</w:t>
            </w:r>
          </w:p>
        </w:tc>
        <w:tc>
          <w:tcPr>
            <w:tcW w:w="631" w:type="dxa"/>
            <w:tcBorders>
              <w:bottom w:val="single" w:sz="6" w:space="0" w:color="000000"/>
              <w:right w:val="single" w:sz="6" w:space="0" w:color="000000"/>
            </w:tcBorders>
            <w:shd w:fill="DFDFDF" w:val="clear"/>
          </w:tcPr>
          <w:p>
            <w:pPr>
              <w:pStyle w:val="TAC"/>
              <w:rPr>
                <w:lang w:val="en-GB"/>
              </w:rPr>
            </w:pPr>
            <w:r>
              <w:rPr>
                <w:lang w:val="en-GB"/>
              </w:rPr>
              <w:t>3</w:t>
            </w:r>
          </w:p>
        </w:tc>
        <w:tc>
          <w:tcPr>
            <w:tcW w:w="631" w:type="dxa"/>
            <w:tcBorders>
              <w:bottom w:val="single" w:sz="6" w:space="0" w:color="000000"/>
              <w:right w:val="single" w:sz="6" w:space="0" w:color="000000"/>
            </w:tcBorders>
            <w:shd w:fill="DFDFDF" w:val="clear"/>
          </w:tcPr>
          <w:p>
            <w:pPr>
              <w:pStyle w:val="TAC"/>
              <w:rPr>
                <w:lang w:val="en-GB"/>
              </w:rPr>
            </w:pPr>
            <w:r>
              <w:rPr>
                <w:lang w:val="en-GB"/>
              </w:rPr>
              <w:t>3</w:t>
            </w:r>
          </w:p>
        </w:tc>
        <w:tc>
          <w:tcPr>
            <w:tcW w:w="60" w:type="dxa"/>
            <w:tcBorders>
              <w:bottom w:val="single" w:sz="6" w:space="0" w:color="000000"/>
              <w:right w:val="single" w:sz="6" w:space="0" w:color="000000"/>
            </w:tcBorders>
            <w:shd w:fill="DFDFDF" w:val="clear"/>
          </w:tcPr>
          <w:p>
            <w:pPr>
              <w:pStyle w:val="TAC"/>
              <w:snapToGrid w:val="false"/>
              <w:rPr>
                <w:lang w:val="en-GB"/>
              </w:rPr>
            </w:pPr>
            <w:r>
              <w:rPr>
                <w:lang w:val="en-GB"/>
              </w:rPr>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7" w:type="dxa"/>
            <w:tcBorders>
              <w:bottom w:val="single" w:sz="6" w:space="0" w:color="000000"/>
              <w:right w:val="single" w:sz="6" w:space="0" w:color="000000"/>
            </w:tcBorders>
            <w:shd w:fill="DFDFDF" w:val="clear"/>
          </w:tcPr>
          <w:p>
            <w:pPr>
              <w:pStyle w:val="TAC"/>
              <w:snapToGrid w:val="false"/>
              <w:rPr>
                <w:lang w:val="en-GB"/>
              </w:rPr>
            </w:pPr>
            <w:r>
              <w:rPr>
                <w:lang w:val="en-GB"/>
              </w:rPr>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c>
          <w:tcPr>
            <w:tcW w:w="567" w:type="dxa"/>
            <w:tcBorders>
              <w:bottom w:val="single" w:sz="6" w:space="0" w:color="000000"/>
              <w:right w:val="single" w:sz="6" w:space="0" w:color="000000"/>
            </w:tcBorders>
            <w:shd w:fill="DFDFDF" w:val="clear"/>
          </w:tcPr>
          <w:p>
            <w:pPr>
              <w:pStyle w:val="TAC"/>
              <w:rPr>
                <w:lang w:val="en-GB"/>
              </w:rPr>
            </w:pPr>
            <w:r>
              <w:rPr>
                <w:lang w:val="en-GB"/>
              </w:rPr>
              <w:t>3</w:t>
            </w:r>
          </w:p>
        </w:tc>
      </w:tr>
      <w:tr>
        <w:trPr>
          <w:trHeight w:val="259" w:hRule="atLeast"/>
        </w:trPr>
        <w:tc>
          <w:tcPr>
            <w:tcW w:w="1627" w:type="dxa"/>
            <w:tcBorders>
              <w:left w:val="single" w:sz="6" w:space="0" w:color="000000"/>
            </w:tcBorders>
          </w:tcPr>
          <w:p>
            <w:pPr>
              <w:pStyle w:val="TAL"/>
              <w:rPr>
                <w:lang w:val="en-GB"/>
              </w:rPr>
            </w:pPr>
            <w:r>
              <w:rPr>
                <w:lang w:val="en-GB"/>
              </w:rPr>
              <w:t>MS Power</w:t>
            </w:r>
          </w:p>
        </w:tc>
        <w:tc>
          <w:tcPr>
            <w:tcW w:w="631" w:type="dxa"/>
            <w:tcBorders>
              <w:left w:val="single" w:sz="6" w:space="0" w:color="000000"/>
              <w:right w:val="single" w:sz="6" w:space="0" w:color="000000"/>
            </w:tcBorders>
          </w:tcPr>
          <w:p>
            <w:pPr>
              <w:pStyle w:val="TAC"/>
              <w:rPr>
                <w:lang w:val="en-GB"/>
              </w:rPr>
            </w:pPr>
            <w:r>
              <w:rPr>
                <w:lang w:val="en-GB"/>
              </w:rPr>
              <w:t>29</w:t>
            </w:r>
          </w:p>
        </w:tc>
        <w:tc>
          <w:tcPr>
            <w:tcW w:w="631" w:type="dxa"/>
            <w:tcBorders>
              <w:right w:val="single" w:sz="6" w:space="0" w:color="000000"/>
            </w:tcBorders>
          </w:tcPr>
          <w:p>
            <w:pPr>
              <w:pStyle w:val="TAC"/>
              <w:rPr>
                <w:lang w:val="en-GB"/>
              </w:rPr>
            </w:pPr>
            <w:r>
              <w:rPr>
                <w:lang w:val="en-GB"/>
              </w:rPr>
              <w:t>30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tcBorders>
              <w:left w:val="single" w:sz="6" w:space="0" w:color="000000"/>
              <w:right w:val="single" w:sz="6" w:space="0" w:color="000000"/>
            </w:tcBorders>
          </w:tcPr>
          <w:p>
            <w:pPr>
              <w:pStyle w:val="TAC"/>
              <w:rPr>
                <w:lang w:val="en-GB"/>
              </w:rPr>
            </w:pPr>
            <w:r>
              <w:rPr>
                <w:lang w:val="en-GB"/>
              </w:rPr>
              <w:t>29</w:t>
            </w:r>
          </w:p>
        </w:tc>
        <w:tc>
          <w:tcPr>
            <w:tcW w:w="567" w:type="dxa"/>
            <w:tcBorders>
              <w:left w:val="single" w:sz="6" w:space="0" w:color="000000"/>
              <w:right w:val="single" w:sz="6" w:space="0" w:color="000000"/>
            </w:tcBorders>
          </w:tcPr>
          <w:p>
            <w:pPr>
              <w:pStyle w:val="TAC"/>
              <w:rPr>
                <w:lang w:val="en-GB"/>
              </w:rPr>
            </w:pPr>
            <w:r>
              <w:rPr>
                <w:lang w:val="en-GB"/>
              </w:rPr>
              <w:t>29</w:t>
            </w:r>
          </w:p>
        </w:tc>
        <w:tc>
          <w:tcPr>
            <w:tcW w:w="57"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30</w:t>
            </w:r>
          </w:p>
        </w:tc>
        <w:tc>
          <w:tcPr>
            <w:tcW w:w="567" w:type="dxa"/>
            <w:tcBorders>
              <w:left w:val="single" w:sz="6" w:space="0" w:color="000000"/>
              <w:right w:val="single" w:sz="6" w:space="0" w:color="000000"/>
            </w:tcBorders>
          </w:tcPr>
          <w:p>
            <w:pPr>
              <w:pStyle w:val="TAC"/>
              <w:rPr>
                <w:lang w:val="en-GB"/>
              </w:rPr>
            </w:pPr>
            <w:r>
              <w:rPr>
                <w:lang w:val="en-GB"/>
              </w:rPr>
              <w:t>30</w:t>
            </w:r>
          </w:p>
        </w:tc>
        <w:tc>
          <w:tcPr>
            <w:tcW w:w="567" w:type="dxa"/>
            <w:tcBorders>
              <w:right w:val="single" w:sz="6" w:space="0" w:color="000000"/>
            </w:tcBorders>
          </w:tcPr>
          <w:p>
            <w:pPr>
              <w:pStyle w:val="TAC"/>
              <w:rPr>
                <w:lang w:val="en-GB"/>
              </w:rPr>
            </w:pPr>
            <w:r>
              <w:rPr>
                <w:lang w:val="en-GB"/>
              </w:rPr>
              <w:t>30</w:t>
            </w:r>
          </w:p>
        </w:tc>
        <w:tc>
          <w:tcPr>
            <w:tcW w:w="567" w:type="dxa"/>
            <w:tcBorders>
              <w:right w:val="single" w:sz="6" w:space="0" w:color="000000"/>
            </w:tcBorders>
          </w:tcPr>
          <w:p>
            <w:pPr>
              <w:pStyle w:val="TAC"/>
              <w:rPr>
                <w:lang w:val="en-GB"/>
              </w:rPr>
            </w:pPr>
            <w:r>
              <w:rPr>
                <w:lang w:val="en-GB"/>
              </w:rPr>
              <w:t>30</w:t>
            </w:r>
          </w:p>
        </w:tc>
      </w:tr>
      <w:tr>
        <w:trPr>
          <w:trHeight w:val="259" w:hRule="atLeast"/>
        </w:trPr>
        <w:tc>
          <w:tcPr>
            <w:tcW w:w="1627" w:type="dxa"/>
            <w:tcBorders>
              <w:left w:val="single" w:sz="6" w:space="0" w:color="000000"/>
            </w:tcBorders>
          </w:tcPr>
          <w:p>
            <w:pPr>
              <w:pStyle w:val="TAL"/>
              <w:rPr>
                <w:lang w:val="en-GB"/>
              </w:rPr>
            </w:pPr>
            <w:r>
              <w:rPr>
                <w:lang w:val="en-GB"/>
              </w:rPr>
              <w:t>MS Noise</w:t>
            </w:r>
          </w:p>
        </w:tc>
        <w:tc>
          <w:tcPr>
            <w:tcW w:w="631" w:type="dxa"/>
            <w:tcBorders>
              <w:left w:val="single" w:sz="6" w:space="0" w:color="000000"/>
              <w:right w:val="single" w:sz="6" w:space="0" w:color="000000"/>
            </w:tcBorders>
          </w:tcPr>
          <w:p>
            <w:pPr>
              <w:pStyle w:val="TAC"/>
              <w:rPr>
                <w:lang w:val="en-GB"/>
              </w:rPr>
            </w:pPr>
            <w:r>
              <w:rPr>
                <w:lang w:val="en-GB"/>
              </w:rPr>
              <w:t>-47</w:t>
            </w:r>
          </w:p>
        </w:tc>
        <w:tc>
          <w:tcPr>
            <w:tcW w:w="631" w:type="dxa"/>
            <w:tcBorders>
              <w:right w:val="single" w:sz="6" w:space="0" w:color="000000"/>
            </w:tcBorders>
          </w:tcPr>
          <w:p>
            <w:pPr>
              <w:pStyle w:val="TAC"/>
              <w:rPr>
                <w:lang w:val="en-GB"/>
              </w:rPr>
            </w:pPr>
            <w:r>
              <w:rPr>
                <w:lang w:val="en-GB"/>
              </w:rPr>
              <w:t>-50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b/>
                <w:lang w:val="en-GB"/>
              </w:rPr>
              <w:t>-47</w:t>
            </w:r>
          </w:p>
        </w:tc>
        <w:tc>
          <w:tcPr>
            <w:tcW w:w="567" w:type="dxa"/>
            <w:tcBorders>
              <w:left w:val="single" w:sz="6" w:space="0" w:color="000000"/>
              <w:right w:val="single" w:sz="6" w:space="0" w:color="000000"/>
            </w:tcBorders>
          </w:tcPr>
          <w:p>
            <w:pPr>
              <w:pStyle w:val="TAC"/>
              <w:rPr>
                <w:lang w:val="en-GB"/>
              </w:rPr>
            </w:pPr>
            <w:r>
              <w:rPr>
                <w:b/>
                <w:lang w:val="en-GB"/>
              </w:rPr>
              <w:t>-47</w:t>
            </w:r>
          </w:p>
        </w:tc>
        <w:tc>
          <w:tcPr>
            <w:tcW w:w="567" w:type="dxa"/>
            <w:tcBorders>
              <w:left w:val="single" w:sz="6" w:space="0" w:color="000000"/>
              <w:right w:val="single" w:sz="6" w:space="0" w:color="000000"/>
            </w:tcBorders>
          </w:tcPr>
          <w:p>
            <w:pPr>
              <w:pStyle w:val="TAC"/>
              <w:rPr>
                <w:lang w:val="en-GB"/>
              </w:rPr>
            </w:pPr>
            <w:r>
              <w:rPr>
                <w:b/>
                <w:lang w:val="en-GB"/>
              </w:rPr>
              <w:t>-47</w:t>
            </w:r>
          </w:p>
        </w:tc>
        <w:tc>
          <w:tcPr>
            <w:tcW w:w="567" w:type="dxa"/>
            <w:tcBorders>
              <w:left w:val="single" w:sz="6" w:space="0" w:color="000000"/>
              <w:right w:val="single" w:sz="6" w:space="0" w:color="000000"/>
            </w:tcBorders>
          </w:tcPr>
          <w:p>
            <w:pPr>
              <w:pStyle w:val="TAC"/>
              <w:rPr>
                <w:lang w:val="en-GB"/>
              </w:rPr>
            </w:pPr>
            <w:r>
              <w:rPr>
                <w:b/>
                <w:lang w:val="en-GB"/>
              </w:rPr>
              <w:t>-47</w:t>
            </w:r>
          </w:p>
        </w:tc>
        <w:tc>
          <w:tcPr>
            <w:tcW w:w="567" w:type="dxa"/>
            <w:tcBorders>
              <w:left w:val="single" w:sz="6" w:space="0" w:color="000000"/>
              <w:right w:val="single" w:sz="6" w:space="0" w:color="000000"/>
            </w:tcBorders>
          </w:tcPr>
          <w:p>
            <w:pPr>
              <w:pStyle w:val="TAC"/>
              <w:rPr>
                <w:lang w:val="en-GB"/>
              </w:rPr>
            </w:pPr>
            <w:r>
              <w:rPr>
                <w:b/>
                <w:lang w:val="en-GB"/>
              </w:rPr>
              <w:t>-47</w:t>
            </w:r>
          </w:p>
        </w:tc>
        <w:tc>
          <w:tcPr>
            <w:tcW w:w="57"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-50</w:t>
            </w:r>
          </w:p>
        </w:tc>
        <w:tc>
          <w:tcPr>
            <w:tcW w:w="567" w:type="dxa"/>
            <w:tcBorders>
              <w:left w:val="single" w:sz="6" w:space="0" w:color="000000"/>
              <w:right w:val="single" w:sz="6" w:space="0" w:color="000000"/>
            </w:tcBorders>
          </w:tcPr>
          <w:p>
            <w:pPr>
              <w:pStyle w:val="TAC"/>
              <w:rPr>
                <w:lang w:val="en-GB"/>
              </w:rPr>
            </w:pPr>
            <w:r>
              <w:rPr>
                <w:lang w:val="en-GB"/>
              </w:rPr>
              <w:t>-50</w:t>
            </w:r>
          </w:p>
        </w:tc>
        <w:tc>
          <w:tcPr>
            <w:tcW w:w="567" w:type="dxa"/>
            <w:tcBorders>
              <w:right w:val="single" w:sz="6" w:space="0" w:color="000000"/>
            </w:tcBorders>
          </w:tcPr>
          <w:p>
            <w:pPr>
              <w:pStyle w:val="TAC"/>
              <w:rPr>
                <w:lang w:val="en-GB"/>
              </w:rPr>
            </w:pPr>
            <w:r>
              <w:rPr>
                <w:lang w:val="en-GB"/>
              </w:rPr>
              <w:t>-50</w:t>
            </w:r>
          </w:p>
        </w:tc>
        <w:tc>
          <w:tcPr>
            <w:tcW w:w="567" w:type="dxa"/>
            <w:tcBorders>
              <w:right w:val="single" w:sz="6" w:space="0" w:color="000000"/>
            </w:tcBorders>
          </w:tcPr>
          <w:p>
            <w:pPr>
              <w:pStyle w:val="TAC"/>
              <w:rPr>
                <w:lang w:val="en-GB"/>
              </w:rPr>
            </w:pPr>
            <w:r>
              <w:rPr>
                <w:lang w:val="en-GB"/>
              </w:rPr>
              <w:t>-50</w:t>
            </w:r>
          </w:p>
        </w:tc>
      </w:tr>
      <w:tr>
        <w:trPr>
          <w:trHeight w:val="259" w:hRule="atLeast"/>
        </w:trPr>
        <w:tc>
          <w:tcPr>
            <w:tcW w:w="1627" w:type="dxa"/>
            <w:tcBorders>
              <w:left w:val="single" w:sz="6" w:space="0" w:color="000000"/>
            </w:tcBorders>
          </w:tcPr>
          <w:p>
            <w:pPr>
              <w:pStyle w:val="TAL"/>
              <w:rPr>
                <w:lang w:val="en-GB"/>
              </w:rPr>
            </w:pPr>
            <w:r>
              <w:rPr>
                <w:lang w:val="en-GB"/>
              </w:rPr>
              <w:t>MS Blocking</w:t>
            </w:r>
          </w:p>
        </w:tc>
        <w:tc>
          <w:tcPr>
            <w:tcW w:w="631" w:type="dxa"/>
            <w:tcBorders>
              <w:left w:val="single" w:sz="6" w:space="0" w:color="000000"/>
              <w:right w:val="single" w:sz="6" w:space="0" w:color="000000"/>
            </w:tcBorders>
          </w:tcPr>
          <w:p>
            <w:pPr>
              <w:pStyle w:val="TAC"/>
              <w:rPr>
                <w:lang w:val="en-GB"/>
              </w:rPr>
            </w:pPr>
            <w:r>
              <w:rPr>
                <w:lang w:val="en-GB"/>
              </w:rPr>
              <w:t>-23</w:t>
            </w:r>
          </w:p>
        </w:tc>
        <w:tc>
          <w:tcPr>
            <w:tcW w:w="631" w:type="dxa"/>
            <w:tcBorders>
              <w:right w:val="single" w:sz="6" w:space="0" w:color="000000"/>
            </w:tcBorders>
          </w:tcPr>
          <w:p>
            <w:pPr>
              <w:pStyle w:val="TAC"/>
              <w:rPr>
                <w:lang w:val="en-GB"/>
              </w:rPr>
            </w:pPr>
            <w:r>
              <w:rPr>
                <w:lang w:val="en-GB"/>
              </w:rPr>
              <w:t>-26</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tcBorders>
              <w:left w:val="single" w:sz="6" w:space="0" w:color="000000"/>
              <w:right w:val="single" w:sz="6" w:space="0" w:color="000000"/>
            </w:tcBorders>
          </w:tcPr>
          <w:p>
            <w:pPr>
              <w:pStyle w:val="TAC"/>
              <w:rPr>
                <w:lang w:val="en-GB"/>
              </w:rPr>
            </w:pPr>
            <w:r>
              <w:rPr>
                <w:lang w:val="en-GB"/>
              </w:rPr>
              <w:t>-23</w:t>
            </w:r>
          </w:p>
        </w:tc>
        <w:tc>
          <w:tcPr>
            <w:tcW w:w="567" w:type="dxa"/>
            <w:tcBorders>
              <w:left w:val="single" w:sz="6" w:space="0" w:color="000000"/>
              <w:right w:val="single" w:sz="6" w:space="0" w:color="000000"/>
            </w:tcBorders>
          </w:tcPr>
          <w:p>
            <w:pPr>
              <w:pStyle w:val="TAC"/>
              <w:rPr>
                <w:lang w:val="en-GB"/>
              </w:rPr>
            </w:pPr>
            <w:r>
              <w:rPr>
                <w:lang w:val="en-GB"/>
              </w:rPr>
              <w:t>-23</w:t>
            </w:r>
          </w:p>
        </w:tc>
        <w:tc>
          <w:tcPr>
            <w:tcW w:w="57"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-26</w:t>
            </w:r>
          </w:p>
        </w:tc>
        <w:tc>
          <w:tcPr>
            <w:tcW w:w="567" w:type="dxa"/>
            <w:tcBorders>
              <w:left w:val="single" w:sz="6" w:space="0" w:color="000000"/>
              <w:right w:val="single" w:sz="6" w:space="0" w:color="000000"/>
            </w:tcBorders>
          </w:tcPr>
          <w:p>
            <w:pPr>
              <w:pStyle w:val="TAC"/>
              <w:rPr>
                <w:lang w:val="en-GB"/>
              </w:rPr>
            </w:pPr>
            <w:r>
              <w:rPr>
                <w:lang w:val="en-GB"/>
              </w:rPr>
              <w:t>-26</w:t>
            </w:r>
          </w:p>
        </w:tc>
        <w:tc>
          <w:tcPr>
            <w:tcW w:w="567" w:type="dxa"/>
            <w:tcBorders>
              <w:right w:val="single" w:sz="6" w:space="0" w:color="000000"/>
            </w:tcBorders>
          </w:tcPr>
          <w:p>
            <w:pPr>
              <w:pStyle w:val="TAC"/>
              <w:rPr>
                <w:lang w:val="en-GB"/>
              </w:rPr>
            </w:pPr>
            <w:r>
              <w:rPr>
                <w:lang w:val="en-GB"/>
              </w:rPr>
              <w:t>-26</w:t>
            </w:r>
          </w:p>
        </w:tc>
        <w:tc>
          <w:tcPr>
            <w:tcW w:w="567" w:type="dxa"/>
            <w:tcBorders>
              <w:right w:val="single" w:sz="6" w:space="0" w:color="000000"/>
            </w:tcBorders>
          </w:tcPr>
          <w:p>
            <w:pPr>
              <w:pStyle w:val="TAC"/>
              <w:rPr>
                <w:lang w:val="en-GB"/>
              </w:rPr>
            </w:pPr>
            <w:r>
              <w:rPr>
                <w:lang w:val="en-GB"/>
              </w:rPr>
              <w:t>-26</w:t>
            </w:r>
          </w:p>
        </w:tc>
      </w:tr>
      <w:tr>
        <w:trPr>
          <w:trHeight w:val="259" w:hRule="atLeast"/>
        </w:trPr>
        <w:tc>
          <w:tcPr>
            <w:tcW w:w="1627" w:type="dxa"/>
            <w:tcBorders>
              <w:left w:val="single" w:sz="6" w:space="0" w:color="000000"/>
            </w:tcBorders>
          </w:tcPr>
          <w:p>
            <w:pPr>
              <w:pStyle w:val="TAL"/>
              <w:rPr>
                <w:lang w:val="en-GB"/>
              </w:rPr>
            </w:pPr>
            <w:r>
              <w:rPr>
                <w:lang w:val="en-GB"/>
              </w:rPr>
              <w:t>MS Sensitivity</w:t>
            </w:r>
          </w:p>
        </w:tc>
        <w:tc>
          <w:tcPr>
            <w:tcW w:w="631" w:type="dxa"/>
            <w:tcBorders>
              <w:left w:val="single" w:sz="6" w:space="0" w:color="000000"/>
              <w:right w:val="single" w:sz="6" w:space="0" w:color="000000"/>
            </w:tcBorders>
          </w:tcPr>
          <w:p>
            <w:pPr>
              <w:pStyle w:val="TAC"/>
              <w:rPr>
                <w:lang w:val="en-GB"/>
              </w:rPr>
            </w:pPr>
            <w:r>
              <w:rPr>
                <w:lang w:val="en-GB"/>
              </w:rPr>
              <w:t>-102</w:t>
            </w:r>
          </w:p>
        </w:tc>
        <w:tc>
          <w:tcPr>
            <w:tcW w:w="631" w:type="dxa"/>
            <w:tcBorders>
              <w:right w:val="single" w:sz="6" w:space="0" w:color="000000"/>
            </w:tcBorders>
          </w:tcPr>
          <w:p>
            <w:pPr>
              <w:pStyle w:val="TAC"/>
              <w:rPr>
                <w:lang w:val="en-GB"/>
              </w:rPr>
            </w:pPr>
            <w:r>
              <w:rPr>
                <w:lang w:val="en-GB"/>
              </w:rPr>
              <w:t>-100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tcBorders>
              <w:left w:val="single" w:sz="6" w:space="0" w:color="000000"/>
              <w:right w:val="single" w:sz="6" w:space="0" w:color="000000"/>
            </w:tcBorders>
          </w:tcPr>
          <w:p>
            <w:pPr>
              <w:pStyle w:val="TAC"/>
              <w:rPr>
                <w:lang w:val="en-GB"/>
              </w:rPr>
            </w:pPr>
            <w:r>
              <w:rPr>
                <w:lang w:val="en-GB"/>
              </w:rPr>
              <w:t>-102</w:t>
            </w:r>
          </w:p>
        </w:tc>
        <w:tc>
          <w:tcPr>
            <w:tcW w:w="567" w:type="dxa"/>
            <w:tcBorders>
              <w:left w:val="single" w:sz="6" w:space="0" w:color="000000"/>
              <w:right w:val="single" w:sz="6" w:space="0" w:color="000000"/>
            </w:tcBorders>
          </w:tcPr>
          <w:p>
            <w:pPr>
              <w:pStyle w:val="TAC"/>
              <w:rPr>
                <w:lang w:val="en-GB"/>
              </w:rPr>
            </w:pPr>
            <w:r>
              <w:rPr>
                <w:lang w:val="en-GB"/>
              </w:rPr>
              <w:t>-102</w:t>
            </w:r>
          </w:p>
        </w:tc>
        <w:tc>
          <w:tcPr>
            <w:tcW w:w="57"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-100</w:t>
            </w:r>
          </w:p>
        </w:tc>
        <w:tc>
          <w:tcPr>
            <w:tcW w:w="567" w:type="dxa"/>
            <w:tcBorders>
              <w:left w:val="single" w:sz="6" w:space="0" w:color="000000"/>
              <w:right w:val="single" w:sz="6" w:space="0" w:color="000000"/>
            </w:tcBorders>
          </w:tcPr>
          <w:p>
            <w:pPr>
              <w:pStyle w:val="TAC"/>
              <w:rPr>
                <w:lang w:val="en-GB"/>
              </w:rPr>
            </w:pPr>
            <w:r>
              <w:rPr>
                <w:lang w:val="en-GB"/>
              </w:rPr>
              <w:t>-100</w:t>
            </w:r>
          </w:p>
        </w:tc>
        <w:tc>
          <w:tcPr>
            <w:tcW w:w="567" w:type="dxa"/>
            <w:tcBorders>
              <w:right w:val="single" w:sz="6" w:space="0" w:color="000000"/>
            </w:tcBorders>
          </w:tcPr>
          <w:p>
            <w:pPr>
              <w:pStyle w:val="TAC"/>
              <w:rPr>
                <w:lang w:val="en-GB"/>
              </w:rPr>
            </w:pPr>
            <w:r>
              <w:rPr>
                <w:lang w:val="en-GB"/>
              </w:rPr>
              <w:t>-100</w:t>
            </w:r>
          </w:p>
        </w:tc>
        <w:tc>
          <w:tcPr>
            <w:tcW w:w="567" w:type="dxa"/>
            <w:tcBorders>
              <w:right w:val="single" w:sz="6" w:space="0" w:color="000000"/>
            </w:tcBorders>
          </w:tcPr>
          <w:p>
            <w:pPr>
              <w:pStyle w:val="TAC"/>
              <w:rPr>
                <w:lang w:val="en-GB"/>
              </w:rPr>
            </w:pPr>
            <w:r>
              <w:rPr>
                <w:lang w:val="en-GB"/>
              </w:rPr>
              <w:t>-100</w:t>
            </w:r>
          </w:p>
        </w:tc>
      </w:tr>
      <w:tr>
        <w:trPr>
          <w:trHeight w:val="259" w:hRule="atLeast"/>
        </w:trPr>
        <w:tc>
          <w:tcPr>
            <w:tcW w:w="1627" w:type="dxa"/>
            <w:tcBorders>
              <w:top w:val="single" w:sz="6" w:space="0" w:color="000000"/>
              <w:left w:val="single" w:sz="6" w:space="0" w:color="000000"/>
            </w:tcBorders>
          </w:tcPr>
          <w:p>
            <w:pPr>
              <w:pStyle w:val="TAL"/>
              <w:rPr>
                <w:lang w:val="en-GB"/>
              </w:rPr>
            </w:pPr>
            <w:r>
              <w:rPr>
                <w:lang w:val="en-GB"/>
              </w:rPr>
              <w:t>BTS Power</w:t>
            </w:r>
          </w:p>
        </w:tc>
        <w:tc>
          <w:tcPr>
            <w:tcW w:w="631" w:type="dxa"/>
            <w:tcBorders>
              <w:top w:val="single" w:sz="6" w:space="0" w:color="000000"/>
              <w:left w:val="single" w:sz="6" w:space="0" w:color="000000"/>
              <w:right w:val="single" w:sz="6" w:space="0" w:color="000000"/>
            </w:tcBorders>
            <w:shd w:fill="DFDFDF" w:val="clear"/>
          </w:tcPr>
          <w:p>
            <w:pPr>
              <w:pStyle w:val="TAC"/>
              <w:rPr>
                <w:lang w:val="en-GB"/>
              </w:rPr>
            </w:pPr>
            <w:r>
              <w:rPr>
                <w:lang w:val="en-GB"/>
              </w:rPr>
              <w:t>21</w:t>
            </w:r>
          </w:p>
        </w:tc>
        <w:tc>
          <w:tcPr>
            <w:tcW w:w="631" w:type="dxa"/>
            <w:tcBorders>
              <w:top w:val="single" w:sz="6" w:space="0" w:color="000000"/>
              <w:right w:val="single" w:sz="6" w:space="0" w:color="000000"/>
            </w:tcBorders>
            <w:shd w:fill="DFDFDF" w:val="clear"/>
          </w:tcPr>
          <w:p>
            <w:pPr>
              <w:pStyle w:val="TAC"/>
              <w:rPr>
                <w:lang w:val="en-GB"/>
              </w:rPr>
            </w:pPr>
            <w:r>
              <w:rPr>
                <w:lang w:val="en-GB"/>
              </w:rPr>
              <w:t>24</w:t>
            </w:r>
          </w:p>
        </w:tc>
        <w:tc>
          <w:tcPr>
            <w:tcW w:w="60" w:type="dxa"/>
            <w:tcBorders/>
            <w:shd w:fill="DFDFDF" w:val="clear"/>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34</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28</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23</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18</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13</w:t>
            </w:r>
          </w:p>
        </w:tc>
        <w:tc>
          <w:tcPr>
            <w:tcW w:w="57" w:type="dxa"/>
            <w:tcBorders/>
            <w:shd w:fill="DFDFDF" w:val="clear"/>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37</w:t>
            </w:r>
          </w:p>
        </w:tc>
        <w:tc>
          <w:tcPr>
            <w:tcW w:w="567" w:type="dxa"/>
            <w:tcBorders>
              <w:top w:val="single" w:sz="6" w:space="0" w:color="000000"/>
              <w:left w:val="single" w:sz="6" w:space="0" w:color="000000"/>
              <w:right w:val="single" w:sz="6" w:space="0" w:color="000000"/>
            </w:tcBorders>
            <w:shd w:fill="DFDFDF" w:val="clear"/>
          </w:tcPr>
          <w:p>
            <w:pPr>
              <w:pStyle w:val="TAC"/>
              <w:rPr>
                <w:lang w:val="en-GB"/>
              </w:rPr>
            </w:pPr>
            <w:r>
              <w:rPr>
                <w:lang w:val="en-GB"/>
              </w:rPr>
              <w:t>34</w:t>
            </w:r>
          </w:p>
        </w:tc>
        <w:tc>
          <w:tcPr>
            <w:tcW w:w="567" w:type="dxa"/>
            <w:tcBorders>
              <w:top w:val="single" w:sz="6" w:space="0" w:color="000000"/>
              <w:right w:val="single" w:sz="6" w:space="0" w:color="000000"/>
            </w:tcBorders>
            <w:shd w:fill="DFDFDF" w:val="clear"/>
          </w:tcPr>
          <w:p>
            <w:pPr>
              <w:pStyle w:val="TAC"/>
              <w:rPr>
                <w:lang w:val="en-GB"/>
              </w:rPr>
            </w:pPr>
            <w:r>
              <w:rPr>
                <w:lang w:val="en-GB"/>
              </w:rPr>
              <w:t>29</w:t>
            </w:r>
          </w:p>
        </w:tc>
        <w:tc>
          <w:tcPr>
            <w:tcW w:w="567" w:type="dxa"/>
            <w:tcBorders>
              <w:top w:val="single" w:sz="6" w:space="0" w:color="000000"/>
              <w:right w:val="single" w:sz="6" w:space="0" w:color="000000"/>
            </w:tcBorders>
            <w:shd w:fill="DFDFDF" w:val="clear"/>
          </w:tcPr>
          <w:p>
            <w:pPr>
              <w:pStyle w:val="TAC"/>
              <w:rPr>
                <w:lang w:val="en-GB"/>
              </w:rPr>
            </w:pPr>
            <w:r>
              <w:rPr>
                <w:lang w:val="en-GB"/>
              </w:rPr>
              <w:t>24</w:t>
            </w:r>
          </w:p>
        </w:tc>
      </w:tr>
      <w:tr>
        <w:trPr>
          <w:trHeight w:val="259" w:hRule="atLeast"/>
        </w:trPr>
        <w:tc>
          <w:tcPr>
            <w:tcW w:w="1627" w:type="dxa"/>
            <w:tcBorders>
              <w:left w:val="single" w:sz="6" w:space="0" w:color="000000"/>
            </w:tcBorders>
          </w:tcPr>
          <w:p>
            <w:pPr>
              <w:pStyle w:val="TAL"/>
              <w:rPr>
                <w:lang w:val="en-GB"/>
              </w:rPr>
            </w:pPr>
            <w:r>
              <w:rPr>
                <w:lang w:val="en-GB"/>
              </w:rPr>
              <w:t xml:space="preserve">BTS Noise </w:t>
            </w:r>
          </w:p>
        </w:tc>
        <w:tc>
          <w:tcPr>
            <w:tcW w:w="631" w:type="dxa"/>
            <w:tcBorders>
              <w:left w:val="single" w:sz="6" w:space="0" w:color="000000"/>
              <w:right w:val="single" w:sz="6" w:space="0" w:color="000000"/>
            </w:tcBorders>
            <w:shd w:fill="DFDFDF" w:val="clear"/>
          </w:tcPr>
          <w:p>
            <w:pPr>
              <w:pStyle w:val="TAC"/>
              <w:rPr>
                <w:lang w:val="en-GB"/>
              </w:rPr>
            </w:pPr>
            <w:r>
              <w:rPr>
                <w:lang w:val="en-GB"/>
              </w:rPr>
              <w:t>-67</w:t>
            </w:r>
          </w:p>
        </w:tc>
        <w:tc>
          <w:tcPr>
            <w:tcW w:w="631" w:type="dxa"/>
            <w:tcBorders>
              <w:left w:val="single" w:sz="6" w:space="0" w:color="000000"/>
              <w:right w:val="single" w:sz="6" w:space="0" w:color="000000"/>
            </w:tcBorders>
            <w:shd w:fill="DFDFDF" w:val="clear"/>
          </w:tcPr>
          <w:p>
            <w:pPr>
              <w:pStyle w:val="TAC"/>
              <w:rPr>
                <w:lang w:val="en-GB"/>
              </w:rPr>
            </w:pPr>
            <w:r>
              <w:rPr>
                <w:lang w:val="en-GB"/>
              </w:rPr>
              <w:t>-59</w:t>
            </w:r>
          </w:p>
        </w:tc>
        <w:tc>
          <w:tcPr>
            <w:tcW w:w="60" w:type="dxa"/>
            <w:tcBorders>
              <w:left w:val="single" w:sz="6" w:space="0" w:color="000000"/>
              <w:right w:val="single" w:sz="6" w:space="0" w:color="000000"/>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-49</w:t>
            </w:r>
          </w:p>
        </w:tc>
        <w:tc>
          <w:tcPr>
            <w:tcW w:w="567" w:type="dxa"/>
            <w:tcBorders>
              <w:left w:val="single" w:sz="6" w:space="0" w:color="000000"/>
              <w:right w:val="single" w:sz="6" w:space="0" w:color="000000"/>
            </w:tcBorders>
            <w:shd w:fill="DFDFDF" w:val="clear"/>
          </w:tcPr>
          <w:p>
            <w:pPr>
              <w:pStyle w:val="TAC"/>
              <w:rPr>
                <w:lang w:val="en-GB"/>
              </w:rPr>
            </w:pPr>
            <w:r>
              <w:rPr>
                <w:lang w:val="en-GB"/>
              </w:rPr>
              <w:t>-51</w:t>
            </w:r>
          </w:p>
        </w:tc>
        <w:tc>
          <w:tcPr>
            <w:tcW w:w="567" w:type="dxa"/>
            <w:tcBorders>
              <w:left w:val="single" w:sz="6" w:space="0" w:color="000000"/>
              <w:right w:val="single" w:sz="6" w:space="0" w:color="000000"/>
            </w:tcBorders>
            <w:shd w:fill="DFDFDF" w:val="clear"/>
          </w:tcPr>
          <w:p>
            <w:pPr>
              <w:pStyle w:val="TAC"/>
              <w:rPr>
                <w:lang w:val="en-GB"/>
              </w:rPr>
            </w:pPr>
            <w:r>
              <w:rPr>
                <w:lang w:val="en-GB"/>
              </w:rPr>
              <w:t>-56</w:t>
            </w:r>
          </w:p>
        </w:tc>
        <w:tc>
          <w:tcPr>
            <w:tcW w:w="567" w:type="dxa"/>
            <w:tcBorders>
              <w:left w:val="single" w:sz="6" w:space="0" w:color="000000"/>
              <w:right w:val="single" w:sz="6" w:space="0" w:color="000000"/>
            </w:tcBorders>
            <w:shd w:fill="DFDFDF" w:val="clear"/>
          </w:tcPr>
          <w:p>
            <w:pPr>
              <w:pStyle w:val="TAC"/>
              <w:rPr>
                <w:lang w:val="en-GB"/>
              </w:rPr>
            </w:pPr>
            <w:r>
              <w:rPr>
                <w:lang w:val="en-GB"/>
              </w:rPr>
              <w:t>-61</w:t>
            </w:r>
          </w:p>
        </w:tc>
        <w:tc>
          <w:tcPr>
            <w:tcW w:w="567" w:type="dxa"/>
            <w:tcBorders>
              <w:left w:val="single" w:sz="6" w:space="0" w:color="000000"/>
              <w:right w:val="single" w:sz="6" w:space="0" w:color="000000"/>
            </w:tcBorders>
            <w:shd w:fill="DFDFDF" w:val="clear"/>
          </w:tcPr>
          <w:p>
            <w:pPr>
              <w:pStyle w:val="TAC"/>
              <w:rPr>
                <w:lang w:val="en-GB"/>
              </w:rPr>
            </w:pPr>
            <w:r>
              <w:rPr>
                <w:lang w:val="en-GB"/>
              </w:rPr>
              <w:t>-66</w:t>
            </w:r>
          </w:p>
        </w:tc>
        <w:tc>
          <w:tcPr>
            <w:tcW w:w="57" w:type="dxa"/>
            <w:tcBorders>
              <w:left w:val="single" w:sz="6" w:space="0" w:color="000000"/>
              <w:right w:val="single" w:sz="6" w:space="0" w:color="000000"/>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-46</w:t>
            </w:r>
          </w:p>
        </w:tc>
        <w:tc>
          <w:tcPr>
            <w:tcW w:w="567" w:type="dxa"/>
            <w:tcBorders>
              <w:left w:val="single" w:sz="6" w:space="0" w:color="000000"/>
              <w:right w:val="single" w:sz="6" w:space="0" w:color="000000"/>
            </w:tcBorders>
            <w:shd w:fill="DFDFDF" w:val="clear"/>
          </w:tcPr>
          <w:p>
            <w:pPr>
              <w:pStyle w:val="TAC"/>
              <w:rPr>
                <w:lang w:val="en-GB"/>
              </w:rPr>
            </w:pPr>
            <w:r>
              <w:rPr>
                <w:lang w:val="en-GB"/>
              </w:rPr>
              <w:t>-49</w:t>
            </w:r>
          </w:p>
        </w:tc>
        <w:tc>
          <w:tcPr>
            <w:tcW w:w="567" w:type="dxa"/>
            <w:tcBorders>
              <w:left w:val="single" w:sz="6" w:space="0" w:color="000000"/>
              <w:right w:val="single" w:sz="6" w:space="0" w:color="000000"/>
            </w:tcBorders>
            <w:shd w:fill="DFDFDF" w:val="clear"/>
          </w:tcPr>
          <w:p>
            <w:pPr>
              <w:pStyle w:val="TAC"/>
              <w:rPr>
                <w:lang w:val="en-GB"/>
              </w:rPr>
            </w:pPr>
            <w:r>
              <w:rPr>
                <w:lang w:val="en-GB"/>
              </w:rPr>
              <w:t>-54</w:t>
            </w:r>
          </w:p>
        </w:tc>
        <w:tc>
          <w:tcPr>
            <w:tcW w:w="567" w:type="dxa"/>
            <w:tcBorders>
              <w:left w:val="single" w:sz="6" w:space="0" w:color="000000"/>
              <w:right w:val="single" w:sz="6" w:space="0" w:color="000000"/>
            </w:tcBorders>
            <w:shd w:fill="DFDFDF" w:val="clear"/>
          </w:tcPr>
          <w:p>
            <w:pPr>
              <w:pStyle w:val="TAC"/>
              <w:rPr>
                <w:lang w:val="en-GB"/>
              </w:rPr>
            </w:pPr>
            <w:r>
              <w:rPr>
                <w:lang w:val="en-GB"/>
              </w:rPr>
              <w:t>-59</w:t>
            </w:r>
          </w:p>
        </w:tc>
      </w:tr>
      <w:tr>
        <w:trPr>
          <w:trHeight w:val="259" w:hRule="atLeast"/>
        </w:trPr>
        <w:tc>
          <w:tcPr>
            <w:tcW w:w="1627" w:type="dxa"/>
            <w:tcBorders>
              <w:left w:val="single" w:sz="6" w:space="0" w:color="000000"/>
            </w:tcBorders>
          </w:tcPr>
          <w:p>
            <w:pPr>
              <w:pStyle w:val="TAL"/>
              <w:rPr>
                <w:lang w:val="en-GB"/>
              </w:rPr>
            </w:pPr>
            <w:r>
              <w:rPr>
                <w:lang w:val="en-GB"/>
              </w:rPr>
              <w:t>BTS Blocking</w:t>
            </w:r>
          </w:p>
        </w:tc>
        <w:tc>
          <w:tcPr>
            <w:tcW w:w="631" w:type="dxa"/>
            <w:tcBorders>
              <w:left w:val="single" w:sz="6" w:space="0" w:color="000000"/>
              <w:right w:val="single" w:sz="6" w:space="0" w:color="000000"/>
            </w:tcBorders>
            <w:shd w:fill="DFDFDF" w:val="clear"/>
          </w:tcPr>
          <w:p>
            <w:pPr>
              <w:pStyle w:val="TAC"/>
              <w:rPr>
                <w:lang w:val="en-GB"/>
              </w:rPr>
            </w:pPr>
            <w:r>
              <w:rPr>
                <w:lang w:val="en-GB"/>
              </w:rPr>
              <w:t>-15</w:t>
            </w:r>
          </w:p>
        </w:tc>
        <w:tc>
          <w:tcPr>
            <w:tcW w:w="631" w:type="dxa"/>
            <w:tcBorders>
              <w:right w:val="single" w:sz="6" w:space="0" w:color="000000"/>
            </w:tcBorders>
            <w:shd w:fill="DFDFDF" w:val="clear"/>
          </w:tcPr>
          <w:p>
            <w:pPr>
              <w:pStyle w:val="TAC"/>
              <w:rPr>
                <w:lang w:val="en-GB"/>
              </w:rPr>
            </w:pPr>
            <w:r>
              <w:rPr>
                <w:lang w:val="en-GB"/>
              </w:rPr>
              <w:t>-20</w:t>
            </w:r>
          </w:p>
        </w:tc>
        <w:tc>
          <w:tcPr>
            <w:tcW w:w="60" w:type="dxa"/>
            <w:tcBorders>
              <w:right w:val="single" w:sz="6" w:space="0" w:color="000000"/>
            </w:tcBorders>
            <w:shd w:fill="DFDFDF" w:val="clear"/>
          </w:tcPr>
          <w:p>
            <w:pPr>
              <w:pStyle w:val="TAC"/>
              <w:snapToGrid w:val="false"/>
              <w:rPr>
                <w:lang w:val="en-GB"/>
              </w:rPr>
            </w:pPr>
            <w:r>
              <w:rPr>
                <w:lang w:val="en-GB"/>
              </w:rPr>
            </w:r>
          </w:p>
        </w:tc>
        <w:tc>
          <w:tcPr>
            <w:tcW w:w="567" w:type="dxa"/>
            <w:tcBorders>
              <w:right w:val="single" w:sz="6" w:space="0" w:color="000000"/>
            </w:tcBorders>
            <w:shd w:fill="DFDFDF" w:val="clear"/>
          </w:tcPr>
          <w:p>
            <w:pPr>
              <w:pStyle w:val="TAC"/>
              <w:rPr>
                <w:lang w:val="en-GB"/>
              </w:rPr>
            </w:pPr>
            <w:r>
              <w:rPr>
                <w:lang w:val="en-GB"/>
              </w:rPr>
              <w:t>-13</w:t>
            </w:r>
          </w:p>
        </w:tc>
        <w:tc>
          <w:tcPr>
            <w:tcW w:w="567" w:type="dxa"/>
            <w:tcBorders>
              <w:right w:val="single" w:sz="6" w:space="0" w:color="000000"/>
            </w:tcBorders>
            <w:shd w:fill="DFDFDF" w:val="clear"/>
          </w:tcPr>
          <w:p>
            <w:pPr>
              <w:pStyle w:val="TAC"/>
              <w:rPr>
                <w:lang w:val="en-GB"/>
              </w:rPr>
            </w:pPr>
            <w:r>
              <w:rPr>
                <w:lang w:val="en-GB"/>
              </w:rPr>
              <w:t>-21</w:t>
            </w:r>
          </w:p>
        </w:tc>
        <w:tc>
          <w:tcPr>
            <w:tcW w:w="567" w:type="dxa"/>
            <w:tcBorders>
              <w:right w:val="single" w:sz="6" w:space="0" w:color="000000"/>
            </w:tcBorders>
            <w:shd w:fill="DFDFDF" w:val="clear"/>
          </w:tcPr>
          <w:p>
            <w:pPr>
              <w:pStyle w:val="TAC"/>
              <w:rPr>
                <w:lang w:val="en-GB"/>
              </w:rPr>
            </w:pPr>
            <w:r>
              <w:rPr>
                <w:lang w:val="en-GB"/>
              </w:rPr>
              <w:t>-16</w:t>
            </w:r>
          </w:p>
        </w:tc>
        <w:tc>
          <w:tcPr>
            <w:tcW w:w="567" w:type="dxa"/>
            <w:tcBorders>
              <w:right w:val="single" w:sz="6" w:space="0" w:color="000000"/>
            </w:tcBorders>
            <w:shd w:fill="DFDFDF" w:val="clear"/>
          </w:tcPr>
          <w:p>
            <w:pPr>
              <w:pStyle w:val="TAC"/>
              <w:rPr>
                <w:lang w:val="en-GB"/>
              </w:rPr>
            </w:pPr>
            <w:r>
              <w:rPr>
                <w:lang w:val="en-GB"/>
              </w:rPr>
              <w:t>-11</w:t>
            </w:r>
          </w:p>
        </w:tc>
        <w:tc>
          <w:tcPr>
            <w:tcW w:w="567" w:type="dxa"/>
            <w:tcBorders>
              <w:right w:val="single" w:sz="6" w:space="0" w:color="000000"/>
            </w:tcBorders>
            <w:shd w:fill="DFDFDF" w:val="clear"/>
          </w:tcPr>
          <w:p>
            <w:pPr>
              <w:pStyle w:val="TAC"/>
              <w:rPr>
                <w:lang w:val="en-GB"/>
              </w:rPr>
            </w:pPr>
            <w:r>
              <w:rPr>
                <w:lang w:val="en-GB"/>
              </w:rPr>
              <w:t>-6</w:t>
            </w:r>
          </w:p>
        </w:tc>
        <w:tc>
          <w:tcPr>
            <w:tcW w:w="57" w:type="dxa"/>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-25</w:t>
            </w:r>
          </w:p>
        </w:tc>
        <w:tc>
          <w:tcPr>
            <w:tcW w:w="567" w:type="dxa"/>
            <w:tcBorders>
              <w:left w:val="single" w:sz="6" w:space="0" w:color="000000"/>
              <w:right w:val="single" w:sz="6" w:space="0" w:color="000000"/>
            </w:tcBorders>
            <w:shd w:fill="DFDFDF" w:val="clear"/>
          </w:tcPr>
          <w:p>
            <w:pPr>
              <w:pStyle w:val="TAC"/>
              <w:rPr>
                <w:lang w:val="en-GB"/>
              </w:rPr>
            </w:pPr>
            <w:r>
              <w:rPr>
                <w:lang w:val="en-GB"/>
              </w:rPr>
              <w:t>-20</w:t>
            </w:r>
          </w:p>
        </w:tc>
        <w:tc>
          <w:tcPr>
            <w:tcW w:w="567" w:type="dxa"/>
            <w:tcBorders>
              <w:left w:val="single" w:sz="6" w:space="0" w:color="000000"/>
              <w:right w:val="single" w:sz="6" w:space="0" w:color="000000"/>
            </w:tcBorders>
            <w:shd w:fill="DFDFDF" w:val="clear"/>
          </w:tcPr>
          <w:p>
            <w:pPr>
              <w:pStyle w:val="TAC"/>
              <w:rPr>
                <w:lang w:val="en-GB"/>
              </w:rPr>
            </w:pPr>
            <w:r>
              <w:rPr>
                <w:lang w:val="en-GB"/>
              </w:rPr>
              <w:t>-15</w:t>
            </w:r>
          </w:p>
        </w:tc>
        <w:tc>
          <w:tcPr>
            <w:tcW w:w="567" w:type="dxa"/>
            <w:tcBorders>
              <w:left w:val="single" w:sz="6" w:space="0" w:color="000000"/>
              <w:right w:val="single" w:sz="6" w:space="0" w:color="000000"/>
            </w:tcBorders>
            <w:shd w:fill="DFDFDF" w:val="clear"/>
          </w:tcPr>
          <w:p>
            <w:pPr>
              <w:pStyle w:val="TAC"/>
              <w:rPr>
                <w:lang w:val="en-GB"/>
              </w:rPr>
            </w:pPr>
            <w:r>
              <w:rPr>
                <w:lang w:val="en-GB"/>
              </w:rPr>
              <w:t>-10</w:t>
            </w:r>
          </w:p>
        </w:tc>
      </w:tr>
      <w:tr>
        <w:trPr>
          <w:trHeight w:val="259" w:hRule="atLeast"/>
        </w:trPr>
        <w:tc>
          <w:tcPr>
            <w:tcW w:w="1627" w:type="dxa"/>
            <w:tcBorders>
              <w:left w:val="single" w:sz="6" w:space="0" w:color="000000"/>
            </w:tcBorders>
          </w:tcPr>
          <w:p>
            <w:pPr>
              <w:pStyle w:val="TAL"/>
              <w:rPr>
                <w:lang w:val="en-GB"/>
              </w:rPr>
            </w:pPr>
            <w:r>
              <w:rPr>
                <w:lang w:val="en-GB"/>
              </w:rPr>
              <w:t>BTS Sensitivity</w:t>
            </w:r>
          </w:p>
        </w:tc>
        <w:tc>
          <w:tcPr>
            <w:tcW w:w="631" w:type="dxa"/>
            <w:tcBorders>
              <w:left w:val="single" w:sz="6" w:space="0" w:color="000000"/>
              <w:right w:val="single" w:sz="6" w:space="0" w:color="000000"/>
            </w:tcBorders>
            <w:shd w:fill="DFDFDF" w:val="clear"/>
          </w:tcPr>
          <w:p>
            <w:pPr>
              <w:pStyle w:val="TAC"/>
              <w:rPr>
                <w:lang w:val="en-GB"/>
              </w:rPr>
            </w:pPr>
            <w:r>
              <w:rPr>
                <w:lang w:val="en-GB"/>
              </w:rPr>
              <w:t>-82</w:t>
            </w:r>
          </w:p>
        </w:tc>
        <w:tc>
          <w:tcPr>
            <w:tcW w:w="631" w:type="dxa"/>
            <w:tcBorders>
              <w:right w:val="single" w:sz="6" w:space="0" w:color="000000"/>
            </w:tcBorders>
            <w:shd w:fill="DFDFDF" w:val="clear"/>
          </w:tcPr>
          <w:p>
            <w:pPr>
              <w:pStyle w:val="TAC"/>
              <w:rPr>
                <w:lang w:val="en-GB"/>
              </w:rPr>
            </w:pPr>
            <w:r>
              <w:rPr>
                <w:lang w:val="en-GB"/>
              </w:rPr>
              <w:t>-89</w:t>
            </w:r>
          </w:p>
        </w:tc>
        <w:tc>
          <w:tcPr>
            <w:tcW w:w="60" w:type="dxa"/>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-104</w:t>
            </w:r>
          </w:p>
        </w:tc>
        <w:tc>
          <w:tcPr>
            <w:tcW w:w="567" w:type="dxa"/>
            <w:tcBorders>
              <w:left w:val="single" w:sz="6" w:space="0" w:color="000000"/>
              <w:right w:val="single" w:sz="6" w:space="0" w:color="000000"/>
            </w:tcBorders>
            <w:shd w:fill="DFDFDF" w:val="clear"/>
          </w:tcPr>
          <w:p>
            <w:pPr>
              <w:pStyle w:val="TAC"/>
              <w:rPr>
                <w:lang w:val="en-GB"/>
              </w:rPr>
            </w:pPr>
            <w:r>
              <w:rPr>
                <w:lang w:val="en-GB"/>
              </w:rPr>
              <w:t>-98</w:t>
            </w:r>
          </w:p>
        </w:tc>
        <w:tc>
          <w:tcPr>
            <w:tcW w:w="567" w:type="dxa"/>
            <w:tcBorders>
              <w:left w:val="single" w:sz="6" w:space="0" w:color="000000"/>
              <w:right w:val="single" w:sz="6" w:space="0" w:color="000000"/>
            </w:tcBorders>
            <w:shd w:fill="DFDFDF" w:val="clear"/>
          </w:tcPr>
          <w:p>
            <w:pPr>
              <w:pStyle w:val="TAC"/>
              <w:rPr>
                <w:lang w:val="en-GB"/>
              </w:rPr>
            </w:pPr>
            <w:r>
              <w:rPr>
                <w:lang w:val="en-GB"/>
              </w:rPr>
              <w:t>-93</w:t>
            </w:r>
          </w:p>
        </w:tc>
        <w:tc>
          <w:tcPr>
            <w:tcW w:w="567" w:type="dxa"/>
            <w:tcBorders>
              <w:left w:val="single" w:sz="6" w:space="0" w:color="000000"/>
              <w:right w:val="single" w:sz="6" w:space="0" w:color="000000"/>
            </w:tcBorders>
            <w:shd w:fill="DFDFDF" w:val="clear"/>
          </w:tcPr>
          <w:p>
            <w:pPr>
              <w:pStyle w:val="TAC"/>
              <w:rPr>
                <w:lang w:val="en-GB"/>
              </w:rPr>
            </w:pPr>
            <w:r>
              <w:rPr>
                <w:lang w:val="en-GB"/>
              </w:rPr>
              <w:t>-88</w:t>
            </w:r>
          </w:p>
        </w:tc>
        <w:tc>
          <w:tcPr>
            <w:tcW w:w="567" w:type="dxa"/>
            <w:tcBorders>
              <w:left w:val="single" w:sz="6" w:space="0" w:color="000000"/>
              <w:right w:val="single" w:sz="6" w:space="0" w:color="000000"/>
            </w:tcBorders>
            <w:shd w:fill="DFDFDF" w:val="clear"/>
          </w:tcPr>
          <w:p>
            <w:pPr>
              <w:pStyle w:val="TAC"/>
              <w:rPr>
                <w:lang w:val="en-GB"/>
              </w:rPr>
            </w:pPr>
            <w:r>
              <w:rPr>
                <w:lang w:val="en-GB"/>
              </w:rPr>
              <w:t>-83</w:t>
            </w:r>
          </w:p>
        </w:tc>
        <w:tc>
          <w:tcPr>
            <w:tcW w:w="57" w:type="dxa"/>
            <w:tcBorders/>
            <w:shd w:fill="DFDFDF" w:val="clear"/>
          </w:tcPr>
          <w:p>
            <w:pPr>
              <w:pStyle w:val="TAC"/>
              <w:snapToGrid w:val="false"/>
              <w:rPr>
                <w:lang w:val="en-GB"/>
              </w:rPr>
            </w:pPr>
            <w:r>
              <w:rPr>
                <w:lang w:val="en-GB"/>
              </w:rPr>
            </w:r>
          </w:p>
        </w:tc>
        <w:tc>
          <w:tcPr>
            <w:tcW w:w="567" w:type="dxa"/>
            <w:tcBorders>
              <w:left w:val="single" w:sz="6" w:space="0" w:color="000000"/>
              <w:right w:val="single" w:sz="6" w:space="0" w:color="000000"/>
            </w:tcBorders>
            <w:shd w:fill="DFDFDF" w:val="clear"/>
          </w:tcPr>
          <w:p>
            <w:pPr>
              <w:pStyle w:val="TAC"/>
              <w:rPr>
                <w:lang w:val="en-GB"/>
              </w:rPr>
            </w:pPr>
            <w:r>
              <w:rPr>
                <w:lang w:val="en-GB"/>
              </w:rPr>
              <w:t>-104</w:t>
            </w:r>
          </w:p>
        </w:tc>
        <w:tc>
          <w:tcPr>
            <w:tcW w:w="567" w:type="dxa"/>
            <w:tcBorders>
              <w:left w:val="single" w:sz="6" w:space="0" w:color="000000"/>
              <w:right w:val="single" w:sz="6" w:space="0" w:color="000000"/>
            </w:tcBorders>
            <w:shd w:fill="DFDFDF" w:val="clear"/>
          </w:tcPr>
          <w:p>
            <w:pPr>
              <w:pStyle w:val="TAC"/>
              <w:rPr>
                <w:lang w:val="en-GB"/>
              </w:rPr>
            </w:pPr>
            <w:r>
              <w:rPr>
                <w:lang w:val="en-GB"/>
              </w:rPr>
              <w:t>-101</w:t>
            </w:r>
          </w:p>
        </w:tc>
        <w:tc>
          <w:tcPr>
            <w:tcW w:w="567" w:type="dxa"/>
            <w:tcBorders>
              <w:right w:val="single" w:sz="6" w:space="0" w:color="000000"/>
            </w:tcBorders>
            <w:shd w:fill="DFDFDF" w:val="clear"/>
          </w:tcPr>
          <w:p>
            <w:pPr>
              <w:pStyle w:val="TAC"/>
              <w:rPr>
                <w:lang w:val="en-GB"/>
              </w:rPr>
            </w:pPr>
            <w:r>
              <w:rPr>
                <w:lang w:val="en-GB"/>
              </w:rPr>
              <w:t>-96</w:t>
            </w:r>
          </w:p>
        </w:tc>
        <w:tc>
          <w:tcPr>
            <w:tcW w:w="567" w:type="dxa"/>
            <w:tcBorders>
              <w:right w:val="single" w:sz="6" w:space="0" w:color="000000"/>
            </w:tcBorders>
            <w:shd w:fill="DFDFDF" w:val="clear"/>
          </w:tcPr>
          <w:p>
            <w:pPr>
              <w:pStyle w:val="TAC"/>
              <w:rPr>
                <w:lang w:val="en-GB"/>
              </w:rPr>
            </w:pPr>
            <w:r>
              <w:rPr>
                <w:lang w:val="en-GB"/>
              </w:rPr>
              <w:t>-91</w:t>
            </w:r>
          </w:p>
        </w:tc>
      </w:tr>
      <w:tr>
        <w:trPr>
          <w:trHeight w:val="259" w:hRule="atLeast"/>
        </w:trPr>
        <w:tc>
          <w:tcPr>
            <w:tcW w:w="1627" w:type="dxa"/>
            <w:tcBorders>
              <w:top w:val="single" w:sz="6" w:space="0" w:color="000000"/>
              <w:left w:val="single" w:sz="6" w:space="0" w:color="000000"/>
              <w:bottom w:val="single" w:sz="6" w:space="0" w:color="000000"/>
            </w:tcBorders>
          </w:tcPr>
          <w:p>
            <w:pPr>
              <w:pStyle w:val="TAL"/>
              <w:rPr>
                <w:lang w:val="en-GB"/>
              </w:rPr>
            </w:pPr>
            <w:r>
              <w:rPr>
                <w:lang w:val="en-GB"/>
              </w:rPr>
              <w:t>Base MCL</w:t>
            </w:r>
          </w:p>
        </w:tc>
        <w:tc>
          <w:tcPr>
            <w:tcW w:w="631"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44</w:t>
            </w:r>
          </w:p>
        </w:tc>
        <w:tc>
          <w:tcPr>
            <w:tcW w:w="631"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50</w:t>
            </w:r>
          </w:p>
        </w:tc>
        <w:tc>
          <w:tcPr>
            <w:tcW w:w="60" w:type="dxa"/>
            <w:tcBorders/>
            <w:shd w:fill="DFDFDF" w:val="clear"/>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69</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60</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55</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50</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45</w:t>
            </w:r>
          </w:p>
        </w:tc>
        <w:tc>
          <w:tcPr>
            <w:tcW w:w="57" w:type="dxa"/>
            <w:tcBorders/>
            <w:shd w:fill="DFDFDF" w:val="clear"/>
          </w:tcPr>
          <w:p>
            <w:pPr>
              <w:pStyle w:val="TAC"/>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65</w:t>
            </w:r>
          </w:p>
        </w:tc>
        <w:tc>
          <w:tcPr>
            <w:tcW w:w="567" w:type="dxa"/>
            <w:tcBorders>
              <w:top w:val="single" w:sz="6" w:space="0" w:color="000000"/>
              <w:left w:val="single" w:sz="6" w:space="0" w:color="000000"/>
              <w:bottom w:val="single" w:sz="6" w:space="0" w:color="000000"/>
              <w:right w:val="single" w:sz="6" w:space="0" w:color="000000"/>
            </w:tcBorders>
            <w:shd w:fill="DFDFDF" w:val="clear"/>
          </w:tcPr>
          <w:p>
            <w:pPr>
              <w:pStyle w:val="TAC"/>
              <w:rPr>
                <w:lang w:val="en-GB"/>
              </w:rPr>
            </w:pPr>
            <w:r>
              <w:rPr>
                <w:lang w:val="en-GB"/>
              </w:rPr>
              <w:t>60</w:t>
            </w:r>
          </w:p>
        </w:tc>
        <w:tc>
          <w:tcPr>
            <w:tcW w:w="567"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55</w:t>
            </w:r>
          </w:p>
        </w:tc>
        <w:tc>
          <w:tcPr>
            <w:tcW w:w="567" w:type="dxa"/>
            <w:tcBorders>
              <w:top w:val="single" w:sz="6" w:space="0" w:color="000000"/>
              <w:bottom w:val="single" w:sz="6" w:space="0" w:color="000000"/>
              <w:right w:val="single" w:sz="6" w:space="0" w:color="000000"/>
            </w:tcBorders>
            <w:shd w:fill="DFDFDF" w:val="clear"/>
          </w:tcPr>
          <w:p>
            <w:pPr>
              <w:pStyle w:val="TAC"/>
              <w:rPr>
                <w:lang w:val="en-GB"/>
              </w:rPr>
            </w:pPr>
            <w:r>
              <w:rPr>
                <w:lang w:val="en-GB"/>
              </w:rPr>
              <w:t>50</w:t>
            </w:r>
          </w:p>
        </w:tc>
      </w:tr>
      <w:tr>
        <w:trPr>
          <w:trHeight w:val="259" w:hRule="atLeast"/>
        </w:trPr>
        <w:tc>
          <w:tcPr>
            <w:tcW w:w="2889" w:type="dxa"/>
            <w:gridSpan w:val="3"/>
            <w:tcBorders>
              <w:top w:val="single" w:sz="6" w:space="0" w:color="000000"/>
              <w:left w:val="single" w:sz="6" w:space="0" w:color="000000"/>
            </w:tcBorders>
          </w:tcPr>
          <w:p>
            <w:pPr>
              <w:pStyle w:val="TAL"/>
              <w:rPr>
                <w:lang w:val="en-GB"/>
              </w:rPr>
            </w:pPr>
            <w:r>
              <w:rPr>
                <w:lang w:val="en-GB"/>
              </w:rPr>
              <w:t>Margins for MCLs (+ve = good);</w:t>
            </w:r>
          </w:p>
        </w:tc>
        <w:tc>
          <w:tcPr>
            <w:tcW w:w="60"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c>
          <w:tcPr>
            <w:tcW w:w="57"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c>
          <w:tcPr>
            <w:tcW w:w="567" w:type="dxa"/>
            <w:tcBorders/>
          </w:tcPr>
          <w:p>
            <w:pPr>
              <w:pStyle w:val="TAL"/>
              <w:snapToGrid w:val="false"/>
              <w:rPr>
                <w:lang w:val="en-GB"/>
              </w:rPr>
            </w:pPr>
            <w:r>
              <w:rPr>
                <w:lang w:val="en-GB"/>
              </w:rPr>
            </w:r>
          </w:p>
        </w:tc>
      </w:tr>
      <w:tr>
        <w:trPr>
          <w:trHeight w:val="259" w:hRule="atLeast"/>
        </w:trPr>
        <w:tc>
          <w:tcPr>
            <w:tcW w:w="1627" w:type="dxa"/>
            <w:tcBorders>
              <w:top w:val="single" w:sz="6" w:space="0" w:color="000000"/>
              <w:left w:val="single" w:sz="6" w:space="0" w:color="000000"/>
            </w:tcBorders>
          </w:tcPr>
          <w:p>
            <w:pPr>
              <w:pStyle w:val="TAL"/>
              <w:rPr>
                <w:lang w:val="en-GB"/>
              </w:rPr>
            </w:pPr>
            <w:r>
              <w:rPr>
                <w:lang w:val="en-GB"/>
              </w:rPr>
              <w:t>MS Blocking</w:t>
            </w:r>
          </w:p>
        </w:tc>
        <w:tc>
          <w:tcPr>
            <w:tcW w:w="631"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31"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0" w:type="dxa"/>
            <w:tcBorders>
              <w:left w:val="single" w:sz="6" w:space="0" w:color="000000"/>
              <w:right w:val="single" w:sz="6" w:space="0" w:color="000000"/>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12</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9</w:t>
            </w:r>
          </w:p>
        </w:tc>
        <w:tc>
          <w:tcPr>
            <w:tcW w:w="57" w:type="dxa"/>
            <w:tcBorders>
              <w:left w:val="single" w:sz="6" w:space="0" w:color="000000"/>
              <w:right w:val="single" w:sz="6" w:space="0" w:color="000000"/>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2</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0</w:t>
            </w:r>
          </w:p>
        </w:tc>
      </w:tr>
      <w:tr>
        <w:trPr>
          <w:trHeight w:val="259" w:hRule="atLeast"/>
        </w:trPr>
        <w:tc>
          <w:tcPr>
            <w:tcW w:w="1627" w:type="dxa"/>
            <w:tcBorders>
              <w:left w:val="single" w:sz="6" w:space="0" w:color="000000"/>
            </w:tcBorders>
          </w:tcPr>
          <w:p>
            <w:pPr>
              <w:pStyle w:val="TAL"/>
              <w:rPr>
                <w:lang w:val="en-GB"/>
              </w:rPr>
            </w:pPr>
            <w:r>
              <w:rPr>
                <w:lang w:val="en-GB"/>
              </w:rPr>
              <w:t xml:space="preserve">BTS Noise </w:t>
            </w:r>
          </w:p>
        </w:tc>
        <w:tc>
          <w:tcPr>
            <w:tcW w:w="631" w:type="dxa"/>
            <w:tcBorders>
              <w:left w:val="single" w:sz="6" w:space="0" w:color="000000"/>
              <w:right w:val="single" w:sz="6" w:space="0" w:color="000000"/>
            </w:tcBorders>
          </w:tcPr>
          <w:p>
            <w:pPr>
              <w:pStyle w:val="TAC"/>
              <w:rPr>
                <w:lang w:val="en-GB"/>
              </w:rPr>
            </w:pPr>
            <w:r>
              <w:rPr>
                <w:lang w:val="en-GB"/>
              </w:rPr>
              <w:t>0</w:t>
            </w:r>
          </w:p>
        </w:tc>
        <w:tc>
          <w:tcPr>
            <w:tcW w:w="631" w:type="dxa"/>
            <w:tcBorders>
              <w:left w:val="single" w:sz="6" w:space="0" w:color="000000"/>
              <w:right w:val="single" w:sz="6" w:space="0" w:color="000000"/>
            </w:tcBorders>
          </w:tcPr>
          <w:p>
            <w:pPr>
              <w:pStyle w:val="TAC"/>
              <w:rPr>
                <w:lang w:val="en-GB"/>
              </w:rPr>
            </w:pPr>
            <w:r>
              <w:rPr>
                <w:lang w:val="en-GB"/>
              </w:rPr>
              <w:t>0</w:t>
            </w:r>
          </w:p>
        </w:tc>
        <w:tc>
          <w:tcPr>
            <w:tcW w:w="60" w:type="dxa"/>
            <w:tcBorders>
              <w:left w:val="single" w:sz="6" w:space="0" w:color="000000"/>
              <w:right w:val="single" w:sz="6" w:space="0" w:color="000000"/>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7</w:t>
            </w:r>
          </w:p>
        </w:tc>
        <w:tc>
          <w:tcPr>
            <w:tcW w:w="567" w:type="dxa"/>
            <w:tcBorders>
              <w:left w:val="single" w:sz="6" w:space="0" w:color="000000"/>
              <w:right w:val="single" w:sz="6" w:space="0" w:color="000000"/>
            </w:tcBorders>
          </w:tcPr>
          <w:p>
            <w:pPr>
              <w:pStyle w:val="TAC"/>
              <w:rPr>
                <w:lang w:val="en-GB"/>
              </w:rPr>
            </w:pPr>
            <w:r>
              <w:rPr>
                <w:lang w:val="en-GB"/>
              </w:rPr>
              <w:t>0</w:t>
            </w:r>
          </w:p>
        </w:tc>
        <w:tc>
          <w:tcPr>
            <w:tcW w:w="567" w:type="dxa"/>
            <w:tcBorders>
              <w:left w:val="single" w:sz="6" w:space="0" w:color="000000"/>
              <w:right w:val="single" w:sz="6" w:space="0" w:color="000000"/>
            </w:tcBorders>
          </w:tcPr>
          <w:p>
            <w:pPr>
              <w:pStyle w:val="TAC"/>
              <w:rPr>
                <w:lang w:val="en-GB"/>
              </w:rPr>
            </w:pPr>
            <w:r>
              <w:rPr>
                <w:lang w:val="en-GB"/>
              </w:rPr>
              <w:t>0</w:t>
            </w:r>
          </w:p>
        </w:tc>
        <w:tc>
          <w:tcPr>
            <w:tcW w:w="567" w:type="dxa"/>
            <w:tcBorders>
              <w:left w:val="single" w:sz="6" w:space="0" w:color="000000"/>
              <w:right w:val="single" w:sz="6" w:space="0" w:color="000000"/>
            </w:tcBorders>
          </w:tcPr>
          <w:p>
            <w:pPr>
              <w:pStyle w:val="TAC"/>
              <w:rPr>
                <w:lang w:val="en-GB"/>
              </w:rPr>
            </w:pPr>
            <w:r>
              <w:rPr>
                <w:lang w:val="en-GB"/>
              </w:rPr>
              <w:t>0</w:t>
            </w:r>
          </w:p>
        </w:tc>
        <w:tc>
          <w:tcPr>
            <w:tcW w:w="567" w:type="dxa"/>
            <w:tcBorders>
              <w:left w:val="single" w:sz="6" w:space="0" w:color="000000"/>
              <w:right w:val="single" w:sz="6" w:space="0" w:color="000000"/>
            </w:tcBorders>
          </w:tcPr>
          <w:p>
            <w:pPr>
              <w:pStyle w:val="TAC"/>
              <w:rPr>
                <w:lang w:val="en-GB"/>
              </w:rPr>
            </w:pPr>
            <w:r>
              <w:rPr>
                <w:lang w:val="en-GB"/>
              </w:rPr>
              <w:t>0</w:t>
            </w:r>
          </w:p>
        </w:tc>
        <w:tc>
          <w:tcPr>
            <w:tcW w:w="57" w:type="dxa"/>
            <w:tcBorders>
              <w:left w:val="single" w:sz="6" w:space="0" w:color="000000"/>
              <w:right w:val="single" w:sz="6" w:space="0" w:color="000000"/>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lang w:val="en-GB"/>
              </w:rPr>
              <w:t>2</w:t>
            </w:r>
          </w:p>
        </w:tc>
        <w:tc>
          <w:tcPr>
            <w:tcW w:w="567" w:type="dxa"/>
            <w:tcBorders>
              <w:left w:val="single" w:sz="6" w:space="0" w:color="000000"/>
              <w:right w:val="single" w:sz="6" w:space="0" w:color="000000"/>
            </w:tcBorders>
          </w:tcPr>
          <w:p>
            <w:pPr>
              <w:pStyle w:val="TAC"/>
              <w:rPr>
                <w:lang w:val="en-GB"/>
              </w:rPr>
            </w:pPr>
            <w:r>
              <w:rPr>
                <w:lang w:val="en-GB"/>
              </w:rPr>
              <w:t>0</w:t>
            </w:r>
          </w:p>
        </w:tc>
        <w:tc>
          <w:tcPr>
            <w:tcW w:w="567" w:type="dxa"/>
            <w:tcBorders>
              <w:left w:val="single" w:sz="6" w:space="0" w:color="000000"/>
              <w:right w:val="single" w:sz="6" w:space="0" w:color="000000"/>
            </w:tcBorders>
          </w:tcPr>
          <w:p>
            <w:pPr>
              <w:pStyle w:val="TAC"/>
              <w:rPr>
                <w:lang w:val="en-GB"/>
              </w:rPr>
            </w:pPr>
            <w:r>
              <w:rPr>
                <w:lang w:val="en-GB"/>
              </w:rPr>
              <w:t>0</w:t>
            </w:r>
          </w:p>
        </w:tc>
        <w:tc>
          <w:tcPr>
            <w:tcW w:w="567" w:type="dxa"/>
            <w:tcBorders>
              <w:left w:val="single" w:sz="6" w:space="0" w:color="000000"/>
              <w:right w:val="single" w:sz="6" w:space="0" w:color="000000"/>
            </w:tcBorders>
          </w:tcPr>
          <w:p>
            <w:pPr>
              <w:pStyle w:val="TAC"/>
              <w:rPr>
                <w:lang w:val="en-GB"/>
              </w:rPr>
            </w:pPr>
            <w:r>
              <w:rPr>
                <w:lang w:val="en-GB"/>
              </w:rPr>
              <w:t>0</w:t>
            </w:r>
          </w:p>
        </w:tc>
      </w:tr>
      <w:tr>
        <w:trPr>
          <w:trHeight w:val="259" w:hRule="atLeast"/>
        </w:trPr>
        <w:tc>
          <w:tcPr>
            <w:tcW w:w="1627" w:type="dxa"/>
            <w:tcBorders>
              <w:top w:val="single" w:sz="6" w:space="0" w:color="000000"/>
              <w:left w:val="single" w:sz="6" w:space="0" w:color="000000"/>
            </w:tcBorders>
          </w:tcPr>
          <w:p>
            <w:pPr>
              <w:pStyle w:val="TAL"/>
              <w:rPr>
                <w:lang w:val="en-GB"/>
              </w:rPr>
            </w:pPr>
            <w:r>
              <w:rPr>
                <w:lang w:val="en-GB"/>
              </w:rPr>
              <w:t>BTS Blocking</w:t>
            </w:r>
          </w:p>
        </w:tc>
        <w:tc>
          <w:tcPr>
            <w:tcW w:w="631"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31" w:type="dxa"/>
            <w:tcBorders>
              <w:top w:val="single" w:sz="6" w:space="0" w:color="000000"/>
              <w:left w:val="single" w:sz="6" w:space="0" w:color="000000"/>
              <w:right w:val="single" w:sz="6" w:space="0" w:color="000000"/>
            </w:tcBorders>
          </w:tcPr>
          <w:p>
            <w:pPr>
              <w:pStyle w:val="TAC"/>
              <w:rPr>
                <w:lang w:val="en-GB"/>
              </w:rPr>
            </w:pPr>
            <w:r>
              <w:rPr>
                <w:lang w:val="en-GB"/>
              </w:rPr>
              <w:t>0</w:t>
            </w:r>
          </w:p>
        </w:tc>
        <w:tc>
          <w:tcPr>
            <w:tcW w:w="60" w:type="dxa"/>
            <w:tcBorders>
              <w:top w:val="single" w:sz="6" w:space="0" w:color="000000"/>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27</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10</w:t>
            </w:r>
          </w:p>
        </w:tc>
        <w:tc>
          <w:tcPr>
            <w:tcW w:w="57" w:type="dxa"/>
            <w:tcBorders>
              <w:top w:val="single" w:sz="6" w:space="0" w:color="000000"/>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10</w:t>
            </w:r>
          </w:p>
        </w:tc>
        <w:tc>
          <w:tcPr>
            <w:tcW w:w="567" w:type="dxa"/>
            <w:tcBorders>
              <w:top w:val="single" w:sz="6" w:space="0" w:color="000000"/>
              <w:left w:val="single" w:sz="6" w:space="0" w:color="000000"/>
              <w:right w:val="single" w:sz="6" w:space="0" w:color="000000"/>
            </w:tcBorders>
          </w:tcPr>
          <w:p>
            <w:pPr>
              <w:pStyle w:val="TAC"/>
              <w:rPr>
                <w:lang w:val="en-GB"/>
              </w:rPr>
            </w:pPr>
            <w:r>
              <w:rPr>
                <w:lang w:val="en-GB"/>
              </w:rPr>
              <w:t>10</w:t>
            </w:r>
          </w:p>
        </w:tc>
      </w:tr>
      <w:tr>
        <w:trPr>
          <w:trHeight w:val="259" w:hRule="atLeast"/>
        </w:trPr>
        <w:tc>
          <w:tcPr>
            <w:tcW w:w="1627" w:type="dxa"/>
            <w:tcBorders>
              <w:left w:val="single" w:sz="6" w:space="0" w:color="000000"/>
              <w:bottom w:val="single" w:sz="6" w:space="0" w:color="000000"/>
            </w:tcBorders>
          </w:tcPr>
          <w:p>
            <w:pPr>
              <w:pStyle w:val="TAL"/>
              <w:rPr>
                <w:lang w:val="en-GB"/>
              </w:rPr>
            </w:pPr>
            <w:r>
              <w:rPr>
                <w:lang w:val="en-GB"/>
              </w:rPr>
              <w:t>MS Noise</w:t>
            </w:r>
          </w:p>
        </w:tc>
        <w:tc>
          <w:tcPr>
            <w:tcW w:w="631"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631" w:type="dxa"/>
            <w:tcBorders>
              <w:left w:val="single" w:sz="6" w:space="0" w:color="000000"/>
              <w:bottom w:val="single" w:sz="6" w:space="0" w:color="000000"/>
              <w:right w:val="single" w:sz="6" w:space="0" w:color="000000"/>
            </w:tcBorders>
          </w:tcPr>
          <w:p>
            <w:pPr>
              <w:pStyle w:val="TAC"/>
              <w:rPr>
                <w:lang w:val="fr-FR"/>
              </w:rPr>
            </w:pPr>
            <w:r>
              <w:rPr>
                <w:lang w:val="fr-FR"/>
              </w:rPr>
              <w:t>2</w:t>
            </w:r>
          </w:p>
        </w:tc>
        <w:tc>
          <w:tcPr>
            <w:tcW w:w="60" w:type="dxa"/>
            <w:tcBorders/>
          </w:tcPr>
          <w:p>
            <w:pPr>
              <w:pStyle w:val="TAC"/>
              <w:snapToGrid w:val="false"/>
              <w:rPr>
                <w:lang w:val="fr-FR"/>
              </w:rPr>
            </w:pPr>
            <w:r>
              <w:rPr>
                <w:lang w:val="fr-FR"/>
              </w:rPr>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3</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7" w:type="dxa"/>
            <w:tcBorders/>
          </w:tcPr>
          <w:p>
            <w:pPr>
              <w:pStyle w:val="TAC"/>
              <w:snapToGrid w:val="false"/>
              <w:rPr>
                <w:lang w:val="fr-FR"/>
              </w:rPr>
            </w:pPr>
            <w:r>
              <w:rPr>
                <w:lang w:val="fr-FR"/>
              </w:rPr>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2</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c>
          <w:tcPr>
            <w:tcW w:w="567" w:type="dxa"/>
            <w:tcBorders>
              <w:left w:val="single" w:sz="6" w:space="0" w:color="000000"/>
              <w:bottom w:val="single" w:sz="6" w:space="0" w:color="000000"/>
              <w:right w:val="single" w:sz="6" w:space="0" w:color="000000"/>
            </w:tcBorders>
          </w:tcPr>
          <w:p>
            <w:pPr>
              <w:pStyle w:val="TAC"/>
              <w:rPr>
                <w:lang w:val="fr-FR"/>
              </w:rPr>
            </w:pPr>
            <w:r>
              <w:rPr>
                <w:lang w:val="fr-FR"/>
              </w:rPr>
              <w:t>0</w:t>
            </w:r>
          </w:p>
        </w:tc>
      </w:tr>
      <w:tr>
        <w:trPr>
          <w:trHeight w:val="259" w:hRule="atLeast"/>
        </w:trPr>
        <w:tc>
          <w:tcPr>
            <w:tcW w:w="1627" w:type="dxa"/>
            <w:tcBorders>
              <w:top w:val="single" w:sz="6" w:space="0" w:color="000000"/>
              <w:left w:val="single" w:sz="6" w:space="0" w:color="000000"/>
              <w:right w:val="single" w:sz="6" w:space="0" w:color="000000"/>
            </w:tcBorders>
          </w:tcPr>
          <w:p>
            <w:pPr>
              <w:pStyle w:val="TAL"/>
              <w:rPr>
                <w:lang w:val="fr-FR"/>
              </w:rPr>
            </w:pPr>
            <w:r>
              <w:rPr>
                <w:lang w:val="fr-FR"/>
              </w:rPr>
              <w:t>D/L Bias</w:t>
            </w:r>
          </w:p>
        </w:tc>
        <w:tc>
          <w:tcPr>
            <w:tcW w:w="631" w:type="dxa"/>
            <w:tcBorders>
              <w:top w:val="single" w:sz="6" w:space="0" w:color="000000"/>
              <w:right w:val="single" w:sz="6" w:space="0" w:color="000000"/>
            </w:tcBorders>
          </w:tcPr>
          <w:p>
            <w:pPr>
              <w:pStyle w:val="TAC"/>
              <w:rPr>
                <w:lang w:val="en-GB"/>
              </w:rPr>
            </w:pPr>
            <w:r>
              <w:rPr>
                <w:b/>
                <w:lang w:val="en-GB"/>
              </w:rPr>
              <w:t>9</w:t>
            </w:r>
          </w:p>
        </w:tc>
        <w:tc>
          <w:tcPr>
            <w:tcW w:w="631" w:type="dxa"/>
            <w:tcBorders>
              <w:top w:val="single" w:sz="6" w:space="0" w:color="000000"/>
              <w:right w:val="single" w:sz="6" w:space="0" w:color="000000"/>
            </w:tcBorders>
          </w:tcPr>
          <w:p>
            <w:pPr>
              <w:pStyle w:val="TAC"/>
              <w:rPr>
                <w:lang w:val="en-GB"/>
              </w:rPr>
            </w:pPr>
            <w:r>
              <w:rPr>
                <w:b/>
                <w:lang w:val="en-GB"/>
              </w:rPr>
              <w:t>2</w:t>
            </w:r>
          </w:p>
        </w:tc>
        <w:tc>
          <w:tcPr>
            <w:tcW w:w="60" w:type="dxa"/>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7" w:type="dxa"/>
            <w:tcBorders/>
          </w:tcPr>
          <w:p>
            <w:pPr>
              <w:pStyle w:val="TAC"/>
              <w:snapToGrid w:val="false"/>
              <w:rPr>
                <w:lang w:val="en-GB"/>
              </w:rPr>
            </w:pPr>
            <w:r>
              <w:rPr>
                <w:lang w:val="en-GB"/>
              </w:rPr>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c>
          <w:tcPr>
            <w:tcW w:w="567" w:type="dxa"/>
            <w:tcBorders>
              <w:top w:val="single" w:sz="6" w:space="0" w:color="000000"/>
              <w:left w:val="single" w:sz="6" w:space="0" w:color="000000"/>
              <w:right w:val="single" w:sz="6" w:space="0" w:color="000000"/>
            </w:tcBorders>
          </w:tcPr>
          <w:p>
            <w:pPr>
              <w:pStyle w:val="TAC"/>
              <w:rPr>
                <w:lang w:val="en-GB"/>
              </w:rPr>
            </w:pPr>
            <w:r>
              <w:rPr>
                <w:b/>
                <w:lang w:val="en-GB"/>
              </w:rPr>
              <w:t>0</w:t>
            </w:r>
          </w:p>
        </w:tc>
      </w:tr>
      <w:tr>
        <w:trPr>
          <w:trHeight w:val="259" w:hRule="atLeast"/>
        </w:trPr>
        <w:tc>
          <w:tcPr>
            <w:tcW w:w="1627" w:type="dxa"/>
            <w:tcBorders>
              <w:left w:val="single" w:sz="6" w:space="0" w:color="000000"/>
              <w:right w:val="single" w:sz="6" w:space="0" w:color="000000"/>
            </w:tcBorders>
          </w:tcPr>
          <w:p>
            <w:pPr>
              <w:pStyle w:val="TAL"/>
              <w:rPr>
                <w:lang w:val="en-GB"/>
              </w:rPr>
            </w:pPr>
            <w:r>
              <w:rPr>
                <w:lang w:val="en-GB"/>
              </w:rPr>
              <w:t>Max Loss</w:t>
            </w:r>
          </w:p>
        </w:tc>
        <w:tc>
          <w:tcPr>
            <w:tcW w:w="631" w:type="dxa"/>
            <w:tcBorders>
              <w:right w:val="single" w:sz="6" w:space="0" w:color="000000"/>
            </w:tcBorders>
          </w:tcPr>
          <w:p>
            <w:pPr>
              <w:pStyle w:val="TAC"/>
              <w:rPr>
                <w:lang w:val="en-GB"/>
              </w:rPr>
            </w:pPr>
            <w:r>
              <w:rPr>
                <w:b/>
                <w:lang w:val="en-GB"/>
              </w:rPr>
              <w:t>114</w:t>
            </w:r>
          </w:p>
        </w:tc>
        <w:tc>
          <w:tcPr>
            <w:tcW w:w="631" w:type="dxa"/>
            <w:tcBorders>
              <w:right w:val="single" w:sz="6" w:space="0" w:color="000000"/>
            </w:tcBorders>
          </w:tcPr>
          <w:p>
            <w:pPr>
              <w:pStyle w:val="TAC"/>
              <w:rPr>
                <w:lang w:val="en-GB"/>
              </w:rPr>
            </w:pPr>
            <w:r>
              <w:rPr>
                <w:b/>
                <w:lang w:val="en-GB"/>
              </w:rPr>
              <w:t>122</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b/>
                <w:lang w:val="en-GB"/>
              </w:rPr>
              <w:t>136</w:t>
            </w:r>
          </w:p>
        </w:tc>
        <w:tc>
          <w:tcPr>
            <w:tcW w:w="567" w:type="dxa"/>
            <w:tcBorders>
              <w:left w:val="single" w:sz="6" w:space="0" w:color="000000"/>
              <w:right w:val="single" w:sz="6" w:space="0" w:color="000000"/>
            </w:tcBorders>
          </w:tcPr>
          <w:p>
            <w:pPr>
              <w:pStyle w:val="TAC"/>
              <w:rPr>
                <w:lang w:val="en-GB"/>
              </w:rPr>
            </w:pPr>
            <w:r>
              <w:rPr>
                <w:b/>
                <w:lang w:val="en-GB"/>
              </w:rPr>
              <w:t>130</w:t>
            </w:r>
          </w:p>
        </w:tc>
        <w:tc>
          <w:tcPr>
            <w:tcW w:w="567" w:type="dxa"/>
            <w:tcBorders>
              <w:left w:val="single" w:sz="6" w:space="0" w:color="000000"/>
              <w:right w:val="single" w:sz="6" w:space="0" w:color="000000"/>
            </w:tcBorders>
          </w:tcPr>
          <w:p>
            <w:pPr>
              <w:pStyle w:val="TAC"/>
              <w:rPr>
                <w:lang w:val="en-GB"/>
              </w:rPr>
            </w:pPr>
            <w:r>
              <w:rPr>
                <w:b/>
                <w:lang w:val="en-GB"/>
              </w:rPr>
              <w:t>125</w:t>
            </w:r>
          </w:p>
        </w:tc>
        <w:tc>
          <w:tcPr>
            <w:tcW w:w="567" w:type="dxa"/>
            <w:tcBorders>
              <w:left w:val="single" w:sz="6" w:space="0" w:color="000000"/>
              <w:right w:val="single" w:sz="6" w:space="0" w:color="000000"/>
            </w:tcBorders>
          </w:tcPr>
          <w:p>
            <w:pPr>
              <w:pStyle w:val="TAC"/>
              <w:rPr>
                <w:lang w:val="en-GB"/>
              </w:rPr>
            </w:pPr>
            <w:r>
              <w:rPr>
                <w:b/>
                <w:lang w:val="en-GB"/>
              </w:rPr>
              <w:t>120</w:t>
            </w:r>
          </w:p>
        </w:tc>
        <w:tc>
          <w:tcPr>
            <w:tcW w:w="567" w:type="dxa"/>
            <w:tcBorders>
              <w:left w:val="single" w:sz="6" w:space="0" w:color="000000"/>
              <w:right w:val="single" w:sz="6" w:space="0" w:color="000000"/>
            </w:tcBorders>
          </w:tcPr>
          <w:p>
            <w:pPr>
              <w:pStyle w:val="TAC"/>
              <w:rPr>
                <w:lang w:val="en-GB"/>
              </w:rPr>
            </w:pPr>
            <w:r>
              <w:rPr>
                <w:b/>
                <w:lang w:val="en-GB"/>
              </w:rPr>
              <w:t>115</w:t>
            </w:r>
          </w:p>
        </w:tc>
        <w:tc>
          <w:tcPr>
            <w:tcW w:w="57"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b/>
                <w:lang w:val="en-GB"/>
              </w:rPr>
              <w:t>137</w:t>
            </w:r>
          </w:p>
        </w:tc>
        <w:tc>
          <w:tcPr>
            <w:tcW w:w="567" w:type="dxa"/>
            <w:tcBorders>
              <w:left w:val="single" w:sz="6" w:space="0" w:color="000000"/>
              <w:right w:val="single" w:sz="6" w:space="0" w:color="000000"/>
            </w:tcBorders>
          </w:tcPr>
          <w:p>
            <w:pPr>
              <w:pStyle w:val="TAC"/>
              <w:rPr>
                <w:lang w:val="en-GB"/>
              </w:rPr>
            </w:pPr>
            <w:r>
              <w:rPr>
                <w:b/>
                <w:lang w:val="en-GB"/>
              </w:rPr>
              <w:t>134</w:t>
            </w:r>
          </w:p>
        </w:tc>
        <w:tc>
          <w:tcPr>
            <w:tcW w:w="567" w:type="dxa"/>
            <w:tcBorders>
              <w:left w:val="single" w:sz="6" w:space="0" w:color="000000"/>
              <w:right w:val="single" w:sz="6" w:space="0" w:color="000000"/>
            </w:tcBorders>
          </w:tcPr>
          <w:p>
            <w:pPr>
              <w:pStyle w:val="TAC"/>
              <w:rPr>
                <w:lang w:val="en-GB"/>
              </w:rPr>
            </w:pPr>
            <w:r>
              <w:rPr>
                <w:b/>
                <w:lang w:val="en-GB"/>
              </w:rPr>
              <w:t>129</w:t>
            </w:r>
          </w:p>
        </w:tc>
        <w:tc>
          <w:tcPr>
            <w:tcW w:w="567" w:type="dxa"/>
            <w:tcBorders>
              <w:left w:val="single" w:sz="6" w:space="0" w:color="000000"/>
              <w:right w:val="single" w:sz="6" w:space="0" w:color="000000"/>
            </w:tcBorders>
          </w:tcPr>
          <w:p>
            <w:pPr>
              <w:pStyle w:val="TAC"/>
              <w:rPr>
                <w:lang w:val="en-GB"/>
              </w:rPr>
            </w:pPr>
            <w:r>
              <w:rPr>
                <w:b/>
                <w:lang w:val="en-GB"/>
              </w:rPr>
              <w:t>124</w:t>
            </w:r>
          </w:p>
        </w:tc>
      </w:tr>
      <w:tr>
        <w:trPr>
          <w:trHeight w:val="259" w:hRule="atLeast"/>
        </w:trPr>
        <w:tc>
          <w:tcPr>
            <w:tcW w:w="1627" w:type="dxa"/>
            <w:tcBorders>
              <w:left w:val="single" w:sz="6" w:space="0" w:color="000000"/>
              <w:right w:val="single" w:sz="6" w:space="0" w:color="000000"/>
            </w:tcBorders>
          </w:tcPr>
          <w:p>
            <w:pPr>
              <w:pStyle w:val="TAL"/>
              <w:rPr>
                <w:lang w:val="en-GB"/>
              </w:rPr>
            </w:pPr>
            <w:r>
              <w:rPr>
                <w:lang w:val="en-GB"/>
              </w:rPr>
              <w:t>MCL</w:t>
            </w:r>
          </w:p>
        </w:tc>
        <w:tc>
          <w:tcPr>
            <w:tcW w:w="631" w:type="dxa"/>
            <w:tcBorders>
              <w:right w:val="single" w:sz="6" w:space="0" w:color="000000"/>
            </w:tcBorders>
          </w:tcPr>
          <w:p>
            <w:pPr>
              <w:pStyle w:val="TAC"/>
              <w:rPr>
                <w:lang w:val="en-GB"/>
              </w:rPr>
            </w:pPr>
            <w:r>
              <w:rPr>
                <w:b/>
                <w:lang w:val="en-GB"/>
              </w:rPr>
              <w:t>44</w:t>
            </w:r>
          </w:p>
        </w:tc>
        <w:tc>
          <w:tcPr>
            <w:tcW w:w="631" w:type="dxa"/>
            <w:tcBorders>
              <w:right w:val="single" w:sz="6" w:space="0" w:color="000000"/>
            </w:tcBorders>
          </w:tcPr>
          <w:p>
            <w:pPr>
              <w:pStyle w:val="TAC"/>
              <w:rPr>
                <w:lang w:val="en-GB"/>
              </w:rPr>
            </w:pPr>
            <w:r>
              <w:rPr>
                <w:b/>
                <w:lang w:val="en-GB"/>
              </w:rPr>
              <w:t>50</w:t>
            </w:r>
          </w:p>
        </w:tc>
        <w:tc>
          <w:tcPr>
            <w:tcW w:w="60"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b/>
                <w:lang w:val="en-GB"/>
              </w:rPr>
              <w:t>66</w:t>
            </w:r>
          </w:p>
        </w:tc>
        <w:tc>
          <w:tcPr>
            <w:tcW w:w="567" w:type="dxa"/>
            <w:tcBorders>
              <w:left w:val="single" w:sz="6" w:space="0" w:color="000000"/>
              <w:right w:val="single" w:sz="6" w:space="0" w:color="000000"/>
            </w:tcBorders>
          </w:tcPr>
          <w:p>
            <w:pPr>
              <w:pStyle w:val="TAC"/>
              <w:rPr>
                <w:lang w:val="en-GB"/>
              </w:rPr>
            </w:pPr>
            <w:r>
              <w:rPr>
                <w:b/>
                <w:lang w:val="en-GB"/>
              </w:rPr>
              <w:t>60</w:t>
            </w:r>
          </w:p>
        </w:tc>
        <w:tc>
          <w:tcPr>
            <w:tcW w:w="567" w:type="dxa"/>
            <w:tcBorders>
              <w:left w:val="single" w:sz="6" w:space="0" w:color="000000"/>
              <w:right w:val="single" w:sz="6" w:space="0" w:color="000000"/>
            </w:tcBorders>
          </w:tcPr>
          <w:p>
            <w:pPr>
              <w:pStyle w:val="TAC"/>
              <w:rPr>
                <w:lang w:val="en-GB"/>
              </w:rPr>
            </w:pPr>
            <w:r>
              <w:rPr>
                <w:b/>
                <w:lang w:val="en-GB"/>
              </w:rPr>
              <w:t>55</w:t>
            </w:r>
          </w:p>
        </w:tc>
        <w:tc>
          <w:tcPr>
            <w:tcW w:w="567" w:type="dxa"/>
            <w:tcBorders>
              <w:left w:val="single" w:sz="6" w:space="0" w:color="000000"/>
              <w:right w:val="single" w:sz="6" w:space="0" w:color="000000"/>
            </w:tcBorders>
          </w:tcPr>
          <w:p>
            <w:pPr>
              <w:pStyle w:val="TAC"/>
              <w:rPr>
                <w:lang w:val="en-GB"/>
              </w:rPr>
            </w:pPr>
            <w:r>
              <w:rPr>
                <w:b/>
                <w:lang w:val="en-GB"/>
              </w:rPr>
              <w:t>50</w:t>
            </w:r>
          </w:p>
        </w:tc>
        <w:tc>
          <w:tcPr>
            <w:tcW w:w="567" w:type="dxa"/>
            <w:tcBorders>
              <w:left w:val="single" w:sz="6" w:space="0" w:color="000000"/>
              <w:right w:val="single" w:sz="6" w:space="0" w:color="000000"/>
            </w:tcBorders>
          </w:tcPr>
          <w:p>
            <w:pPr>
              <w:pStyle w:val="TAC"/>
              <w:rPr>
                <w:lang w:val="en-GB"/>
              </w:rPr>
            </w:pPr>
            <w:r>
              <w:rPr>
                <w:b/>
                <w:lang w:val="en-GB"/>
              </w:rPr>
              <w:t>45</w:t>
            </w:r>
          </w:p>
        </w:tc>
        <w:tc>
          <w:tcPr>
            <w:tcW w:w="57" w:type="dxa"/>
            <w:tcBorders/>
          </w:tcPr>
          <w:p>
            <w:pPr>
              <w:pStyle w:val="TAC"/>
              <w:snapToGrid w:val="false"/>
              <w:rPr>
                <w:lang w:val="en-GB"/>
              </w:rPr>
            </w:pPr>
            <w:r>
              <w:rPr>
                <w:lang w:val="en-GB"/>
              </w:rPr>
            </w:r>
          </w:p>
        </w:tc>
        <w:tc>
          <w:tcPr>
            <w:tcW w:w="567" w:type="dxa"/>
            <w:tcBorders>
              <w:left w:val="single" w:sz="6" w:space="0" w:color="000000"/>
              <w:right w:val="single" w:sz="6" w:space="0" w:color="000000"/>
            </w:tcBorders>
          </w:tcPr>
          <w:p>
            <w:pPr>
              <w:pStyle w:val="TAC"/>
              <w:rPr>
                <w:lang w:val="en-GB"/>
              </w:rPr>
            </w:pPr>
            <w:r>
              <w:rPr>
                <w:b/>
                <w:lang w:val="en-GB"/>
              </w:rPr>
              <w:t>63</w:t>
            </w:r>
          </w:p>
        </w:tc>
        <w:tc>
          <w:tcPr>
            <w:tcW w:w="567" w:type="dxa"/>
            <w:tcBorders>
              <w:left w:val="single" w:sz="6" w:space="0" w:color="000000"/>
              <w:right w:val="single" w:sz="6" w:space="0" w:color="000000"/>
            </w:tcBorders>
          </w:tcPr>
          <w:p>
            <w:pPr>
              <w:pStyle w:val="TAC"/>
              <w:rPr>
                <w:lang w:val="en-GB"/>
              </w:rPr>
            </w:pPr>
            <w:r>
              <w:rPr>
                <w:b/>
                <w:lang w:val="en-GB"/>
              </w:rPr>
              <w:t>60</w:t>
            </w:r>
          </w:p>
        </w:tc>
        <w:tc>
          <w:tcPr>
            <w:tcW w:w="567" w:type="dxa"/>
            <w:tcBorders>
              <w:left w:val="single" w:sz="6" w:space="0" w:color="000000"/>
              <w:right w:val="single" w:sz="6" w:space="0" w:color="000000"/>
            </w:tcBorders>
          </w:tcPr>
          <w:p>
            <w:pPr>
              <w:pStyle w:val="TAC"/>
              <w:rPr>
                <w:lang w:val="en-GB"/>
              </w:rPr>
            </w:pPr>
            <w:r>
              <w:rPr>
                <w:b/>
                <w:lang w:val="en-GB"/>
              </w:rPr>
              <w:t>55</w:t>
            </w:r>
          </w:p>
        </w:tc>
        <w:tc>
          <w:tcPr>
            <w:tcW w:w="567" w:type="dxa"/>
            <w:tcBorders>
              <w:left w:val="single" w:sz="6" w:space="0" w:color="000000"/>
              <w:right w:val="single" w:sz="6" w:space="0" w:color="000000"/>
            </w:tcBorders>
          </w:tcPr>
          <w:p>
            <w:pPr>
              <w:pStyle w:val="TAC"/>
              <w:rPr>
                <w:lang w:val="en-GB"/>
              </w:rPr>
            </w:pPr>
            <w:r>
              <w:rPr>
                <w:b/>
                <w:lang w:val="en-GB"/>
              </w:rPr>
              <w:t>50</w:t>
            </w:r>
          </w:p>
        </w:tc>
      </w:tr>
      <w:tr>
        <w:trPr>
          <w:trHeight w:val="259" w:hRule="atLeast"/>
        </w:trPr>
        <w:tc>
          <w:tcPr>
            <w:tcW w:w="1627" w:type="dxa"/>
            <w:tcBorders>
              <w:left w:val="single" w:sz="6" w:space="0" w:color="000000"/>
              <w:bottom w:val="single" w:sz="6" w:space="0" w:color="000000"/>
              <w:right w:val="single" w:sz="6" w:space="0" w:color="000000"/>
            </w:tcBorders>
          </w:tcPr>
          <w:p>
            <w:pPr>
              <w:pStyle w:val="TAL"/>
              <w:rPr>
                <w:lang w:val="en-GB"/>
              </w:rPr>
            </w:pPr>
            <w:r>
              <w:rPr>
                <w:lang w:val="en-GB"/>
              </w:rPr>
              <w:t>Dyn Range</w:t>
            </w:r>
          </w:p>
        </w:tc>
        <w:tc>
          <w:tcPr>
            <w:tcW w:w="631" w:type="dxa"/>
            <w:tcBorders>
              <w:bottom w:val="single" w:sz="6" w:space="0" w:color="000000"/>
              <w:right w:val="single" w:sz="6" w:space="0" w:color="000000"/>
            </w:tcBorders>
          </w:tcPr>
          <w:p>
            <w:pPr>
              <w:pStyle w:val="TAC"/>
              <w:rPr>
                <w:lang w:val="en-GB"/>
              </w:rPr>
            </w:pPr>
            <w:r>
              <w:rPr>
                <w:b/>
                <w:lang w:val="en-GB"/>
              </w:rPr>
              <w:t>70</w:t>
            </w:r>
          </w:p>
        </w:tc>
        <w:tc>
          <w:tcPr>
            <w:tcW w:w="631" w:type="dxa"/>
            <w:tcBorders>
              <w:bottom w:val="single" w:sz="6" w:space="0" w:color="000000"/>
              <w:right w:val="single" w:sz="6" w:space="0" w:color="000000"/>
            </w:tcBorders>
          </w:tcPr>
          <w:p>
            <w:pPr>
              <w:pStyle w:val="TAC"/>
              <w:rPr>
                <w:lang w:val="en-GB"/>
              </w:rPr>
            </w:pPr>
            <w:r>
              <w:rPr>
                <w:b/>
                <w:lang w:val="en-GB"/>
              </w:rPr>
              <w:t>72</w:t>
            </w:r>
          </w:p>
        </w:tc>
        <w:tc>
          <w:tcPr>
            <w:tcW w:w="60" w:type="dxa"/>
            <w:tcBorders/>
          </w:tcPr>
          <w:p>
            <w:pPr>
              <w:pStyle w:val="TAC"/>
              <w:snapToGrid w:val="false"/>
              <w:rPr>
                <w:lang w:val="en-GB"/>
              </w:rPr>
            </w:pPr>
            <w:r>
              <w:rPr>
                <w:lang w:val="en-GB"/>
              </w:rPr>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70</w:t>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70</w:t>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70</w:t>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70</w:t>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70</w:t>
            </w:r>
          </w:p>
        </w:tc>
        <w:tc>
          <w:tcPr>
            <w:tcW w:w="57" w:type="dxa"/>
            <w:tcBorders/>
          </w:tcPr>
          <w:p>
            <w:pPr>
              <w:pStyle w:val="TAC"/>
              <w:snapToGrid w:val="false"/>
              <w:rPr>
                <w:lang w:val="en-GB"/>
              </w:rPr>
            </w:pPr>
            <w:r>
              <w:rPr>
                <w:lang w:val="en-GB"/>
              </w:rPr>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74</w:t>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74</w:t>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74</w:t>
            </w:r>
          </w:p>
        </w:tc>
        <w:tc>
          <w:tcPr>
            <w:tcW w:w="567" w:type="dxa"/>
            <w:tcBorders>
              <w:left w:val="single" w:sz="6" w:space="0" w:color="000000"/>
              <w:bottom w:val="single" w:sz="6" w:space="0" w:color="000000"/>
              <w:right w:val="single" w:sz="6" w:space="0" w:color="000000"/>
            </w:tcBorders>
          </w:tcPr>
          <w:p>
            <w:pPr>
              <w:pStyle w:val="TAC"/>
              <w:rPr>
                <w:lang w:val="en-GB"/>
              </w:rPr>
            </w:pPr>
            <w:r>
              <w:rPr>
                <w:b/>
                <w:lang w:val="en-GB"/>
              </w:rPr>
              <w:t>74</w:t>
            </w:r>
          </w:p>
        </w:tc>
      </w:tr>
    </w:tbl>
    <w:p>
      <w:pPr>
        <w:pStyle w:val="NF"/>
        <w:rPr/>
      </w:pPr>
      <w:r>
        <w:rPr/>
      </w:r>
    </w:p>
    <w:p>
      <w:pPr>
        <w:pStyle w:val="NF"/>
        <w:rPr/>
      </w:pPr>
      <w:r>
        <w:rPr/>
        <w:t>NOTE 1:</w:t>
        <w:tab/>
        <w:t>Shaded boxes are changeable parameters.</w:t>
      </w:r>
    </w:p>
    <w:p>
      <w:pPr>
        <w:pStyle w:val="NF"/>
        <w:rPr/>
      </w:pPr>
      <w:r>
        <w:rPr/>
        <w:t>NOTE 2:</w:t>
        <w:tab/>
        <w:t>Max loss excludes any antenna gain / cable loss.</w:t>
      </w:r>
    </w:p>
    <w:p>
      <w:pPr>
        <w:pStyle w:val="NF"/>
        <w:rPr/>
      </w:pPr>
      <w:r>
        <w:rPr/>
        <w:t>NOTE 3:</w:t>
        <w:tab/>
        <w:t>Powers and sensitvities are specified at the antenna connector.</w:t>
      </w:r>
    </w:p>
    <w:p>
      <w:pPr>
        <w:pStyle w:val="NF"/>
        <w:rPr/>
      </w:pPr>
      <w:r>
        <w:rPr/>
        <w:t>NOTE 4:</w:t>
        <w:tab/>
        <w:t>Noise measured in 180 kHz.</w:t>
      </w:r>
    </w:p>
    <w:p>
      <w:pPr>
        <w:pStyle w:val="NF"/>
        <w:rPr/>
      </w:pPr>
      <w:r>
        <w:rPr/>
        <w:t>NOTE 5:</w:t>
        <w:tab/>
        <w:t>-71 dB used for class 5 MS but is going to be -67 dB, i.e. raises 4 dB higher.</w:t>
      </w:r>
    </w:p>
    <w:p>
      <w:pPr>
        <w:pStyle w:val="NF"/>
        <w:rPr/>
      </w:pPr>
      <w:r>
        <w:rPr/>
      </w:r>
    </w:p>
    <w:p>
      <w:pPr>
        <w:pStyle w:val="TF"/>
        <w:rPr/>
      </w:pPr>
      <w:r>
        <w:rPr/>
        <w:t>Figure 1: Microcell RF Parameters with proposed GSM MS noise</w:t>
      </w:r>
      <w:r>
        <w:br w:type="page"/>
      </w:r>
    </w:p>
    <w:p>
      <w:pPr>
        <w:pStyle w:val="Heading9"/>
        <w:rPr/>
      </w:pPr>
      <w:bookmarkStart w:id="236" w:name="__RefHeading___Toc518035670"/>
      <w:bookmarkEnd w:id="236"/>
      <w:r>
        <w:rPr/>
        <w:t>Annex D:</w:t>
        <w:br/>
        <w:t>Conversion factors</w:t>
      </w:r>
    </w:p>
    <w:p>
      <w:pPr>
        <w:pStyle w:val="Normal"/>
        <w:rPr>
          <w:b/>
          <w:b/>
        </w:rPr>
      </w:pPr>
      <w:r>
        <w:rPr>
          <w:b/>
        </w:rPr>
        <w:t>REPORT OF AD HOC MEETING ON RF PARAMETERS</w:t>
      </w:r>
    </w:p>
    <w:p>
      <w:pPr>
        <w:pStyle w:val="Normal"/>
        <w:rPr/>
      </w:pPr>
      <w:r>
        <w:rPr/>
        <w:t>The aim of the meeting was to define BTS transmitter requirements that are consistent with each other (TD 42/92), the following  are the specifications that were discussed:</w:t>
      </w:r>
    </w:p>
    <w:p>
      <w:pPr>
        <w:pStyle w:val="B1"/>
        <w:rPr/>
      </w:pPr>
      <w:r>
        <w:rPr/>
        <w:t>-</w:t>
        <w:tab/>
        <w:t>Modulation Mask.</w:t>
      </w:r>
    </w:p>
    <w:p>
      <w:pPr>
        <w:pStyle w:val="B1"/>
        <w:rPr/>
      </w:pPr>
      <w:r>
        <w:rPr/>
        <w:t>-</w:t>
        <w:tab/>
        <w:t>Switching Transients.</w:t>
      </w:r>
    </w:p>
    <w:p>
      <w:pPr>
        <w:pStyle w:val="B1"/>
        <w:rPr/>
      </w:pPr>
      <w:r>
        <w:rPr/>
        <w:t>-</w:t>
        <w:tab/>
        <w:t>Spurious Emissions.</w:t>
      </w:r>
    </w:p>
    <w:p>
      <w:pPr>
        <w:pStyle w:val="B1"/>
        <w:rPr/>
      </w:pPr>
      <w:r>
        <w:rPr/>
        <w:t>-</w:t>
        <w:tab/>
        <w:t>Intermodulation.</w:t>
      </w:r>
    </w:p>
    <w:p>
      <w:pPr>
        <w:pStyle w:val="Normal"/>
        <w:rPr/>
      </w:pPr>
      <w:r>
        <w:rPr/>
        <w:t>The following plan was agreed:</w:t>
      </w:r>
    </w:p>
    <w:p>
      <w:pPr>
        <w:pStyle w:val="B1"/>
        <w:rPr/>
      </w:pPr>
      <w:r>
        <w:rPr/>
        <w:t>1.</w:t>
        <w:tab/>
        <w:t>Agree normalised measurement conversion numbers.</w:t>
      </w:r>
    </w:p>
    <w:p>
      <w:pPr>
        <w:pStyle w:val="B1"/>
        <w:rPr/>
      </w:pPr>
      <w:r>
        <w:rPr/>
        <w:t>2.</w:t>
        <w:tab/>
        <w:t>Define the modulation mask based upon scenario requirements and what is practically feasible.</w:t>
      </w:r>
    </w:p>
    <w:p>
      <w:pPr>
        <w:pStyle w:val="B1"/>
        <w:rPr/>
      </w:pPr>
      <w:r>
        <w:rPr/>
        <w:t>3.</w:t>
        <w:tab/>
        <w:t>Define new specifications that provide consistent requirements and propose these changes at the next SMG2 meeting in May.</w:t>
      </w:r>
    </w:p>
    <w:p>
      <w:pPr>
        <w:pStyle w:val="Normal"/>
        <w:rPr>
          <w:b/>
          <w:b/>
        </w:rPr>
      </w:pPr>
      <w:r>
        <w:rPr>
          <w:b/>
        </w:rPr>
        <w:t>SCENARIO REQUIREMENTS</w:t>
      </w:r>
    </w:p>
    <w:p>
      <w:pPr>
        <w:pStyle w:val="Normal"/>
        <w:rPr/>
      </w:pPr>
      <w:r>
        <w:rPr/>
        <w:t>MPC presented TD 46/92 that described the scenario requirements for DCS1800 which are derived from GSM TDs 60/91 and 61/91. The following principles are contained in TD 46/92:</w:t>
      </w:r>
    </w:p>
    <w:p>
      <w:pPr>
        <w:pStyle w:val="B1"/>
        <w:rPr/>
      </w:pPr>
      <w:r>
        <w:rPr/>
        <w:t>A)</w:t>
        <w:tab/>
        <w:t>Specifications should satisfy the requirements of the system scenarios unless evidence is presented that they are not practical.</w:t>
      </w:r>
    </w:p>
    <w:p>
      <w:pPr>
        <w:pStyle w:val="B1"/>
        <w:rPr/>
      </w:pPr>
      <w:r>
        <w:rPr/>
        <w:t>B)</w:t>
        <w:tab/>
        <w:t>Since all specifications must be met, only the most stringent is important.</w:t>
      </w:r>
    </w:p>
    <w:p>
      <w:pPr>
        <w:pStyle w:val="B1"/>
        <w:rPr/>
      </w:pPr>
      <w:r>
        <w:rPr/>
        <w:t>C)</w:t>
        <w:tab/>
        <w:t>So far as possible, a test should be the tightest constraint on what it is intended to measure. for example, the 4.2.1 test on modulation and noise should be the toughest requirement on these quantities.</w:t>
      </w:r>
    </w:p>
    <w:p>
      <w:pPr>
        <w:pStyle w:val="Normal"/>
        <w:rPr/>
      </w:pPr>
      <w:r>
        <w:rPr/>
        <w:t>The document proposes a change to the modulation mask at 1.8MHz offset to align with the spurious test.  It was also stated that the intra-intermodulation requirement at 1.8MHz offset from carrier is tighter than the modulation test, TD 46/92 proposed that the test be modified to say that if the test failed, all carriers but the nearest one be switched off. If the measured level remains the same then the failure can be attributed to modulation and can be ignored. TD 46/92 also proposed a tightening of the modulation requirement at 6MHz offset to comply with the scenario requirement. There was much discussion on this subject and the values used in the scenario were questioned particularly the Minimum Coupling Loss (MCL) and the MS threshold level. It was stated by Motorola that -65 dB appears to be too stringent for MCL. AT&amp;T stated that it was unusual to design coverageor reference sensitivity at the cell boundary. AEG questioned the statistical reasoning behind a tightening of the specification for modulation. It was generally agreed that the more important scenario was with the BTS as the victim and not the MS as the victim.</w:t>
      </w:r>
    </w:p>
    <w:p>
      <w:pPr>
        <w:pStyle w:val="Normal"/>
        <w:rPr/>
      </w:pPr>
      <w:r>
        <w:rPr/>
        <w:t>Vodafone presented TD 52/92 that covered the system scenarios for GSM900, the MCL that was used for GSM900 was 59 dB. In conclusion it was recommended to try to improve limits if at all possible.</w:t>
      </w:r>
    </w:p>
    <w:p>
      <w:pPr>
        <w:pStyle w:val="Normal"/>
        <w:keepNext w:val="true"/>
        <w:keepLines/>
        <w:rPr>
          <w:b/>
          <w:b/>
        </w:rPr>
      </w:pPr>
      <w:r>
        <w:rPr>
          <w:b/>
        </w:rPr>
        <w:t>NORMALISATION OF CONVERSION NUMBERS</w:t>
      </w:r>
    </w:p>
    <w:p>
      <w:pPr>
        <w:pStyle w:val="Normal"/>
        <w:keepNext w:val="true"/>
        <w:keepLines/>
        <w:rPr/>
      </w:pPr>
      <w:r>
        <w:rPr/>
        <w:t>The TDs presented were 47, 48, 49, 50, 51, 53, 54 and 55/92. It was decided to discuss TD 47/92 at the next SMG2 meeting. TD 48/92 (AT&amp;T) was an updated version of TD 42/92 including the normalisation numbers agreed at the Amsterdam meeting of SMG2. TD 49/92 (CSELT) illustrates the differences between peak and average in a 30 kHz bandwidth at different offsets using three different commercial spectrum analysers. A bandwidth of 300 kHz is also used but due to the low offset from carrier it was commented that a resolution bandwidth of 300 kHz was too large to be accurate. TD 50/92 (France Telecom) presented information on scaling factors to be used in the normalisation process. From the plots provided in TD 50/92 evidently below 1,8 MHz offset the resolution bandwidth has to be set to less than or equal to 30kHz for an accurate representation of the signal. TD 51/92 (Vodafone) shows that an additional allowance needs to be considered depending on the effect of a particular kind of interference. The example shown is that switching transients have an effect that is 20dB less than continuous interference, therefore, a relaxation of modulation  to allow consistency would have more of an effect than a relaxation of switching transients. TD 53/92 (Cellnet)  investigates the propositions outlined in TD 42/92 using practical measurements. The paper supports all the propositions of TD 42/92 apart from one.  TD 42/92 was in error in the description of the bandwidth used for the average to peak conversion, this error had been corrected in TD 48/92. TD 54/92 (BTL)  describes normalisation parameters derived from measurement and states that the following measurements are equal to or below the modulation mask; GSM900 switching transients beyond 1 200 kHz to 1 800 kHz, all in-band spurious values and Intermodulation products less than 6 MHz are masked by the modulation. TD 55/92 (Motorola) presents measured values of modulation at various offsets, using an average 30 kHz bandwidth. Peak measurements using 30 kHz, 100 kHz and 300 kHz  bandwidths at various offsets are also presented. The conversion factors are then measured at varying offsets. On the basis of the conversion tables in TD 55/92 it was stated that a 100kHz resolution bandwidth is only meaningful at offsets greater than 1,2 MHz and a 300 kHz bandwidth is only meaningful at offsets greater than 6MHz. This corresponds with the plots in TD 50/92.</w:t>
      </w:r>
    </w:p>
    <w:p>
      <w:pPr>
        <w:pStyle w:val="Normal"/>
        <w:rPr/>
      </w:pPr>
      <w:r>
        <w:rPr/>
        <w:t>To derive the conversion numbers to be used in the normalisation process a comparison of all the numbers presented to the meeting was discussed.</w:t>
      </w:r>
    </w:p>
    <w:p>
      <w:pPr>
        <w:pStyle w:val="Normal"/>
        <w:rPr/>
      </w:pPr>
      <w:r>
        <w:rPr/>
        <w:t>It was agreed that the conversion process would be combined into three distinct steps, these steps are:</w:t>
      </w:r>
    </w:p>
    <w:p>
      <w:pPr>
        <w:pStyle w:val="B1"/>
        <w:rPr/>
      </w:pPr>
      <w:r>
        <w:rPr/>
        <w:t>1.</w:t>
        <w:tab/>
        <w:t>Average in a 30kHz BW to peak in a 30 kHz BW. All offsets.</w:t>
      </w:r>
    </w:p>
    <w:p>
      <w:pPr>
        <w:pStyle w:val="B1"/>
        <w:rPr/>
      </w:pPr>
      <w:r>
        <w:rPr/>
        <w:t>2.</w:t>
        <w:tab/>
        <w:t>Average in a 100kHz BW to peak in a 30 kHz BW. Offsets greater than or equal to 1,8 MHz.</w:t>
      </w:r>
    </w:p>
    <w:p>
      <w:pPr>
        <w:pStyle w:val="B1"/>
        <w:rPr/>
      </w:pPr>
      <w:r>
        <w:rPr/>
        <w:t>3.</w:t>
        <w:tab/>
        <w:t>Peak in a 300kHz bandwidth to peak in a 30 kHz bandwidth. Offsets greater than or equal to 6 MHz.</w:t>
      </w:r>
    </w:p>
    <w:p>
      <w:pPr>
        <w:pStyle w:val="Normal"/>
        <w:rPr/>
      </w:pPr>
      <w:r>
        <w:rPr/>
        <w:t>During the meeting it was decided that a clarification of the definition of peak hold is required in GSM 05.05 clause 4. MPC prepared a CR that stated what had been decided at the meeting. However, there was no time to discuss the CR and it will be presented at the next SMG2 plenary.</w:t>
      </w:r>
    </w:p>
    <w:p>
      <w:pPr>
        <w:pStyle w:val="Normal"/>
        <w:rPr>
          <w:b/>
          <w:b/>
        </w:rPr>
      </w:pPr>
      <w:r>
        <w:rPr>
          <w:b/>
        </w:rPr>
        <w:t>Difference between peak power and average (30 kHz BW) zero offset</w:t>
      </w:r>
    </w:p>
    <w:p>
      <w:pPr>
        <w:pStyle w:val="B1"/>
        <w:tabs>
          <w:tab w:val="clear" w:pos="284"/>
          <w:tab w:val="left" w:pos="2835" w:leader="none"/>
        </w:tabs>
        <w:rPr/>
      </w:pPr>
      <w:r>
        <w:rPr/>
        <w:tab/>
        <w:t>AT&amp;T</w:t>
        <w:tab/>
        <w:t>8.0</w:t>
      </w:r>
    </w:p>
    <w:p>
      <w:pPr>
        <w:pStyle w:val="B1"/>
        <w:tabs>
          <w:tab w:val="clear" w:pos="284"/>
          <w:tab w:val="left" w:pos="2835" w:leader="none"/>
        </w:tabs>
        <w:rPr/>
      </w:pPr>
      <w:r>
        <w:rPr/>
        <w:tab/>
        <w:t>CSELT</w:t>
        <w:tab/>
        <w:t>7.5</w:t>
      </w:r>
    </w:p>
    <w:p>
      <w:pPr>
        <w:pStyle w:val="B1"/>
        <w:tabs>
          <w:tab w:val="clear" w:pos="284"/>
          <w:tab w:val="left" w:pos="2835" w:leader="none"/>
        </w:tabs>
        <w:rPr/>
      </w:pPr>
      <w:r>
        <w:rPr/>
        <w:tab/>
        <w:t>Cellnet</w:t>
        <w:tab/>
        <w:t>8.2</w:t>
      </w:r>
    </w:p>
    <w:p>
      <w:pPr>
        <w:pStyle w:val="B1"/>
        <w:tabs>
          <w:tab w:val="clear" w:pos="284"/>
          <w:tab w:val="left" w:pos="2835" w:leader="none"/>
        </w:tabs>
        <w:rPr/>
      </w:pPr>
      <w:r>
        <w:rPr/>
        <w:tab/>
        <w:t>France Telecom</w:t>
        <w:tab/>
        <w:t>7.4</w:t>
      </w:r>
    </w:p>
    <w:p>
      <w:pPr>
        <w:pStyle w:val="B1"/>
        <w:tabs>
          <w:tab w:val="clear" w:pos="284"/>
          <w:tab w:val="left" w:pos="2835" w:leader="none"/>
        </w:tabs>
        <w:rPr/>
      </w:pPr>
      <w:r>
        <w:rPr/>
        <w:tab/>
        <w:t>BTL</w:t>
        <w:tab/>
        <w:t>8.0</w:t>
      </w:r>
    </w:p>
    <w:p>
      <w:pPr>
        <w:pStyle w:val="B1"/>
        <w:tabs>
          <w:tab w:val="clear" w:pos="284"/>
          <w:tab w:val="left" w:pos="2835" w:leader="none"/>
        </w:tabs>
        <w:rPr/>
      </w:pPr>
      <w:r>
        <w:rPr/>
        <w:tab/>
        <w:t>Motorola</w:t>
        <w:tab/>
        <w:t>7.3</w:t>
      </w:r>
    </w:p>
    <w:p>
      <w:pPr>
        <w:pStyle w:val="B1"/>
        <w:tabs>
          <w:tab w:val="clear" w:pos="284"/>
          <w:tab w:val="left" w:pos="2835" w:leader="none"/>
        </w:tabs>
        <w:rPr/>
      </w:pPr>
      <w:r>
        <w:rPr/>
        <w:tab/>
        <w:t>Average</w:t>
        <w:tab/>
        <w:t>7.7</w:t>
      </w:r>
    </w:p>
    <w:p>
      <w:pPr>
        <w:pStyle w:val="Normal"/>
        <w:rPr/>
      </w:pPr>
      <w:r>
        <w:rPr/>
        <w:t>A value of 8 dB was agreed.</w:t>
      </w:r>
    </w:p>
    <w:p>
      <w:pPr>
        <w:pStyle w:val="Normal"/>
        <w:rPr>
          <w:b/>
          <w:b/>
        </w:rPr>
      </w:pPr>
      <w:r>
        <w:rPr>
          <w:b/>
        </w:rPr>
        <w:t>Average to Peak in a 30 kHz bandwidth.</w:t>
      </w:r>
    </w:p>
    <w:tbl>
      <w:tblPr>
        <w:tblW w:w="8638" w:type="dxa"/>
        <w:jc w:val="center"/>
        <w:tblInd w:w="0" w:type="dxa"/>
        <w:tblLayout w:type="fixed"/>
        <w:tblCellMar>
          <w:top w:w="0" w:type="dxa"/>
          <w:left w:w="108" w:type="dxa"/>
          <w:bottom w:w="0" w:type="dxa"/>
          <w:right w:w="108" w:type="dxa"/>
        </w:tblCellMar>
      </w:tblPr>
      <w:tblGrid>
        <w:gridCol w:w="1234"/>
        <w:gridCol w:w="1234"/>
        <w:gridCol w:w="1234"/>
        <w:gridCol w:w="1234"/>
        <w:gridCol w:w="1234"/>
        <w:gridCol w:w="1234"/>
        <w:gridCol w:w="1234"/>
      </w:tblGrid>
      <w:tr>
        <w:trPr>
          <w:cantSplit w:val="true"/>
        </w:trPr>
        <w:tc>
          <w:tcPr>
            <w:tcW w:w="1234" w:type="dxa"/>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t>Org.</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0 kHz</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400 kHz</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600 kHz</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1 200 kHz</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1 800 kHz</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 MHz</w:t>
            </w:r>
          </w:p>
        </w:tc>
      </w:tr>
      <w:tr>
        <w:trPr>
          <w:cantSplit w:val="true"/>
        </w:trPr>
        <w:tc>
          <w:tcPr>
            <w:tcW w:w="123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AT&amp;T</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 dB</w:t>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cantSplit w:val="true"/>
        </w:trPr>
        <w:tc>
          <w:tcPr>
            <w:tcW w:w="123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FT</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 dB</w:t>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cantSplit w:val="true"/>
        </w:trPr>
        <w:tc>
          <w:tcPr>
            <w:tcW w:w="123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CSELT</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7,3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10,1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10,1 dB</w:t>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cantSplit w:val="true"/>
        </w:trPr>
        <w:tc>
          <w:tcPr>
            <w:tcW w:w="123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BTL</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 dB</w:t>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34"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cantSplit w:val="true"/>
        </w:trPr>
        <w:tc>
          <w:tcPr>
            <w:tcW w:w="1234"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Motorola</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8,5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9,4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8,6 dB</w:t>
            </w:r>
          </w:p>
        </w:tc>
      </w:tr>
      <w:tr>
        <w:trPr>
          <w:cantSplit w:val="true"/>
        </w:trPr>
        <w:tc>
          <w:tcPr>
            <w:tcW w:w="123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9,2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9,1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9,4 dB</w:t>
            </w:r>
          </w:p>
        </w:tc>
        <w:tc>
          <w:tcPr>
            <w:tcW w:w="12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8,6 dB</w:t>
            </w:r>
          </w:p>
        </w:tc>
      </w:tr>
    </w:tbl>
    <w:p>
      <w:pPr>
        <w:pStyle w:val="Normal"/>
        <w:rPr/>
      </w:pPr>
      <w:r>
        <w:rPr/>
      </w:r>
    </w:p>
    <w:p>
      <w:pPr>
        <w:pStyle w:val="Normal"/>
        <w:rPr/>
      </w:pPr>
      <w:r>
        <w:rPr/>
        <w:t>The agreed conversion factors are 8 dB at zero offset and 9 dB at all other offsets.</w:t>
      </w:r>
    </w:p>
    <w:p>
      <w:pPr>
        <w:pStyle w:val="Normal"/>
        <w:rPr>
          <w:b/>
          <w:b/>
        </w:rPr>
      </w:pPr>
      <w:r>
        <w:rPr>
          <w:b/>
        </w:rPr>
        <w:t>Average in a 100 kHz bandwidth to Peak in a 30 kHz bandwidth.</w:t>
      </w:r>
    </w:p>
    <w:p>
      <w:pPr>
        <w:pStyle w:val="Normal"/>
        <w:rPr/>
      </w:pPr>
      <w:r>
        <w:rPr/>
        <w:t>It was agreed that the conversion factor should be 5 dB at offsets above 1 800 kHz.</w:t>
      </w:r>
    </w:p>
    <w:p>
      <w:pPr>
        <w:pStyle w:val="Normal"/>
        <w:rPr>
          <w:b/>
          <w:b/>
        </w:rPr>
      </w:pPr>
      <w:r>
        <w:rPr>
          <w:b/>
        </w:rPr>
        <w:t>Peak in a 300 kHz bandwidth to Peak in a 30 kHz bandwidth.</w:t>
      </w:r>
    </w:p>
    <w:p>
      <w:pPr>
        <w:pStyle w:val="Normal"/>
        <w:rPr/>
      </w:pPr>
      <w:r>
        <w:rPr/>
        <w:t>No agreement was reached on this value so the working assumption as agreed at SMG2 was assumed pending any further validation. The conversion factor is 8 dB at offsets greater than or equal to 6 MHz.</w:t>
      </w:r>
    </w:p>
    <w:p>
      <w:pPr>
        <w:pStyle w:val="Normal"/>
        <w:rPr>
          <w:b/>
          <w:b/>
        </w:rPr>
      </w:pPr>
      <w:r>
        <w:rPr>
          <w:b/>
        </w:rPr>
        <w:t>MODULATION MASK</w:t>
      </w:r>
    </w:p>
    <w:p>
      <w:pPr>
        <w:pStyle w:val="Normal"/>
        <w:rPr/>
      </w:pPr>
      <w:r>
        <w:rPr/>
        <w:t>It was agreed that the title for subclause 4.2.1 should be changed to 'Spectrum due to the Modulation and Wide band Noise'.</w:t>
      </w:r>
    </w:p>
    <w:p>
      <w:pPr>
        <w:pStyle w:val="Normal"/>
        <w:rPr/>
      </w:pPr>
      <w:r>
        <w:rPr/>
        <w:t>In accordance with TD 46/92 (MPC) the modulation mask was tightened at 1 800kHz offset to align with the spurious requirement for DCS1800.</w:t>
      </w:r>
    </w:p>
    <w:tbl>
      <w:tblPr>
        <w:tblW w:w="8233" w:type="dxa"/>
        <w:jc w:val="center"/>
        <w:tblInd w:w="0" w:type="dxa"/>
        <w:tblLayout w:type="fixed"/>
        <w:tblCellMar>
          <w:top w:w="0" w:type="dxa"/>
          <w:left w:w="108" w:type="dxa"/>
          <w:bottom w:w="0" w:type="dxa"/>
          <w:right w:w="108" w:type="dxa"/>
        </w:tblCellMar>
      </w:tblPr>
      <w:tblGrid>
        <w:gridCol w:w="2899"/>
        <w:gridCol w:w="919"/>
        <w:gridCol w:w="919"/>
        <w:gridCol w:w="919"/>
        <w:gridCol w:w="859"/>
        <w:gridCol w:w="814"/>
        <w:gridCol w:w="904"/>
      </w:tblGrid>
      <w:tr>
        <w:trPr>
          <w:cantSplit w:val="true"/>
        </w:trPr>
        <w:tc>
          <w:tcPr>
            <w:tcW w:w="289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BTS power (dBm)</w:t>
            </w:r>
          </w:p>
        </w:tc>
        <w:tc>
          <w:tcPr>
            <w:tcW w:w="9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 33</w:t>
            </w:r>
          </w:p>
        </w:tc>
        <w:tc>
          <w:tcPr>
            <w:tcW w:w="9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9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37</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39</w:t>
            </w:r>
          </w:p>
        </w:tc>
        <w:tc>
          <w:tcPr>
            <w:tcW w:w="8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c>
          <w:tcPr>
            <w:tcW w:w="90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&gt; 43</w:t>
            </w:r>
          </w:p>
        </w:tc>
      </w:tr>
      <w:tr>
        <w:trPr>
          <w:cantSplit w:val="true"/>
        </w:trPr>
        <w:tc>
          <w:tcPr>
            <w:tcW w:w="289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Table entry in 4.2.1 (dB)</w:t>
            </w:r>
          </w:p>
        </w:tc>
        <w:tc>
          <w:tcPr>
            <w:tcW w:w="9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-65</w:t>
            </w:r>
          </w:p>
        </w:tc>
        <w:tc>
          <w:tcPr>
            <w:tcW w:w="9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-67</w:t>
            </w:r>
          </w:p>
        </w:tc>
        <w:tc>
          <w:tcPr>
            <w:tcW w:w="91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-69</w:t>
            </w:r>
          </w:p>
        </w:tc>
        <w:tc>
          <w:tcPr>
            <w:tcW w:w="8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-71</w:t>
            </w:r>
          </w:p>
        </w:tc>
        <w:tc>
          <w:tcPr>
            <w:tcW w:w="8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-73</w:t>
            </w:r>
          </w:p>
        </w:tc>
        <w:tc>
          <w:tcPr>
            <w:tcW w:w="90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w:t>
            </w:r>
          </w:p>
        </w:tc>
      </w:tr>
    </w:tbl>
    <w:p>
      <w:pPr>
        <w:pStyle w:val="Normal"/>
        <w:rPr/>
      </w:pPr>
      <w:r>
        <w:rPr/>
      </w:r>
    </w:p>
    <w:p>
      <w:pPr>
        <w:pStyle w:val="Normal"/>
        <w:rPr/>
      </w:pPr>
      <w:r>
        <w:rPr/>
        <w:t>This was also agreed for GSM900.</w:t>
      </w:r>
    </w:p>
    <w:p>
      <w:pPr>
        <w:pStyle w:val="Normal"/>
        <w:rPr/>
      </w:pPr>
      <w:r>
        <w:rPr/>
        <w:t>It was also agreed to define the modulation mask beyond 1 800 kHz for GSM900 and the value specified would be the same as the present DCS1800 requirements.</w:t>
      </w:r>
    </w:p>
    <w:p>
      <w:pPr>
        <w:pStyle w:val="Normal"/>
        <w:rPr/>
      </w:pPr>
      <w:r>
        <w:rPr/>
        <w:t>To account for lower GSM900 power levels an additional note will be added to 4.2.1:</w:t>
      </w:r>
    </w:p>
    <w:p>
      <w:pPr>
        <w:pStyle w:val="B1"/>
        <w:rPr/>
      </w:pPr>
      <w:r>
        <w:rPr/>
        <w:t>vi)</w:t>
        <w:tab/>
        <w:t>For GSM900 BTS, if the limit according to the above table between 1 800 kHz to 6 MHz is below -40 dBm, a value of:</w:t>
      </w:r>
    </w:p>
    <w:p>
      <w:pPr>
        <w:pStyle w:val="B2"/>
        <w:rPr/>
      </w:pPr>
      <w:r>
        <w:rPr/>
        <w:t>-</w:t>
        <w:tab/>
        <w:t>-40 dBm shall be used instead. If the limit above 6 MHz is below.</w:t>
      </w:r>
    </w:p>
    <w:p>
      <w:pPr>
        <w:pStyle w:val="B2"/>
        <w:rPr/>
      </w:pPr>
      <w:r>
        <w:rPr/>
        <w:t>-</w:t>
        <w:tab/>
        <w:t>-45 dBm, a value of -45 dBm shall be used instead.</w:t>
      </w:r>
    </w:p>
    <w:p>
      <w:pPr>
        <w:pStyle w:val="Normal"/>
        <w:rPr/>
      </w:pPr>
      <w:r>
        <w:rPr/>
        <w:t>It was noted that this additional note for GSM900 was based upon an alignment with the spurious requirement and the scenario requirement was not discussed.</w:t>
      </w:r>
      <w:r>
        <w:br w:type="page"/>
      </w:r>
    </w:p>
    <w:p>
      <w:pPr>
        <w:pStyle w:val="Normal"/>
        <w:tabs>
          <w:tab w:val="clear" w:pos="284"/>
          <w:tab w:val="right" w:pos="9639" w:leader="none"/>
        </w:tabs>
        <w:rPr/>
      </w:pPr>
      <w:r>
        <w:rPr/>
        <w:t>ETSI/SMG2</w:t>
        <w:tab/>
        <w:t>Tdoc  287/92</w:t>
      </w:r>
    </w:p>
    <w:p>
      <w:pPr>
        <w:pStyle w:val="Normal"/>
        <w:rPr/>
      </w:pPr>
      <w:r>
        <w:rPr/>
        <w:t>The Hague</w:t>
      </w:r>
    </w:p>
    <w:p>
      <w:pPr>
        <w:pStyle w:val="Normal"/>
        <w:rPr/>
      </w:pPr>
      <w:r>
        <w:rPr/>
        <w:t>15-18 December 1992</w:t>
      </w:r>
    </w:p>
    <w:p>
      <w:pPr>
        <w:pStyle w:val="Normal"/>
        <w:rPr/>
      </w:pPr>
      <w:r>
        <w:rPr/>
        <w:t>Source: SMG2</w:t>
      </w:r>
    </w:p>
    <w:p>
      <w:pPr>
        <w:pStyle w:val="Normal"/>
        <w:rPr>
          <w:b/>
          <w:b/>
        </w:rPr>
      </w:pPr>
      <w:r>
        <w:rPr>
          <w:b/>
        </w:rPr>
        <w:t>Title: Agreed SMG2 Conversion Factors</w:t>
      </w:r>
    </w:p>
    <w:p>
      <w:pPr>
        <w:pStyle w:val="Normal"/>
        <w:rPr/>
      </w:pPr>
      <w:r>
        <w:rPr/>
        <w:t>Maximum peak power to average power in a 30 kHz bandwidth on carrier:</w:t>
      </w:r>
    </w:p>
    <w:p>
      <w:pPr>
        <w:pStyle w:val="B1"/>
        <w:rPr/>
      </w:pPr>
      <w:r>
        <w:rPr/>
        <w:t>-</w:t>
        <w:tab/>
        <w:t>A conversion factor of -8 dB was agreed.</w:t>
      </w:r>
    </w:p>
    <w:p>
      <w:pPr>
        <w:pStyle w:val="Normal"/>
        <w:rPr/>
      </w:pPr>
      <w:r>
        <w:rPr/>
        <w:t>Average to Peak power in a 30 kHz bandwidth:</w:t>
      </w:r>
    </w:p>
    <w:p>
      <w:pPr>
        <w:pStyle w:val="B1"/>
        <w:rPr/>
      </w:pPr>
      <w:r>
        <w:rPr/>
        <w:t>-</w:t>
        <w:tab/>
        <w:t>The agreed conversion factors are +8 dB at zero offset and +9 dB at all other offsets.</w:t>
      </w:r>
    </w:p>
    <w:p>
      <w:pPr>
        <w:pStyle w:val="Normal"/>
        <w:rPr/>
      </w:pPr>
      <w:r>
        <w:rPr/>
        <w:t>Average in a 100 kHz bandwidth to Peak in a 30 kHz bandwidth:</w:t>
      </w:r>
    </w:p>
    <w:p>
      <w:pPr>
        <w:pStyle w:val="B1"/>
        <w:rPr/>
      </w:pPr>
      <w:r>
        <w:rPr/>
        <w:t>-</w:t>
        <w:tab/>
        <w:t>It was agreed that the conversion factor shall be +5 dB at offsets above 1 800 kHz from carrier.</w:t>
      </w:r>
    </w:p>
    <w:p>
      <w:pPr>
        <w:pStyle w:val="Normal"/>
        <w:rPr/>
      </w:pPr>
      <w:r>
        <w:rPr/>
        <w:t>Peak in a 300 kHz bandwidth to Peak in a 30 kHz bandwidth:</w:t>
      </w:r>
    </w:p>
    <w:p>
      <w:pPr>
        <w:pStyle w:val="B1"/>
        <w:rPr/>
      </w:pPr>
      <w:r>
        <w:rPr/>
        <w:t>-</w:t>
        <w:tab/>
        <w:t>No agreement was reached on this value so the working assumption as agreed at SMG2 was assumed pending any further validation. The conversion factor is -8 dB at offsets greater than or equal to 6 MHz.</w:t>
      </w:r>
    </w:p>
    <w:p>
      <w:pPr>
        <w:pStyle w:val="Normal"/>
        <w:rPr/>
      </w:pPr>
      <w:r>
        <w:rPr/>
        <w:t>Bandwidth conversion from 100 kHz to 300 kHz:</w:t>
      </w:r>
    </w:p>
    <w:p>
      <w:pPr>
        <w:pStyle w:val="B1"/>
        <w:rPr/>
      </w:pPr>
      <w:r>
        <w:rPr/>
        <w:t>-</w:t>
        <w:tab/>
        <w:t>This was not discussed but a working assumption of +5 dB can be assumed at</w:t>
        <w:tab/>
        <w:t>greater than 1.8 MHz offset from carrier.</w:t>
      </w:r>
    </w:p>
    <w:p>
      <w:pPr>
        <w:pStyle w:val="EX"/>
        <w:rPr/>
      </w:pPr>
      <w:r>
        <w:rPr/>
        <w:t>EXAMPLE:</w:t>
        <w:tab/>
        <w:t>To calculate the absolute level of wideband noise for a GSM900 BTS at greater than or equal to 1,8 MHz offset for BTS power greater than or equal to +43 dBm measured in a 300 kHz bandwidth.</w:t>
      </w:r>
    </w:p>
    <w:p>
      <w:pPr>
        <w:pStyle w:val="EX"/>
        <w:rPr/>
      </w:pPr>
      <w:r>
        <w:rPr/>
        <w:tab/>
        <w:t>The specification is -75 dB (100 kHz bandwidth) relative to an average measurement in a 30 kHz bandwidth at zero offset.</w:t>
      </w:r>
    </w:p>
    <w:p>
      <w:pPr>
        <w:pStyle w:val="EX"/>
        <w:rPr/>
      </w:pPr>
      <w:r>
        <w:rPr/>
        <w:tab/>
        <w:t>Therefore, the difference between peak power and average (30 kHz bandwidth) at zero offset = +8 dB.</w:t>
      </w:r>
    </w:p>
    <w:p>
      <w:pPr>
        <w:pStyle w:val="EX"/>
        <w:rPr/>
      </w:pPr>
      <w:r>
        <w:rPr/>
        <w:tab/>
        <w:t>Therefore, the absolute level = BTS power(+43 dBm) - 8 - 75</w:t>
      </w:r>
    </w:p>
    <w:p>
      <w:pPr>
        <w:pStyle w:val="EX"/>
        <w:rPr/>
      </w:pPr>
      <w:r>
        <w:rPr/>
        <w:tab/>
        <w:t>= -40 dBm (100 kHz).</w:t>
      </w:r>
    </w:p>
    <w:p>
      <w:pPr>
        <w:pStyle w:val="EX"/>
        <w:rPr/>
      </w:pPr>
      <w:r>
        <w:rPr/>
        <w:tab/>
        <w:t>= -35 dBm (300 kHz).</w:t>
      </w:r>
    </w:p>
    <w:p>
      <w:pPr>
        <w:pStyle w:val="Normal"/>
        <w:rPr/>
      </w:pPr>
      <w:r>
        <w:rPr/>
        <w:t>The above conversion factors can also be used to compare all transmitter parameters using a normalised peak measurement in a 30 kHz bandwidth.</w:t>
      </w:r>
      <w:r>
        <w:br w:type="page"/>
      </w:r>
    </w:p>
    <w:p>
      <w:pPr>
        <w:pStyle w:val="Heading9"/>
        <w:rPr>
          <w:lang w:val="it-IT"/>
        </w:rPr>
      </w:pPr>
      <w:bookmarkStart w:id="237" w:name="__RefHeading___Toc518035671"/>
      <w:bookmarkEnd w:id="237"/>
      <w:r>
        <w:rPr>
          <w:lang w:val="it-IT"/>
        </w:rPr>
        <w:t>Annex E:</w:t>
        <w:br/>
        <w:t>Repeater Scenarios</w:t>
      </w:r>
    </w:p>
    <w:p>
      <w:pPr>
        <w:pStyle w:val="Normal"/>
        <w:tabs>
          <w:tab w:val="clear" w:pos="284"/>
          <w:tab w:val="right" w:pos="9639" w:leader="none"/>
        </w:tabs>
        <w:rPr>
          <w:lang w:val="it-IT"/>
        </w:rPr>
      </w:pPr>
      <w:r>
        <w:rPr>
          <w:lang w:val="it-IT"/>
        </w:rPr>
        <w:t>ETSI SMG2 ad-hoc ~</w:t>
        <w:tab/>
        <w:t>Tdoc. 24/94</w:t>
      </w:r>
    </w:p>
    <w:p>
      <w:pPr>
        <w:pStyle w:val="Normal"/>
        <w:rPr/>
      </w:pPr>
      <w:r>
        <w:rPr/>
        <w:t>Rome, 8 March 1994</w:t>
      </w:r>
    </w:p>
    <w:p>
      <w:pPr>
        <w:pStyle w:val="Normal"/>
        <w:rPr/>
      </w:pPr>
      <w:r>
        <w:rPr>
          <w:b/>
        </w:rPr>
        <w:t>Title: REPEATER SCENARIOS FOR DCS1800</w:t>
      </w:r>
    </w:p>
    <w:p>
      <w:pPr>
        <w:pStyle w:val="Normal"/>
        <w:rPr/>
      </w:pPr>
      <w:r>
        <w:rPr/>
        <w:t>Source: Mercury One-2-One</w:t>
      </w:r>
    </w:p>
    <w:p>
      <w:pPr>
        <w:pStyle w:val="Heading1"/>
        <w:ind w:left="1134" w:hanging="1134"/>
        <w:rPr/>
      </w:pPr>
      <w:bookmarkStart w:id="238" w:name="__RefHeading___Toc518035672"/>
      <w:bookmarkEnd w:id="238"/>
      <w:r>
        <w:rPr/>
        <w:t>E.1</w:t>
        <w:tab/>
        <w:t>INTRODUCTION</w:t>
      </w:r>
    </w:p>
    <w:p>
      <w:pPr>
        <w:pStyle w:val="Normal"/>
        <w:rPr/>
      </w:pPr>
      <w:r>
        <w:rPr/>
        <w:t>Repeaters represent a relatively low cost means of enhancing a network's coverage in certain locations. Their behaviour is fundamentally different to BTS's in that their output power levels are input level dependent. The RF requirements for these repeater should therefore not be automatically derived from existing BTS specifications, but rather should be derived from realistic scenarios, with due attention paid to what is feasible and economically reasonable to implement.</w:t>
      </w:r>
    </w:p>
    <w:p>
      <w:pPr>
        <w:pStyle w:val="Heading1"/>
        <w:ind w:left="1134" w:hanging="1134"/>
        <w:rPr/>
      </w:pPr>
      <w:bookmarkStart w:id="239" w:name="__RefHeading___Toc518035673"/>
      <w:bookmarkEnd w:id="239"/>
      <w:r>
        <w:rPr/>
        <w:t>E.2</w:t>
        <w:tab/>
        <w:t>REPEATER APPLICATIONS - OUTDOOR AND INDOOR</w:t>
      </w:r>
    </w:p>
    <w:p>
      <w:pPr>
        <w:pStyle w:val="Normal"/>
        <w:rPr/>
      </w:pPr>
      <w:r>
        <w:rPr/>
        <w:t>Mercury One_2_One considers that most repeater applications fall into two types: outdoor and indoor.</w:t>
      </w:r>
    </w:p>
    <w:p>
      <w:pPr>
        <w:pStyle w:val="Normal"/>
        <w:rPr/>
      </w:pPr>
      <w:r>
        <w:rPr/>
        <w:t xml:space="preserve">In </w:t>
      </w:r>
      <w:r>
        <w:rPr>
          <w:i/>
        </w:rPr>
        <w:t xml:space="preserve">outdoor </w:t>
      </w:r>
      <w:r>
        <w:rPr/>
        <w:t>applications there is normally a need to cover a limited outdoor area into which propagation from existing cell sites is restricted due to terrain or other shadowing effects. Minimum coupling losses from the repeater to nearby MSs are similar to those for existing BTSs (65 dB), and the required gain to provide a reasonable area of effective enhancement is of the order of 70 dB.</w:t>
      </w:r>
    </w:p>
    <w:p>
      <w:pPr>
        <w:pStyle w:val="Normal"/>
        <w:rPr/>
      </w:pPr>
      <w:r>
        <w:rPr>
          <w:i/>
        </w:rPr>
        <w:t xml:space="preserve">Indoor </w:t>
      </w:r>
      <w:r>
        <w:rPr/>
        <w:t>applications are characterised by smaller minimum coupling losses (45 dB), and in order to avoid very high output powers towards the BTS as a result of close-by MSs, the gain of such indoor repeaters is smaller and of the order of 40 dB.</w:t>
      </w:r>
    </w:p>
    <w:p>
      <w:pPr>
        <w:pStyle w:val="Normal"/>
        <w:rPr/>
      </w:pPr>
      <w:r>
        <w:rPr/>
        <w:t>Both of these applications will be considered in more detail in the following subclauses.</w:t>
      </w:r>
    </w:p>
    <w:p>
      <w:pPr>
        <w:pStyle w:val="Heading1"/>
        <w:ind w:left="1134" w:hanging="1134"/>
        <w:rPr/>
      </w:pPr>
      <w:bookmarkStart w:id="240" w:name="__RefHeading___Toc518035674"/>
      <w:bookmarkEnd w:id="240"/>
      <w:r>
        <w:rPr/>
        <w:t>E.3</w:t>
        <w:tab/>
        <w:t>OUTDOOR REPEATER SCENARIO</w:t>
      </w:r>
    </w:p>
    <w:p>
      <w:pPr>
        <w:pStyle w:val="Normal"/>
        <w:rPr/>
      </w:pPr>
      <w:r>
        <w:rPr/>
        <w:t>Figure 3 illustrates a typical outdoor repeater scenario.</w:t>
      </w:r>
    </w:p>
    <w:p>
      <w:pPr>
        <w:pStyle w:val="TH"/>
        <w:rPr/>
      </w:pPr>
      <w:r>
        <w:rPr/>
        <w:drawing>
          <wp:inline distT="0" distB="0" distL="0" distR="0">
            <wp:extent cx="4855210" cy="1929130"/>
            <wp:effectExtent l="0" t="0" r="0" b="0"/>
            <wp:docPr id="45"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9" descr=""/>
                    <pic:cNvPicPr>
                      <a:picLocks noChangeAspect="1" noChangeArrowheads="1"/>
                    </pic:cNvPicPr>
                  </pic:nvPicPr>
                  <pic:blipFill>
                    <a:blip r:embed="rId39"/>
                    <a:srcRect l="-7" t="-19" r="-7" b="-19"/>
                    <a:stretch>
                      <a:fillRect/>
                    </a:stretch>
                  </pic:blipFill>
                  <pic:spPr bwMode="auto">
                    <a:xfrm>
                      <a:off x="0" y="0"/>
                      <a:ext cx="4855210" cy="1929130"/>
                    </a:xfrm>
                    <a:prstGeom prst="rect">
                      <a:avLst/>
                    </a:prstGeom>
                  </pic:spPr>
                </pic:pic>
              </a:graphicData>
            </a:graphic>
          </wp:inline>
        </w:drawing>
      </w:r>
    </w:p>
    <w:p>
      <w:pPr>
        <w:pStyle w:val="TF"/>
        <w:rPr/>
      </w:pPr>
      <w:r>
        <w:rPr/>
        <w:t>Figure 3: Outdoor Repeater Scenario</w:t>
      </w:r>
    </w:p>
    <w:p>
      <w:pPr>
        <w:pStyle w:val="Normal"/>
        <w:rPr/>
      </w:pPr>
      <w:r>
        <w:rPr/>
        <w:t xml:space="preserve">The repeater is typically located close to an area of marginal coverage (-95 dBm average signal strength at "ground level). By placing a directional antenna (20 dBi) on a tower (15 dB gain from extra height and shadowing avoidance), the received signal strength can be increased around </w:t>
        <w:noBreakHyphen/>
        <w:t>60 dBm, equivalent to a typical pattern loss between BTS and repeater antenna connectors of 100 dB. A variation of 10 dB either side of this figure is assumed to provide flexibility to deal with local site variations.</w:t>
      </w:r>
    </w:p>
    <w:p>
      <w:pPr>
        <w:pStyle w:val="Normal"/>
        <w:rPr/>
      </w:pPr>
      <w:r>
        <w:rPr/>
        <w:t>The minimum coupling loss between the MS and the repeater is assumed to be 65 dB, the same as a normal DCS1800 BTS.</w:t>
      </w:r>
    </w:p>
    <w:p>
      <w:pPr>
        <w:pStyle w:val="Normal"/>
        <w:rPr/>
      </w:pPr>
      <w:r>
        <w:rPr/>
        <w:t>Two cases for differing mobile locations with respect to the repeater are shown in figure 3: an MS near to the repeater at the MCL values, and an MS at the edge of the repeater coverage area. A diversity gain of; 3 dB is assumed. The dynamic range of the repeater is seen to be 42 dB.</w:t>
      </w:r>
    </w:p>
    <w:p>
      <w:pPr>
        <w:pStyle w:val="Heading1"/>
        <w:ind w:left="1134" w:hanging="1134"/>
        <w:rPr/>
      </w:pPr>
      <w:bookmarkStart w:id="241" w:name="__RefHeading___Toc518035675"/>
      <w:bookmarkEnd w:id="241"/>
      <w:r>
        <w:rPr/>
        <w:t>E.4</w:t>
        <w:tab/>
        <w:t>OUTDOOR REPEATER PERFORMANCE Requirements</w:t>
      </w:r>
    </w:p>
    <w:p>
      <w:pPr>
        <w:pStyle w:val="Normal"/>
        <w:rPr/>
      </w:pPr>
      <w:r>
        <w:rPr/>
        <w:t>In this clause we consider the performance requirements for the outdoor repeater scenario.</w:t>
      </w:r>
    </w:p>
    <w:p>
      <w:pPr>
        <w:pStyle w:val="Heading2"/>
        <w:rPr/>
      </w:pPr>
      <w:bookmarkStart w:id="242" w:name="__RefHeading___Toc518035676"/>
      <w:bookmarkEnd w:id="242"/>
      <w:r>
        <w:rPr/>
        <w:t>E.4.1</w:t>
        <w:tab/>
        <w:t>Wideband Noise</w:t>
      </w:r>
    </w:p>
    <w:p>
      <w:pPr>
        <w:pStyle w:val="Normal"/>
        <w:rPr/>
      </w:pPr>
      <w:r>
        <w:rPr/>
        <w:t>The wideband noise requirement can be split into two separate case for inside and outside of the repeaters gain bandwidth.</w:t>
      </w:r>
    </w:p>
    <w:p>
      <w:pPr>
        <w:pStyle w:val="Normal"/>
        <w:rPr/>
      </w:pPr>
      <w:r>
        <w:rPr/>
        <w:t>Within the gain bandwidth, a co-ordinated scenario is applicable, whereby the noise should be an interference margin below the minimum signal likely be output by the repeater. For the downlink, the permitted in</w:t>
        <w:noBreakHyphen/>
        <w:t>repeater</w:t>
        <w:noBreakHyphen/>
        <w:t>band noise lever is therefore given by the following:</w:t>
      </w:r>
    </w:p>
    <w:p>
      <w:pPr>
        <w:pStyle w:val="B1"/>
        <w:tabs>
          <w:tab w:val="clear" w:pos="284"/>
          <w:tab w:val="left" w:pos="2835" w:leader="none"/>
        </w:tabs>
        <w:rPr/>
      </w:pPr>
      <w:r>
        <w:rPr/>
        <w:t>In-repeater-band Noise Level</w:t>
        <w:tab/>
        <w:t>&lt; Output Power -C/I - BTS_Power_Control_Range</w:t>
      </w:r>
    </w:p>
    <w:p>
      <w:pPr>
        <w:pStyle w:val="B1"/>
        <w:tabs>
          <w:tab w:val="clear" w:pos="284"/>
          <w:tab w:val="left" w:pos="2835" w:leader="none"/>
        </w:tabs>
        <w:rPr>
          <w:i/>
          <w:i/>
        </w:rPr>
      </w:pPr>
      <w:r>
        <w:rPr/>
        <w:t>(in 180 Hz)</w:t>
        <w:tab/>
        <w:t>&lt; +9 - 9 - 30</w:t>
      </w:r>
    </w:p>
    <w:p>
      <w:pPr>
        <w:pStyle w:val="B1"/>
        <w:tabs>
          <w:tab w:val="clear" w:pos="284"/>
          <w:tab w:val="left" w:pos="2835" w:leader="none"/>
        </w:tabs>
        <w:rPr/>
      </w:pPr>
      <w:r>
        <w:rPr>
          <w:b/>
        </w:rPr>
        <w:tab/>
        <w:t>&lt; -30 dBm</w:t>
      </w:r>
    </w:p>
    <w:p>
      <w:pPr>
        <w:pStyle w:val="Normal"/>
        <w:rPr/>
      </w:pPr>
      <w:r>
        <w:rPr/>
        <w:t>The wideband noise level out of the repeaters gain bandwidth is a more serious problem and can desentise uncoordinated MSs belonging to other operators. The required level to prevent desensitisation is given by:</w:t>
      </w:r>
    </w:p>
    <w:p>
      <w:pPr>
        <w:pStyle w:val="B1"/>
        <w:tabs>
          <w:tab w:val="clear" w:pos="284"/>
          <w:tab w:val="left" w:pos="2835" w:leader="none"/>
        </w:tabs>
        <w:rPr/>
      </w:pPr>
      <w:r>
        <w:rPr/>
        <w:t>Out-of-rep.-band Noise level</w:t>
        <w:tab/>
        <w:t>&lt; MS Sensitivity - C/I +MCL</w:t>
      </w:r>
    </w:p>
    <w:p>
      <w:pPr>
        <w:pStyle w:val="B1"/>
        <w:tabs>
          <w:tab w:val="clear" w:pos="284"/>
          <w:tab w:val="left" w:pos="2835" w:leader="none"/>
        </w:tabs>
        <w:rPr/>
      </w:pPr>
      <w:r>
        <w:rPr/>
        <w:tab/>
        <w:t>&lt; -100 - 9 + 65</w:t>
      </w:r>
    </w:p>
    <w:p>
      <w:pPr>
        <w:pStyle w:val="B1"/>
        <w:tabs>
          <w:tab w:val="clear" w:pos="284"/>
          <w:tab w:val="left" w:pos="2835" w:leader="none"/>
        </w:tabs>
        <w:rPr/>
      </w:pPr>
      <w:r>
        <w:rPr/>
        <w:tab/>
      </w:r>
      <w:r>
        <w:rPr>
          <w:b/>
        </w:rPr>
        <w:t>&lt; -44 dBm</w:t>
      </w:r>
    </w:p>
    <w:p>
      <w:pPr>
        <w:pStyle w:val="Normal"/>
        <w:rPr/>
      </w:pPr>
      <w:r>
        <w:rPr/>
        <w:t>Note that, as compared to the BTS wideband noise calculations, there is no multiple interferer margin in the above calculation, as a single repeater can serve many carriers. Assuming no post amplification filtering is employed, this level is equivalent to a noise figure of 7 dB.</w:t>
      </w:r>
    </w:p>
    <w:p>
      <w:pPr>
        <w:pStyle w:val="Normal"/>
        <w:rPr/>
      </w:pPr>
      <w:r>
        <w:rPr/>
        <w:t>It is proposed that this value becomes applicable 400 kHz away from the bandedge of the repeater.</w:t>
      </w:r>
    </w:p>
    <w:p>
      <w:pPr>
        <w:pStyle w:val="Normal"/>
        <w:rPr/>
      </w:pPr>
      <w:r>
        <w:rPr/>
        <w:t>For the uplink</w:t>
      </w:r>
      <w:r>
        <w:rPr>
          <w:b/>
        </w:rPr>
        <w:t xml:space="preserve"> </w:t>
      </w:r>
      <w:r>
        <w:rPr/>
        <w:t>direction, the in-repeater band noise level must be such as to not desensitise the BTS at the minimum path loss between repeater and BTS. The level is therefore given by:</w:t>
      </w:r>
    </w:p>
    <w:p>
      <w:pPr>
        <w:pStyle w:val="B1"/>
        <w:tabs>
          <w:tab w:val="clear" w:pos="284"/>
          <w:tab w:val="left" w:pos="2835" w:leader="none"/>
        </w:tabs>
        <w:rPr/>
      </w:pPr>
      <w:r>
        <w:rPr/>
        <w:t>In-repeater-band Noise lever</w:t>
        <w:tab/>
        <w:t>&lt; BTS_Senstivity - C/I + Min. BTS_Rep._Path_Loss</w:t>
      </w:r>
    </w:p>
    <w:p>
      <w:pPr>
        <w:pStyle w:val="B1"/>
        <w:tabs>
          <w:tab w:val="clear" w:pos="284"/>
          <w:tab w:val="left" w:pos="2835" w:leader="none"/>
        </w:tabs>
        <w:rPr/>
      </w:pPr>
      <w:r>
        <w:rPr/>
        <w:tab/>
        <w:t>&lt; 104 - 9 + 90</w:t>
      </w:r>
    </w:p>
    <w:p>
      <w:pPr>
        <w:pStyle w:val="B1"/>
        <w:tabs>
          <w:tab w:val="clear" w:pos="284"/>
          <w:tab w:val="left" w:pos="2835" w:leader="none"/>
        </w:tabs>
        <w:rPr/>
      </w:pPr>
      <w:r>
        <w:rPr/>
        <w:tab/>
      </w:r>
      <w:r>
        <w:rPr>
          <w:b/>
        </w:rPr>
        <w:t>&lt; -23 dBm</w:t>
      </w:r>
    </w:p>
    <w:p>
      <w:pPr>
        <w:pStyle w:val="Normal"/>
        <w:rPr/>
      </w:pPr>
      <w:r>
        <w:rPr/>
        <w:t>For the out-of-band noise requirement, it is proposed that the same lever of -44 dBm as calculated for the downlink is adopted. This will protect desensitisation of uncoordinated BTSs with path losses of greater than +69 dB.</w:t>
      </w:r>
    </w:p>
    <w:p>
      <w:pPr>
        <w:pStyle w:val="Heading2"/>
        <w:rPr/>
      </w:pPr>
      <w:bookmarkStart w:id="243" w:name="__RefHeading___Toc518035677"/>
      <w:bookmarkEnd w:id="243"/>
      <w:r>
        <w:rPr/>
        <w:t>E.4.2</w:t>
        <w:tab/>
        <w:t>Intermodulation Products and Spurious Emissions</w:t>
      </w:r>
    </w:p>
    <w:p>
      <w:pPr>
        <w:pStyle w:val="Normal"/>
        <w:rPr/>
      </w:pPr>
      <w:r>
        <w:rPr/>
        <w:t xml:space="preserve">From a scenario perspective, the lever of downlink spurious emissions and intermodulation products that might cause desensitisation of uncoordinated MSs is the same level as for wideband noise, i.e. -44 dBm. However, for normal BTSs, since spurious emissions and intermodulation products are limited in frequency extent and would be difficult to reduce, the maximum level was relaxed for BTSs to -36 dBm. It is proposed that the same </w:t>
      </w:r>
      <w:r>
        <w:rPr>
          <w:b/>
        </w:rPr>
        <w:t>-36 dBm</w:t>
      </w:r>
      <w:r>
        <w:rPr/>
        <w:t xml:space="preserve"> limit should apply to outdoor repeaters.</w:t>
      </w:r>
    </w:p>
    <w:p>
      <w:pPr>
        <w:pStyle w:val="Normal"/>
        <w:rPr/>
      </w:pPr>
      <w:r>
        <w:rPr/>
        <w:t>For intermodulation products in the downlink</w:t>
      </w:r>
      <w:r>
        <w:rPr>
          <w:b/>
        </w:rPr>
        <w:t xml:space="preserve"> </w:t>
      </w:r>
      <w:r>
        <w:rPr/>
        <w:t>direction, if we take the minimum BTS to repeater path loss of 90 dB, for the resultant output power of +19 dBm in the downlink direction, we can calculate the required third order intercept point (TOI) for intermodulation products falling within the downlink transmit band:</w:t>
      </w:r>
    </w:p>
    <w:p>
      <w:pPr>
        <w:pStyle w:val="B1"/>
        <w:tabs>
          <w:tab w:val="clear" w:pos="284"/>
          <w:tab w:val="left" w:pos="1134" w:leader="none"/>
        </w:tabs>
        <w:rPr/>
      </w:pPr>
      <w:r>
        <w:rPr/>
        <w:t>TOI</w:t>
        <w:tab/>
        <w:t>&gt; (1,5 x Output Power) - (0,5 x Intermodulation Product Power)</w:t>
      </w:r>
    </w:p>
    <w:p>
      <w:pPr>
        <w:pStyle w:val="B1"/>
        <w:tabs>
          <w:tab w:val="clear" w:pos="284"/>
          <w:tab w:val="left" w:pos="1134" w:leader="none"/>
        </w:tabs>
        <w:rPr/>
      </w:pPr>
      <w:r>
        <w:rPr/>
        <w:tab/>
        <w:t>&gt; (1,5 x 19) - (0,5 x -36)</w:t>
      </w:r>
    </w:p>
    <w:p>
      <w:pPr>
        <w:pStyle w:val="B1"/>
        <w:tabs>
          <w:tab w:val="clear" w:pos="284"/>
          <w:tab w:val="left" w:pos="1134" w:leader="none"/>
        </w:tabs>
        <w:rPr/>
      </w:pPr>
      <w:r>
        <w:rPr/>
        <w:tab/>
        <w:t xml:space="preserve">&gt; </w:t>
      </w:r>
      <w:r>
        <w:rPr>
          <w:b/>
        </w:rPr>
        <w:t>+47,5 dBm</w:t>
      </w:r>
    </w:p>
    <w:p>
      <w:pPr>
        <w:pStyle w:val="Normal"/>
        <w:rPr/>
      </w:pPr>
      <w:r>
        <w:rPr/>
        <w:t>For broadband repeaters with duplexors in which it is possible for intermodulation products generated in the downlink direction to fall into the uplink; repeater pass band, additional protection is required. The intermodulation product at the MS end of the repeater should at least 9 dB less than the minimum input levels for MSs at the edge of coverage served by that repeater (-86 dBm in scenario considered, and -96 dBm for scenario with 90 dB BTS to repeater path loss).</w:t>
      </w:r>
    </w:p>
    <w:p>
      <w:pPr>
        <w:pStyle w:val="Normal"/>
        <w:rPr/>
      </w:pPr>
      <w:r>
        <w:rPr/>
        <w:t>In the uplink direction, the output power of the repeater when the MS at the MCL distance is +15 dBm. The required third order intercept point is therefore given by:</w:t>
      </w:r>
    </w:p>
    <w:p>
      <w:pPr>
        <w:pStyle w:val="B1"/>
        <w:tabs>
          <w:tab w:val="clear" w:pos="284"/>
          <w:tab w:val="left" w:pos="1134" w:leader="none"/>
        </w:tabs>
        <w:rPr/>
      </w:pPr>
      <w:r>
        <w:rPr/>
        <w:t>TOI</w:t>
        <w:tab/>
        <w:t xml:space="preserve">&gt; (Output Power) - (0,5 x Intermodulation Product Power) </w:t>
      </w:r>
    </w:p>
    <w:p>
      <w:pPr>
        <w:pStyle w:val="B1"/>
        <w:tabs>
          <w:tab w:val="clear" w:pos="284"/>
          <w:tab w:val="left" w:pos="1134" w:leader="none"/>
        </w:tabs>
        <w:rPr/>
      </w:pPr>
      <w:r>
        <w:rPr/>
        <w:tab/>
        <w:t>&gt; (1,5 x 15) - (0,5 x -36)</w:t>
      </w:r>
    </w:p>
    <w:p>
      <w:pPr>
        <w:pStyle w:val="B1"/>
        <w:tabs>
          <w:tab w:val="clear" w:pos="284"/>
          <w:tab w:val="left" w:pos="1134" w:leader="none"/>
        </w:tabs>
        <w:rPr/>
      </w:pPr>
      <w:r>
        <w:rPr/>
        <w:tab/>
      </w:r>
      <w:r>
        <w:rPr>
          <w:b/>
        </w:rPr>
        <w:t>&gt; +40,5 dBm</w:t>
      </w:r>
    </w:p>
    <w:p>
      <w:pPr>
        <w:pStyle w:val="Normal"/>
        <w:rPr/>
      </w:pPr>
      <w:r>
        <w:rPr/>
        <w:t xml:space="preserve">It should be noted that the above maximum uplink output of </w:t>
      </w:r>
      <w:r>
        <w:rPr>
          <w:b/>
        </w:rPr>
        <w:t>+15 dBm</w:t>
      </w:r>
      <w:r>
        <w:rPr/>
        <w:t xml:space="preserve"> only applies to powered</w:t>
        <w:noBreakHyphen/>
        <w:t>down MSs. At the start of a call the MS will be at higher power and this may cause a higher temporary intermodulation product if two mobiles at the start of calls are both transmitting in the same timeslot. It is recommended that this unlikely transient scenario is ignored.</w:t>
      </w:r>
    </w:p>
    <w:p>
      <w:pPr>
        <w:pStyle w:val="Heading2"/>
        <w:rPr/>
      </w:pPr>
      <w:bookmarkStart w:id="244" w:name="__RefHeading___Toc518035678"/>
      <w:bookmarkEnd w:id="244"/>
      <w:r>
        <w:rPr/>
        <w:t>E.4.3</w:t>
        <w:tab/>
        <w:t>Output Power</w:t>
      </w:r>
    </w:p>
    <w:p>
      <w:pPr>
        <w:pStyle w:val="Normal"/>
        <w:rPr/>
      </w:pPr>
      <w:r>
        <w:rPr/>
        <w:t xml:space="preserve">In the downlink direction, the maximum single carrier output power of +19 dBm with a BTS to repeater path loss of 90 dB needs to multiplied by a factor to allow for the amplification of multiple carriers. If we assume 10 carriers, this gives a maximum output power of the repeater, as determined by the 1 dB compression point, of </w:t>
      </w:r>
      <w:r>
        <w:rPr>
          <w:b/>
        </w:rPr>
        <w:t>+29 dBm</w:t>
      </w:r>
      <w:r>
        <w:rPr/>
        <w:t>.</w:t>
      </w:r>
    </w:p>
    <w:p>
      <w:pPr>
        <w:pStyle w:val="Normal"/>
        <w:rPr/>
      </w:pPr>
      <w:r>
        <w:rPr/>
        <w:t xml:space="preserve">In the </w:t>
      </w:r>
      <w:r>
        <w:rPr>
          <w:b/>
        </w:rPr>
        <w:t xml:space="preserve">uplink </w:t>
      </w:r>
      <w:r>
        <w:rPr/>
        <w:t xml:space="preserve">direction, it is important that the repeater does not seriously distort the initial access bursts transmitted at full power by a nearby mobile. The required 1 dB compression point for correct amplification of such bursts is therefore </w:t>
      </w:r>
      <w:r>
        <w:rPr>
          <w:b/>
        </w:rPr>
        <w:t>+35 dB</w:t>
      </w:r>
      <w:r>
        <w:rPr/>
        <w:t>.</w:t>
      </w:r>
    </w:p>
    <w:p>
      <w:pPr>
        <w:pStyle w:val="Heading2"/>
        <w:rPr/>
      </w:pPr>
      <w:bookmarkStart w:id="245" w:name="__RefHeading___Toc518035679"/>
      <w:bookmarkEnd w:id="245"/>
      <w:r>
        <w:rPr/>
        <w:t>E.4.4</w:t>
        <w:tab/>
        <w:t>Blocking by Uncoordinated BTS</w:t>
      </w:r>
    </w:p>
    <w:p>
      <w:pPr>
        <w:pStyle w:val="Normal"/>
        <w:rPr/>
      </w:pPr>
      <w:r>
        <w:rPr/>
        <w:t>The bandedge filtering should provide adequate rejection of other operators frequencies to ensure that the output power and intermodulation product requirements specified in subclauses 4.2 and 4.3 are not exceeded if the repeater is placed close to a BTS of a different operator.</w:t>
      </w:r>
    </w:p>
    <w:p>
      <w:pPr>
        <w:pStyle w:val="Normal"/>
        <w:rPr/>
      </w:pPr>
      <w:r>
        <w:rPr/>
        <w:t>In order to ensure this the limit to the gain for the operators channels is given by:</w:t>
      </w:r>
    </w:p>
    <w:p>
      <w:pPr>
        <w:pStyle w:val="B1"/>
        <w:tabs>
          <w:tab w:val="clear" w:pos="284"/>
          <w:tab w:val="left" w:pos="2835" w:leader="none"/>
        </w:tabs>
        <w:rPr/>
      </w:pPr>
      <w:r>
        <w:rPr/>
        <w:t>Gain in other operator's band</w:t>
        <w:tab/>
        <w:t>&lt; Max repeater output - BTS Output Power +Min_BTS_Rep_Path_Loss</w:t>
      </w:r>
    </w:p>
    <w:p>
      <w:pPr>
        <w:pStyle w:val="B1"/>
        <w:tabs>
          <w:tab w:val="clear" w:pos="284"/>
          <w:tab w:val="left" w:pos="2835" w:leader="none"/>
        </w:tabs>
        <w:rPr/>
      </w:pPr>
      <w:r>
        <w:rPr/>
        <w:tab/>
        <w:t>&lt; 19 - 39 + 69</w:t>
      </w:r>
    </w:p>
    <w:p>
      <w:pPr>
        <w:pStyle w:val="B1"/>
        <w:tabs>
          <w:tab w:val="clear" w:pos="284"/>
          <w:tab w:val="left" w:pos="2835" w:leader="none"/>
        </w:tabs>
        <w:rPr/>
      </w:pPr>
      <w:r>
        <w:rPr/>
        <w:tab/>
        <w:t xml:space="preserve">&lt; </w:t>
      </w:r>
      <w:r>
        <w:rPr>
          <w:b/>
        </w:rPr>
        <w:t>49 dB</w:t>
      </w:r>
    </w:p>
    <w:p>
      <w:pPr>
        <w:pStyle w:val="Normal"/>
        <w:rPr/>
      </w:pPr>
      <w:r>
        <w:rPr/>
        <w:t>This represents a rejection of 21 dB compared to the repeaters in-band gain.</w:t>
      </w:r>
    </w:p>
    <w:p>
      <w:pPr>
        <w:pStyle w:val="Heading2"/>
        <w:rPr/>
      </w:pPr>
      <w:bookmarkStart w:id="246" w:name="__RefHeading___Toc518035680"/>
      <w:bookmarkEnd w:id="246"/>
      <w:r>
        <w:rPr/>
        <w:t>E.4.5</w:t>
        <w:tab/>
        <w:t>Summary of Outdoor Repeater Requirements</w:t>
      </w:r>
    </w:p>
    <w:p>
      <w:pPr>
        <w:pStyle w:val="Normal"/>
        <w:rPr/>
      </w:pPr>
      <w:r>
        <w:rPr/>
        <w:t>Table 4.4 summarises the outdoor repeater requirements.</w:t>
      </w:r>
    </w:p>
    <w:p>
      <w:pPr>
        <w:pStyle w:val="TH"/>
        <w:rPr/>
      </w:pPr>
      <w:r>
        <w:rPr/>
        <w:t>Table 4.4: Outdoor Repeater Requirements</w:t>
      </w:r>
    </w:p>
    <w:tbl>
      <w:tblPr>
        <w:tblW w:w="8922" w:type="dxa"/>
        <w:jc w:val="center"/>
        <w:tblInd w:w="0" w:type="dxa"/>
        <w:tblLayout w:type="fixed"/>
        <w:tblCellMar>
          <w:top w:w="0" w:type="dxa"/>
          <w:left w:w="108" w:type="dxa"/>
          <w:bottom w:w="0" w:type="dxa"/>
          <w:right w:w="108" w:type="dxa"/>
        </w:tblCellMar>
      </w:tblPr>
      <w:tblGrid>
        <w:gridCol w:w="2974"/>
        <w:gridCol w:w="2974"/>
        <w:gridCol w:w="2974"/>
      </w:tblGrid>
      <w:tr>
        <w:trPr/>
        <w:tc>
          <w:tcPr>
            <w:tcW w:w="2974" w:type="dxa"/>
            <w:tcBorders>
              <w:top w:val="single" w:sz="4" w:space="0" w:color="000000"/>
              <w:left w:val="single" w:sz="4" w:space="0" w:color="000000"/>
              <w:bottom w:val="single" w:sz="6" w:space="0" w:color="000000"/>
              <w:right w:val="single" w:sz="6" w:space="0" w:color="000000"/>
            </w:tcBorders>
          </w:tcPr>
          <w:p>
            <w:pPr>
              <w:pStyle w:val="TAH"/>
              <w:snapToGrid w:val="false"/>
              <w:rPr>
                <w:lang w:eastAsia="en-US"/>
              </w:rPr>
            </w:pPr>
            <w:r>
              <w:rPr>
                <w:lang w:eastAsia="en-US"/>
              </w:rPr>
            </w:r>
          </w:p>
        </w:tc>
        <w:tc>
          <w:tcPr>
            <w:tcW w:w="2974"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Downlink</w:t>
            </w:r>
          </w:p>
        </w:tc>
        <w:tc>
          <w:tcPr>
            <w:tcW w:w="2974"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Uplink</w:t>
            </w:r>
          </w:p>
        </w:tc>
      </w:tr>
      <w:tr>
        <w:trPr/>
        <w:tc>
          <w:tcPr>
            <w:tcW w:w="2974"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Gain</w:t>
            </w:r>
          </w:p>
        </w:tc>
        <w:tc>
          <w:tcPr>
            <w:tcW w:w="297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70 dB</w:t>
            </w:r>
          </w:p>
        </w:tc>
        <w:tc>
          <w:tcPr>
            <w:tcW w:w="29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70 dB</w:t>
            </w:r>
          </w:p>
        </w:tc>
      </w:tr>
      <w:tr>
        <w:trPr/>
        <w:tc>
          <w:tcPr>
            <w:tcW w:w="2974"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Noise Level</w:t>
            </w:r>
          </w:p>
        </w:tc>
        <w:tc>
          <w:tcPr>
            <w:tcW w:w="297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 dBm (in-repeater-band)</w:t>
            </w:r>
          </w:p>
          <w:p>
            <w:pPr>
              <w:pStyle w:val="TAC"/>
              <w:rPr>
                <w:lang w:val="en-GB"/>
              </w:rPr>
            </w:pPr>
            <w:r>
              <w:rPr>
                <w:lang w:val="en-GB"/>
              </w:rPr>
              <w:t>-44 dBm (out-of-rep.-band)</w:t>
            </w:r>
          </w:p>
        </w:tc>
        <w:tc>
          <w:tcPr>
            <w:tcW w:w="29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-23 dBm (in-repeater-band)</w:t>
            </w:r>
          </w:p>
          <w:p>
            <w:pPr>
              <w:pStyle w:val="TAC"/>
              <w:rPr>
                <w:lang w:val="en-GB"/>
              </w:rPr>
            </w:pPr>
            <w:r>
              <w:rPr>
                <w:lang w:val="en-GB"/>
              </w:rPr>
              <w:t>-44 dBm (out-of-rep.-band)</w:t>
            </w:r>
          </w:p>
        </w:tc>
      </w:tr>
      <w:tr>
        <w:trPr/>
        <w:tc>
          <w:tcPr>
            <w:tcW w:w="2974"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Spurious</w:t>
            </w:r>
          </w:p>
        </w:tc>
        <w:tc>
          <w:tcPr>
            <w:tcW w:w="297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-36 dBm</w:t>
            </w:r>
          </w:p>
        </w:tc>
        <w:tc>
          <w:tcPr>
            <w:tcW w:w="29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-36 dBm</w:t>
            </w:r>
          </w:p>
        </w:tc>
      </w:tr>
      <w:tr>
        <w:trPr/>
        <w:tc>
          <w:tcPr>
            <w:tcW w:w="2974" w:type="dxa"/>
            <w:tcBorders>
              <w:top w:val="single" w:sz="6" w:space="0" w:color="000000"/>
              <w:left w:val="single" w:sz="4" w:space="0" w:color="000000"/>
              <w:bottom w:val="single" w:sz="6" w:space="0" w:color="000000"/>
              <w:right w:val="single" w:sz="6" w:space="0" w:color="000000"/>
            </w:tcBorders>
          </w:tcPr>
          <w:p>
            <w:pPr>
              <w:pStyle w:val="TAH"/>
              <w:rPr/>
            </w:pPr>
            <w:r>
              <w:rPr>
                <w:lang w:eastAsia="en-US"/>
              </w:rPr>
              <w:t>Third Order Intercept</w:t>
            </w:r>
          </w:p>
        </w:tc>
        <w:tc>
          <w:tcPr>
            <w:tcW w:w="297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+47,5 dBm</w:t>
            </w:r>
          </w:p>
        </w:tc>
        <w:tc>
          <w:tcPr>
            <w:tcW w:w="29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+40,5 dBm</w:t>
            </w:r>
          </w:p>
        </w:tc>
      </w:tr>
      <w:tr>
        <w:trPr/>
        <w:tc>
          <w:tcPr>
            <w:tcW w:w="2974" w:type="dxa"/>
            <w:tcBorders>
              <w:top w:val="single" w:sz="6" w:space="0" w:color="000000"/>
              <w:left w:val="single" w:sz="4" w:space="0" w:color="000000"/>
              <w:bottom w:val="single" w:sz="4" w:space="0" w:color="000000"/>
              <w:right w:val="single" w:sz="6" w:space="0" w:color="000000"/>
            </w:tcBorders>
          </w:tcPr>
          <w:p>
            <w:pPr>
              <w:pStyle w:val="TAH"/>
              <w:rPr>
                <w:lang w:eastAsia="en-US"/>
              </w:rPr>
            </w:pPr>
            <w:r>
              <w:rPr>
                <w:lang w:eastAsia="en-US"/>
              </w:rPr>
              <w:t>1 dB Compression Point</w:t>
            </w:r>
          </w:p>
        </w:tc>
        <w:tc>
          <w:tcPr>
            <w:tcW w:w="2974"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29 dBm</w:t>
            </w:r>
          </w:p>
        </w:tc>
        <w:tc>
          <w:tcPr>
            <w:tcW w:w="2974"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+35 dBm</w:t>
            </w:r>
          </w:p>
        </w:tc>
      </w:tr>
    </w:tbl>
    <w:p>
      <w:pPr>
        <w:pStyle w:val="Normal"/>
        <w:rPr/>
      </w:pPr>
      <w:r>
        <w:rPr/>
      </w:r>
    </w:p>
    <w:p>
      <w:pPr>
        <w:pStyle w:val="Heading1"/>
        <w:ind w:left="1134" w:hanging="1134"/>
        <w:rPr/>
      </w:pPr>
      <w:bookmarkStart w:id="247" w:name="__RefHeading___Toc518035681"/>
      <w:bookmarkEnd w:id="247"/>
      <w:r>
        <w:rPr/>
        <w:t>E.5</w:t>
        <w:tab/>
        <w:t>INDOOR REPEATER SCENARIO</w:t>
      </w:r>
    </w:p>
    <w:p>
      <w:pPr>
        <w:pStyle w:val="Normal"/>
        <w:rPr/>
      </w:pPr>
      <w:r>
        <w:rPr/>
        <w:t>Figure 5 illustrates a typical indoor repeater scenario.</w:t>
      </w:r>
    </w:p>
    <w:p>
      <w:pPr>
        <w:pStyle w:val="TH"/>
        <w:rPr>
          <w:i/>
          <w:i/>
        </w:rPr>
      </w:pPr>
      <w:r>
        <w:rPr/>
        <w:drawing>
          <wp:inline distT="0" distB="0" distL="0" distR="0">
            <wp:extent cx="4855210" cy="1929130"/>
            <wp:effectExtent l="0" t="0" r="0" b="0"/>
            <wp:docPr id="46"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0" descr=""/>
                    <pic:cNvPicPr>
                      <a:picLocks noChangeAspect="1" noChangeArrowheads="1"/>
                    </pic:cNvPicPr>
                  </pic:nvPicPr>
                  <pic:blipFill>
                    <a:blip r:embed="rId40"/>
                    <a:srcRect l="-7" t="-19" r="-7" b="-19"/>
                    <a:stretch>
                      <a:fillRect/>
                    </a:stretch>
                  </pic:blipFill>
                  <pic:spPr bwMode="auto">
                    <a:xfrm>
                      <a:off x="0" y="0"/>
                      <a:ext cx="4855210" cy="1929130"/>
                    </a:xfrm>
                    <a:prstGeom prst="rect">
                      <a:avLst/>
                    </a:prstGeom>
                  </pic:spPr>
                </pic:pic>
              </a:graphicData>
            </a:graphic>
          </wp:inline>
        </w:drawing>
      </w:r>
    </w:p>
    <w:p>
      <w:pPr>
        <w:pStyle w:val="TF"/>
        <w:rPr/>
      </w:pPr>
      <w:r>
        <w:rPr/>
        <w:t>Figure 5:</w:t>
      </w:r>
      <w:r>
        <w:rPr>
          <w:i/>
        </w:rPr>
        <w:t xml:space="preserve"> </w:t>
      </w:r>
      <w:r>
        <w:rPr/>
        <w:t>Indoor Repeater Scenario</w:t>
      </w:r>
    </w:p>
    <w:p>
      <w:pPr>
        <w:pStyle w:val="Normal"/>
        <w:rPr/>
      </w:pPr>
      <w:r>
        <w:rPr/>
        <w:t>The repeater is typically located in an area of marginal outdoor coverage (-95 dBm average signal strength at ground level) where in-building coverage cannot be achieved. By placing a directional antenna (20 dBi) on the roof of the building (l0 dB gain from extra height and shadowing avoidance), the received signal strength can be increased to around -</w:t>
      </w:r>
      <w:r>
        <w:rPr>
          <w:i/>
        </w:rPr>
        <w:t xml:space="preserve">65 </w:t>
      </w:r>
      <w:r>
        <w:rPr/>
        <w:t>dBm, equivalent to a typical path loss between BTS and repeater antenna connectors of 105 dB. A variation of +5, -20 dB either side of this figure is to provide flexibility to deal with local site variations.</w:t>
      </w:r>
    </w:p>
    <w:p>
      <w:pPr>
        <w:pStyle w:val="Normal"/>
        <w:rPr/>
      </w:pPr>
      <w:r>
        <w:rPr/>
        <w:t>The minimum coupling loss between the MS and the repeater is assumed to be 40 dB, equivalent to a free space distance of 1.33 m.</w:t>
      </w:r>
    </w:p>
    <w:p>
      <w:pPr>
        <w:pStyle w:val="Normal"/>
        <w:rPr/>
      </w:pPr>
      <w:r>
        <w:rPr/>
        <w:t xml:space="preserve">It should be noted that with the -105 dB path loss between the BTS and repeater, the receive level at the BTS is </w:t>
        <w:noBreakHyphen/>
        <w:t>95 dBm, assuming the MS is fully powered clown and at the MCL distance. This will be close to the minimum BTS signal level threshold required for powering clown the mobile. Therefore, for BTS to repeater path losses of more than 105 dB, the MS may not get fully powered_down when at the MCL distance.</w:t>
      </w:r>
    </w:p>
    <w:p>
      <w:pPr>
        <w:pStyle w:val="Heading1"/>
        <w:ind w:left="1134" w:hanging="1134"/>
        <w:rPr/>
      </w:pPr>
      <w:bookmarkStart w:id="248" w:name="__RefHeading___Toc518035682"/>
      <w:bookmarkEnd w:id="248"/>
      <w:r>
        <w:rPr/>
        <w:t>E.6</w:t>
        <w:tab/>
        <w:t>INDOOR REPEATER PERFORMANCE REQUIREMENTS</w:t>
      </w:r>
    </w:p>
    <w:p>
      <w:pPr>
        <w:pStyle w:val="Heading2"/>
        <w:rPr/>
      </w:pPr>
      <w:bookmarkStart w:id="249" w:name="__RefHeading___Toc518035683"/>
      <w:bookmarkEnd w:id="249"/>
      <w:r>
        <w:rPr/>
        <w:t>E.6.1</w:t>
        <w:tab/>
        <w:t>Wideband Noise</w:t>
      </w:r>
    </w:p>
    <w:p>
      <w:pPr>
        <w:pStyle w:val="Normal"/>
        <w:rPr/>
      </w:pPr>
      <w:r>
        <w:rPr/>
        <w:t>For the downlink, using the same calculation as in subclause 4.1, the maximum wideband noise levels are:</w:t>
      </w:r>
    </w:p>
    <w:p>
      <w:pPr>
        <w:pStyle w:val="B1"/>
        <w:tabs>
          <w:tab w:val="clear" w:pos="284"/>
          <w:tab w:val="left" w:pos="2835" w:leader="none"/>
        </w:tabs>
        <w:rPr/>
      </w:pPr>
      <w:r>
        <w:rPr/>
        <w:t>In-repeater-band Noise Level</w:t>
        <w:tab/>
        <w:t>&lt; 0utput Power -C/I - BTS Power Control Range</w:t>
      </w:r>
    </w:p>
    <w:p>
      <w:pPr>
        <w:pStyle w:val="B1"/>
        <w:tabs>
          <w:tab w:val="clear" w:pos="284"/>
          <w:tab w:val="left" w:pos="2835" w:leader="none"/>
        </w:tabs>
        <w:rPr/>
      </w:pPr>
      <w:r>
        <w:rPr/>
        <w:t>(in 180</w:t>
      </w:r>
      <w:r>
        <w:rPr>
          <w:b/>
        </w:rPr>
        <w:t xml:space="preserve"> </w:t>
      </w:r>
      <w:r>
        <w:rPr/>
        <w:t>kHz)</w:t>
        <w:tab/>
        <w:t>&lt; -26 - 9 - 30</w:t>
      </w:r>
    </w:p>
    <w:p>
      <w:pPr>
        <w:pStyle w:val="B1"/>
        <w:tabs>
          <w:tab w:val="clear" w:pos="284"/>
          <w:tab w:val="left" w:pos="2835" w:leader="none"/>
        </w:tabs>
        <w:rPr/>
      </w:pPr>
      <w:r>
        <w:rPr>
          <w:b/>
        </w:rPr>
        <w:tab/>
        <w:t>&lt; -65 dBm</w:t>
      </w:r>
    </w:p>
    <w:p>
      <w:pPr>
        <w:pStyle w:val="B1"/>
        <w:tabs>
          <w:tab w:val="clear" w:pos="284"/>
          <w:tab w:val="left" w:pos="2835" w:leader="none"/>
        </w:tabs>
        <w:rPr/>
      </w:pPr>
      <w:r>
        <w:rPr/>
        <w:t>Out-of-rep.-band Noise level</w:t>
        <w:tab/>
        <w:t>&lt; MS Sensitivity - C/I + MCL</w:t>
      </w:r>
    </w:p>
    <w:p>
      <w:pPr>
        <w:pStyle w:val="B1"/>
        <w:tabs>
          <w:tab w:val="clear" w:pos="284"/>
          <w:tab w:val="left" w:pos="2835" w:leader="none"/>
        </w:tabs>
        <w:rPr/>
      </w:pPr>
      <w:r>
        <w:rPr/>
        <w:tab/>
        <w:t>&lt; -100 - 9 + 40</w:t>
      </w:r>
    </w:p>
    <w:p>
      <w:pPr>
        <w:pStyle w:val="B1"/>
        <w:tabs>
          <w:tab w:val="clear" w:pos="284"/>
          <w:tab w:val="left" w:pos="2835" w:leader="none"/>
        </w:tabs>
        <w:rPr/>
      </w:pPr>
      <w:r>
        <w:rPr/>
        <w:tab/>
      </w:r>
      <w:r>
        <w:rPr>
          <w:b/>
        </w:rPr>
        <w:t>&lt; -69 dBm</w:t>
      </w:r>
    </w:p>
    <w:p>
      <w:pPr>
        <w:pStyle w:val="Normal"/>
        <w:rPr/>
      </w:pPr>
      <w:r>
        <w:rPr/>
        <w:t>Assuming no post amplification filtering is employed, the out-of-repeater-band level is equivalent to a noise figure of 12 dB, which is readily achievable.</w:t>
      </w:r>
    </w:p>
    <w:p>
      <w:pPr>
        <w:pStyle w:val="Normal"/>
        <w:rPr/>
      </w:pPr>
      <w:r>
        <w:rPr/>
        <w:t>For the uplinlink, the in-repeater maximum noise lever is given by:</w:t>
      </w:r>
    </w:p>
    <w:p>
      <w:pPr>
        <w:pStyle w:val="B1"/>
        <w:tabs>
          <w:tab w:val="clear" w:pos="284"/>
          <w:tab w:val="left" w:pos="2835" w:leader="none"/>
        </w:tabs>
        <w:rPr/>
      </w:pPr>
      <w:r>
        <w:rPr/>
        <w:t>In-repeater</w:t>
        <w:noBreakHyphen/>
        <w:t>band Noise lever</w:t>
        <w:tab/>
        <w:t>&lt; BTS_Senstivity - C/I + Min._BTS_Rep._Path_Loss</w:t>
      </w:r>
    </w:p>
    <w:p>
      <w:pPr>
        <w:pStyle w:val="B1"/>
        <w:tabs>
          <w:tab w:val="clear" w:pos="284"/>
          <w:tab w:val="left" w:pos="2835" w:leader="none"/>
        </w:tabs>
        <w:rPr/>
      </w:pPr>
      <w:r>
        <w:rPr/>
        <w:tab/>
        <w:t>&lt; -104 - 9 + 85</w:t>
      </w:r>
    </w:p>
    <w:p>
      <w:pPr>
        <w:pStyle w:val="B1"/>
        <w:tabs>
          <w:tab w:val="clear" w:pos="284"/>
          <w:tab w:val="left" w:pos="2835" w:leader="none"/>
        </w:tabs>
        <w:rPr/>
      </w:pPr>
      <w:r>
        <w:rPr/>
        <w:tab/>
      </w:r>
      <w:r>
        <w:rPr>
          <w:b/>
        </w:rPr>
        <w:t>&lt; -28 dBm</w:t>
      </w:r>
    </w:p>
    <w:p>
      <w:pPr>
        <w:pStyle w:val="Normal"/>
        <w:rPr/>
      </w:pPr>
      <w:r>
        <w:rPr/>
        <w:t xml:space="preserve">For the uplink out-of-band noise requirement it is proposed that the same lever of </w:t>
      </w:r>
      <w:r>
        <w:rPr>
          <w:b/>
        </w:rPr>
        <w:t>-44 dBm</w:t>
      </w:r>
      <w:r>
        <w:rPr/>
        <w:t xml:space="preserve"> is adopted as in the outdoor repeater case. This will protect desensitisation of uncoordinated BTSs with path losses of greater than +69 dBm.</w:t>
      </w:r>
    </w:p>
    <w:p>
      <w:pPr>
        <w:pStyle w:val="Heading2"/>
        <w:rPr/>
      </w:pPr>
      <w:bookmarkStart w:id="250" w:name="__RefHeading___Toc518035684"/>
      <w:bookmarkEnd w:id="250"/>
      <w:r>
        <w:rPr/>
        <w:t>E.6.2</w:t>
        <w:tab/>
        <w:t>Intermodulation Products and Spurious Emissions</w:t>
      </w:r>
    </w:p>
    <w:p>
      <w:pPr>
        <w:pStyle w:val="Normal"/>
        <w:rPr/>
      </w:pPr>
      <w:r>
        <w:rPr/>
        <w:t>In the downlink direction, its is proposed to reduce the permissible spurious and intermodulation product levels by 25 dB, from -36 to -61 dBm because of the reduced MCL.</w:t>
      </w:r>
    </w:p>
    <w:p>
      <w:pPr>
        <w:pStyle w:val="Normal"/>
        <w:rPr/>
      </w:pPr>
      <w:r>
        <w:rPr/>
        <w:t>For the intermodulation product with an output lever of -6 dBm (for BTS to repeater path loss of 85 dB), this equates to a third order intercept point of:</w:t>
      </w:r>
    </w:p>
    <w:p>
      <w:pPr>
        <w:pStyle w:val="B1"/>
        <w:tabs>
          <w:tab w:val="clear" w:pos="284"/>
          <w:tab w:val="left" w:pos="1134" w:leader="none"/>
        </w:tabs>
        <w:rPr/>
      </w:pPr>
      <w:r>
        <w:rPr/>
        <w:tab/>
        <w:t>TOI</w:t>
        <w:tab/>
        <w:t>&gt; (1,5 x Output Power) - (0,5 x Intermodulation Product Power)</w:t>
      </w:r>
    </w:p>
    <w:p>
      <w:pPr>
        <w:pStyle w:val="B1"/>
        <w:tabs>
          <w:tab w:val="clear" w:pos="284"/>
          <w:tab w:val="left" w:pos="1134" w:leader="none"/>
        </w:tabs>
        <w:rPr/>
      </w:pPr>
      <w:r>
        <w:rPr/>
        <w:tab/>
        <w:t>&gt; (1,5 x -6) - (0,5 x -61)</w:t>
      </w:r>
    </w:p>
    <w:p>
      <w:pPr>
        <w:pStyle w:val="B1"/>
        <w:tabs>
          <w:tab w:val="clear" w:pos="284"/>
          <w:tab w:val="left" w:pos="1134" w:leader="none"/>
        </w:tabs>
        <w:rPr/>
      </w:pPr>
      <w:r>
        <w:rPr/>
        <w:tab/>
      </w:r>
      <w:r>
        <w:rPr>
          <w:b/>
        </w:rPr>
        <w:t>&gt;</w:t>
      </w:r>
      <w:r>
        <w:rPr/>
        <w:t xml:space="preserve"> </w:t>
      </w:r>
      <w:r>
        <w:rPr>
          <w:b/>
        </w:rPr>
        <w:t>+21,5 dBm</w:t>
      </w:r>
    </w:p>
    <w:p>
      <w:pPr>
        <w:pStyle w:val="Normal"/>
        <w:rPr/>
      </w:pPr>
      <w:r>
        <w:rPr/>
        <w:t xml:space="preserve">For the uplink to minimise costs of the indoor repeater amplifiers, it is proposed that the CEPT input of </w:t>
      </w:r>
      <w:r>
        <w:rPr>
          <w:b/>
        </w:rPr>
        <w:t>-30 dBm</w:t>
      </w:r>
      <w:r>
        <w:rPr/>
        <w:t xml:space="preserve"> should apply to interrnodulation products, rather than the </w:t>
      </w:r>
      <w:r>
        <w:rPr>
          <w:b/>
        </w:rPr>
        <w:t>-36 dBm</w:t>
      </w:r>
      <w:r>
        <w:rPr/>
        <w:t xml:space="preserve"> GSM figure. This is justified on the basis that the much smaller coverage area of the indoor enhancer will make it unlikely for two MSs close to the enhancer to be using the same timeslot at the same time.</w:t>
      </w:r>
    </w:p>
    <w:p>
      <w:pPr>
        <w:pStyle w:val="Normal"/>
        <w:rPr/>
      </w:pPr>
      <w:r>
        <w:rPr/>
        <w:t>In calculating the third order intercept point requirement for intermodulation products the uplink repeater output lever in figure 5 is increased by 5 dB in order to cover the case where the MS is not fully powered down. The third order intercept point therefore becomes:</w:t>
      </w:r>
    </w:p>
    <w:p>
      <w:pPr>
        <w:pStyle w:val="B1"/>
        <w:tabs>
          <w:tab w:val="clear" w:pos="284"/>
          <w:tab w:val="left" w:pos="1134" w:leader="none"/>
        </w:tabs>
        <w:rPr/>
      </w:pPr>
      <w:r>
        <w:rPr/>
        <w:tab/>
        <w:t>TOI</w:t>
        <w:tab/>
        <w:t>&gt; (1,5 x Output Power) - (0,5 x Intermodulation Product Power)</w:t>
      </w:r>
    </w:p>
    <w:p>
      <w:pPr>
        <w:pStyle w:val="B1"/>
        <w:tabs>
          <w:tab w:val="clear" w:pos="284"/>
          <w:tab w:val="left" w:pos="1134" w:leader="none"/>
        </w:tabs>
        <w:rPr/>
      </w:pPr>
      <w:r>
        <w:rPr/>
        <w:tab/>
        <w:t>&gt; (1,5 x 15) - (0,5 x -30)</w:t>
      </w:r>
    </w:p>
    <w:p>
      <w:pPr>
        <w:pStyle w:val="B1"/>
        <w:tabs>
          <w:tab w:val="clear" w:pos="284"/>
          <w:tab w:val="left" w:pos="1134" w:leader="none"/>
        </w:tabs>
        <w:rPr/>
      </w:pPr>
      <w:r>
        <w:rPr/>
        <w:tab/>
        <w:t xml:space="preserve">&gt; </w:t>
      </w:r>
      <w:r>
        <w:rPr>
          <w:b/>
        </w:rPr>
        <w:t>+37,5 dBm</w:t>
      </w:r>
    </w:p>
    <w:p>
      <w:pPr>
        <w:pStyle w:val="Heading2"/>
        <w:rPr/>
      </w:pPr>
      <w:bookmarkStart w:id="251" w:name="__RefHeading___Toc518035685"/>
      <w:bookmarkEnd w:id="251"/>
      <w:r>
        <w:rPr/>
        <w:t>E.6.3</w:t>
        <w:tab/>
        <w:t>Output Power</w:t>
      </w:r>
    </w:p>
    <w:p>
      <w:pPr>
        <w:pStyle w:val="Normal"/>
        <w:rPr/>
      </w:pPr>
      <w:r>
        <w:rPr/>
        <w:t xml:space="preserve">In the downlink direction, allowing for ten carrier each at an output power of -6 dB (value for BTS to repeater path loss of 95 dB), the maximum output power, as determined the 1 dB compression point is </w:t>
      </w:r>
      <w:r>
        <w:rPr>
          <w:b/>
        </w:rPr>
        <w:t>+4 dBm</w:t>
      </w:r>
      <w:r>
        <w:rPr/>
        <w:t>.</w:t>
      </w:r>
    </w:p>
    <w:p>
      <w:pPr>
        <w:pStyle w:val="Normal"/>
        <w:rPr/>
      </w:pPr>
      <w:r>
        <w:rPr>
          <w:b/>
        </w:rPr>
        <w:t xml:space="preserve">In the uplink </w:t>
      </w:r>
      <w:r>
        <w:rPr/>
        <w:t xml:space="preserve">direction, as in the case of the outdoor repeater, it is important that the repeater does not seriously distort the initial access bursts transmitted at full power by a nearby MS. The required 1 dB compression point for correct amplification of such bursts is </w:t>
      </w:r>
      <w:r>
        <w:rPr>
          <w:b/>
        </w:rPr>
        <w:t>+30 dB</w:t>
      </w:r>
      <w:r>
        <w:rPr/>
        <w:t>.</w:t>
      </w:r>
    </w:p>
    <w:p>
      <w:pPr>
        <w:pStyle w:val="Heading2"/>
        <w:rPr/>
      </w:pPr>
      <w:bookmarkStart w:id="252" w:name="__RefHeading___Toc518035686"/>
      <w:bookmarkEnd w:id="252"/>
      <w:r>
        <w:rPr/>
        <w:t>E.6.4</w:t>
        <w:tab/>
        <w:t>Blocking by Uncoordinated BTS</w:t>
      </w:r>
    </w:p>
    <w:p>
      <w:pPr>
        <w:pStyle w:val="Normal"/>
        <w:rPr/>
      </w:pPr>
      <w:r>
        <w:rPr/>
        <w:t>The bandedge filtering should provide adequate rejection of other operators frequencies to ensure that the output power and intermodulation product requirements specified in subclauses 6.2 and 6.3 are not exceeded if the repeater is placed close to a BTS of a different operator.</w:t>
      </w:r>
    </w:p>
    <w:p>
      <w:pPr>
        <w:pStyle w:val="Normal"/>
        <w:rPr/>
      </w:pPr>
      <w:r>
        <w:rPr/>
        <w:t>In order to ensure this the limit to the gain for the operators charnels is given by:</w:t>
      </w:r>
    </w:p>
    <w:p>
      <w:pPr>
        <w:pStyle w:val="B1"/>
        <w:tabs>
          <w:tab w:val="clear" w:pos="284"/>
          <w:tab w:val="left" w:pos="2835" w:leader="none"/>
        </w:tabs>
        <w:rPr/>
      </w:pPr>
      <w:r>
        <w:rPr/>
        <w:t>Gain in other operator's band</w:t>
        <w:tab/>
        <w:t>&lt; Max repeater output - BTS Output Power + Min_ BTS_Rep._Path_Loss</w:t>
      </w:r>
    </w:p>
    <w:p>
      <w:pPr>
        <w:pStyle w:val="B1"/>
        <w:tabs>
          <w:tab w:val="clear" w:pos="284"/>
          <w:tab w:val="left" w:pos="2835" w:leader="none"/>
        </w:tabs>
        <w:rPr/>
      </w:pPr>
      <w:r>
        <w:rPr/>
        <w:tab/>
        <w:t>&lt; -6 - 39 + 69</w:t>
      </w:r>
    </w:p>
    <w:p>
      <w:pPr>
        <w:pStyle w:val="B1"/>
        <w:tabs>
          <w:tab w:val="clear" w:pos="284"/>
          <w:tab w:val="left" w:pos="2835" w:leader="none"/>
        </w:tabs>
        <w:rPr/>
      </w:pPr>
      <w:r>
        <w:rPr/>
        <w:tab/>
      </w:r>
      <w:r>
        <w:rPr>
          <w:b/>
        </w:rPr>
        <w:t>&lt;</w:t>
      </w:r>
      <w:r>
        <w:rPr/>
        <w:t xml:space="preserve"> </w:t>
      </w:r>
      <w:r>
        <w:rPr>
          <w:b/>
        </w:rPr>
        <w:t>24 dB</w:t>
      </w:r>
    </w:p>
    <w:p>
      <w:pPr>
        <w:pStyle w:val="Normal"/>
        <w:rPr/>
      </w:pPr>
      <w:r>
        <w:rPr/>
        <w:t>This represents a rejection of 16 dB compared to the repeater's in-band gain. From a scenario perspective, this could be relaxed if higher downlink; output powers and TOI were implemented.</w:t>
      </w:r>
    </w:p>
    <w:p>
      <w:pPr>
        <w:pStyle w:val="Heading2"/>
        <w:rPr/>
      </w:pPr>
      <w:bookmarkStart w:id="253" w:name="__RefHeading___Toc518035687"/>
      <w:bookmarkEnd w:id="253"/>
      <w:r>
        <w:rPr/>
        <w:t>E.6.5</w:t>
        <w:tab/>
        <w:t>Summary of Indoor Repeater Requirements</w:t>
      </w:r>
    </w:p>
    <w:p>
      <w:pPr>
        <w:pStyle w:val="TH"/>
        <w:rPr/>
      </w:pPr>
      <w:r>
        <w:rPr/>
        <w:t>Table 6.4: Indoor Repeater Requirements</w:t>
      </w:r>
    </w:p>
    <w:tbl>
      <w:tblPr>
        <w:tblW w:w="8922" w:type="dxa"/>
        <w:jc w:val="center"/>
        <w:tblInd w:w="0" w:type="dxa"/>
        <w:tblLayout w:type="fixed"/>
        <w:tblCellMar>
          <w:top w:w="0" w:type="dxa"/>
          <w:left w:w="108" w:type="dxa"/>
          <w:bottom w:w="0" w:type="dxa"/>
          <w:right w:w="108" w:type="dxa"/>
        </w:tblCellMar>
      </w:tblPr>
      <w:tblGrid>
        <w:gridCol w:w="2974"/>
        <w:gridCol w:w="2974"/>
        <w:gridCol w:w="2974"/>
      </w:tblGrid>
      <w:tr>
        <w:trPr/>
        <w:tc>
          <w:tcPr>
            <w:tcW w:w="2974" w:type="dxa"/>
            <w:tcBorders>
              <w:top w:val="single" w:sz="4" w:space="0" w:color="000000"/>
              <w:left w:val="single" w:sz="4" w:space="0" w:color="000000"/>
              <w:bottom w:val="single" w:sz="6" w:space="0" w:color="000000"/>
              <w:right w:val="single" w:sz="6" w:space="0" w:color="000000"/>
            </w:tcBorders>
          </w:tcPr>
          <w:p>
            <w:pPr>
              <w:pStyle w:val="TAH"/>
              <w:snapToGrid w:val="false"/>
              <w:rPr>
                <w:lang w:eastAsia="en-US"/>
              </w:rPr>
            </w:pPr>
            <w:r>
              <w:rPr>
                <w:lang w:eastAsia="en-US"/>
              </w:rPr>
            </w:r>
          </w:p>
        </w:tc>
        <w:tc>
          <w:tcPr>
            <w:tcW w:w="2974"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Downlink</w:t>
            </w:r>
          </w:p>
        </w:tc>
        <w:tc>
          <w:tcPr>
            <w:tcW w:w="2974"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Uplink</w:t>
            </w:r>
          </w:p>
        </w:tc>
      </w:tr>
      <w:tr>
        <w:trPr/>
        <w:tc>
          <w:tcPr>
            <w:tcW w:w="2974"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Gain</w:t>
            </w:r>
          </w:p>
        </w:tc>
        <w:tc>
          <w:tcPr>
            <w:tcW w:w="297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 dB</w:t>
            </w:r>
          </w:p>
        </w:tc>
        <w:tc>
          <w:tcPr>
            <w:tcW w:w="29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40 dB</w:t>
            </w:r>
          </w:p>
        </w:tc>
      </w:tr>
      <w:tr>
        <w:trPr/>
        <w:tc>
          <w:tcPr>
            <w:tcW w:w="2974"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Noise level (in 180 kHz)</w:t>
            </w:r>
          </w:p>
        </w:tc>
        <w:tc>
          <w:tcPr>
            <w:tcW w:w="297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 dBm (in-repeater-band)</w:t>
            </w:r>
          </w:p>
          <w:p>
            <w:pPr>
              <w:pStyle w:val="TAC"/>
              <w:rPr>
                <w:lang w:val="en-GB"/>
              </w:rPr>
            </w:pPr>
            <w:r>
              <w:rPr>
                <w:lang w:val="en-GB"/>
              </w:rPr>
              <w:t>-69 dBm (out -of-rep.-band)</w:t>
            </w:r>
          </w:p>
        </w:tc>
        <w:tc>
          <w:tcPr>
            <w:tcW w:w="29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-18 dBm (in-repeater-band)</w:t>
            </w:r>
          </w:p>
          <w:p>
            <w:pPr>
              <w:pStyle w:val="TAC"/>
              <w:rPr>
                <w:lang w:val="en-GB"/>
              </w:rPr>
            </w:pPr>
            <w:r>
              <w:rPr>
                <w:lang w:val="en-GB"/>
              </w:rPr>
              <w:t>-44 dBm (out-of-rep.-band)</w:t>
            </w:r>
          </w:p>
        </w:tc>
      </w:tr>
      <w:tr>
        <w:trPr/>
        <w:tc>
          <w:tcPr>
            <w:tcW w:w="2974"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Spurious</w:t>
            </w:r>
          </w:p>
        </w:tc>
        <w:tc>
          <w:tcPr>
            <w:tcW w:w="297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 dBm</w:t>
            </w:r>
          </w:p>
        </w:tc>
        <w:tc>
          <w:tcPr>
            <w:tcW w:w="29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-30 dBm</w:t>
            </w:r>
          </w:p>
        </w:tc>
      </w:tr>
      <w:tr>
        <w:trPr/>
        <w:tc>
          <w:tcPr>
            <w:tcW w:w="2974" w:type="dxa"/>
            <w:tcBorders>
              <w:top w:val="single" w:sz="6" w:space="0" w:color="000000"/>
              <w:left w:val="single" w:sz="4" w:space="0" w:color="000000"/>
              <w:bottom w:val="single" w:sz="6" w:space="0" w:color="000000"/>
              <w:right w:val="single" w:sz="6" w:space="0" w:color="000000"/>
            </w:tcBorders>
          </w:tcPr>
          <w:p>
            <w:pPr>
              <w:pStyle w:val="TAH"/>
              <w:rPr>
                <w:lang w:eastAsia="en-US"/>
              </w:rPr>
            </w:pPr>
            <w:r>
              <w:rPr>
                <w:lang w:eastAsia="en-US"/>
              </w:rPr>
              <w:t>Third Order Intercept</w:t>
            </w:r>
          </w:p>
        </w:tc>
        <w:tc>
          <w:tcPr>
            <w:tcW w:w="297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+21.5 dBm</w:t>
            </w:r>
          </w:p>
        </w:tc>
        <w:tc>
          <w:tcPr>
            <w:tcW w:w="29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+37.5 dBm</w:t>
            </w:r>
          </w:p>
        </w:tc>
      </w:tr>
      <w:tr>
        <w:trPr/>
        <w:tc>
          <w:tcPr>
            <w:tcW w:w="2974" w:type="dxa"/>
            <w:tcBorders>
              <w:top w:val="single" w:sz="6" w:space="0" w:color="000000"/>
              <w:left w:val="single" w:sz="4" w:space="0" w:color="000000"/>
              <w:bottom w:val="single" w:sz="4" w:space="0" w:color="000000"/>
              <w:right w:val="single" w:sz="6" w:space="0" w:color="000000"/>
            </w:tcBorders>
          </w:tcPr>
          <w:p>
            <w:pPr>
              <w:pStyle w:val="TAH"/>
              <w:rPr>
                <w:lang w:eastAsia="en-US"/>
              </w:rPr>
            </w:pPr>
            <w:r>
              <w:rPr>
                <w:lang w:eastAsia="en-US"/>
              </w:rPr>
              <w:t>1 dB Compression point</w:t>
            </w:r>
          </w:p>
        </w:tc>
        <w:tc>
          <w:tcPr>
            <w:tcW w:w="2974"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+4 dBm</w:t>
            </w:r>
          </w:p>
        </w:tc>
        <w:tc>
          <w:tcPr>
            <w:tcW w:w="2974"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+30 dBm</w:t>
            </w:r>
          </w:p>
        </w:tc>
      </w:tr>
    </w:tbl>
    <w:p>
      <w:pPr>
        <w:pStyle w:val="Normal"/>
        <w:rPr/>
      </w:pPr>
      <w:r>
        <w:rPr/>
      </w:r>
      <w:r>
        <w:br w:type="page"/>
      </w:r>
    </w:p>
    <w:p>
      <w:pPr>
        <w:pStyle w:val="Normal"/>
        <w:tabs>
          <w:tab w:val="clear" w:pos="284"/>
          <w:tab w:val="right" w:pos="9639" w:leader="none"/>
        </w:tabs>
        <w:rPr/>
      </w:pPr>
      <w:r>
        <w:rPr/>
        <w:t xml:space="preserve">ETSI SMG2 (Ad hoc meeting </w:t>
        <w:noBreakHyphen/>
        <w:t xml:space="preserve"> Repeaters),</w:t>
        <w:tab/>
        <w:t>Tdoc SMG2  25/94</w:t>
      </w:r>
    </w:p>
    <w:p>
      <w:pPr>
        <w:pStyle w:val="Normal"/>
        <w:rPr/>
      </w:pPr>
      <w:r>
        <w:rPr/>
        <w:t>Meeting 1/94,</w:t>
      </w:r>
    </w:p>
    <w:p>
      <w:pPr>
        <w:pStyle w:val="Normal"/>
        <w:rPr/>
      </w:pPr>
      <w:r>
        <w:rPr/>
        <w:t>Rome,ITALY.</w:t>
      </w:r>
    </w:p>
    <w:p>
      <w:pPr>
        <w:pStyle w:val="Heading1"/>
        <w:ind w:left="1134" w:hanging="1134"/>
        <w:rPr/>
      </w:pPr>
      <w:bookmarkStart w:id="254" w:name="__RefHeading___Toc518035688"/>
      <w:bookmarkEnd w:id="254"/>
      <w:r>
        <w:rPr/>
        <w:t>E.7</w:t>
        <w:tab/>
        <w:t>Title: Repeater Scenarios</w:t>
      </w:r>
    </w:p>
    <w:p>
      <w:pPr>
        <w:pStyle w:val="Normal"/>
        <w:rPr/>
      </w:pPr>
      <w:r>
        <w:rPr/>
        <w:t>Source: Vodafone</w:t>
      </w:r>
    </w:p>
    <w:p>
      <w:pPr>
        <w:pStyle w:val="Normal"/>
        <w:rPr/>
      </w:pPr>
      <w:r>
        <w:rPr/>
        <w:t>Date: 8 March 1994</w:t>
      </w:r>
    </w:p>
    <w:p>
      <w:pPr>
        <w:pStyle w:val="Heading2"/>
        <w:rPr/>
      </w:pPr>
      <w:bookmarkStart w:id="255" w:name="__RefHeading___Toc518035689"/>
      <w:bookmarkEnd w:id="255"/>
      <w:r>
        <w:rPr/>
        <w:t>E.7.1</w:t>
        <w:tab/>
        <w:t>Introduction</w:t>
      </w:r>
    </w:p>
    <w:p>
      <w:pPr>
        <w:pStyle w:val="Normal"/>
        <w:rPr/>
      </w:pPr>
      <w:r>
        <w:rPr/>
        <w:t>Tdoc SMG2 274/93 presented to the Madrid meeting introduced the concept of repeaters for use in rural and urban applications and the idea of shared repeaters through coordination between operators</w:t>
      </w:r>
    </w:p>
    <w:p>
      <w:pPr>
        <w:pStyle w:val="Normal"/>
        <w:rPr/>
      </w:pPr>
      <w:r>
        <w:rPr/>
        <w:t>This paper analyses the parameters affecting the performance of repeaters and the necessary constraints on the repeater device. Basic equations governing their performance are derived and applied to different repeater scenarios. This results in a draft specification for repeater devices and a number of planning rules that should be considered when installing repeaters.</w:t>
      </w:r>
    </w:p>
    <w:p>
      <w:pPr>
        <w:pStyle w:val="Heading2"/>
        <w:rPr/>
      </w:pPr>
      <w:bookmarkStart w:id="256" w:name="__RefHeading___Toc518035690"/>
      <w:bookmarkEnd w:id="256"/>
      <w:r>
        <w:rPr/>
        <w:t>E.7.2</w:t>
        <w:tab/>
        <w:t>Repeater performance</w:t>
      </w:r>
    </w:p>
    <w:p>
      <w:pPr>
        <w:pStyle w:val="Normal"/>
        <w:rPr/>
      </w:pPr>
      <w:r>
        <w:rPr/>
        <w:t>In this section the basic equations defining the operation of a repeater are derived. The situation where two BTS, A and B (which may belong to different operators) are in the vicinity of a repeater is illustrated in figure 1. CL1 represents the BTS to repeater coupling loss and CL2 the MS to repeater coupling loss (terminal to terminal).</w:t>
      </w:r>
    </w:p>
    <w:p>
      <w:pPr>
        <w:pStyle w:val="TH"/>
        <w:rPr/>
      </w:pPr>
      <w:r>
        <w:rPr/>
        <w:drawing>
          <wp:inline distT="0" distB="0" distL="0" distR="0">
            <wp:extent cx="4123690" cy="1303020"/>
            <wp:effectExtent l="0" t="0" r="0" b="0"/>
            <wp:docPr id="47"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1" descr=""/>
                    <pic:cNvPicPr>
                      <a:picLocks noChangeAspect="1" noChangeArrowheads="1"/>
                    </pic:cNvPicPr>
                  </pic:nvPicPr>
                  <pic:blipFill>
                    <a:blip r:embed="rId41"/>
                    <a:srcRect l="-9" t="-28" r="-9" b="-28"/>
                    <a:stretch>
                      <a:fillRect/>
                    </a:stretch>
                  </pic:blipFill>
                  <pic:spPr bwMode="auto">
                    <a:xfrm>
                      <a:off x="0" y="0"/>
                      <a:ext cx="4123690" cy="1303020"/>
                    </a:xfrm>
                    <a:prstGeom prst="rect">
                      <a:avLst/>
                    </a:prstGeom>
                  </pic:spPr>
                </pic:pic>
              </a:graphicData>
            </a:graphic>
          </wp:inline>
        </w:drawing>
      </w:r>
    </w:p>
    <w:p>
      <w:pPr>
        <w:pStyle w:val="TF"/>
        <w:rPr/>
      </w:pPr>
      <w:r>
        <w:rPr/>
        <w:t>Figure 1</w:t>
      </w:r>
    </w:p>
    <w:p>
      <w:pPr>
        <w:pStyle w:val="Normal"/>
        <w:rPr/>
      </w:pPr>
      <w:r>
        <w:rPr/>
        <w:t>In the analysis, the following are assumed:</w:t>
      </w:r>
    </w:p>
    <w:p>
      <w:pPr>
        <w:pStyle w:val="B1"/>
        <w:rPr/>
      </w:pPr>
      <w:r>
        <w:rPr>
          <w:b/>
        </w:rPr>
        <w:t>-</w:t>
      </w:r>
      <w:r>
        <w:rPr/>
        <w:tab/>
        <w:t>Equal gain, G, is used in the uplink; and downlink; paths to maintain balance.</w:t>
      </w:r>
    </w:p>
    <w:p>
      <w:pPr>
        <w:pStyle w:val="B1"/>
        <w:rPr/>
      </w:pPr>
      <w:r>
        <w:rPr>
          <w:b/>
        </w:rPr>
        <w:t>-</w:t>
      </w:r>
      <w:r>
        <w:rPr/>
        <w:tab/>
        <w:t>The repeater complies with the CEPT requirements for spurious and lM3.</w:t>
      </w:r>
    </w:p>
    <w:p>
      <w:pPr>
        <w:pStyle w:val="Heading3"/>
        <w:rPr/>
      </w:pPr>
      <w:bookmarkStart w:id="257" w:name="__RefHeading___Toc518035691"/>
      <w:bookmarkEnd w:id="257"/>
      <w:r>
        <w:rPr/>
        <w:t>E.7.2.1</w:t>
        <w:tab/>
        <w:t>Link Equations</w:t>
      </w:r>
    </w:p>
    <w:p>
      <w:pPr>
        <w:pStyle w:val="Normal"/>
        <w:rPr/>
      </w:pPr>
      <w:r>
        <w:rPr/>
        <w:t>Consider the case for BTS</w:t>
      </w:r>
      <w:r>
        <w:rPr>
          <w:vertAlign w:val="subscript"/>
        </w:rPr>
        <w:t>A</w:t>
      </w:r>
      <w:r>
        <w:rPr/>
        <w:t>. Assume that MS</w:t>
      </w:r>
      <w:r>
        <w:rPr>
          <w:vertAlign w:val="subscript"/>
        </w:rPr>
        <w:t>A</w:t>
      </w:r>
      <w:r>
        <w:rPr/>
        <w:t xml:space="preserve"> is power controlled through the repeater and a noise free system. Given a scenario requirement for the minimum MS</w:t>
      </w:r>
      <w:r>
        <w:rPr>
          <w:vertAlign w:val="subscript"/>
        </w:rPr>
        <w:t>A</w:t>
      </w:r>
      <w:r>
        <w:rPr/>
        <w:t xml:space="preserve"> to repeater coupling loss, CL2</w:t>
      </w:r>
      <w:r>
        <w:rPr>
          <w:vertAlign w:val="subscript"/>
        </w:rPr>
        <w:t xml:space="preserve">A </w:t>
      </w:r>
      <w:r>
        <w:rPr/>
        <w:t>min, and BTS</w:t>
      </w:r>
      <w:r>
        <w:rPr>
          <w:vertAlign w:val="subscript"/>
        </w:rPr>
        <w:t>A</w:t>
      </w:r>
      <w:r>
        <w:rPr/>
        <w:t xml:space="preserve"> to repeater coupling loss, CL1</w:t>
      </w:r>
      <w:r>
        <w:rPr>
          <w:vertAlign w:val="subscript"/>
        </w:rPr>
        <w:t>A</w:t>
      </w:r>
      <w:r>
        <w:rPr/>
        <w:t>, in the uplink direction:</w:t>
      </w:r>
    </w:p>
    <w:p>
      <w:pPr>
        <w:pStyle w:val="B1"/>
        <w:tabs>
          <w:tab w:val="clear" w:pos="284"/>
          <w:tab w:val="right" w:pos="9498" w:leader="none"/>
        </w:tabs>
        <w:rPr/>
      </w:pPr>
      <w:r>
        <w:rPr/>
        <w:tab/>
      </w:r>
      <w:r>
        <w:rPr>
          <w:lang w:val="fr-FR"/>
        </w:rPr>
        <w:t>[MS</w:t>
      </w:r>
      <w:r>
        <w:rPr>
          <w:vertAlign w:val="subscript"/>
          <w:lang w:val="fr-FR"/>
        </w:rPr>
        <w:t>A</w:t>
      </w:r>
      <w:r>
        <w:rPr>
          <w:lang w:val="fr-FR"/>
        </w:rPr>
        <w:t>_TXpwr_min] - [CL2</w:t>
      </w:r>
      <w:r>
        <w:rPr>
          <w:vertAlign w:val="subscript"/>
          <w:lang w:val="fr-FR"/>
        </w:rPr>
        <w:t>A</w:t>
      </w:r>
      <w:r>
        <w:rPr>
          <w:lang w:val="fr-FR"/>
        </w:rPr>
        <w:t>min] + [G] - [CL1</w:t>
      </w:r>
      <w:r>
        <w:rPr>
          <w:vertAlign w:val="subscript"/>
          <w:lang w:val="fr-FR"/>
        </w:rPr>
        <w:t>A</w:t>
      </w:r>
      <w:r>
        <w:rPr>
          <w:lang w:val="fr-FR"/>
        </w:rPr>
        <w:t>] = [BTS</w:t>
      </w:r>
      <w:r>
        <w:rPr>
          <w:vertAlign w:val="subscript"/>
          <w:lang w:val="fr-FR"/>
        </w:rPr>
        <w:t>A</w:t>
      </w:r>
      <w:r>
        <w:rPr>
          <w:lang w:val="fr-FR"/>
        </w:rPr>
        <w:t>_RXIev_max]</w:t>
        <w:tab/>
        <w:t>Eq. 1</w:t>
      </w:r>
    </w:p>
    <w:p>
      <w:pPr>
        <w:pStyle w:val="B1"/>
        <w:rPr/>
      </w:pPr>
      <w:r>
        <w:rPr>
          <w:lang w:val="sv-SE"/>
        </w:rPr>
        <w:t>=&gt;</w:t>
        <w:tab/>
        <w:t>G = [BTS</w:t>
      </w:r>
      <w:r>
        <w:rPr>
          <w:vertAlign w:val="subscript"/>
          <w:lang w:val="sv-SE"/>
        </w:rPr>
        <w:t>A</w:t>
      </w:r>
      <w:r>
        <w:rPr>
          <w:lang w:val="sv-SE"/>
        </w:rPr>
        <w:t>_RXlev_max] - [MS</w:t>
      </w:r>
      <w:r>
        <w:rPr>
          <w:vertAlign w:val="subscript"/>
          <w:lang w:val="sv-SE"/>
        </w:rPr>
        <w:t>A</w:t>
      </w:r>
      <w:r>
        <w:rPr>
          <w:lang w:val="sv-SE"/>
        </w:rPr>
        <w:t>_TXpwr_min] + [CL1] + [CL2min]</w:t>
      </w:r>
    </w:p>
    <w:p>
      <w:pPr>
        <w:pStyle w:val="Normal"/>
        <w:keepNext w:val="true"/>
        <w:keepLines/>
        <w:rPr/>
      </w:pPr>
      <w:r>
        <w:rPr/>
        <w:t>Where MS</w:t>
      </w:r>
      <w:r>
        <w:rPr>
          <w:vertAlign w:val="subscript"/>
        </w:rPr>
        <w:t>A</w:t>
      </w:r>
      <w:r>
        <w:rPr/>
        <w:t>_TXpwr_min is the minimum transmit power for MS</w:t>
      </w:r>
      <w:r>
        <w:rPr>
          <w:vertAlign w:val="subscript"/>
        </w:rPr>
        <w:t>A</w:t>
      </w:r>
      <w:r>
        <w:rPr/>
        <w:t xml:space="preserve"> G the repeater gain and BTS</w:t>
      </w:r>
      <w:r>
        <w:rPr>
          <w:vertAlign w:val="subscript"/>
        </w:rPr>
        <w:t>A</w:t>
      </w:r>
      <w:r>
        <w:rPr/>
        <w:t>_RXlev_max, the maximum allowed receive level at the BTS before MS power control is applied. At the maximum coupling loss between MS</w:t>
      </w:r>
      <w:r>
        <w:rPr>
          <w:vertAlign w:val="subscript"/>
        </w:rPr>
        <w:t>A</w:t>
      </w:r>
      <w:r>
        <w:rPr/>
        <w:t xml:space="preserve"> and repeater, CL2</w:t>
      </w:r>
      <w:r>
        <w:rPr>
          <w:vertAlign w:val="subscript"/>
        </w:rPr>
        <w:t>A</w:t>
      </w:r>
      <w:r>
        <w:rPr/>
        <w:t>max:</w:t>
      </w:r>
    </w:p>
    <w:p>
      <w:pPr>
        <w:pStyle w:val="B1"/>
        <w:keepNext w:val="true"/>
        <w:keepLines/>
        <w:rPr/>
      </w:pPr>
      <w:r>
        <w:rPr/>
        <w:tab/>
        <w:t>[MS</w:t>
      </w:r>
      <w:r>
        <w:rPr>
          <w:vertAlign w:val="subscript"/>
        </w:rPr>
        <w:t>A</w:t>
      </w:r>
      <w:r>
        <w:rPr/>
        <w:t>_TXpwr_max] - [CL2</w:t>
      </w:r>
      <w:r>
        <w:rPr>
          <w:vertAlign w:val="subscript"/>
        </w:rPr>
        <w:t>A</w:t>
      </w:r>
      <w:r>
        <w:rPr/>
        <w:t>max] + [G] - [CL1</w:t>
      </w:r>
      <w:r>
        <w:rPr>
          <w:vertAlign w:val="subscript"/>
        </w:rPr>
        <w:t>A</w:t>
      </w:r>
      <w:r>
        <w:rPr/>
        <w:t>] = [BTS</w:t>
      </w:r>
      <w:r>
        <w:rPr>
          <w:vertAlign w:val="subscript"/>
        </w:rPr>
        <w:t>A</w:t>
      </w:r>
      <w:r>
        <w:rPr/>
        <w:t>_sensitivity]</w:t>
      </w:r>
    </w:p>
    <w:p>
      <w:pPr>
        <w:pStyle w:val="Normal"/>
        <w:rPr/>
      </w:pPr>
      <w:r>
        <w:rPr/>
        <w:t>where MS</w:t>
      </w:r>
      <w:r>
        <w:rPr>
          <w:vertAlign w:val="subscript"/>
        </w:rPr>
        <w:t>A</w:t>
      </w:r>
      <w:r>
        <w:rPr/>
        <w:t>_TXpwr_max is the maximum MS transmit power for MS</w:t>
      </w:r>
      <w:r>
        <w:rPr>
          <w:vertAlign w:val="subscript"/>
        </w:rPr>
        <w:t>A</w:t>
      </w:r>
      <w:r>
        <w:rPr/>
        <w:t xml:space="preserve"> and BTS</w:t>
      </w:r>
      <w:r>
        <w:rPr>
          <w:vertAlign w:val="subscript"/>
        </w:rPr>
        <w:t>A</w:t>
      </w:r>
      <w:r>
        <w:rPr/>
        <w:t>_sensitivity, the reference sensitivity Ievel for BTS</w:t>
      </w:r>
      <w:r>
        <w:rPr>
          <w:vertAlign w:val="subscript"/>
        </w:rPr>
        <w:t>A</w:t>
      </w:r>
      <w:r>
        <w:rPr/>
        <w:t>. The operating dynamic range for MS</w:t>
      </w:r>
      <w:r>
        <w:rPr>
          <w:vertAlign w:val="subscript"/>
        </w:rPr>
        <w:t>A</w:t>
      </w:r>
      <w:r>
        <w:rPr/>
        <w:t xml:space="preserve"> is:</w:t>
      </w:r>
    </w:p>
    <w:p>
      <w:pPr>
        <w:pStyle w:val="B1"/>
        <w:rPr/>
      </w:pPr>
      <w:r>
        <w:rPr/>
        <w:tab/>
      </w:r>
      <w:r>
        <w:rPr>
          <w:lang w:val="en-US"/>
        </w:rPr>
        <w:t>[CL2</w:t>
      </w:r>
      <w:r>
        <w:rPr>
          <w:vertAlign w:val="subscript"/>
          <w:lang w:val="en-US"/>
        </w:rPr>
        <w:t>A</w:t>
      </w:r>
      <w:r>
        <w:rPr>
          <w:lang w:val="en-US"/>
        </w:rPr>
        <w:t>max] - [CL2</w:t>
      </w:r>
      <w:r>
        <w:rPr>
          <w:vertAlign w:val="subscript"/>
          <w:lang w:val="en-US"/>
        </w:rPr>
        <w:t>A</w:t>
      </w:r>
      <w:r>
        <w:rPr>
          <w:lang w:val="en-US"/>
        </w:rPr>
        <w:t>min] = [MS</w:t>
      </w:r>
      <w:r>
        <w:rPr>
          <w:vertAlign w:val="subscript"/>
          <w:lang w:val="en-US"/>
        </w:rPr>
        <w:t>A</w:t>
      </w:r>
      <w:r>
        <w:rPr>
          <w:lang w:val="en-US"/>
        </w:rPr>
        <w:t>_TXpwr_max] - [MS</w:t>
      </w:r>
      <w:r>
        <w:rPr>
          <w:vertAlign w:val="subscript"/>
          <w:lang w:val="en-US"/>
        </w:rPr>
        <w:t>A</w:t>
      </w:r>
      <w:r>
        <w:rPr>
          <w:lang w:val="en-US"/>
        </w:rPr>
        <w:t>_TXpwr_min] -</w:t>
      </w:r>
    </w:p>
    <w:p>
      <w:pPr>
        <w:pStyle w:val="B2"/>
        <w:tabs>
          <w:tab w:val="clear" w:pos="284"/>
          <w:tab w:val="right" w:pos="9498" w:leader="none"/>
        </w:tabs>
        <w:rPr/>
      </w:pPr>
      <w:r>
        <w:rPr>
          <w:lang w:val="en-US"/>
        </w:rPr>
        <w:tab/>
      </w:r>
      <w:r>
        <w:rPr>
          <w:lang w:val="sv-SE"/>
        </w:rPr>
        <w:t>[BTS</w:t>
      </w:r>
      <w:r>
        <w:rPr>
          <w:vertAlign w:val="subscript"/>
          <w:lang w:val="sv-SE"/>
        </w:rPr>
        <w:t>A</w:t>
      </w:r>
      <w:r>
        <w:rPr>
          <w:lang w:val="sv-SE"/>
        </w:rPr>
        <w:t>_sensitivity] + [BTS</w:t>
      </w:r>
      <w:r>
        <w:rPr>
          <w:vertAlign w:val="subscript"/>
          <w:lang w:val="sv-SE"/>
        </w:rPr>
        <w:t>A</w:t>
      </w:r>
      <w:r>
        <w:rPr>
          <w:lang w:val="sv-SE"/>
        </w:rPr>
        <w:t>_RXlev_max]</w:t>
        <w:tab/>
        <w:t>Eq. 2</w:t>
      </w:r>
    </w:p>
    <w:p>
      <w:pPr>
        <w:pStyle w:val="Normal"/>
        <w:rPr/>
      </w:pPr>
      <w:r>
        <w:rPr/>
        <w:t>and the repeater output powers in the uplink; and downlink; directions given by the equations:</w:t>
      </w:r>
    </w:p>
    <w:p>
      <w:pPr>
        <w:pStyle w:val="B1"/>
        <w:rPr/>
      </w:pPr>
      <w:r>
        <w:rPr/>
        <w:tab/>
        <w:t>Uplink operating power = [MS</w:t>
      </w:r>
      <w:r>
        <w:rPr>
          <w:vertAlign w:val="subscript"/>
        </w:rPr>
        <w:t>A</w:t>
      </w:r>
      <w:r>
        <w:rPr/>
        <w:t>_TXpwr_min] - [CL2</w:t>
      </w:r>
      <w:r>
        <w:rPr>
          <w:vertAlign w:val="subscript"/>
        </w:rPr>
        <w:t>A</w:t>
      </w:r>
      <w:r>
        <w:rPr/>
        <w:t>minl + [G]</w:t>
      </w:r>
    </w:p>
    <w:p>
      <w:pPr>
        <w:pStyle w:val="B1"/>
        <w:rPr/>
      </w:pPr>
      <w:r>
        <w:rPr/>
        <w:tab/>
        <w:t>Max. uplink RACH power = [MS</w:t>
      </w:r>
      <w:r>
        <w:rPr>
          <w:vertAlign w:val="subscript"/>
        </w:rPr>
        <w:t>A</w:t>
      </w:r>
      <w:r>
        <w:rPr/>
        <w:t>_TXpwr_max] - [CL2</w:t>
      </w:r>
      <w:r>
        <w:rPr>
          <w:vertAlign w:val="subscript"/>
        </w:rPr>
        <w:t>A</w:t>
      </w:r>
      <w:r>
        <w:rPr/>
        <w:t>min] + [G]</w:t>
      </w:r>
    </w:p>
    <w:p>
      <w:pPr>
        <w:pStyle w:val="B1"/>
        <w:rPr/>
      </w:pPr>
      <w:r>
        <w:rPr/>
        <w:tab/>
        <w:t>Downlink operating power = [BTS</w:t>
      </w:r>
      <w:r>
        <w:rPr>
          <w:vertAlign w:val="subscript"/>
        </w:rPr>
        <w:t>A</w:t>
      </w:r>
      <w:r>
        <w:rPr/>
        <w:t>_TXpwr] - [CL1</w:t>
      </w:r>
      <w:r>
        <w:rPr>
          <w:vertAlign w:val="subscript"/>
        </w:rPr>
        <w:t>A</w:t>
      </w:r>
      <w:r>
        <w:rPr/>
        <w:t>] + [G]</w:t>
      </w:r>
    </w:p>
    <w:p>
      <w:pPr>
        <w:pStyle w:val="Heading3"/>
        <w:rPr/>
      </w:pPr>
      <w:bookmarkStart w:id="258" w:name="__RefHeading___Toc518035692"/>
      <w:bookmarkEnd w:id="258"/>
      <w:r>
        <w:rPr/>
        <w:t>E.7.2.2</w:t>
        <w:tab/>
        <w:t>Co-ordinated Scenario</w:t>
      </w:r>
    </w:p>
    <w:p>
      <w:pPr>
        <w:pStyle w:val="Normal"/>
        <w:rPr/>
      </w:pPr>
      <w:r>
        <w:rPr/>
        <w:t>In the co-ordinated scenario, MS</w:t>
      </w:r>
      <w:r>
        <w:rPr>
          <w:vertAlign w:val="subscript"/>
        </w:rPr>
        <w:t>B</w:t>
      </w:r>
      <w:r>
        <w:rPr/>
        <w:t xml:space="preserve"> is also power controlled by BTS</w:t>
      </w:r>
      <w:r>
        <w:rPr>
          <w:vertAlign w:val="subscript"/>
        </w:rPr>
        <w:t>B</w:t>
      </w:r>
      <w:r>
        <w:rPr/>
        <w:t xml:space="preserve"> through the repeater. A similar analysis for BTS</w:t>
      </w:r>
      <w:r>
        <w:rPr>
          <w:vertAlign w:val="subscript"/>
        </w:rPr>
        <w:t>B</w:t>
      </w:r>
      <w:r>
        <w:rPr/>
        <w:t>, leads to the following equations for the minimum MS transmit power, operating dynamic range and repeater output powers:</w:t>
      </w:r>
    </w:p>
    <w:p>
      <w:pPr>
        <w:pStyle w:val="B1"/>
        <w:tabs>
          <w:tab w:val="clear" w:pos="284"/>
          <w:tab w:val="right" w:pos="9498" w:leader="none"/>
        </w:tabs>
        <w:rPr/>
      </w:pPr>
      <w:r>
        <w:rPr/>
        <w:tab/>
        <w:t>[MS</w:t>
      </w:r>
      <w:r>
        <w:rPr>
          <w:vertAlign w:val="subscript"/>
        </w:rPr>
        <w:t>B</w:t>
      </w:r>
      <w:r>
        <w:rPr/>
        <w:t>_TXpwr_min] - [CL2</w:t>
      </w:r>
      <w:r>
        <w:rPr>
          <w:vertAlign w:val="subscript"/>
        </w:rPr>
        <w:t>B</w:t>
      </w:r>
      <w:r>
        <w:rPr/>
        <w:t>min]+[G] - [CL1B] = [BTS</w:t>
      </w:r>
      <w:r>
        <w:rPr>
          <w:vertAlign w:val="subscript"/>
        </w:rPr>
        <w:t>B</w:t>
      </w:r>
      <w:r>
        <w:rPr/>
        <w:t>_RXlev_max]</w:t>
        <w:tab/>
        <w:t>Eq. 3</w:t>
      </w:r>
    </w:p>
    <w:p>
      <w:pPr>
        <w:pStyle w:val="B1"/>
        <w:rPr/>
      </w:pPr>
      <w:r>
        <w:rPr/>
        <w:tab/>
        <w:t>[CL2</w:t>
      </w:r>
      <w:r>
        <w:rPr>
          <w:vertAlign w:val="subscript"/>
        </w:rPr>
        <w:t>B</w:t>
      </w:r>
      <w:r>
        <w:rPr/>
        <w:t>max] - lCL2</w:t>
      </w:r>
      <w:r>
        <w:rPr>
          <w:vertAlign w:val="subscript"/>
        </w:rPr>
        <w:t>B</w:t>
      </w:r>
      <w:r>
        <w:rPr/>
        <w:t>min] = [MSB_TXpwr_max] - [MSB_TXpwr_min] -</w:t>
      </w:r>
    </w:p>
    <w:p>
      <w:pPr>
        <w:pStyle w:val="B2"/>
        <w:tabs>
          <w:tab w:val="clear" w:pos="284"/>
          <w:tab w:val="right" w:pos="9498" w:leader="none"/>
        </w:tabs>
        <w:rPr/>
      </w:pPr>
      <w:r>
        <w:rPr/>
        <w:tab/>
        <w:t>[BT</w:t>
      </w:r>
      <w:r>
        <w:rPr>
          <w:vertAlign w:val="subscript"/>
        </w:rPr>
        <w:t>B</w:t>
      </w:r>
      <w:r>
        <w:rPr/>
        <w:t>_sensitivity] + [BTS</w:t>
      </w:r>
      <w:r>
        <w:rPr>
          <w:vertAlign w:val="subscript"/>
        </w:rPr>
        <w:t>B</w:t>
      </w:r>
      <w:r>
        <w:rPr/>
        <w:t>_RXIev_max]</w:t>
        <w:tab/>
        <w:t>Eq. 4</w:t>
      </w:r>
    </w:p>
    <w:p>
      <w:pPr>
        <w:pStyle w:val="B1"/>
        <w:rPr/>
      </w:pPr>
      <w:r>
        <w:rPr/>
        <w:tab/>
        <w:t>Uplink operating power = [MS</w:t>
      </w:r>
      <w:r>
        <w:rPr>
          <w:vertAlign w:val="subscript"/>
        </w:rPr>
        <w:t>B</w:t>
      </w:r>
      <w:r>
        <w:rPr/>
        <w:t>_TXpwr_min] - ECL2</w:t>
      </w:r>
      <w:r>
        <w:rPr>
          <w:vertAlign w:val="subscript"/>
        </w:rPr>
        <w:t>B</w:t>
      </w:r>
      <w:r>
        <w:rPr/>
        <w:t>min] + [G]</w:t>
      </w:r>
    </w:p>
    <w:p>
      <w:pPr>
        <w:pStyle w:val="B1"/>
        <w:rPr/>
      </w:pPr>
      <w:r>
        <w:rPr/>
        <w:tab/>
        <w:t>Max uplink; RACH power = [MS</w:t>
      </w:r>
      <w:r>
        <w:rPr>
          <w:vertAlign w:val="subscript"/>
        </w:rPr>
        <w:t>B</w:t>
      </w:r>
      <w:r>
        <w:rPr/>
        <w:t>_TXpwr_max] - [CL2</w:t>
      </w:r>
      <w:r>
        <w:rPr>
          <w:vertAlign w:val="subscript"/>
        </w:rPr>
        <w:t>B</w:t>
      </w:r>
      <w:r>
        <w:rPr/>
        <w:t>min] + [G]</w:t>
      </w:r>
    </w:p>
    <w:p>
      <w:pPr>
        <w:pStyle w:val="B1"/>
        <w:rPr/>
      </w:pPr>
      <w:r>
        <w:rPr/>
        <w:tab/>
        <w:t>Downlink operating power = [BTS</w:t>
      </w:r>
      <w:r>
        <w:rPr>
          <w:vertAlign w:val="subscript"/>
        </w:rPr>
        <w:t>B</w:t>
      </w:r>
      <w:r>
        <w:rPr/>
        <w:t>_TXpwr] - [CL1</w:t>
      </w:r>
      <w:r>
        <w:rPr>
          <w:vertAlign w:val="subscript"/>
        </w:rPr>
        <w:t>B</w:t>
      </w:r>
      <w:r>
        <w:rPr/>
        <w:t>] + [G]</w:t>
      </w:r>
    </w:p>
    <w:p>
      <w:pPr>
        <w:pStyle w:val="Normal"/>
        <w:rPr/>
      </w:pPr>
      <w:r>
        <w:rPr/>
        <w:t>If the following assumptions are made:</w:t>
      </w:r>
    </w:p>
    <w:p>
      <w:pPr>
        <w:pStyle w:val="B1"/>
        <w:rPr/>
      </w:pPr>
      <w:r>
        <w:rPr/>
        <w:tab/>
        <w:t>MS</w:t>
      </w:r>
      <w:r>
        <w:rPr>
          <w:vertAlign w:val="subscript"/>
        </w:rPr>
        <w:t>A</w:t>
      </w:r>
      <w:r>
        <w:rPr/>
        <w:t xml:space="preserve"> TXpwr_max - MS</w:t>
      </w:r>
      <w:r>
        <w:rPr>
          <w:vertAlign w:val="subscript"/>
        </w:rPr>
        <w:t>B</w:t>
      </w:r>
      <w:r>
        <w:rPr/>
        <w:t>_TXpwr_max</w:t>
      </w:r>
    </w:p>
    <w:p>
      <w:pPr>
        <w:pStyle w:val="B1"/>
        <w:rPr/>
      </w:pPr>
      <w:r>
        <w:rPr/>
        <w:tab/>
        <w:t>CL2</w:t>
      </w:r>
      <w:r>
        <w:rPr>
          <w:vertAlign w:val="subscript"/>
        </w:rPr>
        <w:t>A</w:t>
      </w:r>
      <w:r>
        <w:rPr/>
        <w:t>min = CL2</w:t>
      </w:r>
      <w:r>
        <w:rPr>
          <w:vertAlign w:val="subscript"/>
        </w:rPr>
        <w:t>B</w:t>
      </w:r>
      <w:r>
        <w:rPr/>
        <w:t>min, and</w:t>
      </w:r>
    </w:p>
    <w:p>
      <w:pPr>
        <w:pStyle w:val="B1"/>
        <w:rPr/>
      </w:pPr>
      <w:r>
        <w:rPr/>
        <w:tab/>
        <w:t>BTS</w:t>
      </w:r>
      <w:r>
        <w:rPr>
          <w:vertAlign w:val="subscript"/>
        </w:rPr>
        <w:t>A</w:t>
      </w:r>
      <w:r>
        <w:rPr/>
        <w:t>_sensitivity = BTS</w:t>
      </w:r>
      <w:r>
        <w:rPr>
          <w:vertAlign w:val="subscript"/>
        </w:rPr>
        <w:t>B</w:t>
      </w:r>
      <w:r>
        <w:rPr/>
        <w:t>_sensitivity</w:t>
      </w:r>
    </w:p>
    <w:p>
      <w:pPr>
        <w:pStyle w:val="Normal"/>
        <w:rPr/>
      </w:pPr>
      <w:r>
        <w:rPr/>
        <w:t>Then, subtracting Equation 4 from Equation 2, and using equations 1 and 3 to eliminate the minimum MS transmit powers leads to the difference in operating dynamic range between the two systems:</w:t>
      </w:r>
    </w:p>
    <w:p>
      <w:pPr>
        <w:pStyle w:val="B1"/>
        <w:rPr/>
      </w:pPr>
      <w:r>
        <w:rPr/>
        <w:tab/>
        <w:t>[CL2</w:t>
      </w:r>
      <w:r>
        <w:rPr>
          <w:vertAlign w:val="subscript"/>
        </w:rPr>
        <w:t>A</w:t>
      </w:r>
      <w:r>
        <w:rPr/>
        <w:t>max] - lCL2</w:t>
      </w:r>
      <w:r>
        <w:rPr>
          <w:vertAlign w:val="subscript"/>
        </w:rPr>
        <w:t>A</w:t>
      </w:r>
      <w:r>
        <w:rPr/>
        <w:t>min] - ([CL2</w:t>
      </w:r>
      <w:r>
        <w:rPr>
          <w:vertAlign w:val="subscript"/>
        </w:rPr>
        <w:t>B</w:t>
      </w:r>
      <w:r>
        <w:rPr/>
        <w:t>max] - [CL2</w:t>
      </w:r>
      <w:r>
        <w:rPr>
          <w:vertAlign w:val="subscript"/>
        </w:rPr>
        <w:t>B</w:t>
      </w:r>
      <w:r>
        <w:rPr/>
        <w:t>min]) = CL1</w:t>
      </w:r>
      <w:r>
        <w:rPr>
          <w:vertAlign w:val="subscript"/>
        </w:rPr>
        <w:t>B</w:t>
      </w:r>
      <w:r>
        <w:rPr/>
        <w:t xml:space="preserve"> - CL1</w:t>
      </w:r>
      <w:r>
        <w:rPr>
          <w:vertAlign w:val="subscript"/>
        </w:rPr>
        <w:t>A</w:t>
      </w:r>
    </w:p>
    <w:p>
      <w:pPr>
        <w:pStyle w:val="Normal"/>
        <w:rPr/>
      </w:pPr>
      <w:r>
        <w:rPr/>
        <w:t>It can be seen that both BTS</w:t>
      </w:r>
      <w:r>
        <w:rPr>
          <w:vertAlign w:val="subscript"/>
        </w:rPr>
        <w:t>A</w:t>
      </w:r>
      <w:r>
        <w:rPr/>
        <w:t xml:space="preserve"> and BTS</w:t>
      </w:r>
      <w:r>
        <w:rPr>
          <w:vertAlign w:val="subscript"/>
        </w:rPr>
        <w:t>B</w:t>
      </w:r>
      <w:r>
        <w:rPr/>
        <w:t>, must be equally coupled into the repeater if the operating dynamic range is to be optimised for both donor BTS.</w:t>
      </w:r>
    </w:p>
    <w:p>
      <w:pPr>
        <w:pStyle w:val="Normal"/>
        <w:rPr/>
      </w:pPr>
      <w:r>
        <w:rPr/>
        <w:t>In the co-ordinated scenario the repeater would be configured to operate across the whole of the GSM band.</w:t>
      </w:r>
    </w:p>
    <w:p>
      <w:pPr>
        <w:pStyle w:val="Heading3"/>
        <w:rPr/>
      </w:pPr>
      <w:bookmarkStart w:id="259" w:name="__RefHeading___Toc518035693"/>
      <w:bookmarkEnd w:id="259"/>
      <w:r>
        <w:rPr/>
        <w:t>E.7.2.3</w:t>
        <w:tab/>
        <w:t>Uncoordinated Scenario</w:t>
      </w:r>
    </w:p>
    <w:p>
      <w:pPr>
        <w:pStyle w:val="Normal"/>
        <w:keepNext w:val="true"/>
        <w:keepLines/>
        <w:rPr/>
      </w:pPr>
      <w:r>
        <w:rPr/>
        <w:t>In the uncoordinated scenario, MS</w:t>
      </w:r>
      <w:r>
        <w:rPr>
          <w:vertAlign w:val="subscript"/>
        </w:rPr>
        <w:t>B</w:t>
      </w:r>
      <w:r>
        <w:rPr/>
        <w:t xml:space="preserve"> will not be power controlled through the repeater. This is only true if the BTS</w:t>
        <w:noBreakHyphen/>
        <w:t>repeater-MS path loss is greater than the direct BTS-MS path loss.</w:t>
      </w:r>
    </w:p>
    <w:p>
      <w:pPr>
        <w:pStyle w:val="Normal"/>
        <w:keepNext w:val="true"/>
        <w:keepLines/>
        <w:rPr/>
      </w:pPr>
      <w:r>
        <w:rPr/>
        <w:t>It is important that the repeater wideband noise (see subclause 2.4) does not desense an uncoordinated MS. The repeater gain to uncoordinated signals also needs to be controlled, which will require filtering within the repeater device. At the minimum coupling loss, the level of enhanced signal/WBN for an uncoordinated MS should be at Ieast 9 dB lower than the uncoordinated wanted signal level.</w:t>
      </w:r>
    </w:p>
    <w:p>
      <w:pPr>
        <w:pStyle w:val="Heading3"/>
        <w:rPr/>
      </w:pPr>
      <w:bookmarkStart w:id="260" w:name="__RefHeading___Toc518035694"/>
      <w:bookmarkEnd w:id="260"/>
      <w:r>
        <w:rPr/>
        <w:t>E.7.2.4</w:t>
        <w:tab/>
        <w:t>Wideband Noise</w:t>
      </w:r>
    </w:p>
    <w:p>
      <w:pPr>
        <w:pStyle w:val="Normal"/>
        <w:rPr/>
      </w:pPr>
      <w:r>
        <w:rPr/>
        <w:t>Noise considerations are likely to limit the maximum useable gain of the repeater. Considering thermal noise, in the GSM receiver bandwidth (assuming a bandwidth in kHz), the noise output of a repeater with noise figure NF and gain G is described by the equation:</w:t>
      </w:r>
    </w:p>
    <w:p>
      <w:pPr>
        <w:pStyle w:val="B1"/>
        <w:rPr/>
      </w:pPr>
      <w:r>
        <w:rPr/>
        <w:tab/>
        <w:t>Noise output in GSM Rx BW = -144 + 10*log(RX_BW) + G + NF</w:t>
      </w:r>
    </w:p>
    <w:p>
      <w:pPr>
        <w:pStyle w:val="Normal"/>
        <w:rPr/>
      </w:pPr>
      <w:r>
        <w:rPr/>
        <w:t>For low CL2min and high gains, the wideband noise generated by the MS may be amplified by the repeater to a significant level. To prevent degradation of the BTS receivers, the repeater gain will be limited to the minimum value of G</w:t>
      </w:r>
      <w:r>
        <w:rPr>
          <w:vertAlign w:val="subscript"/>
        </w:rPr>
        <w:t>1</w:t>
      </w:r>
      <w:r>
        <w:rPr/>
        <w:t xml:space="preserve"> or G</w:t>
      </w:r>
      <w:r>
        <w:rPr>
          <w:vertAlign w:val="subscript"/>
        </w:rPr>
        <w:t>2</w:t>
      </w:r>
      <w:r>
        <w:rPr/>
        <w:t xml:space="preserve"> calculated from the following equations:</w:t>
      </w:r>
    </w:p>
    <w:p>
      <w:pPr>
        <w:pStyle w:val="B1"/>
        <w:rPr/>
      </w:pPr>
      <w:r>
        <w:rPr/>
        <w:tab/>
        <w:t>G</w:t>
      </w:r>
      <w:r>
        <w:rPr>
          <w:vertAlign w:val="subscript"/>
        </w:rPr>
        <w:t>1</w:t>
      </w:r>
      <w:r>
        <w:rPr/>
        <w:t xml:space="preserve"> = [BTS sensitivity] - [C/I margin] - [MS WBN in Rxr BW] + [CL2min] + [CL1]</w:t>
      </w:r>
    </w:p>
    <w:p>
      <w:pPr>
        <w:pStyle w:val="B1"/>
        <w:rPr/>
      </w:pPr>
      <w:r>
        <w:rPr/>
        <w:tab/>
        <w:t>G</w:t>
      </w:r>
      <w:r>
        <w:rPr>
          <w:vertAlign w:val="subscript"/>
        </w:rPr>
        <w:t>2</w:t>
      </w:r>
      <w:r>
        <w:rPr/>
        <w:t xml:space="preserve"> = [BTS sensitivity] - [C/I margin]+[CL1] - (-1)4 + 10*log(RX_BU))-[NF]</w:t>
      </w:r>
    </w:p>
    <w:p>
      <w:pPr>
        <w:pStyle w:val="Heading3"/>
        <w:rPr/>
      </w:pPr>
      <w:bookmarkStart w:id="261" w:name="__RefHeading___Toc518035695"/>
      <w:bookmarkEnd w:id="261"/>
      <w:r>
        <w:rPr/>
        <w:t>E.7.2.5</w:t>
        <w:tab/>
        <w:t>3rd order Intermodulation (IM3) performance/Spurious emissions:</w:t>
      </w:r>
    </w:p>
    <w:p>
      <w:pPr>
        <w:pStyle w:val="Normal"/>
        <w:rPr/>
      </w:pPr>
      <w:r>
        <w:rPr/>
        <w:t>If N carriers, each with outp</w:t>
      </w:r>
      <w:r>
        <w:rPr>
          <w:vertAlign w:val="superscript"/>
        </w:rPr>
        <w:t>ut</w:t>
      </w:r>
      <w:r>
        <w:rPr/>
        <w:t xml:space="preserve"> powers RPT_TXpwr, are amplified by a repeater with a 3rd order intercept point ICP, the highest level of 3rd order intermodulation tones produced </w:t>
      </w:r>
      <w:r>
        <w:rPr>
          <w:vertAlign w:val="superscript"/>
        </w:rPr>
        <w:t>PI</w:t>
      </w:r>
      <w:r>
        <w:rPr>
          <w:vertAlign w:val="subscript"/>
        </w:rPr>
        <w:t>M3</w:t>
      </w:r>
      <w:r>
        <w:rPr/>
        <w:t xml:space="preserve"> is given by the formula:</w:t>
      </w:r>
    </w:p>
    <w:p>
      <w:pPr>
        <w:pStyle w:val="B1"/>
        <w:rPr/>
      </w:pPr>
      <w:r>
        <w:rPr/>
        <w:tab/>
        <w:t>P</w:t>
      </w:r>
      <w:r>
        <w:rPr>
          <w:vertAlign w:val="subscript"/>
        </w:rPr>
        <w:t>IM3</w:t>
      </w:r>
      <w:r>
        <w:rPr/>
        <w:t xml:space="preserve"> = RPT_TXpwr - 2(</w:t>
      </w:r>
      <w:r>
        <w:rPr>
          <w:vertAlign w:val="superscript"/>
        </w:rPr>
        <w:t>IC</w:t>
      </w:r>
      <w:r>
        <w:rPr/>
        <w:t>P - [RPT_TXpwr]) + 20 log (N/2)</w:t>
      </w:r>
    </w:p>
    <w:p>
      <w:pPr>
        <w:pStyle w:val="Normal"/>
        <w:rPr/>
      </w:pPr>
      <w:r>
        <w:rPr/>
        <w:t>Therefore, to meet the CEPT limits of -36dBm below 1 GHz and -30 dBm above 1 GHz, the repeater should have an output intercept point calculated as follows:</w:t>
      </w:r>
    </w:p>
    <w:p>
      <w:pPr>
        <w:pStyle w:val="B1"/>
        <w:rPr/>
      </w:pPr>
      <w:r>
        <w:rPr/>
        <w:tab/>
        <w:t>ICP = (3*[RPT_TXpwr] - [CEPT limit])/2 + 10log(N/2)</w:t>
      </w:r>
    </w:p>
    <w:p>
      <w:pPr>
        <w:pStyle w:val="Normal"/>
        <w:rPr/>
      </w:pPr>
      <w:r>
        <w:rPr/>
        <w:t>Where an IM3 tone is generated in the duplex passband, sufficient isolation is required between the duplex paths of the repeater to prevent re-amplification of the IM3 product in the duplex path. The requirement on the BTS IM3 products in the BTS receive band of -91 dBm exists to protect the BTS receivers from their respective transmitters and co-located operators BTS transmitters. In practice close coupling between a BTS and repeater should be avoided if spurious/IM3 products or wideband noise from a BTS is not to be amplified by the high repeater gain. Therefore, the -91 dBm BTS requirement is not necessary for the repeater. With careful planning of the repeater site the CEPT limits are sufficient.</w:t>
      </w:r>
    </w:p>
    <w:p>
      <w:pPr>
        <w:pStyle w:val="Normal"/>
        <w:rPr/>
      </w:pPr>
      <w:r>
        <w:rPr/>
        <w:t>Spurious emissions should meet the -36 dBm CEPT requirement.</w:t>
      </w:r>
    </w:p>
    <w:p>
      <w:pPr>
        <w:pStyle w:val="Normal"/>
        <w:rPr/>
      </w:pPr>
      <w:r>
        <w:rPr/>
        <w:t>In normal operation, the IM3 products generated by the repeater will be largely due to intermodulation between BCCH/TCH bursts. However, during RACH bursts increased levels of IMP will be produced in the uplink path. Automatic gain control (AGC) that is activated at a threshold above the normal uplink operating power may be necessary to prevent these increased levels from exceeding the CEPT limits.</w:t>
      </w:r>
    </w:p>
    <w:p>
      <w:pPr>
        <w:pStyle w:val="Normal"/>
        <w:rPr/>
      </w:pPr>
      <w:r>
        <w:rPr/>
        <w:t>The AGC threshold will be set 3 dB above the maximum allowed power per tone for two tones whose IM3 products just meet the CEPT limits. Careful design of the attack and delay characteristics of the AGC is required to prevent adverse interactions with MS power control and this is for further study. When AGC is activated, all channels operating, through the repeater will be subject to a gain reduction.</w:t>
      </w:r>
    </w:p>
    <w:p>
      <w:pPr>
        <w:pStyle w:val="Heading2"/>
        <w:rPr/>
      </w:pPr>
      <w:bookmarkStart w:id="262" w:name="__RefHeading___Toc518035696"/>
      <w:bookmarkEnd w:id="262"/>
      <w:r>
        <w:rPr/>
        <w:t>E.7.3</w:t>
        <w:tab/>
        <w:t>Repeater scenarios</w:t>
      </w:r>
    </w:p>
    <w:p>
      <w:pPr>
        <w:pStyle w:val="Normal"/>
        <w:rPr/>
      </w:pPr>
      <w:r>
        <w:rPr/>
        <w:t>Example repeater scenarios are presented below. The figures have been calculated using the equations derived in clauses 2 and 3.</w:t>
      </w:r>
    </w:p>
    <w:p>
      <w:pPr>
        <w:pStyle w:val="Heading3"/>
        <w:rPr/>
      </w:pPr>
      <w:bookmarkStart w:id="263" w:name="__RefHeading___Toc518035697"/>
      <w:bookmarkEnd w:id="263"/>
      <w:r>
        <w:rPr/>
        <w:t>E.7.3.1</w:t>
        <w:tab/>
        <w:t>Rural scenario</w:t>
      </w:r>
    </w:p>
    <w:p>
      <w:pPr>
        <w:pStyle w:val="Normal"/>
        <w:rPr/>
      </w:pPr>
      <w:r>
        <w:rPr/>
        <w:t>Typical parameters for a repeater operating in a rural environment are:</w:t>
      </w:r>
    </w:p>
    <w:p>
      <w:pPr>
        <w:pStyle w:val="B1"/>
        <w:tabs>
          <w:tab w:val="clear" w:pos="284"/>
          <w:tab w:val="left" w:pos="2835" w:leader="none"/>
        </w:tabs>
        <w:rPr/>
      </w:pPr>
      <w:r>
        <w:rPr/>
        <w:t>CL1:</w:t>
        <w:tab/>
        <w:t>90 dB</w:t>
      </w:r>
    </w:p>
    <w:p>
      <w:pPr>
        <w:pStyle w:val="B1"/>
        <w:tabs>
          <w:tab w:val="clear" w:pos="284"/>
          <w:tab w:val="left" w:pos="2835" w:leader="none"/>
        </w:tabs>
        <w:rPr/>
      </w:pPr>
      <w:r>
        <w:rPr/>
        <w:t>CT2min:</w:t>
        <w:tab/>
        <w:t>75 dB</w:t>
      </w:r>
    </w:p>
    <w:p>
      <w:pPr>
        <w:pStyle w:val="B1"/>
        <w:tabs>
          <w:tab w:val="clear" w:pos="284"/>
          <w:tab w:val="left" w:pos="2835" w:leader="none"/>
        </w:tabs>
        <w:rPr/>
      </w:pPr>
      <w:r>
        <w:rPr/>
        <w:t>MS_TXpwr_max:</w:t>
        <w:tab/>
        <w:t>39 dBm (class 2)</w:t>
      </w:r>
    </w:p>
    <w:p>
      <w:pPr>
        <w:pStyle w:val="B1"/>
        <w:tabs>
          <w:tab w:val="clear" w:pos="284"/>
          <w:tab w:val="left" w:pos="2835" w:leader="none"/>
        </w:tabs>
        <w:rPr/>
      </w:pPr>
      <w:r>
        <w:rPr/>
        <w:t>MS_sensitivity:</w:t>
        <w:tab/>
        <w:t>-104 dBm</w:t>
      </w:r>
    </w:p>
    <w:p>
      <w:pPr>
        <w:pStyle w:val="B1"/>
        <w:tabs>
          <w:tab w:val="clear" w:pos="284"/>
          <w:tab w:val="left" w:pos="2835" w:leader="none"/>
        </w:tabs>
        <w:rPr/>
      </w:pPr>
      <w:r>
        <w:rPr/>
        <w:t>BTS_TXpwr</w:t>
        <w:tab/>
        <w:t>43 dBm</w:t>
      </w:r>
    </w:p>
    <w:p>
      <w:pPr>
        <w:pStyle w:val="B1"/>
        <w:tabs>
          <w:tab w:val="clear" w:pos="284"/>
          <w:tab w:val="left" w:pos="2835" w:leader="none"/>
        </w:tabs>
        <w:rPr/>
      </w:pPr>
      <w:r>
        <w:rPr/>
        <w:t>BTS_Rxlev_rnax:</w:t>
        <w:tab/>
        <w:t>-70dBm</w:t>
      </w:r>
    </w:p>
    <w:p>
      <w:pPr>
        <w:pStyle w:val="B1"/>
        <w:tabs>
          <w:tab w:val="clear" w:pos="284"/>
          <w:tab w:val="left" w:pos="2835" w:leader="none"/>
        </w:tabs>
        <w:rPr>
          <w:lang w:val="en-US"/>
        </w:rPr>
      </w:pPr>
      <w:r>
        <w:rPr>
          <w:lang w:val="en-US"/>
        </w:rPr>
        <w:t>Repeater noise figure</w:t>
        <w:tab/>
        <w:t>8 dB</w:t>
      </w:r>
    </w:p>
    <w:p>
      <w:pPr>
        <w:pStyle w:val="B1"/>
        <w:tabs>
          <w:tab w:val="clear" w:pos="284"/>
          <w:tab w:val="left" w:pos="2835" w:leader="none"/>
        </w:tabs>
        <w:rPr/>
      </w:pPr>
      <w:r>
        <w:rPr/>
        <w:t>N (no of carriers)</w:t>
        <w:tab/>
        <w:t>4</w:t>
      </w:r>
    </w:p>
    <w:p>
      <w:pPr>
        <w:pStyle w:val="Normal"/>
        <w:rPr/>
      </w:pPr>
      <w:r>
        <w:rPr/>
        <w:t>Assuming that the MS is powered controlled clown to 30 dBm at CL2min (MS_TXpwr_min = 30 dBm), the repeater operating parameters are as follows:</w:t>
      </w:r>
    </w:p>
    <w:p>
      <w:pPr>
        <w:pStyle w:val="B1"/>
        <w:tabs>
          <w:tab w:val="clear" w:pos="284"/>
          <w:tab w:val="left" w:pos="2835" w:leader="none"/>
        </w:tabs>
        <w:rPr/>
      </w:pPr>
      <w:r>
        <w:rPr/>
        <w:t>Dynamic range:</w:t>
        <w:tab/>
        <w:t>43 dB</w:t>
      </w:r>
    </w:p>
    <w:p>
      <w:pPr>
        <w:pStyle w:val="B1"/>
        <w:tabs>
          <w:tab w:val="clear" w:pos="284"/>
          <w:tab w:val="left" w:pos="2835" w:leader="none"/>
        </w:tabs>
        <w:rPr/>
      </w:pPr>
      <w:r>
        <w:rPr/>
        <w:t>Gain:</w:t>
        <w:tab/>
        <w:t>65 dB</w:t>
      </w:r>
    </w:p>
    <w:p>
      <w:pPr>
        <w:pStyle w:val="B1"/>
        <w:tabs>
          <w:tab w:val="clear" w:pos="284"/>
          <w:tab w:val="left" w:pos="2835" w:leader="none"/>
        </w:tabs>
        <w:rPr/>
      </w:pPr>
      <w:r>
        <w:rPr/>
        <w:t>Uplink operating power:</w:t>
        <w:tab/>
        <w:t>20 dBm</w:t>
      </w:r>
    </w:p>
    <w:p>
      <w:pPr>
        <w:pStyle w:val="B1"/>
        <w:tabs>
          <w:tab w:val="clear" w:pos="284"/>
          <w:tab w:val="left" w:pos="2835" w:leader="none"/>
        </w:tabs>
        <w:rPr/>
      </w:pPr>
      <w:r>
        <w:rPr/>
        <w:t>Downlink operating power:</w:t>
        <w:tab/>
        <w:t>18 dBm</w:t>
      </w:r>
    </w:p>
    <w:p>
      <w:pPr>
        <w:pStyle w:val="B1"/>
        <w:tabs>
          <w:tab w:val="clear" w:pos="284"/>
          <w:tab w:val="left" w:pos="2835" w:leader="none"/>
        </w:tabs>
        <w:rPr/>
      </w:pPr>
      <w:r>
        <w:rPr/>
        <w:t>Min. 3rd order ICP</w:t>
        <w:tab/>
        <w:t>51 dBm (based on 20 dBm operating power)</w:t>
      </w:r>
    </w:p>
    <w:p>
      <w:pPr>
        <w:pStyle w:val="Heading3"/>
        <w:rPr/>
      </w:pPr>
      <w:bookmarkStart w:id="264" w:name="__RefHeading___Toc518035698"/>
      <w:bookmarkEnd w:id="264"/>
      <w:r>
        <w:rPr/>
        <w:t>E.7.3.2</w:t>
        <w:tab/>
        <w:t>Urban Scenario</w:t>
      </w:r>
    </w:p>
    <w:p>
      <w:pPr>
        <w:pStyle w:val="Normal"/>
        <w:rPr/>
      </w:pPr>
      <w:r>
        <w:rPr/>
        <w:t>Typical paramet</w:t>
      </w:r>
      <w:r>
        <w:rPr>
          <w:vertAlign w:val="superscript"/>
        </w:rPr>
        <w:t>er</w:t>
      </w:r>
      <w:r>
        <w:rPr/>
        <w:t>s for a repeater operating in a rural environment are:</w:t>
      </w:r>
    </w:p>
    <w:p>
      <w:pPr>
        <w:pStyle w:val="B1"/>
        <w:tabs>
          <w:tab w:val="clear" w:pos="284"/>
          <w:tab w:val="left" w:pos="2835" w:leader="none"/>
        </w:tabs>
        <w:rPr/>
      </w:pPr>
      <w:r>
        <w:rPr/>
        <w:t>CL1:</w:t>
        <w:tab/>
        <w:t>80 dB</w:t>
      </w:r>
    </w:p>
    <w:p>
      <w:pPr>
        <w:pStyle w:val="B1"/>
        <w:tabs>
          <w:tab w:val="clear" w:pos="284"/>
          <w:tab w:val="left" w:pos="2835" w:leader="none"/>
        </w:tabs>
        <w:rPr/>
      </w:pPr>
      <w:r>
        <w:rPr/>
        <w:t>CL2min:</w:t>
        <w:tab/>
        <w:t>45dB</w:t>
      </w:r>
    </w:p>
    <w:p>
      <w:pPr>
        <w:pStyle w:val="B1"/>
        <w:tabs>
          <w:tab w:val="clear" w:pos="284"/>
          <w:tab w:val="left" w:pos="2835" w:leader="none"/>
        </w:tabs>
        <w:rPr/>
      </w:pPr>
      <w:r>
        <w:rPr/>
        <w:t>MS_TXpwr_max:</w:t>
        <w:tab/>
        <w:t>33 dBm (class 4)</w:t>
      </w:r>
    </w:p>
    <w:p>
      <w:pPr>
        <w:pStyle w:val="B1"/>
        <w:tabs>
          <w:tab w:val="clear" w:pos="284"/>
          <w:tab w:val="left" w:pos="2835" w:leader="none"/>
        </w:tabs>
        <w:rPr/>
      </w:pPr>
      <w:r>
        <w:rPr/>
        <w:t>MS_sensitivity:</w:t>
        <w:tab/>
        <w:t>-102 dBm</w:t>
      </w:r>
    </w:p>
    <w:p>
      <w:pPr>
        <w:pStyle w:val="B1"/>
        <w:tabs>
          <w:tab w:val="clear" w:pos="284"/>
          <w:tab w:val="left" w:pos="2835" w:leader="none"/>
        </w:tabs>
        <w:rPr/>
      </w:pPr>
      <w:r>
        <w:rPr/>
        <w:t>BTS Txpwr:</w:t>
        <w:tab/>
        <w:t>36 dBm</w:t>
      </w:r>
    </w:p>
    <w:p>
      <w:pPr>
        <w:pStyle w:val="B1"/>
        <w:tabs>
          <w:tab w:val="clear" w:pos="284"/>
          <w:tab w:val="left" w:pos="2835" w:leader="none"/>
        </w:tabs>
        <w:rPr/>
      </w:pPr>
      <w:r>
        <w:rPr/>
        <w:t>BTS_Rxlev_max:</w:t>
        <w:tab/>
        <w:t>-70 dBm</w:t>
      </w:r>
    </w:p>
    <w:p>
      <w:pPr>
        <w:pStyle w:val="B1"/>
        <w:tabs>
          <w:tab w:val="clear" w:pos="284"/>
          <w:tab w:val="left" w:pos="2835" w:leader="none"/>
        </w:tabs>
        <w:rPr>
          <w:lang w:val="en-US"/>
        </w:rPr>
      </w:pPr>
      <w:r>
        <w:rPr>
          <w:lang w:val="en-US"/>
        </w:rPr>
        <w:t>Repeater noise figure</w:t>
        <w:tab/>
        <w:t>6 dB</w:t>
      </w:r>
    </w:p>
    <w:p>
      <w:pPr>
        <w:pStyle w:val="B1"/>
        <w:tabs>
          <w:tab w:val="clear" w:pos="284"/>
          <w:tab w:val="left" w:pos="2835" w:leader="none"/>
        </w:tabs>
        <w:rPr/>
      </w:pPr>
      <w:r>
        <w:rPr/>
        <w:t>N (no of carriers)</w:t>
        <w:tab/>
        <w:t>2</w:t>
      </w:r>
    </w:p>
    <w:p>
      <w:pPr>
        <w:pStyle w:val="Normal"/>
        <w:rPr/>
      </w:pPr>
      <w:r>
        <w:rPr/>
        <w:t>Assuming that the MS is powered controlled down to 20 dBm at CL2min (MS_TXpwr_rnin = 20 dBm), the repeater operating parameters are as follows:</w:t>
      </w:r>
    </w:p>
    <w:p>
      <w:pPr>
        <w:pStyle w:val="B1"/>
        <w:tabs>
          <w:tab w:val="clear" w:pos="284"/>
          <w:tab w:val="left" w:pos="2835" w:leader="none"/>
        </w:tabs>
        <w:rPr/>
      </w:pPr>
      <w:r>
        <w:rPr/>
        <w:t>Dynamic range:</w:t>
        <w:tab/>
        <w:t>47 dB</w:t>
      </w:r>
    </w:p>
    <w:p>
      <w:pPr>
        <w:pStyle w:val="B1"/>
        <w:tabs>
          <w:tab w:val="clear" w:pos="284"/>
          <w:tab w:val="left" w:pos="2835" w:leader="none"/>
        </w:tabs>
        <w:rPr/>
      </w:pPr>
      <w:r>
        <w:rPr/>
        <w:t>Gain:</w:t>
        <w:tab/>
        <w:t>35 dB</w:t>
      </w:r>
    </w:p>
    <w:p>
      <w:pPr>
        <w:pStyle w:val="B1"/>
        <w:tabs>
          <w:tab w:val="clear" w:pos="284"/>
          <w:tab w:val="left" w:pos="2835" w:leader="none"/>
        </w:tabs>
        <w:rPr/>
      </w:pPr>
      <w:r>
        <w:rPr/>
        <w:t>Uplink; operating power:</w:t>
        <w:tab/>
        <w:t>10 dBm</w:t>
      </w:r>
    </w:p>
    <w:p>
      <w:pPr>
        <w:pStyle w:val="B1"/>
        <w:tabs>
          <w:tab w:val="clear" w:pos="284"/>
          <w:tab w:val="left" w:pos="2835" w:leader="none"/>
        </w:tabs>
        <w:rPr/>
      </w:pPr>
      <w:r>
        <w:rPr/>
        <w:t>Downlink; operating power:</w:t>
        <w:tab/>
        <w:t>-9 dBm</w:t>
      </w:r>
    </w:p>
    <w:p>
      <w:pPr>
        <w:pStyle w:val="B1"/>
        <w:tabs>
          <w:tab w:val="clear" w:pos="284"/>
          <w:tab w:val="left" w:pos="2835" w:leader="none"/>
        </w:tabs>
        <w:rPr/>
      </w:pPr>
      <w:r>
        <w:rPr/>
        <w:t>Min. 3rd order ICP</w:t>
        <w:tab/>
        <w:t>36 dBm</w:t>
      </w:r>
    </w:p>
    <w:p>
      <w:pPr>
        <w:pStyle w:val="Heading2"/>
        <w:rPr/>
      </w:pPr>
      <w:bookmarkStart w:id="265" w:name="__RefHeading___Toc518035699"/>
      <w:bookmarkEnd w:id="265"/>
      <w:r>
        <w:rPr/>
        <w:t>E.7.4</w:t>
        <w:tab/>
        <w:t>Summary</w:t>
      </w:r>
    </w:p>
    <w:p>
      <w:pPr>
        <w:pStyle w:val="Normal"/>
        <w:rPr/>
      </w:pPr>
      <w:r>
        <w:rPr/>
        <w:t>It has been illustrated how repeater devices operate in th</w:t>
      </w:r>
      <w:r>
        <w:rPr>
          <w:vertAlign w:val="superscript"/>
        </w:rPr>
        <w:t xml:space="preserve">e </w:t>
      </w:r>
      <w:r>
        <w:rPr/>
        <w:t>co-ordinated and uncoordinated environments. Example figures have been presented based on urban and rural scenarios. The following repeater specification and planning considerations are</w:t>
      </w:r>
      <w:r>
        <w:rPr>
          <w:b/>
        </w:rPr>
        <w:t xml:space="preserve"> </w:t>
      </w:r>
      <w:r>
        <w:rPr/>
        <w:t>proposed.</w:t>
      </w:r>
    </w:p>
    <w:p>
      <w:pPr>
        <w:pStyle w:val="Heading3"/>
        <w:rPr/>
      </w:pPr>
      <w:bookmarkStart w:id="266" w:name="__RefHeading___Toc518035700"/>
      <w:bookmarkEnd w:id="266"/>
      <w:r>
        <w:rPr/>
        <w:t>E.7.4.1</w:t>
        <w:tab/>
        <w:t>Repeater Specification</w:t>
      </w:r>
    </w:p>
    <w:p>
      <w:pPr>
        <w:pStyle w:val="Normal"/>
        <w:rPr>
          <w:b/>
          <w:b/>
        </w:rPr>
      </w:pPr>
      <w:r>
        <w:rPr>
          <w:b/>
        </w:rPr>
        <w:t>Selectivity out of band (i.e. outside the GSM band):</w:t>
      </w:r>
    </w:p>
    <w:p>
      <w:pPr>
        <w:pStyle w:val="B1"/>
        <w:tabs>
          <w:tab w:val="clear" w:pos="284"/>
          <w:tab w:val="left" w:pos="2835" w:leader="none"/>
        </w:tabs>
        <w:rPr/>
      </w:pPr>
      <w:r>
        <w:rPr/>
        <w:t>Offset from band edge</w:t>
        <w:tab/>
        <w:t>Filter rejection</w:t>
      </w:r>
    </w:p>
    <w:p>
      <w:pPr>
        <w:pStyle w:val="B1"/>
        <w:tabs>
          <w:tab w:val="clear" w:pos="284"/>
          <w:tab w:val="left" w:pos="2835" w:leader="none"/>
        </w:tabs>
        <w:rPr/>
      </w:pPr>
      <w:r>
        <w:rPr/>
        <w:t>1 Mhz</w:t>
        <w:tab/>
        <w:t>30 dB</w:t>
      </w:r>
    </w:p>
    <w:p>
      <w:pPr>
        <w:pStyle w:val="B1"/>
        <w:tabs>
          <w:tab w:val="clear" w:pos="284"/>
          <w:tab w:val="left" w:pos="2835" w:leader="none"/>
        </w:tabs>
        <w:rPr/>
      </w:pPr>
      <w:r>
        <w:rPr/>
        <w:t>2 MHz</w:t>
        <w:tab/>
        <w:t>50 dB</w:t>
      </w:r>
    </w:p>
    <w:p>
      <w:pPr>
        <w:pStyle w:val="Normal"/>
        <w:rPr>
          <w:b/>
          <w:b/>
        </w:rPr>
      </w:pPr>
      <w:r>
        <w:rPr>
          <w:b/>
        </w:rPr>
        <w:t>Spurious Emissions (including wideband noise):</w:t>
      </w:r>
    </w:p>
    <w:p>
      <w:pPr>
        <w:pStyle w:val="B1"/>
        <w:tabs>
          <w:tab w:val="clear" w:pos="284"/>
          <w:tab w:val="left" w:pos="2835" w:leader="none"/>
        </w:tabs>
        <w:rPr/>
      </w:pPr>
      <w:r>
        <w:rPr/>
        <w:t>Below 1 GHz:</w:t>
        <w:tab/>
        <w:t>less than -36 dBm measured in 100 kHz bandwidth.</w:t>
      </w:r>
    </w:p>
    <w:p>
      <w:pPr>
        <w:pStyle w:val="B1"/>
        <w:tabs>
          <w:tab w:val="clear" w:pos="284"/>
          <w:tab w:val="left" w:pos="2835" w:leader="none"/>
        </w:tabs>
        <w:rPr/>
      </w:pPr>
      <w:r>
        <w:rPr/>
        <w:t>Above 1Ghz:</w:t>
        <w:tab/>
        <w:t>less than -30 dBm measured in 100 kHz bandwidth.</w:t>
      </w:r>
    </w:p>
    <w:p>
      <w:pPr>
        <w:pStyle w:val="Normal"/>
        <w:rPr>
          <w:b/>
          <w:b/>
        </w:rPr>
      </w:pPr>
      <w:r>
        <w:rPr>
          <w:b/>
        </w:rPr>
        <w:t>Intermodulation products:</w:t>
      </w:r>
    </w:p>
    <w:p>
      <w:pPr>
        <w:pStyle w:val="B1"/>
        <w:tabs>
          <w:tab w:val="clear" w:pos="284"/>
          <w:tab w:val="left" w:pos="2835" w:leader="none"/>
        </w:tabs>
        <w:rPr/>
      </w:pPr>
      <w:r>
        <w:rPr/>
        <w:t>Below 1 GHz:</w:t>
        <w:tab/>
        <w:t>less than -36 dBm measured in 100 kHz bandwidth.</w:t>
      </w:r>
    </w:p>
    <w:p>
      <w:pPr>
        <w:pStyle w:val="B1"/>
        <w:tabs>
          <w:tab w:val="clear" w:pos="284"/>
          <w:tab w:val="left" w:pos="2835" w:leader="none"/>
        </w:tabs>
        <w:rPr/>
      </w:pPr>
      <w:r>
        <w:rPr/>
        <w:t>Above 1 Ghz:</w:t>
        <w:tab/>
        <w:t>less than -30 dBm measured in 100 kHz bandwidth.</w:t>
      </w:r>
    </w:p>
    <w:p>
      <w:pPr>
        <w:pStyle w:val="Heading3"/>
        <w:rPr/>
      </w:pPr>
      <w:bookmarkStart w:id="267" w:name="__RefHeading___Toc518035701"/>
      <w:bookmarkEnd w:id="267"/>
      <w:r>
        <w:rPr/>
        <w:t>E.7.4.2</w:t>
        <w:tab/>
        <w:t>Planning considerations</w:t>
      </w:r>
    </w:p>
    <w:p>
      <w:pPr>
        <w:pStyle w:val="Normal"/>
        <w:rPr/>
      </w:pPr>
      <w:r>
        <w:rPr/>
        <w:t>The following planning rules are proposed:</w:t>
      </w:r>
    </w:p>
    <w:p>
      <w:pPr>
        <w:pStyle w:val="B1"/>
        <w:rPr/>
      </w:pPr>
      <w:r>
        <w:rPr>
          <w:b/>
        </w:rPr>
        <w:t>-</w:t>
      </w:r>
      <w:r>
        <w:rPr/>
        <w:tab/>
        <w:t>Where a number of BTS operate through a repeater, operators must consider carefully the coupling between BTS and repeater. The operating dynamic range will only be optimised for all BTS when they are equally coupled into the repeater.</w:t>
      </w:r>
    </w:p>
    <w:p>
      <w:pPr>
        <w:pStyle w:val="B1"/>
        <w:rPr/>
      </w:pPr>
      <w:r>
        <w:rPr>
          <w:b/>
        </w:rPr>
        <w:t>-</w:t>
      </w:r>
      <w:r>
        <w:rPr/>
        <w:tab/>
        <w:t>When selecting a repeater site consideration needs to be given to the proximity of the repeater to uncoordinated BTS. IM3 products/WBN generated in the BTS receive band by the repeater may be transmitted at a level defined by the CEPT limit. This requires a minimum coupling loss:</w:t>
      </w:r>
    </w:p>
    <w:p>
      <w:pPr>
        <w:pStyle w:val="B2"/>
        <w:rPr/>
      </w:pPr>
      <w:r>
        <w:rPr/>
        <w:tab/>
        <w:t>[CL1min] = [CEPT limit] - [BTS sensitivity] + [C/l margin]</w:t>
      </w:r>
    </w:p>
    <w:p>
      <w:pPr>
        <w:pStyle w:val="Normal"/>
        <w:rPr/>
      </w:pPr>
      <w:r>
        <w:rPr/>
        <w:t>Below 1 GHz this equates to 77 dB. Where IM3 products generated by the repeater are the limiting factor, separate repeater transmit and receive antennas can be used to reduce the minimum coupling loss.</w:t>
      </w:r>
    </w:p>
    <w:p>
      <w:pPr>
        <w:pStyle w:val="B1"/>
        <w:rPr/>
      </w:pPr>
      <w:r>
        <w:rPr>
          <w:b/>
        </w:rPr>
        <w:t>-</w:t>
      </w:r>
      <w:r>
        <w:rPr/>
        <w:tab/>
        <w:t>For co-ordinated MS, the maximum repeater gain shall be the minimum value of G</w:t>
      </w:r>
      <w:r>
        <w:rPr>
          <w:vertAlign w:val="subscript"/>
        </w:rPr>
        <w:t>1</w:t>
      </w:r>
      <w:r>
        <w:rPr/>
        <w:t>, G</w:t>
      </w:r>
      <w:r>
        <w:rPr>
          <w:vertAlign w:val="subscript"/>
        </w:rPr>
        <w:t>2</w:t>
      </w:r>
      <w:r>
        <w:rPr/>
        <w:t xml:space="preserve"> and G</w:t>
      </w:r>
      <w:r>
        <w:rPr>
          <w:vertAlign w:val="subscript"/>
        </w:rPr>
        <w:t>3</w:t>
      </w:r>
      <w:r>
        <w:rPr/>
        <w:t>, calculated from the following equations.</w:t>
      </w:r>
    </w:p>
    <w:p>
      <w:pPr>
        <w:pStyle w:val="B2"/>
        <w:rPr/>
      </w:pPr>
      <w:r>
        <w:rPr/>
        <w:tab/>
        <w:t>G</w:t>
      </w:r>
      <w:r>
        <w:rPr>
          <w:vertAlign w:val="subscript"/>
        </w:rPr>
        <w:t xml:space="preserve">1 </w:t>
      </w:r>
      <w:r>
        <w:rPr/>
        <w:t>= [BTS sensitivity] - [C/l margin] - [MS WBN in Rxr BW] + [CL2min] + [CL1]</w:t>
      </w:r>
    </w:p>
    <w:p>
      <w:pPr>
        <w:pStyle w:val="B2"/>
        <w:rPr/>
      </w:pPr>
      <w:r>
        <w:rPr/>
        <w:tab/>
        <w:t>G</w:t>
      </w:r>
      <w:r>
        <w:rPr>
          <w:vertAlign w:val="subscript"/>
        </w:rPr>
        <w:t>2</w:t>
      </w:r>
      <w:r>
        <w:rPr/>
        <w:t xml:space="preserve"> = [BTS sensitivity] - [C/l margin] + [CL1] - ()144 + l0*log(RX_BW)) - [NF]</w:t>
      </w:r>
    </w:p>
    <w:p>
      <w:pPr>
        <w:pStyle w:val="B2"/>
        <w:rPr/>
      </w:pPr>
      <w:r>
        <w:rPr/>
        <w:tab/>
      </w:r>
      <w:r>
        <w:rPr>
          <w:lang w:val="sv-SE"/>
        </w:rPr>
        <w:t>G</w:t>
      </w:r>
      <w:r>
        <w:rPr>
          <w:vertAlign w:val="subscript"/>
          <w:lang w:val="sv-SE"/>
        </w:rPr>
        <w:t>3</w:t>
      </w:r>
      <w:r>
        <w:rPr>
          <w:lang w:val="sv-SE"/>
        </w:rPr>
        <w:t xml:space="preserve"> = [BTS</w:t>
      </w:r>
      <w:r>
        <w:rPr>
          <w:vertAlign w:val="subscript"/>
          <w:lang w:val="sv-SE"/>
        </w:rPr>
        <w:t>A</w:t>
      </w:r>
      <w:r>
        <w:rPr>
          <w:lang w:val="sv-SE"/>
        </w:rPr>
        <w:t>_RXlev_max] - [MS</w:t>
      </w:r>
      <w:r>
        <w:rPr>
          <w:vertAlign w:val="subscript"/>
          <w:lang w:val="sv-SE"/>
        </w:rPr>
        <w:t>A</w:t>
      </w:r>
      <w:r>
        <w:rPr>
          <w:lang w:val="sv-SE"/>
        </w:rPr>
        <w:t>_TXpwr_min] + [CL1] + [CL2min]</w:t>
      </w:r>
    </w:p>
    <w:p>
      <w:pPr>
        <w:pStyle w:val="B1"/>
        <w:keepNext w:val="true"/>
        <w:keepLines/>
        <w:rPr/>
      </w:pPr>
      <w:r>
        <w:rPr>
          <w:b/>
        </w:rPr>
        <w:t>-</w:t>
      </w:r>
      <w:r>
        <w:rPr/>
        <w:tab/>
        <w:t>For uncoordinated MS, filtering is necessary to reject the uncoordinated frequencies from the repeater. When selecting a repeater site, operators should implement sufficient filtering of uncoordinated frequencies to ensure that the following is satisfied. At CL2min (the minimum coupling loss between MS and repeater), uncoordinated frequencies enhanced by the repeater shall be at last 9 dB below the wanted signals of the uncoordinated operator.</w:t>
      </w:r>
    </w:p>
    <w:p>
      <w:pPr>
        <w:pStyle w:val="B1"/>
        <w:rPr/>
      </w:pPr>
      <w:r>
        <w:rPr>
          <w:b/>
        </w:rPr>
        <w:t>-</w:t>
      </w:r>
      <w:r>
        <w:rPr/>
        <w:tab/>
        <w:t>These factors will require review during the lifetime of the repeater to</w:t>
      </w:r>
      <w:r>
        <w:rPr>
          <w:i/>
        </w:rPr>
        <w:t xml:space="preserve"> </w:t>
      </w:r>
      <w:r>
        <w:rPr/>
        <w:t>account for the developments in both the co-ordinated and uncoordinated networks.</w:t>
      </w:r>
    </w:p>
    <w:p>
      <w:pPr>
        <w:pStyle w:val="Normal"/>
        <w:rPr>
          <w:b/>
          <w:b/>
        </w:rPr>
      </w:pPr>
      <w:r>
        <w:rPr>
          <w:b/>
        </w:rPr>
        <w:t>ETSI SMG-2 ad</w:t>
        <w:noBreakHyphen/>
        <w:t>hoc</w:t>
      </w:r>
    </w:p>
    <w:p>
      <w:pPr>
        <w:pStyle w:val="Normal"/>
        <w:rPr/>
      </w:pPr>
      <w:r>
        <w:rPr/>
        <w:t>Sophia Antipolis 12 July 1994</w:t>
      </w:r>
    </w:p>
    <w:p>
      <w:pPr>
        <w:pStyle w:val="Normal"/>
        <w:rPr/>
      </w:pPr>
      <w:r>
        <w:rPr/>
        <w:t>REPEATER OUT OF BAND GAIN</w:t>
      </w:r>
    </w:p>
    <w:p>
      <w:pPr>
        <w:pStyle w:val="Normal"/>
        <w:rPr/>
      </w:pPr>
      <w:r>
        <w:rPr/>
        <w:t>Source: Hutchison Telecom.</w:t>
      </w:r>
    </w:p>
    <w:p>
      <w:pPr>
        <w:pStyle w:val="Normal"/>
        <w:rPr/>
      </w:pPr>
      <w:r>
        <w:rPr/>
        <w:t>This paper proposes additional text to GSM 05. O5 Annex E (normative): Repeater characteristics and GSM 03.30</w:t>
        <w:noBreakHyphen/>
        <w:t>RPT Version Annex D PLANNING GUIDELINES FOR REPEATERS. There is also text describing the background to the requirements.</w:t>
      </w:r>
    </w:p>
    <w:p>
      <w:pPr>
        <w:pStyle w:val="Normal"/>
        <w:rPr/>
      </w:pPr>
      <w:r>
        <w:rPr/>
        <w:t>GSM 05.05 annex E (normative): Repeater characteristics</w:t>
      </w:r>
    </w:p>
    <w:p>
      <w:pPr>
        <w:pStyle w:val="Heading2"/>
        <w:rPr/>
      </w:pPr>
      <w:bookmarkStart w:id="268" w:name="__RefHeading___Toc518035702"/>
      <w:bookmarkEnd w:id="268"/>
      <w:r>
        <w:rPr/>
        <w:t>E.7.5</w:t>
        <w:tab/>
        <w:t>Out of band Gain</w:t>
      </w:r>
    </w:p>
    <w:p>
      <w:pPr>
        <w:pStyle w:val="Normal"/>
        <w:rPr/>
      </w:pPr>
      <w:r>
        <w:rPr/>
        <w:t>The following requirements apply at all frequencies from 9 kHz to 12,75 GHz excluding the GSM/DCS 1800 bands defined in GSM 05.05 and declared by the manufacturer as the operational bands for the equipment.</w:t>
      </w:r>
    </w:p>
    <w:p>
      <w:pPr>
        <w:pStyle w:val="Normal"/>
        <w:rPr/>
      </w:pPr>
      <w:r>
        <w:rPr/>
        <w:t>The out of band gain in both directions through the repeater shall be less than +25 dB at [5] MHz and greater from the GSM and DCS1800 band edges. The repeater gain shall fall to 0 dB at [10] Mhz and greater from the GSM and DCS 1800 band edges.</w:t>
      </w:r>
    </w:p>
    <w:p>
      <w:pPr>
        <w:pStyle w:val="Normal"/>
        <w:rPr/>
      </w:pPr>
      <w:r>
        <w:rPr/>
        <w:t>In special circumstances additional filtering may be required out of band and reference should be made to GSM 03.30.</w:t>
      </w:r>
    </w:p>
    <w:p>
      <w:pPr>
        <w:pStyle w:val="Heading3"/>
        <w:rPr/>
      </w:pPr>
      <w:bookmarkStart w:id="269" w:name="__RefHeading___Toc518035703"/>
      <w:bookmarkEnd w:id="269"/>
      <w:r>
        <w:rPr/>
        <w:t>E.7.6</w:t>
        <w:tab/>
        <w:t>Planning guidelines for repeaters</w:t>
      </w:r>
    </w:p>
    <w:p>
      <w:pPr>
        <w:pStyle w:val="NF"/>
        <w:rPr/>
      </w:pPr>
      <w:r>
        <w:rPr/>
      </w:r>
    </w:p>
    <w:p>
      <w:pPr>
        <w:pStyle w:val="Heading2"/>
        <w:rPr/>
      </w:pPr>
      <w:bookmarkStart w:id="270" w:name="__RefHeading___Toc518035704"/>
      <w:bookmarkEnd w:id="270"/>
      <w:r>
        <w:rPr/>
        <w:t>E.7.7</w:t>
        <w:tab/>
        <w:t>Indoor Repeater Scenario</w:t>
      </w:r>
    </w:p>
    <w:p>
      <w:pPr>
        <w:pStyle w:val="Normal"/>
        <w:rPr/>
      </w:pPr>
      <w:r>
        <w:rPr/>
        <w:t>For equipment used inside public buildings where other communication systems could operate in very close vicinity (less than [5]m) of the repeater ,antennas special care must be taken such that out of band signals are not re-radiated from within the building to the outside via the repeater system and vice versa. When using repeaters with an antenna mounted on the outside of a buildings the effect of any additional height gain should be considered. If the close coupled communication system is usually constrained, within the building it may be necessary to consider the negation of building penetration loss when planning the installation. It is the operator's responsibility to ensure that the out of band gain of the repeater does not cause disruption to other existing and future co-located radio communication equipment. This can be done by careful, choice of the repeater antennas and siting or if necessary, the inclusion of in-line filters to attenuate the out of band signals from other systems operating in the close vicinity of the repeater.</w:t>
      </w:r>
    </w:p>
    <w:p>
      <w:pPr>
        <w:pStyle w:val="Normal"/>
        <w:rPr/>
      </w:pPr>
      <w:r>
        <w:rPr/>
        <w:t>The following equation can be used to ensure an adequate safety margin in these cases:</w:t>
      </w:r>
    </w:p>
    <w:p>
      <w:pPr>
        <w:pStyle w:val="B1"/>
        <w:spacing w:before="0" w:after="120"/>
        <w:rPr/>
      </w:pPr>
      <w:r>
        <w:rPr/>
        <w:tab/>
        <w:t>G</w:t>
      </w:r>
      <w:r>
        <w:rPr>
          <w:vertAlign w:val="subscript"/>
        </w:rPr>
        <w:t>sys</w:t>
      </w:r>
      <w:r>
        <w:rPr/>
        <w:t xml:space="preserve"> </w:t>
      </w:r>
      <w:r>
        <w:rPr>
          <w:rFonts w:eastAsia="Symbol" w:cs="Symbol" w:ascii="Symbol" w:hAnsi="Symbol"/>
        </w:rPr>
        <w:t></w:t>
      </w:r>
      <w:r>
        <w:rPr>
          <w:vertAlign w:val="subscript"/>
        </w:rPr>
        <w:t xml:space="preserve"> </w:t>
      </w:r>
      <w:r>
        <w:rPr/>
        <w:t xml:space="preserve"> G</w:t>
      </w:r>
      <w:r>
        <w:rPr>
          <w:vertAlign w:val="subscript"/>
        </w:rPr>
        <w:t>com</w:t>
      </w:r>
      <w:r>
        <w:rPr>
          <w:rFonts w:eastAsia="Symbol" w:cs="Symbol" w:ascii="Symbol" w:hAnsi="Symbol"/>
          <w:vertAlign w:val="subscript"/>
        </w:rPr>
        <w:t></w:t>
      </w:r>
      <w:r>
        <w:rPr>
          <w:vertAlign w:val="subscript"/>
        </w:rPr>
        <w:t>3</w:t>
      </w:r>
      <w:r>
        <w:rPr/>
        <w:t xml:space="preserve"> + CL</w:t>
      </w:r>
      <w:r>
        <w:rPr>
          <w:vertAlign w:val="subscript"/>
        </w:rPr>
        <w:t>3</w:t>
      </w:r>
      <w:r>
        <w:rPr/>
        <w:t xml:space="preserve"> - M</w:t>
      </w:r>
      <w:r>
        <w:rPr>
          <w:vertAlign w:val="subscript"/>
        </w:rPr>
        <w:t>s</w:t>
      </w:r>
    </w:p>
    <w:p>
      <w:pPr>
        <w:pStyle w:val="Normal"/>
        <w:rPr/>
      </w:pPr>
      <w:r>
        <w:rPr/>
        <w:t>Where G</w:t>
      </w:r>
      <w:r>
        <w:rPr>
          <w:vertAlign w:val="subscript"/>
        </w:rPr>
        <w:t>sys</w:t>
      </w:r>
      <w:r>
        <w:rPr/>
        <w:t xml:space="preserve"> is the out of band repeater gain plus the gain of external repeater ,antenna less the cable loss to that antenna. G</w:t>
      </w:r>
      <w:r>
        <w:rPr>
          <w:vertAlign w:val="subscript"/>
        </w:rPr>
        <w:t>com</w:t>
      </w:r>
      <w:r>
        <w:rPr>
          <w:rFonts w:eastAsia="Symbol" w:cs="Symbol" w:ascii="Symbol" w:hAnsi="Symbol"/>
        </w:rPr>
        <w:t></w:t>
      </w:r>
      <w:r>
        <w:rPr>
          <w:vertAlign w:val="subscript"/>
        </w:rPr>
        <w:t>3</w:t>
      </w:r>
      <w:r>
        <w:rPr/>
        <w:t xml:space="preserve"> is the antenna gain of the close coupled communication</w:t>
      </w:r>
      <w:r>
        <w:rPr>
          <w:u w:val="single"/>
        </w:rPr>
        <w:t xml:space="preserve"> </w:t>
      </w:r>
      <w:r>
        <w:rPr/>
        <w:t>system (use 2dBi if not known).CL</w:t>
      </w:r>
      <w:r>
        <w:rPr>
          <w:vertAlign w:val="subscript"/>
        </w:rPr>
        <w:t>3</w:t>
      </w:r>
      <w:r>
        <w:rPr/>
        <w:t xml:space="preserve"> is the measured or estimated out of band coupling loss between the close coupled communication system and the repeater (terminal to terminal) and M</w:t>
      </w:r>
      <w:r>
        <w:rPr>
          <w:vertAlign w:val="subscript"/>
        </w:rPr>
        <w:t>s</w:t>
      </w:r>
      <w:r>
        <w:rPr/>
        <w:t xml:space="preserve"> is the safety margin which should include the height gain of the external repeater antenna plus, if appropriate, the out of band building penetration loss (use 15dB If not known). See above.</w:t>
      </w:r>
    </w:p>
    <w:p>
      <w:pPr>
        <w:pStyle w:val="Normal"/>
        <w:rPr>
          <w:b/>
          <w:b/>
        </w:rPr>
      </w:pPr>
      <w:r>
        <w:rPr>
          <w:b/>
        </w:rPr>
        <w:t>REPEATER OUT OF BAND REQUIREMENT BACK GROUND</w:t>
      </w:r>
    </w:p>
    <w:p>
      <w:pPr>
        <w:pStyle w:val="Normal"/>
        <w:rPr/>
      </w:pPr>
      <w:r>
        <w:rPr/>
        <w:t>Consider the signals passing</w:t>
      </w:r>
      <w:r>
        <w:rPr>
          <w:b/>
        </w:rPr>
        <w:t xml:space="preserve"> </w:t>
      </w:r>
      <w:r>
        <w:rPr/>
        <w:t xml:space="preserve">between two systems, which could be any desired radio communication systems (eg. mobile to base) or incompatible systems (eg. two different mobiles or bases operating on the same frequency). There will be a path loss between these systems which we need to ensure is not significantly affected by the addition of a GSM/DCS repeater in the environment. These systems are uncoordinated with GSM/DCS and the words </w:t>
      </w:r>
      <w:r>
        <w:rPr>
          <w:i/>
        </w:rPr>
        <w:t>out</w:t>
      </w:r>
      <w:r>
        <w:rPr/>
        <w:t xml:space="preserve"> </w:t>
      </w:r>
      <w:r>
        <w:rPr>
          <w:i/>
        </w:rPr>
        <w:t xml:space="preserve">of band are </w:t>
      </w:r>
      <w:r>
        <w:rPr/>
        <w:t>used below to refer to the repeater performance outside of the allocated GSM/DCS bands. See below.</w:t>
      </w:r>
    </w:p>
    <w:p>
      <w:pPr>
        <w:pStyle w:val="TH"/>
        <w:rPr/>
      </w:pPr>
      <w:r>
        <w:rPr/>
        <w:drawing>
          <wp:inline distT="0" distB="0" distL="0" distR="0">
            <wp:extent cx="5577840" cy="2468880"/>
            <wp:effectExtent l="0" t="0" r="0" b="0"/>
            <wp:docPr id="48"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2" descr=""/>
                    <pic:cNvPicPr>
                      <a:picLocks noChangeAspect="1" noChangeArrowheads="1"/>
                    </pic:cNvPicPr>
                  </pic:nvPicPr>
                  <pic:blipFill>
                    <a:blip r:embed="rId42"/>
                    <a:srcRect l="-6" t="-15" r="-6" b="-15"/>
                    <a:stretch>
                      <a:fillRect/>
                    </a:stretch>
                  </pic:blipFill>
                  <pic:spPr bwMode="auto">
                    <a:xfrm>
                      <a:off x="0" y="0"/>
                      <a:ext cx="5577840" cy="2468880"/>
                    </a:xfrm>
                    <a:prstGeom prst="rect">
                      <a:avLst/>
                    </a:prstGeom>
                  </pic:spPr>
                </pic:pic>
              </a:graphicData>
            </a:graphic>
          </wp:inline>
        </w:drawing>
      </w:r>
    </w:p>
    <w:p>
      <w:pPr>
        <w:pStyle w:val="Normal"/>
        <w:rPr/>
      </w:pPr>
      <w:r>
        <w:rPr/>
        <w:t>Taking the simple outdoor case first and assuming a general propagation loss model of the form C +klog(r) the total gain budget between System A and System B via a repeater system with out of band gain G</w:t>
      </w:r>
      <w:r>
        <w:rPr>
          <w:vertAlign w:val="subscript"/>
        </w:rPr>
        <w:t>sys</w:t>
      </w:r>
      <w:r>
        <w:rPr/>
        <w:t xml:space="preserve"> (which includes antenna gain) is:</w:t>
      </w:r>
    </w:p>
    <w:p>
      <w:pPr>
        <w:pStyle w:val="B1"/>
        <w:tabs>
          <w:tab w:val="clear" w:pos="284"/>
          <w:tab w:val="left" w:pos="5670" w:leader="none"/>
        </w:tabs>
        <w:rPr/>
      </w:pPr>
      <w:r>
        <w:rPr/>
        <w:tab/>
      </w:r>
      <w:r>
        <w:rPr>
          <w:lang w:val="fr-FR"/>
        </w:rPr>
        <w:t>-pL</w:t>
      </w:r>
      <w:r>
        <w:rPr>
          <w:vertAlign w:val="subscript"/>
          <w:lang w:val="fr-FR"/>
        </w:rPr>
        <w:t>ar</w:t>
      </w:r>
      <w:r>
        <w:rPr>
          <w:lang w:val="fr-FR"/>
        </w:rPr>
        <w:t xml:space="preserve"> + G</w:t>
      </w:r>
      <w:r>
        <w:rPr>
          <w:vertAlign w:val="subscript"/>
          <w:lang w:val="fr-FR"/>
        </w:rPr>
        <w:t>sys</w:t>
      </w:r>
      <w:r>
        <w:rPr>
          <w:lang w:val="fr-FR"/>
        </w:rPr>
        <w:t xml:space="preserve"> - PL</w:t>
      </w:r>
      <w:r>
        <w:rPr>
          <w:vertAlign w:val="subscript"/>
          <w:lang w:val="fr-FR"/>
        </w:rPr>
        <w:t>rb</w:t>
      </w:r>
      <w:r>
        <w:rPr>
          <w:lang w:val="fr-FR"/>
        </w:rPr>
        <w:t xml:space="preserve"> = -2C - k(log x + log y) + G</w:t>
      </w:r>
      <w:r>
        <w:rPr>
          <w:vertAlign w:val="subscript"/>
          <w:lang w:val="fr-FR"/>
        </w:rPr>
        <w:t>sys</w:t>
      </w:r>
      <w:r>
        <w:rPr>
          <w:lang w:val="fr-FR"/>
        </w:rPr>
        <w:tab/>
        <w:t>dB</w:t>
      </w:r>
    </w:p>
    <w:p>
      <w:pPr>
        <w:pStyle w:val="Normal"/>
        <w:rPr/>
      </w:pPr>
      <w:r>
        <w:rPr/>
        <w:t>Where x is the distance from System A to the repeater system and y is the distance between the repeater and System B.</w:t>
      </w:r>
    </w:p>
    <w:p>
      <w:pPr>
        <w:pStyle w:val="Normal"/>
        <w:rPr/>
      </w:pPr>
      <w:r>
        <w:rPr/>
        <w:t>Thus the minimum total path loss occurs when either x or y is at its minimum value independent of the propagation type. In other words the worse case situation will arise when the repeater is physically close to one or other of the systems (A or B). In this case the "direct" path loss pL</w:t>
      </w:r>
      <w:r>
        <w:rPr>
          <w:vertAlign w:val="subscript"/>
        </w:rPr>
        <w:t>ab</w:t>
      </w:r>
      <w:r>
        <w:rPr/>
        <w:t xml:space="preserve"> can be assumed to be very similar to the path loss from the repeater system to the far system excluding, for the moment, any differences in the height gain. i.e.: pL</w:t>
      </w:r>
      <w:r>
        <w:rPr>
          <w:vertAlign w:val="subscript"/>
        </w:rPr>
        <w:t>ab</w:t>
      </w:r>
      <w:r>
        <w:rPr/>
        <w:t xml:space="preserve"> </w:t>
      </w:r>
      <w:r>
        <w:rPr>
          <w:rFonts w:eastAsia="Symbol" w:cs="Symbol" w:ascii="Symbol" w:hAnsi="Symbol"/>
        </w:rPr>
        <w:t></w:t>
      </w:r>
      <w:r>
        <w:rPr/>
        <w:t xml:space="preserve"> pL</w:t>
      </w:r>
      <w:r>
        <w:rPr>
          <w:vertAlign w:val="subscript"/>
        </w:rPr>
        <w:t>rb</w:t>
      </w:r>
      <w:r>
        <w:rPr/>
        <w:t xml:space="preserve"> for System A close to the repeater System.</w:t>
      </w:r>
    </w:p>
    <w:p>
      <w:pPr>
        <w:pStyle w:val="Normal"/>
        <w:rPr/>
      </w:pPr>
      <w:r>
        <w:rPr/>
        <w:t>The coupling losses between the radio stations in each system will also depend upon the respective antenna gains. In the following situation a repeater and Station A are closely coupled.</w:t>
      </w:r>
    </w:p>
    <w:p>
      <w:pPr>
        <w:pStyle w:val="TH"/>
        <w:rPr/>
      </w:pPr>
      <w:r>
        <w:rPr/>
        <w:drawing>
          <wp:inline distT="0" distB="0" distL="0" distR="0">
            <wp:extent cx="4663440" cy="3017520"/>
            <wp:effectExtent l="0" t="0" r="0" b="0"/>
            <wp:docPr id="49"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3" descr=""/>
                    <pic:cNvPicPr>
                      <a:picLocks noChangeAspect="1" noChangeArrowheads="1"/>
                    </pic:cNvPicPr>
                  </pic:nvPicPr>
                  <pic:blipFill>
                    <a:blip r:embed="rId43"/>
                    <a:srcRect l="-8" t="-12" r="-8" b="-12"/>
                    <a:stretch>
                      <a:fillRect/>
                    </a:stretch>
                  </pic:blipFill>
                  <pic:spPr bwMode="auto">
                    <a:xfrm>
                      <a:off x="0" y="0"/>
                      <a:ext cx="4663440" cy="3017520"/>
                    </a:xfrm>
                    <a:prstGeom prst="rect">
                      <a:avLst/>
                    </a:prstGeom>
                  </pic:spPr>
                </pic:pic>
              </a:graphicData>
            </a:graphic>
          </wp:inline>
        </w:drawing>
      </w:r>
    </w:p>
    <w:p>
      <w:pPr>
        <w:pStyle w:val="Normal"/>
        <w:rPr/>
      </w:pPr>
      <w:r>
        <w:rPr/>
        <w:t>Since the path loss between System B and the repeater (pL</w:t>
      </w:r>
      <w:r>
        <w:rPr>
          <w:vertAlign w:val="subscript"/>
        </w:rPr>
        <w:t>rb</w:t>
      </w:r>
      <w:r>
        <w:rPr/>
        <w:t>) and System A and B (pL</w:t>
      </w:r>
      <w:r>
        <w:rPr>
          <w:vertAlign w:val="subscript"/>
        </w:rPr>
        <w:t>ab</w:t>
      </w:r>
      <w:r>
        <w:rPr/>
        <w:t>) is similar for a closely coupled situation it is useful to compare the EIRP of a signal transmitted from Station A with the signal re-transmitted from the repeater.</w:t>
      </w:r>
    </w:p>
    <w:p>
      <w:pPr>
        <w:pStyle w:val="B1"/>
        <w:rPr/>
      </w:pPr>
      <w:r>
        <w:rPr/>
        <w:tab/>
      </w:r>
      <w:r>
        <w:rPr>
          <w:lang w:val="fr-FR"/>
        </w:rPr>
        <w:t>EIRP</w:t>
      </w:r>
      <w:r>
        <w:rPr>
          <w:vertAlign w:val="subscript"/>
          <w:lang w:val="fr-FR"/>
        </w:rPr>
        <w:t>A</w:t>
      </w:r>
      <w:r>
        <w:rPr>
          <w:lang w:val="fr-FR"/>
        </w:rPr>
        <w:t xml:space="preserve"> = P</w:t>
      </w:r>
      <w:r>
        <w:rPr>
          <w:vertAlign w:val="subscript"/>
          <w:lang w:val="fr-FR"/>
        </w:rPr>
        <w:t>TX</w:t>
      </w:r>
      <w:r>
        <w:rPr>
          <w:lang w:val="fr-FR"/>
        </w:rPr>
        <w:t xml:space="preserve"> + G</w:t>
      </w:r>
      <w:r>
        <w:rPr>
          <w:vertAlign w:val="subscript"/>
          <w:lang w:val="fr-FR"/>
        </w:rPr>
        <w:t>ANT</w:t>
      </w:r>
      <w:r>
        <w:rPr>
          <w:rFonts w:eastAsia="Symbol" w:cs="Symbol" w:ascii="Symbol" w:hAnsi="Symbol"/>
        </w:rPr>
        <w:t></w:t>
      </w:r>
      <w:r>
        <w:rPr>
          <w:vertAlign w:val="subscript"/>
          <w:lang w:val="fr-FR"/>
        </w:rPr>
        <w:t>1</w:t>
      </w:r>
    </w:p>
    <w:p>
      <w:pPr>
        <w:pStyle w:val="B1"/>
        <w:rPr/>
      </w:pPr>
      <w:r>
        <w:rPr>
          <w:lang w:val="fr-FR"/>
        </w:rPr>
        <w:tab/>
        <w:t>EIRP</w:t>
      </w:r>
      <w:r>
        <w:rPr>
          <w:vertAlign w:val="subscript"/>
          <w:lang w:val="fr-FR"/>
        </w:rPr>
        <w:t>R</w:t>
      </w:r>
      <w:r>
        <w:rPr>
          <w:lang w:val="fr-FR"/>
        </w:rPr>
        <w:t xml:space="preserve"> = P</w:t>
      </w:r>
      <w:r>
        <w:rPr>
          <w:vertAlign w:val="subscript"/>
          <w:lang w:val="fr-FR"/>
        </w:rPr>
        <w:t xml:space="preserve">TX </w:t>
      </w:r>
      <w:r>
        <w:rPr>
          <w:lang w:val="fr-FR"/>
        </w:rPr>
        <w:t>- C</w:t>
      </w:r>
      <w:r>
        <w:rPr>
          <w:vertAlign w:val="subscript"/>
          <w:lang w:val="fr-FR"/>
        </w:rPr>
        <w:t>ar</w:t>
      </w:r>
      <w:r>
        <w:rPr>
          <w:lang w:val="fr-FR"/>
        </w:rPr>
        <w:t>+ G</w:t>
      </w:r>
      <w:r>
        <w:rPr>
          <w:vertAlign w:val="subscript"/>
          <w:lang w:val="fr-FR"/>
        </w:rPr>
        <w:t>R</w:t>
      </w:r>
      <w:r>
        <w:rPr>
          <w:lang w:val="fr-FR"/>
        </w:rPr>
        <w:t>+ G</w:t>
      </w:r>
      <w:r>
        <w:rPr>
          <w:vertAlign w:val="subscript"/>
          <w:lang w:val="fr-FR"/>
        </w:rPr>
        <w:t>ANT</w:t>
      </w:r>
      <w:r>
        <w:rPr>
          <w:rFonts w:eastAsia="Symbol" w:cs="Symbol" w:ascii="Symbol" w:hAnsi="Symbol"/>
        </w:rPr>
        <w:t></w:t>
      </w:r>
      <w:r>
        <w:rPr>
          <w:vertAlign w:val="subscript"/>
          <w:lang w:val="fr-FR"/>
        </w:rPr>
        <w:t>3</w:t>
      </w:r>
    </w:p>
    <w:p>
      <w:pPr>
        <w:pStyle w:val="Normal"/>
        <w:rPr/>
      </w:pPr>
      <w:r>
        <w:rPr/>
        <w:t>Where C</w:t>
      </w:r>
      <w:r>
        <w:rPr>
          <w:vertAlign w:val="subscript"/>
        </w:rPr>
        <w:t>ar</w:t>
      </w:r>
      <w:r>
        <w:rPr/>
        <w:t xml:space="preserve"> is the close coupling loss between the terminals of System A and the repeater, G</w:t>
      </w:r>
      <w:r>
        <w:rPr>
          <w:vertAlign w:val="subscript"/>
        </w:rPr>
        <w:t>R</w:t>
      </w:r>
      <w:r>
        <w:rPr/>
        <w:t xml:space="preserve"> is the gain of the repeater in the direction A to B, G</w:t>
      </w:r>
      <w:r>
        <w:rPr>
          <w:vertAlign w:val="subscript"/>
        </w:rPr>
        <w:t>ANT_1</w:t>
      </w:r>
      <w:r>
        <w:rPr/>
        <w:t xml:space="preserve"> and G</w:t>
      </w:r>
      <w:r>
        <w:rPr>
          <w:vertAlign w:val="subscript"/>
        </w:rPr>
        <w:t>ANT_3</w:t>
      </w:r>
      <w:r>
        <w:rPr/>
        <w:t xml:space="preserve"> are the gain of Ant_1 and Ant_3 respectively (including cable loss).</w:t>
      </w:r>
    </w:p>
    <w:p>
      <w:pPr>
        <w:pStyle w:val="Normal"/>
        <w:rPr/>
      </w:pPr>
      <w:r>
        <w:rPr/>
        <w:t>If we constrain EIRP</w:t>
      </w:r>
      <w:r>
        <w:rPr>
          <w:vertAlign w:val="subscript"/>
        </w:rPr>
        <w:t>R</w:t>
      </w:r>
      <w:r>
        <w:rPr/>
        <w:t xml:space="preserve"> to be less than EIRP</w:t>
      </w:r>
      <w:r>
        <w:rPr>
          <w:vertAlign w:val="subscript"/>
        </w:rPr>
        <w:t>A</w:t>
      </w:r>
      <w:r>
        <w:rPr/>
        <w:t xml:space="preserve"> by a safety margin M</w:t>
      </w:r>
      <w:r>
        <w:rPr>
          <w:vertAlign w:val="subscript"/>
        </w:rPr>
        <w:t>s</w:t>
      </w:r>
      <w:r>
        <w:rPr/>
        <w:t xml:space="preserve"> dB to "protect" System B against height gain differences between Ant_1 and Ant_3 and any other implementation factor we wish to include (eg: building penetration losses) then:</w:t>
      </w:r>
    </w:p>
    <w:p>
      <w:pPr>
        <w:pStyle w:val="B1"/>
        <w:rPr/>
      </w:pPr>
      <w:r>
        <w:rPr/>
        <w:tab/>
        <w:t>EIRP</w:t>
      </w:r>
      <w:r>
        <w:rPr>
          <w:vertAlign w:val="subscript"/>
        </w:rPr>
        <w:t>R</w:t>
      </w:r>
      <w:r>
        <w:rPr/>
        <w:t xml:space="preserve"> + M</w:t>
      </w:r>
      <w:r>
        <w:rPr>
          <w:vertAlign w:val="subscript"/>
        </w:rPr>
        <w:t>S</w:t>
      </w:r>
      <w:r>
        <w:rPr/>
        <w:t xml:space="preserve"> + EIRP</w:t>
      </w:r>
      <w:r>
        <w:rPr>
          <w:vertAlign w:val="subscript"/>
        </w:rPr>
        <w:t>A</w:t>
      </w:r>
    </w:p>
    <w:p>
      <w:pPr>
        <w:pStyle w:val="Normal"/>
        <w:rPr/>
      </w:pPr>
      <w:r>
        <w:rPr/>
        <w:t>And the repeater gain at a given frequency out of band should be:</w:t>
      </w:r>
    </w:p>
    <w:p>
      <w:pPr>
        <w:pStyle w:val="B1"/>
        <w:rPr/>
      </w:pPr>
      <w:r>
        <w:rPr/>
        <w:tab/>
      </w:r>
      <w:r>
        <w:rPr>
          <w:lang w:val="en-US"/>
        </w:rPr>
        <w:t xml:space="preserve">GR </w:t>
      </w:r>
      <w:r>
        <w:rPr>
          <w:rFonts w:eastAsia="Symbol" w:cs="Symbol" w:ascii="Symbol" w:hAnsi="Symbol"/>
        </w:rPr>
        <w:t></w:t>
      </w:r>
      <w:r>
        <w:rPr>
          <w:lang w:val="en-US"/>
        </w:rPr>
        <w:t xml:space="preserve"> G</w:t>
      </w:r>
      <w:r>
        <w:rPr>
          <w:vertAlign w:val="subscript"/>
          <w:lang w:val="en-US"/>
        </w:rPr>
        <w:t>ANT</w:t>
      </w:r>
      <w:r>
        <w:rPr>
          <w:rFonts w:eastAsia="Symbol" w:cs="Symbol" w:ascii="Symbol" w:hAnsi="Symbol"/>
        </w:rPr>
        <w:t></w:t>
      </w:r>
      <w:r>
        <w:rPr>
          <w:vertAlign w:val="subscript"/>
          <w:lang w:val="en-US"/>
        </w:rPr>
        <w:t>1</w:t>
      </w:r>
      <w:r>
        <w:rPr>
          <w:lang w:val="en-US"/>
        </w:rPr>
        <w:t xml:space="preserve"> + C</w:t>
      </w:r>
      <w:r>
        <w:rPr>
          <w:vertAlign w:val="subscript"/>
          <w:lang w:val="en-US"/>
        </w:rPr>
        <w:t>ar</w:t>
      </w:r>
      <w:r>
        <w:rPr>
          <w:lang w:val="en-US"/>
        </w:rPr>
        <w:t xml:space="preserve"> - G</w:t>
      </w:r>
      <w:r>
        <w:rPr>
          <w:vertAlign w:val="subscript"/>
          <w:lang w:val="en-US"/>
        </w:rPr>
        <w:t>ANT</w:t>
      </w:r>
      <w:r>
        <w:rPr>
          <w:rFonts w:eastAsia="Symbol" w:cs="Symbol" w:ascii="Symbol" w:hAnsi="Symbol"/>
        </w:rPr>
        <w:t></w:t>
      </w:r>
      <w:r>
        <w:rPr>
          <w:vertAlign w:val="subscript"/>
          <w:lang w:val="en-US"/>
        </w:rPr>
        <w:t>3</w:t>
      </w:r>
      <w:r>
        <w:rPr>
          <w:lang w:val="en-US"/>
        </w:rPr>
        <w:t xml:space="preserve"> - M</w:t>
      </w:r>
      <w:r>
        <w:rPr>
          <w:vertAlign w:val="subscript"/>
          <w:lang w:val="en-US"/>
        </w:rPr>
        <w:t>S</w:t>
      </w:r>
    </w:p>
    <w:p>
      <w:pPr>
        <w:pStyle w:val="Normal"/>
        <w:rPr/>
      </w:pPr>
      <w:r>
        <w:rPr/>
        <w:t>The above also holds for the effect of System B upon A if the value of repeater gain out of band in the direction B to A is substituted for G</w:t>
      </w:r>
      <w:r>
        <w:rPr>
          <w:vertAlign w:val="subscript"/>
        </w:rPr>
        <w:t>R</w:t>
      </w:r>
      <w:r>
        <w:rPr/>
        <w:t>.</w:t>
      </w:r>
    </w:p>
    <w:p>
      <w:pPr>
        <w:pStyle w:val="Normal"/>
        <w:rPr/>
      </w:pPr>
      <w:r>
        <w:rPr/>
        <w:t>This value of gain would ensure that an out of band system would see an added component via the repeater no greater than the "direct" path. This must be considered further for the case when the systems A and B are part of a desired radio communication link. The worse case scenario would be if a direct sine of sight exists between Ant_4 and Ant_1 and also Ant_3, producing strong Rayleigh fading. Although this is unlikely since Ant_1 and Ant_2 must be closely coupled and Ant_2 must be physically remote from Ant_3 to achieve the desired isolation in band operators should take steps to avoid this occurrence. In a typical urban situation a large number of multipath components are more likely and the effect of the repeater would be to</w:t>
      </w:r>
      <w:r>
        <w:rPr>
          <w:b/>
        </w:rPr>
        <w:t xml:space="preserve"> </w:t>
      </w:r>
      <w:r>
        <w:rPr/>
        <w:t>increase the signal mean (about 3 dB?) and erode some of the fade margin. This should be well within the implementation margin of all mobile communication systems. It is not anticipated that static communication systems would suffer either (however if the unforeseen case arose the repeater antenna could be easily re-sited to give the</w:t>
      </w:r>
      <w:r>
        <w:rPr>
          <w:b/>
        </w:rPr>
        <w:t xml:space="preserve"> </w:t>
      </w:r>
      <w:r>
        <w:rPr/>
        <w:t>required isolation). Note that the susceptible area will depend upon the directional properties of Ant_3 and therefore will be smaller for a higher gain antenna.</w:t>
      </w:r>
    </w:p>
    <w:p>
      <w:pPr>
        <w:pStyle w:val="Normal"/>
        <w:rPr/>
      </w:pPr>
      <w:r>
        <w:rPr/>
        <w:t>Since the out of band frequency response adjacent to the inband frequencies will be the most design critical the values for parameters in band are used for the out of band frequencies. Thus the values given in GSM 03.30 can be used in the limiting case to</w:t>
      </w:r>
      <w:r>
        <w:rPr>
          <w:b/>
        </w:rPr>
        <w:t xml:space="preserve"> </w:t>
      </w:r>
      <w:r>
        <w:rPr/>
        <w:t>calculate the safety margin for the adjacent out of band systems.</w:t>
      </w:r>
    </w:p>
    <w:p>
      <w:pPr>
        <w:pStyle w:val="Normal"/>
        <w:rPr/>
      </w:pPr>
      <w:r>
        <w:rPr/>
        <w:t>Taking the scenario for a repeater antenna mounted on a building or tower with undesired close coupling between an out of band system and the repeater at ground lever, GSM 03.30 gives a value for height gain of 9 dB for a change in reference height from 1.5 to 10 m. A safety margin of +9dB is proposed for the outdoor case.</w:t>
      </w:r>
    </w:p>
    <w:p>
      <w:pPr>
        <w:pStyle w:val="Normal"/>
        <w:rPr/>
      </w:pPr>
      <w:r>
        <w:rPr/>
        <w:t>A practical figure of 50dB for the close coupling (terminal to terminal) is proposed for C</w:t>
      </w:r>
      <w:r>
        <w:rPr>
          <w:vertAlign w:val="subscript"/>
        </w:rPr>
        <w:t>ar</w:t>
      </w:r>
      <w:r>
        <w:rPr/>
        <w:t>. The worst case re-radiation of undesired signals arises when the gain of Ant_3 is much larger than the gain of Ant_1, therefore the following figures are used to calculate the out of band gain for the repeater from the equation above:</w:t>
      </w:r>
    </w:p>
    <w:p>
      <w:pPr>
        <w:pStyle w:val="B1"/>
        <w:tabs>
          <w:tab w:val="clear" w:pos="284"/>
          <w:tab w:val="left" w:pos="1418" w:leader="none"/>
          <w:tab w:val="left" w:pos="2268" w:leader="none"/>
        </w:tabs>
        <w:rPr/>
      </w:pPr>
      <w:r>
        <w:rPr>
          <w:lang w:val="fr-FR"/>
        </w:rPr>
        <w:t>M</w:t>
      </w:r>
      <w:r>
        <w:rPr>
          <w:vertAlign w:val="subscript"/>
          <w:lang w:val="fr-FR"/>
        </w:rPr>
        <w:t>S</w:t>
      </w:r>
      <w:r>
        <w:rPr>
          <w:lang w:val="fr-FR"/>
        </w:rPr>
        <w:tab/>
        <w:t>=</w:t>
        <w:tab/>
        <w:t>+9 dB</w:t>
      </w:r>
    </w:p>
    <w:p>
      <w:pPr>
        <w:pStyle w:val="B1"/>
        <w:tabs>
          <w:tab w:val="clear" w:pos="284"/>
          <w:tab w:val="left" w:pos="1418" w:leader="none"/>
          <w:tab w:val="left" w:pos="2268" w:leader="none"/>
        </w:tabs>
        <w:rPr/>
      </w:pPr>
      <w:r>
        <w:rPr>
          <w:lang w:val="fr-FR"/>
        </w:rPr>
        <w:t>C</w:t>
      </w:r>
      <w:r>
        <w:rPr>
          <w:vertAlign w:val="subscript"/>
          <w:lang w:val="fr-FR"/>
        </w:rPr>
        <w:t>ar</w:t>
      </w:r>
      <w:r>
        <w:rPr>
          <w:lang w:val="fr-FR"/>
        </w:rPr>
        <w:tab/>
        <w:t>=</w:t>
        <w:tab/>
        <w:t>50 dB</w:t>
      </w:r>
    </w:p>
    <w:p>
      <w:pPr>
        <w:pStyle w:val="B1"/>
        <w:tabs>
          <w:tab w:val="clear" w:pos="284"/>
          <w:tab w:val="left" w:pos="1418" w:leader="none"/>
          <w:tab w:val="left" w:pos="2268" w:leader="none"/>
        </w:tabs>
        <w:rPr/>
      </w:pPr>
      <w:r>
        <w:rPr>
          <w:lang w:val="fr-FR"/>
        </w:rPr>
        <w:t>G</w:t>
      </w:r>
      <w:r>
        <w:rPr>
          <w:vertAlign w:val="subscript"/>
          <w:lang w:val="fr-FR"/>
        </w:rPr>
        <w:t>ANT_3</w:t>
      </w:r>
      <w:r>
        <w:rPr>
          <w:lang w:val="fr-FR"/>
        </w:rPr>
        <w:tab/>
        <w:t>=</w:t>
        <w:tab/>
        <w:t>+18 dBi</w:t>
      </w:r>
    </w:p>
    <w:p>
      <w:pPr>
        <w:pStyle w:val="B1"/>
        <w:tabs>
          <w:tab w:val="clear" w:pos="284"/>
          <w:tab w:val="left" w:pos="1418" w:leader="none"/>
          <w:tab w:val="left" w:pos="2268" w:leader="none"/>
        </w:tabs>
        <w:rPr/>
      </w:pPr>
      <w:r>
        <w:rPr/>
        <w:t>G</w:t>
      </w:r>
      <w:r>
        <w:rPr>
          <w:vertAlign w:val="subscript"/>
        </w:rPr>
        <w:t>ANT_1</w:t>
        <w:tab/>
      </w:r>
      <w:r>
        <w:rPr/>
        <w:t>=</w:t>
        <w:tab/>
        <w:t>+2 dBi</w:t>
      </w:r>
    </w:p>
    <w:p>
      <w:pPr>
        <w:pStyle w:val="Normal"/>
        <w:rPr/>
      </w:pPr>
      <w:r>
        <w:rPr>
          <w:b/>
        </w:rPr>
        <w:t>This gives the maximum bi-directional out of band gain for the repeater as +25 dB for the worst outdoor case.</w:t>
      </w:r>
    </w:p>
    <w:p>
      <w:pPr>
        <w:pStyle w:val="Normal"/>
        <w:rPr/>
      </w:pPr>
      <w:r>
        <w:rPr/>
        <w:t>In the vast majority of cases the coupling loss between the repeater and the out of band communication system will be greater than 50 dB and the safety margin accordingly much higher. For out of band frequencies far from the inband frequencies the safety margin above will not degrade therefore a roll off in the repeater response does not seem to be necessary but has been included in the specification to avoid leaving the gain wideband and uncontrolled. Further study is required to check that transmitted power levers from out of band systems will not compromise the in-band performance with this level of gain.</w:t>
      </w:r>
    </w:p>
    <w:p>
      <w:pPr>
        <w:pStyle w:val="Normal"/>
        <w:rPr>
          <w:b/>
          <w:b/>
        </w:rPr>
      </w:pPr>
      <w:r>
        <w:rPr>
          <w:b/>
        </w:rPr>
        <w:t>In-building Public, Case</w:t>
      </w:r>
    </w:p>
    <w:p>
      <w:pPr>
        <w:pStyle w:val="Normal"/>
        <w:rPr/>
      </w:pPr>
      <w:r>
        <w:rPr/>
        <w:t>The scenario below is relevant to a repeater installed in a public building where other out of band communication systems may be operating in close vicinity. If close coupling between an indoor out of band system and a repeater with an externally mounted antenna takes place the normal building penetration loss are not experienced by the out of band system, this will affect the safety margin. Figures for building penetration losses are notoriously varied and a range of values for building penetration losses are discussed in GSM 03.30. A value of 15 dB is proposed as representative. Building penetration losses tend to increase with frequency and this will affect the safety margin. On the other hand path losses are greater at higher frequencies so that the areas that might be affected are smaller. It is possible that the externally mounted repeater antenna may have additional height gain if it is mounted on an upper floor. In these cases it is the responsibility of the operator to ensure that close coupling between an out of band system and the repeater is avoided or reduced to cause no disruption to other radio communication systems.</w:t>
      </w:r>
    </w:p>
    <w:p>
      <w:pPr>
        <w:pStyle w:val="Normal"/>
        <w:rPr/>
      </w:pPr>
      <w:r>
        <w:rPr/>
        <w:t>Because of the range in operational and installation possibilities it is more appropriate to give general guidance in GSM 03.03 on the use of in-building repeaters rather than a specify a gain figure for indoor applications. A simple formulae to estimate the maximum gain the repeater should be set to is given in GSM 03.30 to allow the operator to plan installations on a site by site basis.</w:t>
      </w:r>
      <w:r>
        <w:br w:type="page"/>
      </w:r>
    </w:p>
    <w:p>
      <w:pPr>
        <w:pStyle w:val="Heading9"/>
        <w:rPr/>
      </w:pPr>
      <w:bookmarkStart w:id="271" w:name="__RefHeading___Toc518035705"/>
      <w:bookmarkEnd w:id="271"/>
      <w:r>
        <w:rPr/>
        <w:t>Annex F:</w:t>
        <w:br/>
        <w:t>Error Patterns for Speech Coder Development</w:t>
      </w:r>
    </w:p>
    <w:p>
      <w:pPr>
        <w:pStyle w:val="Heading1"/>
        <w:ind w:left="1134" w:hanging="1134"/>
        <w:rPr/>
      </w:pPr>
      <w:bookmarkStart w:id="272" w:name="__RefHeading___Toc518035706"/>
      <w:bookmarkEnd w:id="272"/>
      <w:r>
        <w:rPr/>
        <w:t>F.0</w:t>
        <w:tab/>
        <w:t>Introduction</w:t>
      </w:r>
    </w:p>
    <w:p>
      <w:pPr>
        <w:pStyle w:val="Normal"/>
        <w:rPr/>
      </w:pPr>
      <w:r>
        <w:rPr/>
        <w:t>This annex attempts to summarise all necessary background information for "Error Patterns for Speech Codec Development", (Change request SMG 117/96 to GSM 05.50, SMG2 TDoc 164/95). The annex contains information on the file structure and the usage of given soft decision values.</w:t>
      </w:r>
    </w:p>
    <w:p>
      <w:pPr>
        <w:pStyle w:val="Heading1"/>
        <w:ind w:left="1134" w:hanging="1134"/>
        <w:rPr/>
      </w:pPr>
      <w:bookmarkStart w:id="273" w:name="__RefHeading___Toc518035707"/>
      <w:bookmarkEnd w:id="273"/>
      <w:r>
        <w:rPr/>
        <w:t>F.1</w:t>
        <w:tab/>
        <w:t>Channel Conditions</w:t>
      </w:r>
    </w:p>
    <w:p>
      <w:pPr>
        <w:pStyle w:val="Normal"/>
        <w:rPr/>
      </w:pPr>
      <w:r>
        <w:rPr/>
        <w:t xml:space="preserve">The number of test conditions have to be limited in order not to have to many subjective test conditions. Therefore pure rayleigh fading has been chosen as a propagation condition. This condition represents all multipath conditions which have a delay spread significant shorter than one bit period (3,7 </w:t>
      </w:r>
      <w:r>
        <w:rPr>
          <w:rFonts w:eastAsia="Symbol" w:cs="Symbol" w:ascii="Symbol" w:hAnsi="Symbol"/>
        </w:rPr>
        <w:t></w:t>
      </w:r>
      <w:r>
        <w:rPr/>
        <w:t>s). Therefore the pure rayleigh fading statistics of bit errors is similar to those of TU and RA ( although this is a rice statistic) propagation conditions. Even for HT the energy of pathes with big delay is small compared to the energy transmitted in the first bit period. Therefore the HT bit error statistics is not so far away from pure rayleigh fading. Significant differences can be expected for EQ conditions or a real two path model with equal strength of both pathes. Nevertheless pure rayleigh fading seems to be sufficient for speech codec optimization.</w:t>
      </w:r>
    </w:p>
    <w:p>
      <w:pPr>
        <w:pStyle w:val="Normal"/>
        <w:rPr/>
      </w:pPr>
      <w:r>
        <w:rPr/>
        <w:t>For the FH case vehicular speed within one time slot is assumed to be zero and consecutive time slots are completely decorrelated ( ideal FH ). It has to be noted that up to 200 / 100 km/h for GSM /DCS the variation of the channel impulse response within one time slot can be neglected. Also for RA250 / 130 the effect is not very big. Therefore no vehicle speed within one time slot is a reasonable assumption. Complete decorrelation of consecutive time slots can be achieved by a vehicle speed of 70 / 35 km/h for GSM/ DCS without FH or by FH over a sufficient frequency range depending on the vehicular speed (4 frequencies spread over 10 Mhz should be sufficient to achieve almost ideal FH performance at low vehicular speed). Therefore ideal FH is a good assumption for a lot of cases in GSM. Especially at the beginning of GSM FH is not always available. Therefore for TCH / HS development two error patterns without FH and 3 km/h were provided.</w:t>
      </w:r>
    </w:p>
    <w:p>
      <w:pPr>
        <w:pStyle w:val="Normal"/>
        <w:rPr/>
      </w:pPr>
      <w:r>
        <w:rPr/>
        <w:t>As a disturbance source co-channel interference has been chosen .It can be stated that the bit error statistics for the noise and adjacent channel interference is similar to co-channel interference. Therefore this condition is sufficient for codec development.</w:t>
      </w:r>
    </w:p>
    <w:p>
      <w:pPr>
        <w:pStyle w:val="Heading2"/>
        <w:rPr/>
      </w:pPr>
      <w:bookmarkStart w:id="274" w:name="__RefHeading___Toc518035708"/>
      <w:bookmarkEnd w:id="274"/>
      <w:r>
        <w:rPr/>
        <w:t>F.1.1</w:t>
        <w:tab/>
        <w:t>Simulation Conditions</w:t>
      </w:r>
    </w:p>
    <w:p>
      <w:pPr>
        <w:pStyle w:val="Normal"/>
        <w:rPr/>
      </w:pPr>
      <w:r>
        <w:rPr/>
        <w:t>All simulations are based on floating point calculations in all parts of the transmission chain. No quantization effects are taken into account. Channel filtering is assumed in order to achieve the performance for co-and adjacent channel performance. No tolerance of the filter bandwidth are taken into account . The equalizer consists of a 16 state viterbi equalizer.</w:t>
      </w:r>
    </w:p>
    <w:p>
      <w:pPr>
        <w:pStyle w:val="Heading2"/>
        <w:rPr/>
      </w:pPr>
      <w:bookmarkStart w:id="275" w:name="__RefHeading___Toc518035709"/>
      <w:bookmarkEnd w:id="275"/>
      <w:r>
        <w:rPr/>
        <w:t>F.1.2</w:t>
        <w:tab/>
        <w:t>Available Error Patterns</w:t>
      </w:r>
    </w:p>
    <w:p>
      <w:pPr>
        <w:pStyle w:val="Normal"/>
        <w:rPr/>
      </w:pPr>
      <w:r>
        <w:rPr/>
        <w:t>For TCH/ HS 6 error patterns were available. They are described in the attached documents from 1991. Due to the fact that this error patterns are not available anymore at ETSI 4 new patterns with ideal FH and co-channel interference have been produced and will be distributed SEG ( 4 dB, 7 dB, 10 dB and 13 dB).</w:t>
      </w:r>
    </w:p>
    <w:p>
      <w:pPr>
        <w:pStyle w:val="Heading1"/>
        <w:ind w:left="1134" w:hanging="1134"/>
        <w:rPr/>
      </w:pPr>
      <w:bookmarkStart w:id="276" w:name="__RefHeading___Toc518035710"/>
      <w:bookmarkEnd w:id="276"/>
      <w:r>
        <w:rPr/>
        <w:t>F.2</w:t>
        <w:tab/>
        <w:t>Test Data for the half rate speech coder</w:t>
      </w:r>
    </w:p>
    <w:p>
      <w:pPr>
        <w:pStyle w:val="Heading2"/>
        <w:rPr/>
      </w:pPr>
      <w:bookmarkStart w:id="277" w:name="__RefHeading___Toc518035711"/>
      <w:bookmarkEnd w:id="277"/>
      <w:r>
        <w:rPr/>
        <w:t>F.2.1</w:t>
        <w:tab/>
        <w:t>File description</w:t>
      </w:r>
    </w:p>
    <w:p>
      <w:pPr>
        <w:pStyle w:val="Normal"/>
        <w:rPr/>
      </w:pPr>
      <w:r>
        <w:rPr/>
        <w:t>This section gives a description of the test pattern available for the development of the half rate speech coder and the associated channel coding.</w:t>
      </w:r>
    </w:p>
    <w:p>
      <w:pPr>
        <w:pStyle w:val="Normal"/>
        <w:rPr/>
      </w:pPr>
      <w:r>
        <w:rPr/>
        <w:t>All files mentioned in the present document are recorded on 1600 BPI.</w:t>
      </w:r>
    </w:p>
    <w:p>
      <w:pPr>
        <w:pStyle w:val="Normal"/>
        <w:rPr/>
      </w:pPr>
      <w:r>
        <w:rPr/>
        <w:t>There are six different test patterns : EP1, EP2, EP3, EP4, EP5 and EP6. Two files are available for each error pattern. The first one contains the soft decision values and chip errors and the second the error patterns of the corresponding TCH / FS channel. All test patterns are generated under the condition of rayleigh fading and co-channel interference.</w:t>
      </w:r>
    </w:p>
    <w:p>
      <w:pPr>
        <w:pStyle w:val="Normal"/>
        <w:rPr/>
      </w:pPr>
      <w:r>
        <w:rPr/>
        <w:t>EP1/ 2 / 3 are without any speed ( no doppler spectrum ) but with frequency hopping over an unlimited number of frequencies. This means, that the fading of different time slots is uncorrelated.</w:t>
      </w:r>
    </w:p>
    <w:p>
      <w:pPr>
        <w:pStyle w:val="Normal"/>
        <w:rPr/>
      </w:pPr>
      <w:r>
        <w:rPr/>
        <w:t>EP4 and EP5 is without frequency hopping and the mobile speed is 3 km/h.</w:t>
      </w:r>
    </w:p>
    <w:p>
      <w:pPr>
        <w:pStyle w:val="Normal"/>
        <w:rPr/>
      </w:pPr>
      <w:r>
        <w:rPr/>
        <w:t>EP6 is with a random input (noise ).</w:t>
      </w:r>
    </w:p>
    <w:p>
      <w:pPr>
        <w:pStyle w:val="Normal"/>
        <w:rPr/>
      </w:pPr>
      <w:r>
        <w:rPr/>
        <w:t>In the following table the file names are given for each test pattern.</w:t>
      </w:r>
    </w:p>
    <w:p>
      <w:pPr>
        <w:pStyle w:val="TH"/>
        <w:rPr/>
      </w:pPr>
      <w:r>
        <w:rPr/>
      </w:r>
    </w:p>
    <w:tbl>
      <w:tblPr>
        <w:tblW w:w="7621" w:type="dxa"/>
        <w:jc w:val="center"/>
        <w:tblInd w:w="0" w:type="dxa"/>
        <w:tblLayout w:type="fixed"/>
        <w:tblCellMar>
          <w:top w:w="0" w:type="dxa"/>
          <w:left w:w="108" w:type="dxa"/>
          <w:bottom w:w="0" w:type="dxa"/>
          <w:right w:w="108" w:type="dxa"/>
        </w:tblCellMar>
      </w:tblPr>
      <w:tblGrid>
        <w:gridCol w:w="1347"/>
        <w:gridCol w:w="3156"/>
        <w:gridCol w:w="3118"/>
      </w:tblGrid>
      <w:tr>
        <w:trPr/>
        <w:tc>
          <w:tcPr>
            <w:tcW w:w="1347" w:type="dxa"/>
            <w:tcBorders/>
          </w:tcPr>
          <w:p>
            <w:pPr>
              <w:pStyle w:val="TAH"/>
              <w:rPr>
                <w:lang w:eastAsia="en-US"/>
              </w:rPr>
            </w:pPr>
            <w:r>
              <w:rPr>
                <w:lang w:eastAsia="en-US"/>
              </w:rPr>
              <w:t>Test pattern</w:t>
            </w:r>
          </w:p>
        </w:tc>
        <w:tc>
          <w:tcPr>
            <w:tcW w:w="3156" w:type="dxa"/>
            <w:tcBorders/>
          </w:tcPr>
          <w:p>
            <w:pPr>
              <w:pStyle w:val="TAH"/>
              <w:rPr>
                <w:lang w:eastAsia="en-US"/>
              </w:rPr>
            </w:pPr>
            <w:r>
              <w:rPr>
                <w:lang w:eastAsia="en-US"/>
              </w:rPr>
              <w:t>File name</w:t>
              <w:br/>
              <w:t>Soft decision values</w:t>
              <w:br/>
              <w:t>and chip error patterns</w:t>
            </w:r>
          </w:p>
        </w:tc>
        <w:tc>
          <w:tcPr>
            <w:tcW w:w="3118" w:type="dxa"/>
            <w:tcBorders/>
          </w:tcPr>
          <w:p>
            <w:pPr>
              <w:pStyle w:val="TAH"/>
              <w:rPr>
                <w:lang w:eastAsia="en-US"/>
              </w:rPr>
            </w:pPr>
            <w:r>
              <w:rPr>
                <w:lang w:eastAsia="en-US"/>
              </w:rPr>
              <w:t>File name</w:t>
              <w:br/>
              <w:t>Error pattern</w:t>
              <w:br/>
              <w:t>TCH / FS</w:t>
            </w:r>
          </w:p>
        </w:tc>
      </w:tr>
      <w:tr>
        <w:trPr/>
        <w:tc>
          <w:tcPr>
            <w:tcW w:w="1347" w:type="dxa"/>
            <w:tcBorders/>
          </w:tcPr>
          <w:p>
            <w:pPr>
              <w:pStyle w:val="TAL"/>
              <w:rPr>
                <w:lang w:val="en-GB"/>
              </w:rPr>
            </w:pPr>
            <w:r>
              <w:rPr>
                <w:lang w:val="en-GB"/>
              </w:rPr>
              <w:t>EP1</w:t>
            </w:r>
          </w:p>
        </w:tc>
        <w:tc>
          <w:tcPr>
            <w:tcW w:w="3156" w:type="dxa"/>
            <w:tcBorders/>
          </w:tcPr>
          <w:p>
            <w:pPr>
              <w:pStyle w:val="TAL"/>
              <w:rPr>
                <w:lang w:val="en-GB"/>
              </w:rPr>
            </w:pPr>
            <w:r>
              <w:rPr>
                <w:lang w:val="en-GB"/>
              </w:rPr>
              <w:t>SDCEPCI10RFFH_1.DAT</w:t>
            </w:r>
          </w:p>
        </w:tc>
        <w:tc>
          <w:tcPr>
            <w:tcW w:w="3118" w:type="dxa"/>
            <w:tcBorders/>
          </w:tcPr>
          <w:p>
            <w:pPr>
              <w:pStyle w:val="TAL"/>
              <w:rPr>
                <w:lang w:val="en-GB"/>
              </w:rPr>
            </w:pPr>
            <w:r>
              <w:rPr>
                <w:lang w:val="en-GB"/>
              </w:rPr>
              <w:t>EPTCHFSCI10RFFH_1.DAT</w:t>
            </w:r>
          </w:p>
        </w:tc>
      </w:tr>
      <w:tr>
        <w:trPr/>
        <w:tc>
          <w:tcPr>
            <w:tcW w:w="1347" w:type="dxa"/>
            <w:tcBorders/>
          </w:tcPr>
          <w:p>
            <w:pPr>
              <w:pStyle w:val="TAL"/>
              <w:rPr>
                <w:lang w:val="en-GB"/>
              </w:rPr>
            </w:pPr>
            <w:r>
              <w:rPr>
                <w:lang w:val="en-GB"/>
              </w:rPr>
              <w:t>EP2</w:t>
            </w:r>
          </w:p>
        </w:tc>
        <w:tc>
          <w:tcPr>
            <w:tcW w:w="3156" w:type="dxa"/>
            <w:tcBorders/>
          </w:tcPr>
          <w:p>
            <w:pPr>
              <w:pStyle w:val="TAL"/>
              <w:rPr/>
            </w:pPr>
            <w:r>
              <w:rPr>
                <w:lang w:val="en-GB"/>
              </w:rPr>
              <w:t>SDCEPCI7RFFH_1.DAT</w:t>
            </w:r>
          </w:p>
        </w:tc>
        <w:tc>
          <w:tcPr>
            <w:tcW w:w="3118" w:type="dxa"/>
            <w:tcBorders/>
          </w:tcPr>
          <w:p>
            <w:pPr>
              <w:pStyle w:val="TAL"/>
              <w:rPr>
                <w:lang w:val="en-GB"/>
              </w:rPr>
            </w:pPr>
            <w:r>
              <w:rPr>
                <w:lang w:val="en-GB"/>
              </w:rPr>
              <w:t>EPTCHFSCI7RFFH_1.DAT</w:t>
            </w:r>
          </w:p>
        </w:tc>
      </w:tr>
      <w:tr>
        <w:trPr/>
        <w:tc>
          <w:tcPr>
            <w:tcW w:w="1347" w:type="dxa"/>
            <w:tcBorders/>
          </w:tcPr>
          <w:p>
            <w:pPr>
              <w:pStyle w:val="TAL"/>
              <w:rPr>
                <w:lang w:val="en-GB"/>
              </w:rPr>
            </w:pPr>
            <w:r>
              <w:rPr>
                <w:lang w:val="en-GB"/>
              </w:rPr>
              <w:t>EP3</w:t>
            </w:r>
          </w:p>
        </w:tc>
        <w:tc>
          <w:tcPr>
            <w:tcW w:w="3156" w:type="dxa"/>
            <w:tcBorders/>
          </w:tcPr>
          <w:p>
            <w:pPr>
              <w:pStyle w:val="TAL"/>
              <w:rPr>
                <w:lang w:val="en-GB"/>
              </w:rPr>
            </w:pPr>
            <w:r>
              <w:rPr>
                <w:lang w:val="en-GB"/>
              </w:rPr>
              <w:t>SDCEPCI4RFFH_1.DAT</w:t>
            </w:r>
          </w:p>
        </w:tc>
        <w:tc>
          <w:tcPr>
            <w:tcW w:w="3118" w:type="dxa"/>
            <w:tcBorders/>
          </w:tcPr>
          <w:p>
            <w:pPr>
              <w:pStyle w:val="TAL"/>
              <w:rPr>
                <w:lang w:val="en-GB"/>
              </w:rPr>
            </w:pPr>
            <w:r>
              <w:rPr>
                <w:lang w:val="en-GB"/>
              </w:rPr>
              <w:t>EPTCHFSCI4RFFH_1.DAT</w:t>
            </w:r>
          </w:p>
        </w:tc>
      </w:tr>
      <w:tr>
        <w:trPr/>
        <w:tc>
          <w:tcPr>
            <w:tcW w:w="1347" w:type="dxa"/>
            <w:tcBorders/>
          </w:tcPr>
          <w:p>
            <w:pPr>
              <w:pStyle w:val="TAL"/>
              <w:rPr>
                <w:lang w:val="en-GB"/>
              </w:rPr>
            </w:pPr>
            <w:r>
              <w:rPr>
                <w:lang w:val="en-GB"/>
              </w:rPr>
              <w:t>EP4</w:t>
            </w:r>
          </w:p>
        </w:tc>
        <w:tc>
          <w:tcPr>
            <w:tcW w:w="3156" w:type="dxa"/>
            <w:tcBorders/>
          </w:tcPr>
          <w:p>
            <w:pPr>
              <w:pStyle w:val="TAL"/>
              <w:rPr>
                <w:lang w:val="en-GB"/>
              </w:rPr>
            </w:pPr>
            <w:r>
              <w:rPr>
                <w:lang w:val="en-GB"/>
              </w:rPr>
              <w:t>SDCEPCI10RFNFH_1.DAT</w:t>
            </w:r>
          </w:p>
        </w:tc>
        <w:tc>
          <w:tcPr>
            <w:tcW w:w="3118" w:type="dxa"/>
            <w:tcBorders/>
          </w:tcPr>
          <w:p>
            <w:pPr>
              <w:pStyle w:val="TAL"/>
              <w:rPr>
                <w:lang w:val="en-GB"/>
              </w:rPr>
            </w:pPr>
            <w:r>
              <w:rPr>
                <w:lang w:val="en-GB"/>
              </w:rPr>
              <w:t>EPTCHFSCI10RFNFH_1.DAT</w:t>
            </w:r>
          </w:p>
        </w:tc>
      </w:tr>
      <w:tr>
        <w:trPr/>
        <w:tc>
          <w:tcPr>
            <w:tcW w:w="1347" w:type="dxa"/>
            <w:tcBorders/>
          </w:tcPr>
          <w:p>
            <w:pPr>
              <w:pStyle w:val="TAL"/>
              <w:rPr>
                <w:lang w:val="en-GB"/>
              </w:rPr>
            </w:pPr>
            <w:r>
              <w:rPr>
                <w:lang w:val="en-GB"/>
              </w:rPr>
              <w:t>EP5</w:t>
            </w:r>
          </w:p>
        </w:tc>
        <w:tc>
          <w:tcPr>
            <w:tcW w:w="3156" w:type="dxa"/>
            <w:tcBorders/>
          </w:tcPr>
          <w:p>
            <w:pPr>
              <w:pStyle w:val="TAL"/>
              <w:rPr>
                <w:lang w:val="en-GB"/>
              </w:rPr>
            </w:pPr>
            <w:r>
              <w:rPr>
                <w:lang w:val="en-GB"/>
              </w:rPr>
              <w:t>SDCEPCI7RFNFH_1.DAT</w:t>
            </w:r>
          </w:p>
        </w:tc>
        <w:tc>
          <w:tcPr>
            <w:tcW w:w="3118" w:type="dxa"/>
            <w:tcBorders/>
          </w:tcPr>
          <w:p>
            <w:pPr>
              <w:pStyle w:val="TAL"/>
              <w:rPr>
                <w:lang w:val="en-GB"/>
              </w:rPr>
            </w:pPr>
            <w:r>
              <w:rPr>
                <w:lang w:val="en-GB"/>
              </w:rPr>
              <w:t>EPTCHFSCI7RFNFH_1.DAT</w:t>
            </w:r>
          </w:p>
        </w:tc>
      </w:tr>
      <w:tr>
        <w:trPr/>
        <w:tc>
          <w:tcPr>
            <w:tcW w:w="1347" w:type="dxa"/>
            <w:tcBorders/>
          </w:tcPr>
          <w:p>
            <w:pPr>
              <w:pStyle w:val="TAL"/>
              <w:rPr>
                <w:lang w:val="en-GB"/>
              </w:rPr>
            </w:pPr>
            <w:r>
              <w:rPr>
                <w:lang w:val="en-GB"/>
              </w:rPr>
              <w:t>EP6</w:t>
            </w:r>
          </w:p>
        </w:tc>
        <w:tc>
          <w:tcPr>
            <w:tcW w:w="3156" w:type="dxa"/>
            <w:tcBorders/>
          </w:tcPr>
          <w:p>
            <w:pPr>
              <w:pStyle w:val="TAL"/>
              <w:rPr>
                <w:lang w:val="en-GB"/>
              </w:rPr>
            </w:pPr>
            <w:r>
              <w:rPr>
                <w:lang w:val="en-GB"/>
              </w:rPr>
              <w:t>SDCEPRAN_1.DAT</w:t>
            </w:r>
          </w:p>
        </w:tc>
        <w:tc>
          <w:tcPr>
            <w:tcW w:w="3118" w:type="dxa"/>
            <w:tcBorders/>
          </w:tcPr>
          <w:p>
            <w:pPr>
              <w:pStyle w:val="TAL"/>
              <w:rPr>
                <w:lang w:val="en-GB"/>
              </w:rPr>
            </w:pPr>
            <w:r>
              <w:rPr>
                <w:lang w:val="en-GB"/>
              </w:rPr>
              <w:t>EPTCHFSRAN_1.DAT</w:t>
            </w:r>
          </w:p>
        </w:tc>
      </w:tr>
    </w:tbl>
    <w:p>
      <w:pPr>
        <w:pStyle w:val="FP"/>
        <w:rPr/>
      </w:pPr>
      <w:r>
        <w:rPr/>
      </w:r>
    </w:p>
    <w:p>
      <w:pPr>
        <w:pStyle w:val="Heading2"/>
        <w:rPr/>
      </w:pPr>
      <w:bookmarkStart w:id="278" w:name="__RefHeading___Toc518035712"/>
      <w:bookmarkEnd w:id="278"/>
      <w:r>
        <w:rPr/>
        <w:t>F.2.2</w:t>
        <w:tab/>
        <w:t>Soft decision values and chip error patterns</w:t>
      </w:r>
    </w:p>
    <w:p>
      <w:pPr>
        <w:pStyle w:val="Normal"/>
        <w:rPr/>
      </w:pPr>
      <w:r>
        <w:rPr/>
        <w:t>Each file consists of 6 001 records with a fixed record length of 512 byte.</w:t>
      </w:r>
    </w:p>
    <w:p>
      <w:pPr>
        <w:pStyle w:val="Normal"/>
        <w:rPr/>
      </w:pPr>
      <w:r>
        <w:rPr/>
        <w:t>The program RCEPSD.FOR can read these files (FORTRAN 77). The error patterns and soft decision values of selected records are written to SYS$OUTPUT. The first record contains some parameters of the simulation in the order as described in the following:</w:t>
      </w:r>
    </w:p>
    <w:p>
      <w:pPr>
        <w:pStyle w:val="B1"/>
        <w:tabs>
          <w:tab w:val="clear" w:pos="284"/>
          <w:tab w:val="left" w:pos="851" w:leader="none"/>
          <w:tab w:val="left" w:pos="1701" w:leader="none"/>
        </w:tabs>
        <w:rPr/>
      </w:pPr>
      <w:r>
        <w:rPr/>
        <w:tab/>
        <w:t>1.</w:t>
        <w:tab/>
        <w:t>NTSLOT</w:t>
        <w:tab/>
        <w:t>: number of times slots (INTEGER*4)</w:t>
      </w:r>
    </w:p>
    <w:p>
      <w:pPr>
        <w:pStyle w:val="B1"/>
        <w:tabs>
          <w:tab w:val="clear" w:pos="284"/>
          <w:tab w:val="left" w:pos="851" w:leader="none"/>
          <w:tab w:val="left" w:pos="1701" w:leader="none"/>
        </w:tabs>
        <w:rPr/>
      </w:pPr>
      <w:r>
        <w:rPr/>
        <w:tab/>
        <w:t>2.</w:t>
        <w:tab/>
        <w:t>EBN</w:t>
        <w:tab/>
        <w:t>: Chip energy divided by noise density (REAL*4)</w:t>
      </w:r>
    </w:p>
    <w:p>
      <w:pPr>
        <w:pStyle w:val="B1"/>
        <w:tabs>
          <w:tab w:val="clear" w:pos="284"/>
          <w:tab w:val="left" w:pos="851" w:leader="none"/>
          <w:tab w:val="left" w:pos="1701" w:leader="none"/>
        </w:tabs>
        <w:rPr/>
      </w:pPr>
      <w:r>
        <w:rPr/>
        <w:tab/>
        <w:t>if greater than 50 no noise at all</w:t>
      </w:r>
    </w:p>
    <w:p>
      <w:pPr>
        <w:pStyle w:val="B1"/>
        <w:tabs>
          <w:tab w:val="clear" w:pos="284"/>
          <w:tab w:val="left" w:pos="851" w:leader="none"/>
          <w:tab w:val="left" w:pos="1701" w:leader="none"/>
        </w:tabs>
        <w:rPr/>
      </w:pPr>
      <w:r>
        <w:rPr/>
        <w:tab/>
        <w:t>3.</w:t>
        <w:tab/>
        <w:t>SIDB</w:t>
        <w:tab/>
        <w:t>: co-channel interference C/I (REAL *4)</w:t>
      </w:r>
    </w:p>
    <w:p>
      <w:pPr>
        <w:pStyle w:val="B1"/>
        <w:tabs>
          <w:tab w:val="clear" w:pos="284"/>
          <w:tab w:val="left" w:pos="851" w:leader="none"/>
          <w:tab w:val="left" w:pos="1701" w:leader="none"/>
        </w:tabs>
        <w:rPr/>
      </w:pPr>
      <w:r>
        <w:rPr/>
        <w:tab/>
        <w:t xml:space="preserve">if greater than 50 no interference at all </w:t>
      </w:r>
    </w:p>
    <w:p>
      <w:pPr>
        <w:pStyle w:val="B1"/>
        <w:tabs>
          <w:tab w:val="clear" w:pos="284"/>
          <w:tab w:val="left" w:pos="851" w:leader="none"/>
          <w:tab w:val="left" w:pos="1701" w:leader="none"/>
        </w:tabs>
        <w:rPr/>
      </w:pPr>
      <w:r>
        <w:rPr/>
        <w:tab/>
        <w:t>4.</w:t>
        <w:tab/>
        <w:t>LFN</w:t>
        <w:tab/>
        <w:t>: Indication frequency hopping (LOGICAL* 4)</w:t>
      </w:r>
    </w:p>
    <w:p>
      <w:pPr>
        <w:pStyle w:val="B1"/>
        <w:tabs>
          <w:tab w:val="clear" w:pos="284"/>
          <w:tab w:val="left" w:pos="851" w:leader="none"/>
          <w:tab w:val="left" w:pos="1701" w:leader="none"/>
        </w:tabs>
        <w:rPr/>
      </w:pPr>
      <w:r>
        <w:rPr/>
        <w:tab/>
        <w:t>=.TRUE with frequency hopping</w:t>
      </w:r>
    </w:p>
    <w:p>
      <w:pPr>
        <w:pStyle w:val="B1"/>
        <w:tabs>
          <w:tab w:val="clear" w:pos="284"/>
          <w:tab w:val="left" w:pos="851" w:leader="none"/>
          <w:tab w:val="left" w:pos="1701" w:leader="none"/>
        </w:tabs>
        <w:rPr/>
      </w:pPr>
      <w:r>
        <w:rPr/>
        <w:tab/>
        <w:t>=.FALSE. without frequency hopping</w:t>
      </w:r>
    </w:p>
    <w:p>
      <w:pPr>
        <w:pStyle w:val="Normal"/>
        <w:keepNext w:val="true"/>
        <w:keepLines/>
        <w:rPr/>
      </w:pPr>
      <w:r>
        <w:rPr/>
        <w:t>In the following records the time slots of a GSM full rate TCH are stored ( two half rate channels). The test data are starting at the beginning of a 26-frame multiframe. One record contains four time slots and each time slot consists of 2*57=114 bytes ( one byte for one info chip of a time slot). The last 56 byte of each record are not used. Each byte contains a seven bit integer value and a sign ( twos complement representation, range -128 to 127). This data representation is supported by VAX FORTRAN 77 BYTE representation. The soft decision value of a demodulated chip can be calculated by dividing the stored integer value by eight and by taking the absolute value. If the chip is demodulated correctly, the sign is positive and in the case of an chip error the sign is negative. The soft decision information is given by the following equation:</w:t>
      </w:r>
    </w:p>
    <w:p>
      <w:pPr>
        <w:pStyle w:val="B1"/>
        <w:rPr/>
      </w:pPr>
      <w:r>
        <w:rPr/>
        <w:tab/>
      </w:r>
      <w:r>
        <w:rPr>
          <w:lang w:val="en-US"/>
        </w:rPr>
        <w:t>sd</w:t>
      </w:r>
      <w:r>
        <w:rPr>
          <w:i/>
          <w:lang w:val="en-US"/>
        </w:rPr>
        <w:t xml:space="preserve"> = - </w:t>
      </w:r>
      <w:r>
        <w:rPr>
          <w:lang w:val="en-US"/>
        </w:rPr>
        <w:t>ln(P</w:t>
      </w:r>
      <w:r>
        <w:rPr>
          <w:vertAlign w:val="subscript"/>
          <w:lang w:val="en-US"/>
        </w:rPr>
        <w:t>e</w:t>
      </w:r>
      <w:r>
        <w:rPr>
          <w:lang w:val="en-US"/>
        </w:rPr>
        <w:t xml:space="preserve"> /(1-P</w:t>
      </w:r>
      <w:r>
        <w:rPr>
          <w:vertAlign w:val="subscript"/>
          <w:lang w:val="en-US"/>
        </w:rPr>
        <w:t>e</w:t>
      </w:r>
      <w:r>
        <w:rPr>
          <w:lang w:val="en-US"/>
        </w:rPr>
        <w:t xml:space="preserve"> ))</w:t>
      </w:r>
    </w:p>
    <w:p>
      <w:pPr>
        <w:pStyle w:val="B1"/>
        <w:rPr/>
      </w:pPr>
      <w:r>
        <w:rPr>
          <w:i/>
          <w:lang w:val="en-US"/>
        </w:rPr>
        <w:tab/>
      </w:r>
      <w:r>
        <w:rPr/>
        <w:t>P</w:t>
      </w:r>
      <w:r>
        <w:rPr>
          <w:vertAlign w:val="subscript"/>
        </w:rPr>
        <w:t>e</w:t>
      </w:r>
      <w:r>
        <w:rPr>
          <w:i/>
        </w:rPr>
        <w:t xml:space="preserve"> - </w:t>
      </w:r>
      <w:r>
        <w:rPr/>
        <w:t>error probability of a chip</w:t>
      </w:r>
    </w:p>
    <w:p>
      <w:pPr>
        <w:pStyle w:val="Normal"/>
        <w:rPr/>
      </w:pPr>
      <w:r>
        <w:rPr/>
        <w:t>In the case of a TCH/FS the error patterns can be used in the following way (multiplication of the bits with the soft decision values including the sign).</w:t>
      </w:r>
    </w:p>
    <w:p>
      <w:pPr>
        <w:pStyle w:val="TH"/>
        <w:rPr/>
      </w:pPr>
      <w:r>
        <w:rPr/>
        <w:drawing>
          <wp:inline distT="0" distB="0" distL="0" distR="0">
            <wp:extent cx="4846320" cy="2011680"/>
            <wp:effectExtent l="0" t="0" r="0" b="0"/>
            <wp:docPr id="50"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4" descr=""/>
                    <pic:cNvPicPr>
                      <a:picLocks noChangeAspect="1" noChangeArrowheads="1"/>
                    </pic:cNvPicPr>
                  </pic:nvPicPr>
                  <pic:blipFill>
                    <a:blip r:embed="rId44"/>
                    <a:srcRect l="-7" t="-18" r="-7" b="-18"/>
                    <a:stretch>
                      <a:fillRect/>
                    </a:stretch>
                  </pic:blipFill>
                  <pic:spPr bwMode="auto">
                    <a:xfrm>
                      <a:off x="0" y="0"/>
                      <a:ext cx="4846320" cy="2011680"/>
                    </a:xfrm>
                    <a:prstGeom prst="rect">
                      <a:avLst/>
                    </a:prstGeom>
                  </pic:spPr>
                </pic:pic>
              </a:graphicData>
            </a:graphic>
          </wp:inline>
        </w:drawing>
      </w:r>
    </w:p>
    <w:p>
      <w:pPr>
        <w:pStyle w:val="TF"/>
        <w:rPr/>
      </w:pPr>
      <w:r>
        <w:rPr/>
        <w:t>Figure F.1</w:t>
      </w:r>
    </w:p>
    <w:p>
      <w:pPr>
        <w:pStyle w:val="Normal"/>
        <w:rPr/>
      </w:pPr>
      <w:r>
        <w:rPr/>
        <w:t>The input of the Viterbi decoder can be used for the metric computation in the usual way. For the TCH / HS the error patterns can be used in the same way for convolutional coding. If block codes with hard decision only are used the soft decision has to be exchanged by the hard decision value.</w:t>
      </w:r>
    </w:p>
    <w:p>
      <w:pPr>
        <w:pStyle w:val="Heading2"/>
        <w:rPr/>
      </w:pPr>
      <w:bookmarkStart w:id="279" w:name="__RefHeading___Toc518035713"/>
      <w:bookmarkEnd w:id="279"/>
      <w:r>
        <w:rPr/>
        <w:t>F.2.3</w:t>
        <w:tab/>
        <w:t>Error patterns of corresponding TCH/FS</w:t>
      </w:r>
    </w:p>
    <w:p>
      <w:pPr>
        <w:pStyle w:val="Normal"/>
        <w:rPr/>
      </w:pPr>
      <w:r>
        <w:rPr/>
        <w:t>These error patterns are generated from the soft decision values described above. They consist of the error positions of the speech frames. The program REPTCHFS.FOR can read files containing error patterns of a TCH / FS (FORTRAN 77). The record length used in the files is not fixed. The following table gives the structure of the file. Each line is one record:</w:t>
      </w:r>
    </w:p>
    <w:p>
      <w:pPr>
        <w:pStyle w:val="B1"/>
        <w:tabs>
          <w:tab w:val="clear" w:pos="284"/>
          <w:tab w:val="left" w:pos="3402" w:leader="none"/>
        </w:tabs>
        <w:rPr/>
      </w:pPr>
      <w:r>
        <w:rPr/>
        <w:tab/>
        <w:t>NBITCI, NBICHII, IDUMMY</w:t>
        <w:tab/>
        <w:t>3 values INTEGER*4</w:t>
      </w:r>
    </w:p>
    <w:p>
      <w:pPr>
        <w:pStyle w:val="B1"/>
        <w:tabs>
          <w:tab w:val="clear" w:pos="284"/>
          <w:tab w:val="left" w:pos="3402" w:leader="none"/>
        </w:tabs>
        <w:rPr/>
      </w:pPr>
      <w:r>
        <w:rPr/>
        <w:tab/>
        <w:t>NLOOP</w:t>
        <w:tab/>
        <w:t>1 value INTEGER*4</w:t>
      </w:r>
    </w:p>
    <w:p>
      <w:pPr>
        <w:pStyle w:val="B1"/>
        <w:tabs>
          <w:tab w:val="clear" w:pos="284"/>
          <w:tab w:val="left" w:pos="3402" w:leader="none"/>
        </w:tabs>
        <w:rPr/>
      </w:pPr>
      <w:r>
        <w:rPr/>
        <w:tab/>
        <w:t>LFH</w:t>
        <w:tab/>
        <w:t>1 value LOGICAL*4</w:t>
      </w:r>
    </w:p>
    <w:p>
      <w:pPr>
        <w:pStyle w:val="B1"/>
        <w:tabs>
          <w:tab w:val="clear" w:pos="284"/>
          <w:tab w:val="left" w:pos="3402" w:leader="none"/>
        </w:tabs>
        <w:rPr/>
      </w:pPr>
      <w:r>
        <w:rPr/>
        <w:tab/>
        <w:t>EBN</w:t>
        <w:tab/>
        <w:t>1 value REAL*4</w:t>
      </w:r>
    </w:p>
    <w:p>
      <w:pPr>
        <w:pStyle w:val="B1"/>
        <w:tabs>
          <w:tab w:val="clear" w:pos="284"/>
          <w:tab w:val="left" w:pos="3402" w:leader="none"/>
        </w:tabs>
        <w:rPr/>
      </w:pPr>
      <w:r>
        <w:rPr/>
        <w:tab/>
        <w:t>SIDB</w:t>
        <w:tab/>
        <w:t>1 value REAL*4</w:t>
      </w:r>
    </w:p>
    <w:p>
      <w:pPr>
        <w:pStyle w:val="B1"/>
        <w:tabs>
          <w:tab w:val="clear" w:pos="284"/>
          <w:tab w:val="left" w:pos="3402" w:leader="none"/>
        </w:tabs>
        <w:rPr/>
      </w:pPr>
      <w:r>
        <w:rPr/>
        <w:tab/>
        <w:t>DUMMY</w:t>
        <w:tab/>
        <w:t>1 value REAL*4</w:t>
      </w:r>
    </w:p>
    <w:p>
      <w:pPr>
        <w:pStyle w:val="B1"/>
        <w:tabs>
          <w:tab w:val="clear" w:pos="284"/>
          <w:tab w:val="left" w:pos="3402" w:leader="none"/>
        </w:tabs>
        <w:rPr/>
      </w:pPr>
      <w:r>
        <w:rPr/>
        <w:tab/>
        <w:t>ILOOP</w:t>
        <w:tab/>
        <w:t>1 value INTEGER*4</w:t>
      </w:r>
    </w:p>
    <w:p>
      <w:pPr>
        <w:pStyle w:val="B1"/>
        <w:tabs>
          <w:tab w:val="clear" w:pos="284"/>
          <w:tab w:val="left" w:pos="3402" w:leader="none"/>
        </w:tabs>
        <w:rPr/>
      </w:pPr>
      <w:r>
        <w:rPr/>
        <w:tab/>
        <w:t>NFEHLERG, IED</w:t>
        <w:tab/>
        <w:t>2 values INTEGER*2</w:t>
      </w:r>
    </w:p>
    <w:p>
      <w:pPr>
        <w:pStyle w:val="B1"/>
        <w:tabs>
          <w:tab w:val="clear" w:pos="284"/>
          <w:tab w:val="left" w:pos="3402" w:leader="none"/>
        </w:tabs>
        <w:rPr/>
      </w:pPr>
      <w:r>
        <w:rPr/>
        <w:tab/>
        <w:t>IFV(I), I=1,.....,NFEHLER</w:t>
        <w:tab/>
        <w:t>NFEHLERG values INTEGER*4</w:t>
      </w:r>
    </w:p>
    <w:p>
      <w:pPr>
        <w:pStyle w:val="B1"/>
        <w:tabs>
          <w:tab w:val="clear" w:pos="284"/>
          <w:tab w:val="left" w:pos="3402" w:leader="none"/>
        </w:tabs>
        <w:rPr/>
      </w:pPr>
      <w:r>
        <w:rPr/>
        <w:tab/>
      </w:r>
      <w:r>
        <w:rPr>
          <w:lang w:val="nl-NL"/>
        </w:rPr>
        <w:t>ILOOP</w:t>
        <w:tab/>
        <w:t>1 value INTEGER*4</w:t>
      </w:r>
    </w:p>
    <w:p>
      <w:pPr>
        <w:pStyle w:val="B1"/>
        <w:tabs>
          <w:tab w:val="clear" w:pos="284"/>
          <w:tab w:val="left" w:pos="3402" w:leader="none"/>
        </w:tabs>
        <w:rPr/>
      </w:pPr>
      <w:r>
        <w:rPr>
          <w:lang w:val="nl-NL"/>
        </w:rPr>
        <w:tab/>
        <w:t>NFEHLERG, IED</w:t>
        <w:tab/>
        <w:t>2 values INTEGER*2</w:t>
      </w:r>
    </w:p>
    <w:p>
      <w:pPr>
        <w:pStyle w:val="B1"/>
        <w:tabs>
          <w:tab w:val="clear" w:pos="284"/>
          <w:tab w:val="left" w:pos="3402" w:leader="none"/>
        </w:tabs>
        <w:rPr/>
      </w:pPr>
      <w:r>
        <w:rPr>
          <w:lang w:val="nl-NL"/>
        </w:rPr>
        <w:tab/>
        <w:t>IFV(I), I=1,.....,NFEHLER</w:t>
        <w:tab/>
        <w:t>NFEHLERG values INTEGER*4</w:t>
      </w:r>
    </w:p>
    <w:p>
      <w:pPr>
        <w:pStyle w:val="B1"/>
        <w:tabs>
          <w:tab w:val="clear" w:pos="284"/>
          <w:tab w:val="left" w:pos="3402" w:leader="none"/>
        </w:tabs>
        <w:rPr>
          <w:lang w:val="nl-NL"/>
        </w:rPr>
      </w:pPr>
      <w:r>
        <w:rPr>
          <w:lang w:val="nl-NL"/>
        </w:rPr>
        <w:tab/>
        <w:t>ILOOP</w:t>
        <w:tab/>
        <w:t>1 value INTEGER*4</w:t>
      </w:r>
    </w:p>
    <w:p>
      <w:pPr>
        <w:pStyle w:val="B1"/>
        <w:tabs>
          <w:tab w:val="clear" w:pos="284"/>
          <w:tab w:val="left" w:pos="3402" w:leader="none"/>
        </w:tabs>
        <w:rPr>
          <w:lang w:val="nl-NL"/>
        </w:rPr>
      </w:pPr>
      <w:r>
        <w:rPr>
          <w:lang w:val="nl-NL"/>
        </w:rPr>
        <w:tab/>
        <w:t>NFEHLERG, IED</w:t>
        <w:tab/>
        <w:t>2 values INTEGER*2</w:t>
      </w:r>
    </w:p>
    <w:p>
      <w:pPr>
        <w:pStyle w:val="B1"/>
        <w:tabs>
          <w:tab w:val="clear" w:pos="284"/>
          <w:tab w:val="left" w:pos="3402" w:leader="none"/>
        </w:tabs>
        <w:rPr>
          <w:lang w:val="nl-NL"/>
        </w:rPr>
      </w:pPr>
      <w:r>
        <w:rPr>
          <w:lang w:val="nl-NL"/>
        </w:rPr>
        <w:tab/>
        <w:t>IFV(I), I=1,.....,NFEHLERG</w:t>
        <w:tab/>
        <w:t>NFEHLERG values INTEGER*4</w:t>
      </w:r>
    </w:p>
    <w:p>
      <w:pPr>
        <w:pStyle w:val="B1"/>
        <w:tabs>
          <w:tab w:val="clear" w:pos="284"/>
          <w:tab w:val="left" w:pos="3402" w:leader="none"/>
        </w:tabs>
        <w:rPr>
          <w:lang w:val="nl-NL"/>
        </w:rPr>
      </w:pPr>
      <w:r>
        <w:rPr>
          <w:lang w:val="nl-NL"/>
        </w:rPr>
        <w:tab/>
        <w:t>-1</w:t>
        <w:tab/>
        <w:t>1 value INTEGER*4</w:t>
      </w:r>
    </w:p>
    <w:p>
      <w:pPr>
        <w:pStyle w:val="B1"/>
        <w:tabs>
          <w:tab w:val="clear" w:pos="284"/>
          <w:tab w:val="left" w:pos="3402" w:leader="none"/>
        </w:tabs>
        <w:rPr>
          <w:lang w:val="nl-NL"/>
        </w:rPr>
      </w:pPr>
      <w:r>
        <w:rPr>
          <w:lang w:val="nl-NL"/>
        </w:rPr>
        <w:tab/>
        <w:t>PFEHLCI,PFEHVCII,DUMMY</w:t>
        <w:tab/>
        <w:t>3 values REAL*4</w:t>
      </w:r>
    </w:p>
    <w:p>
      <w:pPr>
        <w:pStyle w:val="Normal"/>
        <w:rPr/>
      </w:pPr>
      <w:r>
        <w:rPr/>
        <w:t>In the following example the variables are described with more details:</w:t>
      </w:r>
    </w:p>
    <w:p>
      <w:pPr>
        <w:pStyle w:val="B1"/>
        <w:tabs>
          <w:tab w:val="clear" w:pos="284"/>
          <w:tab w:val="left" w:pos="3402" w:leader="none"/>
          <w:tab w:val="left" w:pos="3686" w:leader="none"/>
        </w:tabs>
        <w:rPr/>
      </w:pPr>
      <w:r>
        <w:rPr/>
        <w:tab/>
        <w:t>NBITCI</w:t>
        <w:tab/>
        <w:t>-</w:t>
        <w:tab/>
        <w:t>number of bits in class I</w:t>
      </w:r>
    </w:p>
    <w:p>
      <w:pPr>
        <w:pStyle w:val="B1"/>
        <w:tabs>
          <w:tab w:val="clear" w:pos="284"/>
          <w:tab w:val="left" w:pos="3402" w:leader="none"/>
          <w:tab w:val="left" w:pos="3686" w:leader="none"/>
        </w:tabs>
        <w:rPr/>
      </w:pPr>
      <w:r>
        <w:rPr/>
        <w:tab/>
        <w:t>NBITCII</w:t>
        <w:tab/>
        <w:t>-</w:t>
        <w:tab/>
        <w:t>number of bits in class II</w:t>
      </w:r>
    </w:p>
    <w:p>
      <w:pPr>
        <w:pStyle w:val="B1"/>
        <w:tabs>
          <w:tab w:val="clear" w:pos="284"/>
          <w:tab w:val="left" w:pos="3402" w:leader="none"/>
          <w:tab w:val="left" w:pos="3686" w:leader="none"/>
        </w:tabs>
        <w:rPr/>
      </w:pPr>
      <w:r>
        <w:rPr/>
        <w:tab/>
        <w:t>EBN, SIDB, LFH</w:t>
        <w:tab/>
        <w:t>-</w:t>
        <w:tab/>
        <w:t>as described above</w:t>
      </w:r>
    </w:p>
    <w:p>
      <w:pPr>
        <w:pStyle w:val="B1"/>
        <w:tabs>
          <w:tab w:val="clear" w:pos="284"/>
          <w:tab w:val="left" w:pos="3402" w:leader="none"/>
          <w:tab w:val="left" w:pos="3686" w:leader="none"/>
        </w:tabs>
        <w:rPr/>
      </w:pPr>
      <w:r>
        <w:rPr/>
        <w:tab/>
        <w:t>NLOOP</w:t>
        <w:tab/>
        <w:t>-</w:t>
        <w:tab/>
        <w:t>number of the next speech frames</w:t>
      </w:r>
    </w:p>
    <w:p>
      <w:pPr>
        <w:pStyle w:val="B1"/>
        <w:tabs>
          <w:tab w:val="clear" w:pos="284"/>
          <w:tab w:val="left" w:pos="3402" w:leader="none"/>
          <w:tab w:val="left" w:pos="3686" w:leader="none"/>
        </w:tabs>
        <w:rPr/>
      </w:pPr>
      <w:r>
        <w:rPr/>
        <w:tab/>
        <w:t>ILOOP</w:t>
        <w:tab/>
        <w:t>-</w:t>
        <w:tab/>
        <w:t>position of the next speech frame with bit errors</w:t>
      </w:r>
    </w:p>
    <w:p>
      <w:pPr>
        <w:pStyle w:val="B1"/>
        <w:tabs>
          <w:tab w:val="clear" w:pos="284"/>
          <w:tab w:val="left" w:pos="3402" w:leader="none"/>
          <w:tab w:val="left" w:pos="3686" w:leader="none"/>
        </w:tabs>
        <w:rPr/>
      </w:pPr>
      <w:r>
        <w:rPr/>
        <w:tab/>
        <w:t>1 i= ILOOP i= NLOOP</w:t>
      </w:r>
    </w:p>
    <w:p>
      <w:pPr>
        <w:pStyle w:val="B1"/>
        <w:tabs>
          <w:tab w:val="clear" w:pos="284"/>
          <w:tab w:val="left" w:pos="3402" w:leader="none"/>
          <w:tab w:val="left" w:pos="3686" w:leader="none"/>
        </w:tabs>
        <w:rPr/>
      </w:pPr>
      <w:r>
        <w:rPr/>
        <w:tab/>
        <w:t>NFEHLERG</w:t>
        <w:tab/>
        <w:t>-</w:t>
        <w:tab/>
        <w:t>number of errors in this speech frame</w:t>
      </w:r>
    </w:p>
    <w:p>
      <w:pPr>
        <w:pStyle w:val="B1"/>
        <w:tabs>
          <w:tab w:val="clear" w:pos="284"/>
          <w:tab w:val="left" w:pos="3402" w:leader="none"/>
          <w:tab w:val="left" w:pos="3686" w:leader="none"/>
        </w:tabs>
        <w:rPr/>
      </w:pPr>
      <w:r>
        <w:rPr/>
        <w:tab/>
        <w:t>IED</w:t>
        <w:tab/>
        <w:t>-</w:t>
        <w:tab/>
        <w:t>bad frame indication of this speech frame</w:t>
      </w:r>
    </w:p>
    <w:p>
      <w:pPr>
        <w:pStyle w:val="B1"/>
        <w:tabs>
          <w:tab w:val="clear" w:pos="284"/>
          <w:tab w:val="left" w:pos="3402" w:leader="none"/>
          <w:tab w:val="left" w:pos="3686" w:leader="none"/>
        </w:tabs>
        <w:rPr/>
      </w:pPr>
      <w:r>
        <w:rPr/>
        <w:tab/>
        <w:t>= 1 : bad frame detected</w:t>
      </w:r>
    </w:p>
    <w:p>
      <w:pPr>
        <w:pStyle w:val="B1"/>
        <w:tabs>
          <w:tab w:val="clear" w:pos="284"/>
          <w:tab w:val="left" w:pos="3402" w:leader="none"/>
          <w:tab w:val="left" w:pos="3686" w:leader="none"/>
        </w:tabs>
        <w:rPr/>
      </w:pPr>
      <w:r>
        <w:rPr/>
        <w:tab/>
        <w:t>= 0 : no bad frame detected</w:t>
      </w:r>
    </w:p>
    <w:p>
      <w:pPr>
        <w:pStyle w:val="B1"/>
        <w:tabs>
          <w:tab w:val="clear" w:pos="284"/>
          <w:tab w:val="left" w:pos="3402" w:leader="none"/>
          <w:tab w:val="left" w:pos="3686" w:leader="none"/>
        </w:tabs>
        <w:rPr/>
      </w:pPr>
      <w:r>
        <w:rPr/>
        <w:tab/>
        <w:t>IFV (I)</w:t>
        <w:tab/>
        <w:t>-</w:t>
        <w:tab/>
        <w:t>array with all error positions in this speech</w:t>
      </w:r>
    </w:p>
    <w:p>
      <w:pPr>
        <w:pStyle w:val="B1"/>
        <w:tabs>
          <w:tab w:val="clear" w:pos="284"/>
          <w:tab w:val="left" w:pos="3402" w:leader="none"/>
          <w:tab w:val="left" w:pos="3686" w:leader="none"/>
        </w:tabs>
        <w:rPr/>
      </w:pPr>
      <w:r>
        <w:rPr/>
        <w:tab/>
        <w:t>frame:</w:t>
      </w:r>
    </w:p>
    <w:p>
      <w:pPr>
        <w:pStyle w:val="B1"/>
        <w:tabs>
          <w:tab w:val="clear" w:pos="284"/>
          <w:tab w:val="left" w:pos="3402" w:leader="none"/>
          <w:tab w:val="left" w:pos="3686" w:leader="none"/>
        </w:tabs>
        <w:rPr/>
      </w:pPr>
      <w:r>
        <w:rPr/>
        <w:tab/>
        <w:t>possible positions of class  I : 1,....,182</w:t>
      </w:r>
    </w:p>
    <w:p>
      <w:pPr>
        <w:pStyle w:val="B1"/>
        <w:tabs>
          <w:tab w:val="clear" w:pos="284"/>
          <w:tab w:val="left" w:pos="3402" w:leader="none"/>
          <w:tab w:val="left" w:pos="3686" w:leader="none"/>
        </w:tabs>
        <w:rPr/>
      </w:pPr>
      <w:r>
        <w:rPr/>
        <w:tab/>
        <w:t>possible positions of class II : 183,....,260</w:t>
      </w:r>
    </w:p>
    <w:p>
      <w:pPr>
        <w:pStyle w:val="B1"/>
        <w:tabs>
          <w:tab w:val="clear" w:pos="284"/>
          <w:tab w:val="left" w:pos="3402" w:leader="none"/>
          <w:tab w:val="left" w:pos="3686" w:leader="none"/>
        </w:tabs>
        <w:rPr/>
      </w:pPr>
      <w:r>
        <w:rPr/>
        <w:tab/>
        <w:t>PFEHLCI</w:t>
        <w:tab/>
        <w:t>-</w:t>
        <w:tab/>
        <w:t>error probability class I</w:t>
      </w:r>
    </w:p>
    <w:p>
      <w:pPr>
        <w:pStyle w:val="B1"/>
        <w:tabs>
          <w:tab w:val="clear" w:pos="284"/>
          <w:tab w:val="left" w:pos="3402" w:leader="none"/>
          <w:tab w:val="left" w:pos="3686" w:leader="none"/>
        </w:tabs>
        <w:rPr/>
      </w:pPr>
      <w:r>
        <w:rPr/>
        <w:tab/>
        <w:t>PFEHLCII</w:t>
        <w:tab/>
        <w:t>-</w:t>
        <w:tab/>
        <w:t>error probability class II</w:t>
      </w:r>
    </w:p>
    <w:p>
      <w:pPr>
        <w:pStyle w:val="B1"/>
        <w:tabs>
          <w:tab w:val="clear" w:pos="284"/>
          <w:tab w:val="left" w:pos="3402" w:leader="none"/>
          <w:tab w:val="left" w:pos="3686" w:leader="none"/>
        </w:tabs>
        <w:rPr/>
      </w:pPr>
      <w:r>
        <w:rPr/>
        <w:tab/>
        <w:t>DUMMY,</w:t>
      </w:r>
    </w:p>
    <w:p>
      <w:pPr>
        <w:pStyle w:val="B1"/>
        <w:tabs>
          <w:tab w:val="clear" w:pos="284"/>
          <w:tab w:val="left" w:pos="3402" w:leader="none"/>
          <w:tab w:val="left" w:pos="3686" w:leader="none"/>
        </w:tabs>
        <w:rPr/>
      </w:pPr>
      <w:r>
        <w:rPr/>
        <w:tab/>
        <w:t>IDUMMY</w:t>
        <w:tab/>
        <w:t>-</w:t>
        <w:tab/>
        <w:t>these values have no information</w:t>
      </w:r>
    </w:p>
    <w:p>
      <w:pPr>
        <w:pStyle w:val="B1"/>
        <w:tabs>
          <w:tab w:val="clear" w:pos="284"/>
          <w:tab w:val="left" w:pos="3402" w:leader="none"/>
          <w:tab w:val="left" w:pos="3686" w:leader="none"/>
        </w:tabs>
        <w:rPr/>
      </w:pPr>
      <w:r>
        <w:rPr/>
        <w:tab/>
        <w:t>(for compatibility reasons necessary)</w:t>
      </w:r>
    </w:p>
    <w:p>
      <w:pPr>
        <w:pStyle w:val="Normal"/>
        <w:rPr/>
      </w:pPr>
      <w:r>
        <w:rPr/>
        <w:t>Speech frames without any errors are not included in the error pattern.</w:t>
      </w:r>
    </w:p>
    <w:p>
      <w:pPr>
        <w:pStyle w:val="Normal"/>
        <w:rPr/>
      </w:pPr>
      <w:r>
        <w:rPr/>
        <w:t>The number of correct speech frames can be calculated by the difference of numbers ILOOP. The end of the error pattern is indicated by the ILOOP =-1.</w:t>
      </w:r>
    </w:p>
    <w:p>
      <w:pPr>
        <w:pStyle w:val="Normal"/>
        <w:rPr/>
      </w:pPr>
      <w:r>
        <w:rPr/>
        <w:t>In the data delivered by the TCH / FS speech coder bits have to be changed at the positions indicated in the error patterns.</w:t>
      </w:r>
      <w:r>
        <w:br w:type="page"/>
      </w:r>
    </w:p>
    <w:p>
      <w:pPr>
        <w:pStyle w:val="Heading9"/>
        <w:rPr/>
      </w:pPr>
      <w:bookmarkStart w:id="280" w:name="__RefHeading___Toc518035714"/>
      <w:bookmarkEnd w:id="280"/>
      <w:r>
        <w:rPr/>
        <w:t>Annex G:</w:t>
        <w:br/>
        <w:t>Simulation of Performance</w:t>
      </w:r>
    </w:p>
    <w:p>
      <w:pPr>
        <w:pStyle w:val="Heading1"/>
        <w:ind w:left="1134" w:hanging="1134"/>
        <w:rPr/>
      </w:pPr>
      <w:bookmarkStart w:id="281" w:name="__RefHeading___Toc518035715"/>
      <w:bookmarkEnd w:id="281"/>
      <w:r>
        <w:rPr/>
        <w:t>G.1</w:t>
        <w:tab/>
        <w:t>Implementation Losses and Noise Figure</w:t>
      </w:r>
    </w:p>
    <w:p>
      <w:pPr>
        <w:pStyle w:val="Normal"/>
        <w:rPr/>
      </w:pPr>
      <w:r>
        <w:rPr/>
        <w:t>All simulations are based on floating point calculations in all parts of the transmission chain. No quantization effects are taken into account. Channel filtering is assumed in order to achieve the performance for co.- and adjacent channel performance. No tolerance of the filter bandwidth are taken into account. In order to cover the performance of a real receiver an additional implementation margin of two dB shall be allowed. This means, that a simulated value at 7 dB C/I</w:t>
      </w:r>
      <w:r>
        <w:rPr>
          <w:vertAlign w:val="subscript"/>
        </w:rPr>
        <w:t>c</w:t>
      </w:r>
      <w:r>
        <w:rPr/>
        <w:t xml:space="preserve"> corresponds to the performance of a real receiver at 9 dB C/I</w:t>
      </w:r>
      <w:r>
        <w:rPr>
          <w:vertAlign w:val="subscript"/>
        </w:rPr>
        <w:t>c</w:t>
      </w:r>
      <w:r>
        <w:rPr/>
        <w:t>. Taking a reasonable noise figure (8 dB) into account a simulated value of 6 dB Eb/N0 corresponds to the performance of a real receiver at 8 dB Eb/N0 which corresponds to the ref. Sensitivity input level of GSM 05.05.</w:t>
      </w:r>
    </w:p>
    <w:p>
      <w:pPr>
        <w:pStyle w:val="Heading2"/>
        <w:rPr/>
      </w:pPr>
      <w:bookmarkStart w:id="282" w:name="__RefHeading___Toc518035716"/>
      <w:bookmarkEnd w:id="282"/>
      <w:r>
        <w:rPr/>
        <w:t>G.1.1</w:t>
        <w:tab/>
        <w:t>Assumed Equalizer</w:t>
      </w:r>
    </w:p>
    <w:p>
      <w:pPr>
        <w:pStyle w:val="Normal"/>
        <w:rPr/>
      </w:pPr>
      <w:r>
        <w:rPr/>
        <w:t>The equalizer consists of a 16 state viterbi equalizer.</w:t>
      </w:r>
    </w:p>
    <w:p>
      <w:pPr>
        <w:pStyle w:val="Heading2"/>
        <w:rPr/>
      </w:pPr>
      <w:bookmarkStart w:id="283" w:name="__RefHeading___Toc518035717"/>
      <w:bookmarkEnd w:id="283"/>
      <w:r>
        <w:rPr/>
        <w:t>G.1.2</w:t>
        <w:tab/>
        <w:t>Accuracy of Simulations</w:t>
      </w:r>
    </w:p>
    <w:p>
      <w:pPr>
        <w:pStyle w:val="Normal"/>
        <w:rPr/>
      </w:pPr>
      <w:r>
        <w:rPr/>
        <w:t>At very low error rates the accuracy of the simulations become poor. The following table gives the lowest error rate for a certain GSM channel at which error rates can be taken from the simulations.</w:t>
      </w:r>
    </w:p>
    <w:p>
      <w:pPr>
        <w:pStyle w:val="B1"/>
        <w:rPr/>
      </w:pPr>
      <w:r>
        <w:rPr/>
        <w:tab/>
        <w:t>TCH / F4.8</w:t>
        <w:tab/>
        <w:t>10</w:t>
      </w:r>
      <w:r>
        <w:rPr>
          <w:vertAlign w:val="superscript"/>
        </w:rPr>
        <w:t>-4</w:t>
      </w:r>
    </w:p>
    <w:p>
      <w:pPr>
        <w:pStyle w:val="B1"/>
        <w:rPr/>
      </w:pPr>
      <w:r>
        <w:rPr/>
        <w:tab/>
        <w:t>TCH / F2.4</w:t>
        <w:tab/>
        <w:t>10</w:t>
      </w:r>
      <w:r>
        <w:rPr>
          <w:vertAlign w:val="superscript"/>
        </w:rPr>
        <w:t>-5</w:t>
      </w:r>
    </w:p>
    <w:p>
      <w:pPr>
        <w:pStyle w:val="B1"/>
        <w:rPr/>
      </w:pPr>
      <w:r>
        <w:rPr/>
        <w:tab/>
        <w:t>TCH / H2.4</w:t>
        <w:tab/>
        <w:t>10</w:t>
      </w:r>
      <w:r>
        <w:rPr>
          <w:vertAlign w:val="superscript"/>
        </w:rPr>
        <w:t>-4</w:t>
      </w:r>
    </w:p>
    <w:p>
      <w:pPr>
        <w:pStyle w:val="Normal"/>
        <w:rPr/>
      </w:pPr>
      <w:r>
        <w:rPr/>
        <w:t>In case that a simulated value is below the given minimum in the curves the minimum is indicated.</w:t>
      </w:r>
    </w:p>
    <w:p>
      <w:pPr>
        <w:pStyle w:val="Heading2"/>
        <w:rPr/>
      </w:pPr>
      <w:bookmarkStart w:id="284" w:name="__RefHeading___Toc518035718"/>
      <w:bookmarkEnd w:id="284"/>
      <w:r>
        <w:rPr/>
        <w:t>G.1.3</w:t>
        <w:tab/>
        <w:t>Simulation Results</w:t>
      </w:r>
    </w:p>
    <w:p>
      <w:pPr>
        <w:pStyle w:val="Normal"/>
        <w:rPr/>
      </w:pPr>
      <w:r>
        <w:rPr/>
        <w:t>Figures 1 to 18 show the performance (simulated values) for ref.sensitivity and dynamic propagation conditions.</w:t>
      </w:r>
    </w:p>
    <w:p>
      <w:pPr>
        <w:pStyle w:val="TH"/>
        <w:rPr/>
      </w:pPr>
      <w:r>
        <w:rPr/>
        <w:drawing>
          <wp:inline distT="0" distB="0" distL="0" distR="0">
            <wp:extent cx="5640705" cy="3465830"/>
            <wp:effectExtent l="0" t="0" r="0" b="0"/>
            <wp:docPr id="51"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5" descr=""/>
                    <pic:cNvPicPr>
                      <a:picLocks noChangeAspect="1" noChangeArrowheads="1"/>
                    </pic:cNvPicPr>
                  </pic:nvPicPr>
                  <pic:blipFill>
                    <a:blip r:embed="rId45"/>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1</w:t>
      </w:r>
    </w:p>
    <w:p>
      <w:pPr>
        <w:pStyle w:val="NF"/>
        <w:rPr/>
      </w:pPr>
      <w:r>
        <w:rPr/>
      </w:r>
    </w:p>
    <w:p>
      <w:pPr>
        <w:pStyle w:val="TH"/>
        <w:rPr/>
      </w:pPr>
      <w:r>
        <w:rPr/>
        <w:drawing>
          <wp:inline distT="0" distB="0" distL="0" distR="0">
            <wp:extent cx="5581015" cy="3457575"/>
            <wp:effectExtent l="0" t="0" r="0" b="0"/>
            <wp:docPr id="52"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6" descr=""/>
                    <pic:cNvPicPr>
                      <a:picLocks noChangeAspect="1" noChangeArrowheads="1"/>
                    </pic:cNvPicPr>
                  </pic:nvPicPr>
                  <pic:blipFill>
                    <a:blip r:embed="rId46"/>
                    <a:stretch>
                      <a:fillRect/>
                    </a:stretch>
                  </pic:blipFill>
                  <pic:spPr bwMode="auto">
                    <a:xfrm>
                      <a:off x="0" y="0"/>
                      <a:ext cx="5581015" cy="3457575"/>
                    </a:xfrm>
                    <a:prstGeom prst="rect">
                      <a:avLst/>
                    </a:prstGeom>
                    <a:ln w="9525">
                      <a:solidFill>
                        <a:srgbClr val="000000"/>
                      </a:solidFill>
                    </a:ln>
                  </pic:spPr>
                </pic:pic>
              </a:graphicData>
            </a:graphic>
          </wp:inline>
        </w:drawing>
      </w:r>
    </w:p>
    <w:p>
      <w:pPr>
        <w:pStyle w:val="TF"/>
        <w:rPr/>
      </w:pPr>
      <w:r>
        <w:rPr/>
        <w:t>Figure 2</w:t>
      </w:r>
    </w:p>
    <w:p>
      <w:pPr>
        <w:pStyle w:val="NF"/>
        <w:rPr/>
      </w:pPr>
      <w:r>
        <w:rPr/>
      </w:r>
    </w:p>
    <w:p>
      <w:pPr>
        <w:pStyle w:val="TH"/>
        <w:rPr/>
      </w:pPr>
      <w:r>
        <w:rPr/>
        <w:drawing>
          <wp:inline distT="0" distB="0" distL="0" distR="0">
            <wp:extent cx="5640705" cy="3465830"/>
            <wp:effectExtent l="0" t="0" r="0" b="0"/>
            <wp:docPr id="53"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77" descr=""/>
                    <pic:cNvPicPr>
                      <a:picLocks noChangeAspect="1" noChangeArrowheads="1"/>
                    </pic:cNvPicPr>
                  </pic:nvPicPr>
                  <pic:blipFill>
                    <a:blip r:embed="rId47"/>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3</w:t>
      </w:r>
    </w:p>
    <w:p>
      <w:pPr>
        <w:pStyle w:val="NF"/>
        <w:rPr/>
      </w:pPr>
      <w:r>
        <w:rPr/>
      </w:r>
    </w:p>
    <w:p>
      <w:pPr>
        <w:pStyle w:val="TH"/>
        <w:rPr/>
      </w:pPr>
      <w:r>
        <w:rPr/>
        <w:drawing>
          <wp:inline distT="0" distB="0" distL="0" distR="0">
            <wp:extent cx="5640705" cy="3465830"/>
            <wp:effectExtent l="0" t="0" r="0" b="0"/>
            <wp:docPr id="54"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8" descr=""/>
                    <pic:cNvPicPr>
                      <a:picLocks noChangeAspect="1" noChangeArrowheads="1"/>
                    </pic:cNvPicPr>
                  </pic:nvPicPr>
                  <pic:blipFill>
                    <a:blip r:embed="rId48"/>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4</w:t>
      </w:r>
    </w:p>
    <w:p>
      <w:pPr>
        <w:pStyle w:val="NF"/>
        <w:rPr/>
      </w:pPr>
      <w:r>
        <w:rPr/>
      </w:r>
    </w:p>
    <w:p>
      <w:pPr>
        <w:pStyle w:val="TH"/>
        <w:rPr/>
      </w:pPr>
      <w:r>
        <w:rPr/>
        <w:drawing>
          <wp:inline distT="0" distB="0" distL="0" distR="0">
            <wp:extent cx="5640705" cy="3465830"/>
            <wp:effectExtent l="0" t="0" r="0" b="0"/>
            <wp:docPr id="55"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79" descr=""/>
                    <pic:cNvPicPr>
                      <a:picLocks noChangeAspect="1" noChangeArrowheads="1"/>
                    </pic:cNvPicPr>
                  </pic:nvPicPr>
                  <pic:blipFill>
                    <a:blip r:embed="rId49"/>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5</w:t>
      </w:r>
    </w:p>
    <w:p>
      <w:pPr>
        <w:pStyle w:val="NF"/>
        <w:rPr/>
      </w:pPr>
      <w:r>
        <w:rPr/>
      </w:r>
    </w:p>
    <w:p>
      <w:pPr>
        <w:pStyle w:val="TH"/>
        <w:rPr/>
      </w:pPr>
      <w:r>
        <w:rPr/>
        <w:drawing>
          <wp:inline distT="0" distB="0" distL="0" distR="0">
            <wp:extent cx="5640705" cy="3465830"/>
            <wp:effectExtent l="0" t="0" r="0" b="0"/>
            <wp:docPr id="56"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0" descr=""/>
                    <pic:cNvPicPr>
                      <a:picLocks noChangeAspect="1" noChangeArrowheads="1"/>
                    </pic:cNvPicPr>
                  </pic:nvPicPr>
                  <pic:blipFill>
                    <a:blip r:embed="rId50"/>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6</w:t>
      </w:r>
    </w:p>
    <w:p>
      <w:pPr>
        <w:pStyle w:val="NF"/>
        <w:rPr/>
      </w:pPr>
      <w:r>
        <w:rPr/>
      </w:r>
    </w:p>
    <w:p>
      <w:pPr>
        <w:pStyle w:val="TH"/>
        <w:rPr/>
      </w:pPr>
      <w:r>
        <w:rPr/>
        <w:object w:dxaOrig="8880" w:dyaOrig="588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44pt;height:294pt" filled="f" o:ole="">
            <v:imagedata r:id="rId52" o:title=""/>
          </v:shape>
          <o:OLEObject Type="Embed" ProgID="" ShapeID="ole_rId51" DrawAspect="Content" ObjectID="_1718318410" r:id="rId51"/>
        </w:object>
      </w:r>
    </w:p>
    <w:p>
      <w:pPr>
        <w:pStyle w:val="TF"/>
        <w:rPr/>
      </w:pPr>
      <w:r>
        <w:rPr/>
        <w:t>Figure 7</w:t>
      </w:r>
    </w:p>
    <w:p>
      <w:pPr>
        <w:pStyle w:val="NF"/>
        <w:rPr/>
      </w:pPr>
      <w:r>
        <w:rPr/>
      </w:r>
    </w:p>
    <w:p>
      <w:pPr>
        <w:pStyle w:val="TH"/>
        <w:rPr/>
      </w:pPr>
      <w:r>
        <w:rPr/>
        <w:drawing>
          <wp:inline distT="0" distB="0" distL="0" distR="0">
            <wp:extent cx="5640705" cy="3465830"/>
            <wp:effectExtent l="0" t="0" r="0" b="0"/>
            <wp:docPr id="57"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1" descr=""/>
                    <pic:cNvPicPr>
                      <a:picLocks noChangeAspect="1" noChangeArrowheads="1"/>
                    </pic:cNvPicPr>
                  </pic:nvPicPr>
                  <pic:blipFill>
                    <a:blip r:embed="rId53"/>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8</w:t>
      </w:r>
    </w:p>
    <w:p>
      <w:pPr>
        <w:pStyle w:val="NF"/>
        <w:rPr/>
      </w:pPr>
      <w:r>
        <w:rPr/>
      </w:r>
    </w:p>
    <w:p>
      <w:pPr>
        <w:pStyle w:val="TH"/>
        <w:rPr/>
      </w:pPr>
      <w:r>
        <w:rPr/>
        <w:drawing>
          <wp:inline distT="0" distB="0" distL="0" distR="0">
            <wp:extent cx="5640705" cy="3465830"/>
            <wp:effectExtent l="0" t="0" r="0" b="0"/>
            <wp:docPr id="58"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2" descr=""/>
                    <pic:cNvPicPr>
                      <a:picLocks noChangeAspect="1" noChangeArrowheads="1"/>
                    </pic:cNvPicPr>
                  </pic:nvPicPr>
                  <pic:blipFill>
                    <a:blip r:embed="rId54"/>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9</w:t>
      </w:r>
    </w:p>
    <w:p>
      <w:pPr>
        <w:pStyle w:val="NF"/>
        <w:rPr/>
      </w:pPr>
      <w:r>
        <w:rPr/>
      </w:r>
    </w:p>
    <w:p>
      <w:pPr>
        <w:pStyle w:val="TH"/>
        <w:rPr/>
      </w:pPr>
      <w:r>
        <w:rPr/>
        <w:drawing>
          <wp:inline distT="0" distB="0" distL="0" distR="0">
            <wp:extent cx="5640705" cy="3465830"/>
            <wp:effectExtent l="0" t="0" r="0" b="0"/>
            <wp:docPr id="59"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83" descr=""/>
                    <pic:cNvPicPr>
                      <a:picLocks noChangeAspect="1" noChangeArrowheads="1"/>
                    </pic:cNvPicPr>
                  </pic:nvPicPr>
                  <pic:blipFill>
                    <a:blip r:embed="rId55"/>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10</w:t>
      </w:r>
    </w:p>
    <w:p>
      <w:pPr>
        <w:pStyle w:val="NF"/>
        <w:rPr/>
      </w:pPr>
      <w:r>
        <w:rPr/>
      </w:r>
    </w:p>
    <w:p>
      <w:pPr>
        <w:pStyle w:val="TH"/>
        <w:rPr/>
      </w:pPr>
      <w:r>
        <w:rPr/>
        <w:drawing>
          <wp:inline distT="0" distB="0" distL="0" distR="0">
            <wp:extent cx="5581015" cy="3457575"/>
            <wp:effectExtent l="0" t="0" r="0" b="0"/>
            <wp:docPr id="60"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4" descr=""/>
                    <pic:cNvPicPr>
                      <a:picLocks noChangeAspect="1" noChangeArrowheads="1"/>
                    </pic:cNvPicPr>
                  </pic:nvPicPr>
                  <pic:blipFill>
                    <a:blip r:embed="rId56"/>
                    <a:stretch>
                      <a:fillRect/>
                    </a:stretch>
                  </pic:blipFill>
                  <pic:spPr bwMode="auto">
                    <a:xfrm>
                      <a:off x="0" y="0"/>
                      <a:ext cx="5581015" cy="3457575"/>
                    </a:xfrm>
                    <a:prstGeom prst="rect">
                      <a:avLst/>
                    </a:prstGeom>
                    <a:ln w="9525">
                      <a:solidFill>
                        <a:srgbClr val="000000"/>
                      </a:solidFill>
                    </a:ln>
                  </pic:spPr>
                </pic:pic>
              </a:graphicData>
            </a:graphic>
          </wp:inline>
        </w:drawing>
      </w:r>
    </w:p>
    <w:p>
      <w:pPr>
        <w:pStyle w:val="TF"/>
        <w:rPr/>
      </w:pPr>
      <w:r>
        <w:rPr/>
        <w:t>Figure 11</w:t>
      </w:r>
    </w:p>
    <w:p>
      <w:pPr>
        <w:pStyle w:val="NF"/>
        <w:rPr/>
      </w:pPr>
      <w:r>
        <w:rPr/>
      </w:r>
    </w:p>
    <w:p>
      <w:pPr>
        <w:pStyle w:val="TH"/>
        <w:rPr/>
      </w:pPr>
      <w:r>
        <w:rPr/>
        <w:drawing>
          <wp:inline distT="0" distB="0" distL="0" distR="0">
            <wp:extent cx="5640705" cy="3465830"/>
            <wp:effectExtent l="0" t="0" r="0" b="0"/>
            <wp:docPr id="61"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5" descr=""/>
                    <pic:cNvPicPr>
                      <a:picLocks noChangeAspect="1" noChangeArrowheads="1"/>
                    </pic:cNvPicPr>
                  </pic:nvPicPr>
                  <pic:blipFill>
                    <a:blip r:embed="rId57"/>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12</w:t>
      </w:r>
    </w:p>
    <w:p>
      <w:pPr>
        <w:pStyle w:val="NF"/>
        <w:rPr/>
      </w:pPr>
      <w:r>
        <w:rPr/>
      </w:r>
    </w:p>
    <w:p>
      <w:pPr>
        <w:pStyle w:val="TH"/>
        <w:rPr/>
      </w:pPr>
      <w:r>
        <w:rPr/>
        <w:drawing>
          <wp:inline distT="0" distB="0" distL="0" distR="0">
            <wp:extent cx="5640705" cy="3465830"/>
            <wp:effectExtent l="0" t="0" r="0" b="0"/>
            <wp:docPr id="62"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6" descr=""/>
                    <pic:cNvPicPr>
                      <a:picLocks noChangeAspect="1" noChangeArrowheads="1"/>
                    </pic:cNvPicPr>
                  </pic:nvPicPr>
                  <pic:blipFill>
                    <a:blip r:embed="rId58"/>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13</w:t>
      </w:r>
    </w:p>
    <w:p>
      <w:pPr>
        <w:pStyle w:val="NF"/>
        <w:rPr/>
      </w:pPr>
      <w:r>
        <w:rPr/>
      </w:r>
    </w:p>
    <w:p>
      <w:pPr>
        <w:pStyle w:val="TH"/>
        <w:rPr/>
      </w:pPr>
      <w:r>
        <w:rPr/>
        <w:drawing>
          <wp:inline distT="0" distB="0" distL="0" distR="0">
            <wp:extent cx="5640705" cy="3465830"/>
            <wp:effectExtent l="0" t="0" r="0" b="0"/>
            <wp:docPr id="63"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7" descr=""/>
                    <pic:cNvPicPr>
                      <a:picLocks noChangeAspect="1" noChangeArrowheads="1"/>
                    </pic:cNvPicPr>
                  </pic:nvPicPr>
                  <pic:blipFill>
                    <a:blip r:embed="rId59"/>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14</w:t>
      </w:r>
    </w:p>
    <w:p>
      <w:pPr>
        <w:pStyle w:val="NF"/>
        <w:rPr/>
      </w:pPr>
      <w:r>
        <w:rPr/>
      </w:r>
    </w:p>
    <w:p>
      <w:pPr>
        <w:pStyle w:val="TH"/>
        <w:rPr/>
      </w:pPr>
      <w:r>
        <w:rPr/>
        <w:drawing>
          <wp:inline distT="0" distB="0" distL="0" distR="0">
            <wp:extent cx="5638800" cy="3467100"/>
            <wp:effectExtent l="0" t="0" r="0" b="0"/>
            <wp:docPr id="64"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8" descr=""/>
                    <pic:cNvPicPr>
                      <a:picLocks noChangeAspect="1" noChangeArrowheads="1"/>
                    </pic:cNvPicPr>
                  </pic:nvPicPr>
                  <pic:blipFill>
                    <a:blip r:embed="rId60"/>
                    <a:stretch>
                      <a:fillRect/>
                    </a:stretch>
                  </pic:blipFill>
                  <pic:spPr bwMode="auto">
                    <a:xfrm>
                      <a:off x="0" y="0"/>
                      <a:ext cx="5638800" cy="3467100"/>
                    </a:xfrm>
                    <a:prstGeom prst="rect">
                      <a:avLst/>
                    </a:prstGeom>
                    <a:ln w="9525">
                      <a:solidFill>
                        <a:srgbClr val="000000"/>
                      </a:solidFill>
                    </a:ln>
                  </pic:spPr>
                </pic:pic>
              </a:graphicData>
            </a:graphic>
          </wp:inline>
        </w:drawing>
      </w:r>
    </w:p>
    <w:p>
      <w:pPr>
        <w:pStyle w:val="TF"/>
        <w:rPr/>
      </w:pPr>
      <w:r>
        <w:rPr/>
        <w:t>Figure 15</w:t>
      </w:r>
    </w:p>
    <w:p>
      <w:pPr>
        <w:pStyle w:val="NF"/>
        <w:rPr/>
      </w:pPr>
      <w:r>
        <w:rPr/>
      </w:r>
    </w:p>
    <w:p>
      <w:pPr>
        <w:pStyle w:val="TH"/>
        <w:rPr/>
      </w:pPr>
      <w:r>
        <w:rPr/>
        <w:drawing>
          <wp:inline distT="0" distB="0" distL="0" distR="0">
            <wp:extent cx="5640705" cy="3465830"/>
            <wp:effectExtent l="0" t="0" r="0" b="0"/>
            <wp:docPr id="65"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89" descr=""/>
                    <pic:cNvPicPr>
                      <a:picLocks noChangeAspect="1" noChangeArrowheads="1"/>
                    </pic:cNvPicPr>
                  </pic:nvPicPr>
                  <pic:blipFill>
                    <a:blip r:embed="rId61"/>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16</w:t>
      </w:r>
    </w:p>
    <w:p>
      <w:pPr>
        <w:pStyle w:val="NF"/>
        <w:rPr/>
      </w:pPr>
      <w:r>
        <w:rPr/>
      </w:r>
    </w:p>
    <w:p>
      <w:pPr>
        <w:pStyle w:val="TH"/>
        <w:rPr/>
      </w:pPr>
      <w:r>
        <w:rPr/>
        <w:drawing>
          <wp:inline distT="0" distB="0" distL="0" distR="0">
            <wp:extent cx="5640705" cy="3465830"/>
            <wp:effectExtent l="0" t="0" r="0" b="0"/>
            <wp:docPr id="66"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0" descr=""/>
                    <pic:cNvPicPr>
                      <a:picLocks noChangeAspect="1" noChangeArrowheads="1"/>
                    </pic:cNvPicPr>
                  </pic:nvPicPr>
                  <pic:blipFill>
                    <a:blip r:embed="rId62"/>
                    <a:stretch>
                      <a:fillRect/>
                    </a:stretch>
                  </pic:blipFill>
                  <pic:spPr bwMode="auto">
                    <a:xfrm>
                      <a:off x="0" y="0"/>
                      <a:ext cx="5640705" cy="3465830"/>
                    </a:xfrm>
                    <a:prstGeom prst="rect">
                      <a:avLst/>
                    </a:prstGeom>
                    <a:ln w="9525">
                      <a:solidFill>
                        <a:srgbClr val="000000"/>
                      </a:solidFill>
                    </a:ln>
                  </pic:spPr>
                </pic:pic>
              </a:graphicData>
            </a:graphic>
          </wp:inline>
        </w:drawing>
      </w:r>
    </w:p>
    <w:p>
      <w:pPr>
        <w:pStyle w:val="TF"/>
        <w:rPr/>
      </w:pPr>
      <w:r>
        <w:rPr/>
        <w:t>Figure 17</w:t>
      </w:r>
    </w:p>
    <w:p>
      <w:pPr>
        <w:pStyle w:val="NF"/>
        <w:rPr/>
      </w:pPr>
      <w:r>
        <w:rPr/>
      </w:r>
    </w:p>
    <w:p>
      <w:pPr>
        <w:pStyle w:val="TH"/>
        <w:rPr/>
      </w:pPr>
      <w:r>
        <w:rPr/>
        <w:drawing>
          <wp:inline distT="0" distB="0" distL="0" distR="0">
            <wp:extent cx="5581015" cy="3457575"/>
            <wp:effectExtent l="0" t="0" r="0" b="0"/>
            <wp:docPr id="67"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1" descr=""/>
                    <pic:cNvPicPr>
                      <a:picLocks noChangeAspect="1" noChangeArrowheads="1"/>
                    </pic:cNvPicPr>
                  </pic:nvPicPr>
                  <pic:blipFill>
                    <a:blip r:embed="rId63"/>
                    <a:stretch>
                      <a:fillRect/>
                    </a:stretch>
                  </pic:blipFill>
                  <pic:spPr bwMode="auto">
                    <a:xfrm>
                      <a:off x="0" y="0"/>
                      <a:ext cx="5581015" cy="3457575"/>
                    </a:xfrm>
                    <a:prstGeom prst="rect">
                      <a:avLst/>
                    </a:prstGeom>
                    <a:ln w="9525">
                      <a:solidFill>
                        <a:srgbClr val="000000"/>
                      </a:solidFill>
                    </a:ln>
                  </pic:spPr>
                </pic:pic>
              </a:graphicData>
            </a:graphic>
          </wp:inline>
        </w:drawing>
      </w:r>
    </w:p>
    <w:p>
      <w:pPr>
        <w:pStyle w:val="TF"/>
        <w:rPr/>
      </w:pPr>
      <w:r>
        <w:rPr/>
        <w:t>Figure 18</w:t>
      </w:r>
    </w:p>
    <w:p>
      <w:pPr>
        <w:pStyle w:val="Heading1"/>
        <w:ind w:left="1134" w:hanging="1134"/>
        <w:rPr/>
      </w:pPr>
      <w:bookmarkStart w:id="285" w:name="__RefHeading___Toc518035719"/>
      <w:bookmarkEnd w:id="285"/>
      <w:r>
        <w:rPr/>
        <w:t>G.2</w:t>
        <w:tab/>
        <w:t>Reference Structure</w:t>
      </w:r>
    </w:p>
    <w:p>
      <w:pPr>
        <w:pStyle w:val="Normal"/>
        <w:rPr/>
      </w:pPr>
      <w:r>
        <w:rPr/>
        <w:t>The reference configuration with respect to channel coding is according to 'Proposed text for draft Recommendation GSM 05.03', August 1994 from Alcatel (vers. 4.1.2H). 'Most recent text for subclause 3.2 of GSM 05.03', Motorola, September 1994 contains a slightly modified interleaving scheme'. This means the exchange of the ,mapping of bits on even and odd positions within a time slot. It can be stated that the performance is independent from the modification.</w:t>
      </w:r>
    </w:p>
    <w:p>
      <w:pPr>
        <w:pStyle w:val="Normal"/>
        <w:rPr/>
      </w:pPr>
      <w:r>
        <w:rPr/>
        <w:t>In the following the most significant bits of class I which are protected by a CRC code are called class Ia. The other bits of class I are called class Ib. The terms FER and RBER have the same meanings described in GSM 05.05 for the TCH/FS.</w:t>
      </w:r>
    </w:p>
    <w:p>
      <w:pPr>
        <w:pStyle w:val="Heading2"/>
        <w:rPr/>
      </w:pPr>
      <w:bookmarkStart w:id="286" w:name="__RefHeading___Toc518035720"/>
      <w:bookmarkEnd w:id="286"/>
      <w:r>
        <w:rPr/>
        <w:t>G.2.1</w:t>
        <w:tab/>
        <w:t>Error Concealment</w:t>
      </w:r>
    </w:p>
    <w:p>
      <w:pPr>
        <w:pStyle w:val="Normal"/>
        <w:rPr/>
      </w:pPr>
      <w:r>
        <w:rPr/>
        <w:t xml:space="preserve">Error concealment is done in a way as described in the TCH/HS C-code which is provided by Motorola. This means that bad frames are detected by the CRC and an additional criterium in the channel decoder. Computation of FER and RBER includes the use of both criteria. Therefore no specification of the </w:t>
      </w:r>
      <w:r>
        <w:rPr>
          <w:rFonts w:eastAsia="Symbol" w:cs="Symbol" w:ascii="Symbol" w:hAnsi="Symbol"/>
        </w:rPr>
        <w:t></w:t>
      </w:r>
      <w:r>
        <w:rPr/>
        <w:t xml:space="preserve"> factor is required. In addition the UFI according to the ANT proposal is calculated. It has to be noted that the present document does not include additional BFI according to a set UFI flag and an inconsistency in the speech codec data. This means that type approval and testing has to be done only with BFI and UFI indication given by the channel decoder.</w:t>
      </w:r>
    </w:p>
    <w:p>
      <w:pPr>
        <w:pStyle w:val="Heading2"/>
        <w:rPr/>
      </w:pPr>
      <w:bookmarkStart w:id="287" w:name="__RefHeading___Toc518035721"/>
      <w:bookmarkEnd w:id="287"/>
      <w:r>
        <w:rPr/>
        <w:t>G.2.2</w:t>
        <w:tab/>
        <w:t>Implementation Losses and Noise Figure</w:t>
      </w:r>
    </w:p>
    <w:p>
      <w:pPr>
        <w:pStyle w:val="Normal"/>
        <w:rPr/>
      </w:pPr>
      <w:r>
        <w:rPr/>
        <w:t>All simulation are based on floating point calculations in all parts of the transmission chain.</w:t>
      </w:r>
    </w:p>
    <w:p>
      <w:pPr>
        <w:pStyle w:val="Normal"/>
        <w:rPr/>
      </w:pPr>
      <w:r>
        <w:rPr/>
        <w:t>No quantization effects are taken into account. Channel filtering is assumed in order to achieve the performance for co.-and adjacent channel performance. No tolerance of the filter bandwidth are taken into account. In order to cover the performance of a real receiver an additional implementation margin of two dB shall be allowed. This means, that a simulated value at 7 db C/I</w:t>
      </w:r>
      <w:r>
        <w:rPr>
          <w:vertAlign w:val="subscript"/>
        </w:rPr>
        <w:t>c</w:t>
      </w:r>
      <w:r>
        <w:rPr/>
        <w:t xml:space="preserve"> corresponds to the performance of a real receiver at 9 dB C/I</w:t>
      </w:r>
      <w:r>
        <w:rPr>
          <w:vertAlign w:val="subscript"/>
        </w:rPr>
        <w:t>c</w:t>
      </w:r>
      <w:r>
        <w:rPr/>
        <w:t>.</w:t>
      </w:r>
    </w:p>
    <w:p>
      <w:pPr>
        <w:pStyle w:val="Normal"/>
        <w:rPr/>
      </w:pPr>
      <w:r>
        <w:rPr/>
        <w:t>Taking a reasonable noise figure (8 dB) into account a simulated value of 6 dB Eb/NO corresponds to the performance of a real receiver at 8 dB Eb/NO which corresponds to the ref. Sensitivity input level of GSM 05.05.</w:t>
      </w:r>
    </w:p>
    <w:p>
      <w:pPr>
        <w:pStyle w:val="Heading2"/>
        <w:rPr/>
      </w:pPr>
      <w:bookmarkStart w:id="288" w:name="__RefHeading___Toc518035722"/>
      <w:bookmarkEnd w:id="288"/>
      <w:r>
        <w:rPr/>
        <w:t>G.2.3</w:t>
        <w:tab/>
        <w:t>Assumed Equalizer</w:t>
      </w:r>
    </w:p>
    <w:p>
      <w:pPr>
        <w:pStyle w:val="Normal"/>
        <w:rPr/>
      </w:pPr>
      <w:r>
        <w:rPr/>
        <w:t>The equalizer consists of a 16 state viterbi equalizer.</w:t>
      </w:r>
    </w:p>
    <w:p>
      <w:pPr>
        <w:pStyle w:val="Heading2"/>
        <w:rPr/>
      </w:pPr>
      <w:bookmarkStart w:id="289" w:name="__RefHeading___Toc518035723"/>
      <w:bookmarkEnd w:id="289"/>
      <w:r>
        <w:rPr/>
        <w:t>G.2.4</w:t>
        <w:tab/>
        <w:t>Simulation Results</w:t>
      </w:r>
    </w:p>
    <w:p>
      <w:pPr>
        <w:pStyle w:val="Normal"/>
        <w:rPr/>
      </w:pPr>
      <w:r>
        <w:rPr/>
        <w:t>All simulations are based on 40 000 simulated speech frames. Figures 1 to 15 show the performance (simulated values) for ref. sensitivity and interference propagation conditions. The FER and RBER class Ib and II is given.</w:t>
      </w:r>
    </w:p>
    <w:p>
      <w:pPr>
        <w:pStyle w:val="Normal"/>
        <w:rPr/>
      </w:pPr>
      <w:r>
        <w:rPr/>
        <w:t>Furthermore the probability that the BFI or UFI is set is given: FER (BFI or UFI). A RBER class Ib is given for those frames which have not a BFI or UFI indication (bit error in those frames which are considered not to be bad or unreliable ): UFI RBER class Ib.</w:t>
      </w:r>
    </w:p>
    <w:p>
      <w:pPr>
        <w:pStyle w:val="Heading2"/>
        <w:rPr/>
      </w:pPr>
      <w:bookmarkStart w:id="290" w:name="__RefHeading___Toc518035724"/>
      <w:bookmarkEnd w:id="290"/>
      <w:r>
        <w:rPr/>
        <w:t>G.2.5</w:t>
        <w:tab/>
        <w:t>Proposed Values for Recommendation GSM 05.05</w:t>
      </w:r>
    </w:p>
    <w:p>
      <w:pPr>
        <w:pStyle w:val="Normal"/>
        <w:rPr/>
      </w:pPr>
      <w:r>
        <w:rPr/>
        <w:t>The following values are proposed for ref. Sesitivity of GSM900 in GSM 05.05.</w:t>
      </w:r>
    </w:p>
    <w:p>
      <w:pPr>
        <w:pStyle w:val="TH"/>
        <w:rPr/>
      </w:pPr>
      <w:r>
        <w:rPr/>
      </w:r>
    </w:p>
    <w:tbl>
      <w:tblPr>
        <w:tblW w:w="9573" w:type="dxa"/>
        <w:jc w:val="center"/>
        <w:tblInd w:w="0" w:type="dxa"/>
        <w:tblLayout w:type="fixed"/>
        <w:tblCellMar>
          <w:top w:w="0" w:type="dxa"/>
          <w:left w:w="108" w:type="dxa"/>
          <w:bottom w:w="0" w:type="dxa"/>
          <w:right w:w="108" w:type="dxa"/>
        </w:tblCellMar>
      </w:tblPr>
      <w:tblGrid>
        <w:gridCol w:w="2093"/>
        <w:gridCol w:w="1496"/>
        <w:gridCol w:w="1496"/>
        <w:gridCol w:w="1600"/>
        <w:gridCol w:w="1444"/>
        <w:gridCol w:w="1444"/>
      </w:tblGrid>
      <w:tr>
        <w:trPr/>
        <w:tc>
          <w:tcPr>
            <w:tcW w:w="2093" w:type="dxa"/>
            <w:tcBorders>
              <w:bottom w:val="single" w:sz="4" w:space="0" w:color="000000"/>
              <w:right w:val="single" w:sz="4" w:space="0" w:color="000000"/>
            </w:tcBorders>
          </w:tcPr>
          <w:p>
            <w:pPr>
              <w:pStyle w:val="TAL"/>
              <w:snapToGrid w:val="false"/>
              <w:rPr>
                <w:lang w:val="en-GB"/>
              </w:rPr>
            </w:pPr>
            <w:r>
              <w:rPr>
                <w:lang w:val="en-GB"/>
              </w:rPr>
            </w:r>
          </w:p>
        </w:tc>
        <w:tc>
          <w:tcPr>
            <w:tcW w:w="149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Static</w:t>
            </w:r>
          </w:p>
        </w:tc>
        <w:tc>
          <w:tcPr>
            <w:tcW w:w="149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TU50 no FH</w:t>
            </w:r>
          </w:p>
        </w:tc>
        <w:tc>
          <w:tcPr>
            <w:tcW w:w="160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TU50 ideal FH</w:t>
            </w:r>
          </w:p>
        </w:tc>
        <w:tc>
          <w:tcPr>
            <w:tcW w:w="144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RA250 no FH</w:t>
            </w:r>
          </w:p>
        </w:tc>
        <w:tc>
          <w:tcPr>
            <w:tcW w:w="144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HT100 no FH</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FER</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0,025%</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c>
          <w:tcPr>
            <w:tcW w:w="16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4,5%</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RBER class Ib</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0,001%</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0,36%</w:t>
            </w:r>
          </w:p>
        </w:tc>
        <w:tc>
          <w:tcPr>
            <w:tcW w:w="16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0,36%</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0,28%</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0,56%</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RBER classII</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0,72%</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6,9%</w:t>
            </w:r>
          </w:p>
        </w:tc>
        <w:tc>
          <w:tcPr>
            <w:tcW w:w="16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6,9%</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7,6%</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pPr>
            <w:r>
              <w:rPr>
                <w:b/>
                <w:lang w:val="en-GB"/>
              </w:rPr>
              <w:t>FER (BFI or UFI)</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0,048%</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c>
          <w:tcPr>
            <w:tcW w:w="16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UFI RBER class Ib</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0,001%</w:t>
            </w:r>
          </w:p>
        </w:tc>
        <w:tc>
          <w:tcPr>
            <w:tcW w:w="149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0,24%</w:t>
            </w:r>
          </w:p>
        </w:tc>
        <w:tc>
          <w:tcPr>
            <w:tcW w:w="16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0,24%</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0,21%</w:t>
            </w:r>
          </w:p>
        </w:tc>
        <w:tc>
          <w:tcPr>
            <w:tcW w:w="14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0,32%</w:t>
            </w:r>
          </w:p>
        </w:tc>
      </w:tr>
    </w:tbl>
    <w:p>
      <w:pPr>
        <w:pStyle w:val="FP"/>
        <w:rPr/>
      </w:pPr>
      <w:r>
        <w:rPr/>
      </w:r>
    </w:p>
    <w:p>
      <w:pPr>
        <w:pStyle w:val="Normal"/>
        <w:keepNext w:val="true"/>
        <w:keepLines/>
        <w:rPr/>
      </w:pPr>
      <w:r>
        <w:rPr/>
        <w:t>The following values are proposed for ref. Sensitivity of DCS1800 in GSM 05.05.</w:t>
      </w:r>
    </w:p>
    <w:p>
      <w:pPr>
        <w:pStyle w:val="TH"/>
        <w:rPr/>
      </w:pPr>
      <w:r>
        <w:rPr/>
      </w:r>
    </w:p>
    <w:tbl>
      <w:tblPr>
        <w:tblW w:w="9567" w:type="dxa"/>
        <w:jc w:val="center"/>
        <w:tblInd w:w="0" w:type="dxa"/>
        <w:tblLayout w:type="fixed"/>
        <w:tblCellMar>
          <w:top w:w="0" w:type="dxa"/>
          <w:left w:w="108" w:type="dxa"/>
          <w:bottom w:w="0" w:type="dxa"/>
          <w:right w:w="108" w:type="dxa"/>
        </w:tblCellMar>
      </w:tblPr>
      <w:tblGrid>
        <w:gridCol w:w="2093"/>
        <w:gridCol w:w="1495"/>
        <w:gridCol w:w="1495"/>
        <w:gridCol w:w="1656"/>
        <w:gridCol w:w="1414"/>
        <w:gridCol w:w="1414"/>
      </w:tblGrid>
      <w:tr>
        <w:trPr/>
        <w:tc>
          <w:tcPr>
            <w:tcW w:w="2093" w:type="dxa"/>
            <w:tcBorders>
              <w:bottom w:val="single" w:sz="4" w:space="0" w:color="000000"/>
              <w:right w:val="single" w:sz="4" w:space="0" w:color="000000"/>
            </w:tcBorders>
          </w:tcPr>
          <w:p>
            <w:pPr>
              <w:pStyle w:val="TAL"/>
              <w:snapToGrid w:val="false"/>
              <w:rPr>
                <w:lang w:val="en-GB"/>
              </w:rPr>
            </w:pPr>
            <w:r>
              <w:rPr>
                <w:lang w:val="en-GB"/>
              </w:rPr>
            </w:r>
          </w:p>
        </w:tc>
        <w:tc>
          <w:tcPr>
            <w:tcW w:w="149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Static</w:t>
            </w:r>
          </w:p>
        </w:tc>
        <w:tc>
          <w:tcPr>
            <w:tcW w:w="149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TU50 no FH</w:t>
            </w:r>
          </w:p>
        </w:tc>
        <w:tc>
          <w:tcPr>
            <w:tcW w:w="165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TU50 ideal FH</w:t>
            </w:r>
          </w:p>
        </w:tc>
        <w:tc>
          <w:tcPr>
            <w:tcW w:w="141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RA130 no FH</w:t>
            </w:r>
          </w:p>
        </w:tc>
        <w:tc>
          <w:tcPr>
            <w:tcW w:w="141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HT100 no FH</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FER</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0,025%</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4,2%</w:t>
            </w:r>
          </w:p>
        </w:tc>
        <w:tc>
          <w:tcPr>
            <w:tcW w:w="165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4,2%</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RBER class Ib</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0,001%</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0,38%</w:t>
            </w:r>
          </w:p>
        </w:tc>
        <w:tc>
          <w:tcPr>
            <w:tcW w:w="165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0,38%</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0,28%</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0,63%</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RBER classII</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0,72%</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6,9%</w:t>
            </w:r>
          </w:p>
        </w:tc>
        <w:tc>
          <w:tcPr>
            <w:tcW w:w="165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6,9%</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7,8%</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FER (BFI or UFI)</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0,048%</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5,7%</w:t>
            </w:r>
          </w:p>
        </w:tc>
        <w:tc>
          <w:tcPr>
            <w:tcW w:w="165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5,7%</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8,1%</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UFI RBER class Ib</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0,001%</w:t>
            </w:r>
          </w:p>
        </w:tc>
        <w:tc>
          <w:tcPr>
            <w:tcW w:w="149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0,26%</w:t>
            </w:r>
          </w:p>
        </w:tc>
        <w:tc>
          <w:tcPr>
            <w:tcW w:w="165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0,26%</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0,21%</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0,35%</w:t>
            </w:r>
          </w:p>
        </w:tc>
      </w:tr>
    </w:tbl>
    <w:p>
      <w:pPr>
        <w:pStyle w:val="FP"/>
        <w:rPr/>
      </w:pPr>
      <w:r>
        <w:rPr/>
      </w:r>
    </w:p>
    <w:p>
      <w:pPr>
        <w:pStyle w:val="Normal"/>
        <w:rPr/>
      </w:pPr>
      <w:r>
        <w:rPr/>
        <w:t>It has to be noted that for the static case the error rates for FER, UFI and RBER class Ib are so low that an upper bound according to the simulation results at 3 dB E</w:t>
      </w:r>
      <w:r>
        <w:rPr>
          <w:vertAlign w:val="subscript"/>
        </w:rPr>
        <w:t>b</w:t>
      </w:r>
      <w:r>
        <w:rPr/>
        <w:t xml:space="preserve"> / N</w:t>
      </w:r>
      <w:r>
        <w:rPr>
          <w:vertAlign w:val="subscript"/>
        </w:rPr>
        <w:t>o</w:t>
      </w:r>
      <w:r>
        <w:rPr/>
        <w:t xml:space="preserve"> has been taken.</w:t>
      </w:r>
    </w:p>
    <w:p>
      <w:pPr>
        <w:pStyle w:val="Normal"/>
        <w:rPr/>
      </w:pPr>
      <w:r>
        <w:rPr/>
        <w:t>The following values are proposed for ref. Interference of GSM900 in GSM 05.05.</w:t>
      </w:r>
    </w:p>
    <w:p>
      <w:pPr>
        <w:pStyle w:val="TH"/>
        <w:rPr/>
      </w:pPr>
      <w:r>
        <w:rPr/>
      </w:r>
    </w:p>
    <w:tbl>
      <w:tblPr>
        <w:tblW w:w="9455" w:type="dxa"/>
        <w:jc w:val="center"/>
        <w:tblInd w:w="0" w:type="dxa"/>
        <w:tblLayout w:type="fixed"/>
        <w:tblCellMar>
          <w:top w:w="0" w:type="dxa"/>
          <w:left w:w="108" w:type="dxa"/>
          <w:bottom w:w="0" w:type="dxa"/>
          <w:right w:w="108" w:type="dxa"/>
        </w:tblCellMar>
      </w:tblPr>
      <w:tblGrid>
        <w:gridCol w:w="1843"/>
        <w:gridCol w:w="1418"/>
        <w:gridCol w:w="1559"/>
        <w:gridCol w:w="1559"/>
        <w:gridCol w:w="1678"/>
        <w:gridCol w:w="1398"/>
      </w:tblGrid>
      <w:tr>
        <w:trPr/>
        <w:tc>
          <w:tcPr>
            <w:tcW w:w="1843" w:type="dxa"/>
            <w:tcBorders>
              <w:bottom w:val="single" w:sz="4" w:space="0" w:color="000000"/>
              <w:right w:val="single" w:sz="4" w:space="0" w:color="000000"/>
            </w:tcBorders>
          </w:tcPr>
          <w:p>
            <w:pPr>
              <w:pStyle w:val="TAL"/>
              <w:snapToGrid w:val="false"/>
              <w:rPr>
                <w:lang w:val="en-GB"/>
              </w:rPr>
            </w:pPr>
            <w:r>
              <w:rPr>
                <w:lang w:val="en-GB"/>
              </w:rPr>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Static</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TU3 ideal FH</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t>TU50 no FH</w:t>
            </w:r>
          </w:p>
        </w:tc>
        <w:tc>
          <w:tcPr>
            <w:tcW w:w="167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TU50 ideal FH</w:t>
            </w:r>
          </w:p>
        </w:tc>
        <w:tc>
          <w:tcPr>
            <w:tcW w:w="1398"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RA250 no FH</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FER</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19,1%</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6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39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4,7%</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RBER class Ib</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0,52%</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0,27%</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0,29%</w:t>
            </w:r>
          </w:p>
        </w:tc>
        <w:tc>
          <w:tcPr>
            <w:tcW w:w="16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0,29%</w:t>
            </w:r>
          </w:p>
        </w:tc>
        <w:tc>
          <w:tcPr>
            <w:tcW w:w="139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0,21%</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RBER classII</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2,8%</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7,1%</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7,1%</w:t>
            </w:r>
          </w:p>
        </w:tc>
        <w:tc>
          <w:tcPr>
            <w:tcW w:w="16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7,1%</w:t>
            </w:r>
          </w:p>
        </w:tc>
        <w:tc>
          <w:tcPr>
            <w:tcW w:w="139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FER (BFI or UFI)</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20,7%</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c>
          <w:tcPr>
            <w:tcW w:w="16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c>
          <w:tcPr>
            <w:tcW w:w="139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UFI RBER class Ib</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0,29%</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0,20%</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0,21%</w:t>
            </w:r>
          </w:p>
        </w:tc>
        <w:tc>
          <w:tcPr>
            <w:tcW w:w="16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0,21%</w:t>
            </w:r>
          </w:p>
        </w:tc>
        <w:tc>
          <w:tcPr>
            <w:tcW w:w="139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0,17%</w:t>
            </w:r>
          </w:p>
        </w:tc>
      </w:tr>
    </w:tbl>
    <w:p>
      <w:pPr>
        <w:pStyle w:val="FP"/>
        <w:rPr/>
      </w:pPr>
      <w:r>
        <w:rPr/>
      </w:r>
    </w:p>
    <w:p>
      <w:pPr>
        <w:pStyle w:val="Normal"/>
        <w:rPr/>
      </w:pPr>
      <w:r>
        <w:rPr/>
        <w:t>The following values are proposed for ref. Interference of DCS1800 in GSM 05.05.</w:t>
      </w:r>
    </w:p>
    <w:p>
      <w:pPr>
        <w:pStyle w:val="TH"/>
        <w:rPr/>
      </w:pPr>
      <w:r>
        <w:rPr/>
      </w:r>
    </w:p>
    <w:tbl>
      <w:tblPr>
        <w:tblW w:w="9564" w:type="dxa"/>
        <w:jc w:val="center"/>
        <w:tblInd w:w="0" w:type="dxa"/>
        <w:tblLayout w:type="fixed"/>
        <w:tblCellMar>
          <w:top w:w="0" w:type="dxa"/>
          <w:left w:w="108" w:type="dxa"/>
          <w:bottom w:w="0" w:type="dxa"/>
          <w:right w:w="108" w:type="dxa"/>
        </w:tblCellMar>
      </w:tblPr>
      <w:tblGrid>
        <w:gridCol w:w="2093"/>
        <w:gridCol w:w="1494"/>
        <w:gridCol w:w="1494"/>
        <w:gridCol w:w="1655"/>
        <w:gridCol w:w="1414"/>
        <w:gridCol w:w="1414"/>
      </w:tblGrid>
      <w:tr>
        <w:trPr/>
        <w:tc>
          <w:tcPr>
            <w:tcW w:w="2093" w:type="dxa"/>
            <w:tcBorders>
              <w:bottom w:val="single" w:sz="4" w:space="0" w:color="000000"/>
              <w:right w:val="single" w:sz="4" w:space="0" w:color="000000"/>
            </w:tcBorders>
          </w:tcPr>
          <w:p>
            <w:pPr>
              <w:pStyle w:val="TAH"/>
              <w:snapToGrid w:val="false"/>
              <w:rPr>
                <w:lang w:eastAsia="en-US"/>
              </w:rPr>
            </w:pPr>
            <w:r>
              <w:rPr>
                <w:lang w:eastAsia="en-US"/>
              </w:rPr>
            </w:r>
          </w:p>
        </w:tc>
        <w:tc>
          <w:tcPr>
            <w:tcW w:w="1494" w:type="dxa"/>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t>TU1.5 no FH</w:t>
            </w:r>
          </w:p>
        </w:tc>
        <w:tc>
          <w:tcPr>
            <w:tcW w:w="149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TU1.5 ideal FH</w:t>
            </w:r>
          </w:p>
        </w:tc>
        <w:tc>
          <w:tcPr>
            <w:tcW w:w="16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TU50 no FH</w:t>
            </w:r>
          </w:p>
        </w:tc>
        <w:tc>
          <w:tcPr>
            <w:tcW w:w="141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TU50 ideal FH</w:t>
            </w:r>
          </w:p>
        </w:tc>
        <w:tc>
          <w:tcPr>
            <w:tcW w:w="141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RA130 no FH</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FER</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19,1%</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6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4,7%</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RBER class Ib</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0,52%</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0,27%</w:t>
            </w:r>
          </w:p>
        </w:tc>
        <w:tc>
          <w:tcPr>
            <w:tcW w:w="16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0,29%</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0,29%</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0,21%</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RBER classII</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2,8%</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7,1%</w:t>
            </w:r>
          </w:p>
        </w:tc>
        <w:tc>
          <w:tcPr>
            <w:tcW w:w="16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7,2%</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7,2%</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FER (BFI or UFI)</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20,7%</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16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UFI RBER class Ib</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0,29%</w:t>
            </w:r>
          </w:p>
        </w:tc>
        <w:tc>
          <w:tcPr>
            <w:tcW w:w="14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0,20%</w:t>
            </w:r>
          </w:p>
        </w:tc>
        <w:tc>
          <w:tcPr>
            <w:tcW w:w="16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0,21%</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0,21%</w:t>
            </w:r>
          </w:p>
        </w:tc>
        <w:tc>
          <w:tcPr>
            <w:tcW w:w="141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0,17%</w:t>
            </w:r>
          </w:p>
        </w:tc>
      </w:tr>
    </w:tbl>
    <w:p>
      <w:pPr>
        <w:pStyle w:val="FP"/>
        <w:rPr/>
      </w:pPr>
      <w:r>
        <w:rPr/>
      </w:r>
    </w:p>
    <w:p>
      <w:pPr>
        <w:pStyle w:val="Normal"/>
        <w:rPr/>
      </w:pPr>
      <w:r>
        <w:rPr/>
        <w:t>For a ramdom RF input the overall reception performance shall be such that, on average less than one undetected bad speech frame ( false bad frame indication BFI) in 10 s will be measured.</w:t>
      </w:r>
    </w:p>
    <w:p>
      <w:pPr>
        <w:pStyle w:val="Heading1"/>
        <w:ind w:left="1134" w:hanging="1134"/>
        <w:rPr/>
      </w:pPr>
      <w:bookmarkStart w:id="291" w:name="__RefHeading___Toc518035725"/>
      <w:bookmarkEnd w:id="291"/>
      <w:r>
        <w:rPr/>
        <w:t>G.3</w:t>
        <w:tab/>
        <w:t>Simulation of performance for AMR</w:t>
      </w:r>
    </w:p>
    <w:p>
      <w:pPr>
        <w:pStyle w:val="Normal"/>
        <w:rPr/>
      </w:pPr>
      <w:r>
        <w:rPr/>
        <w:t>This clause provides some background information about the simulation results of AMR reference sensitivity and interference performance given in GSM 05.05. The simulations were carried out jointly by Ericsson, Nokia and Siemens.</w:t>
      </w:r>
    </w:p>
    <w:p>
      <w:pPr>
        <w:pStyle w:val="Heading2"/>
        <w:rPr/>
      </w:pPr>
      <w:bookmarkStart w:id="292" w:name="__RefHeading___Toc518035726"/>
      <w:bookmarkEnd w:id="292"/>
      <w:r>
        <w:rPr/>
        <w:t>G.3.1</w:t>
        <w:tab/>
        <w:t>System Configuration</w:t>
      </w:r>
    </w:p>
    <w:p>
      <w:pPr>
        <w:pStyle w:val="Normal"/>
        <w:rPr/>
      </w:pPr>
      <w:r>
        <w:rPr/>
        <w:t>The reference system for AMR channel coding simulation is configured according to GSM 05.03.</w:t>
      </w:r>
      <w:r>
        <w:rPr>
          <w:lang w:val="en-US"/>
        </w:rPr>
        <w:t xml:space="preserve"> The simulations were carried out by using the simulator developed for the AMR qualification and</w:t>
      </w:r>
      <w:r>
        <w:rPr/>
        <w:t xml:space="preserve"> selection.</w:t>
      </w:r>
    </w:p>
    <w:p>
      <w:pPr>
        <w:pStyle w:val="Heading2"/>
        <w:rPr/>
      </w:pPr>
      <w:bookmarkStart w:id="293" w:name="__RefHeading___Toc518035727"/>
      <w:bookmarkEnd w:id="293"/>
      <w:r>
        <w:rPr/>
        <w:t>G.3.2</w:t>
        <w:tab/>
        <w:t>Error Concealment</w:t>
      </w:r>
    </w:p>
    <w:p>
      <w:pPr>
        <w:pStyle w:val="Normal"/>
        <w:rPr/>
      </w:pPr>
      <w:r>
        <w:rPr/>
        <w:t>Computation of FER and RBER relies on the CRC only. In other words, no other mean than the CRC have been used to identify bad frames.</w:t>
      </w:r>
    </w:p>
    <w:p>
      <w:pPr>
        <w:pStyle w:val="Heading2"/>
        <w:rPr/>
      </w:pPr>
      <w:bookmarkStart w:id="294" w:name="__RefHeading___Toc518035728"/>
      <w:bookmarkEnd w:id="294"/>
      <w:r>
        <w:rPr/>
        <w:t>G.3.3</w:t>
        <w:tab/>
        <w:t>Implementation Losses and Noise Figure</w:t>
      </w:r>
    </w:p>
    <w:p>
      <w:pPr>
        <w:pStyle w:val="Normal"/>
        <w:keepNext w:val="true"/>
        <w:keepLines/>
        <w:rPr/>
      </w:pPr>
      <w:r>
        <w:rPr/>
        <w:t>All simulations are based on floating point calculations in all parts of the transmission chain. No quantization effects are taken into account. Channel filtering is assumed in order to achieve the performance for co- and adjacent channel performance. No tolerance of the filter bandwidth are taken into account. In order to cover the performance of a real receiver an implementation margin of two dB shall be allowed. This means that a simulated value at 7 dB C/I</w:t>
      </w:r>
      <w:r>
        <w:rPr>
          <w:vertAlign w:val="subscript"/>
        </w:rPr>
        <w:t>c</w:t>
      </w:r>
      <w:r>
        <w:rPr/>
        <w:t xml:space="preserve"> corresponds to the performance of a real receiver at 9 dB C/I</w:t>
      </w:r>
      <w:r>
        <w:rPr>
          <w:vertAlign w:val="subscript"/>
        </w:rPr>
        <w:t>c</w:t>
      </w:r>
      <w:r>
        <w:rPr/>
        <w:t>. Accordingly, the "-3dB" C/I</w:t>
      </w:r>
      <w:r>
        <w:rPr>
          <w:vertAlign w:val="subscript"/>
        </w:rPr>
        <w:t xml:space="preserve">c </w:t>
      </w:r>
      <w:r>
        <w:rPr/>
        <w:t>condition was simulated at 4 dB C/I</w:t>
      </w:r>
      <w:r>
        <w:rPr>
          <w:vertAlign w:val="subscript"/>
        </w:rPr>
        <w:t xml:space="preserve">c </w:t>
      </w:r>
      <w:r>
        <w:rPr/>
        <w:t>and the "+3dB" C/I</w:t>
      </w:r>
      <w:r>
        <w:rPr>
          <w:vertAlign w:val="subscript"/>
        </w:rPr>
        <w:t xml:space="preserve">c </w:t>
      </w:r>
      <w:r>
        <w:rPr/>
        <w:t>condition at</w:t>
      </w:r>
      <w:r>
        <w:rPr>
          <w:vertAlign w:val="subscript"/>
        </w:rPr>
        <w:t xml:space="preserve"> </w:t>
      </w:r>
      <w:r>
        <w:rPr/>
        <w:t>10 dB C/I</w:t>
      </w:r>
      <w:r>
        <w:rPr>
          <w:vertAlign w:val="subscript"/>
        </w:rPr>
        <w:t>c</w:t>
      </w:r>
      <w:r>
        <w:rPr/>
        <w:t>.</w:t>
      </w:r>
    </w:p>
    <w:p>
      <w:pPr>
        <w:pStyle w:val="Normal"/>
        <w:rPr/>
      </w:pPr>
      <w:r>
        <w:rPr/>
        <w:t>Taking a reasonable noise figure (8dB) into account, a value of 6 dB E</w:t>
      </w:r>
      <w:r>
        <w:rPr>
          <w:vertAlign w:val="subscript"/>
        </w:rPr>
        <w:t>b</w:t>
      </w:r>
      <w:r>
        <w:rPr/>
        <w:t>/N</w:t>
      </w:r>
      <w:r>
        <w:rPr>
          <w:vertAlign w:val="subscript"/>
        </w:rPr>
        <w:t>0</w:t>
      </w:r>
      <w:r>
        <w:rPr/>
        <w:t xml:space="preserve"> was used to simulate the performance of a real receiver at 8 dB E</w:t>
      </w:r>
      <w:r>
        <w:rPr>
          <w:vertAlign w:val="subscript"/>
        </w:rPr>
        <w:t>b</w:t>
      </w:r>
      <w:r>
        <w:rPr/>
        <w:t>/N</w:t>
      </w:r>
      <w:r>
        <w:rPr>
          <w:vertAlign w:val="subscript"/>
        </w:rPr>
        <w:t>0</w:t>
      </w:r>
      <w:r>
        <w:rPr/>
        <w:t xml:space="preserve"> which corresponds to the Reference Sensitivity input level of GSM 05.05.</w:t>
      </w:r>
    </w:p>
    <w:p>
      <w:pPr>
        <w:pStyle w:val="Heading2"/>
        <w:rPr/>
      </w:pPr>
      <w:bookmarkStart w:id="295" w:name="__RefHeading___Toc518035729"/>
      <w:bookmarkEnd w:id="295"/>
      <w:r>
        <w:rPr/>
        <w:t>G.3.4</w:t>
        <w:tab/>
        <w:t>Assumed Equalizer</w:t>
      </w:r>
    </w:p>
    <w:p>
      <w:pPr>
        <w:pStyle w:val="Normal"/>
        <w:rPr/>
      </w:pPr>
      <w:r>
        <w:rPr/>
        <w:t>The equalizer which is imbedded in the ETSI AMR radio simulator consists of a 16 state Viterbi equalizer.</w:t>
      </w:r>
    </w:p>
    <w:p>
      <w:pPr>
        <w:pStyle w:val="Heading2"/>
        <w:rPr/>
      </w:pPr>
      <w:bookmarkStart w:id="296" w:name="__RefHeading___Toc518035730"/>
      <w:bookmarkEnd w:id="296"/>
      <w:r>
        <w:rPr/>
        <w:t>G.3.5</w:t>
        <w:tab/>
        <w:t>Simulation Methods</w:t>
      </w:r>
    </w:p>
    <w:p>
      <w:pPr>
        <w:pStyle w:val="Normal"/>
        <w:rPr/>
      </w:pPr>
      <w:r>
        <w:rPr/>
        <w:t>A total of 200 000 frames of data were used for each simulated condition. Correspondingly, the soft error patterns used in the simulations were 200 000 speech frames long. The ETSI (AMR) radio simulator was used to generate the necessary error patterns. The same error pattern generated for a propagation condition (e.g. TU50 no FH at 7 dB C/I</w:t>
      </w:r>
      <w:r>
        <w:rPr>
          <w:vertAlign w:val="subscript"/>
        </w:rPr>
        <w:t>c</w:t>
      </w:r>
      <w:r>
        <w:rPr/>
        <w:t>) was used to simulate all types of channel (TCH/AFS12.2, TCH/AFS10.2, TCH/AFS7.9, TCH/AHS7.9, ...).</w:t>
      </w:r>
    </w:p>
    <w:p>
      <w:pPr>
        <w:pStyle w:val="Heading3"/>
        <w:rPr/>
      </w:pPr>
      <w:bookmarkStart w:id="297" w:name="__RefHeading___Toc518035731"/>
      <w:bookmarkEnd w:id="297"/>
      <w:r>
        <w:rPr/>
        <w:t>G.3.5.1</w:t>
        <w:tab/>
        <w:t>Simulation for speech</w:t>
      </w:r>
    </w:p>
    <w:p>
      <w:pPr>
        <w:pStyle w:val="Normal"/>
        <w:rPr/>
      </w:pPr>
      <w:r>
        <w:rPr/>
        <w:t>Random data of 200 000 speech frames were used as input data of channel encoder.</w:t>
      </w:r>
    </w:p>
    <w:p>
      <w:pPr>
        <w:pStyle w:val="Heading3"/>
        <w:rPr/>
      </w:pPr>
      <w:bookmarkStart w:id="298" w:name="__RefHeading___Toc518035732"/>
      <w:bookmarkEnd w:id="298"/>
      <w:r>
        <w:rPr/>
        <w:t>G.3.5.2</w:t>
        <w:tab/>
        <w:t>Simulation for DTX</w:t>
      </w:r>
    </w:p>
    <w:p>
      <w:pPr>
        <w:pStyle w:val="Normal"/>
        <w:rPr/>
      </w:pPr>
      <w:r>
        <w:rPr>
          <w:lang w:eastAsia="de-DE"/>
        </w:rPr>
        <w:t>The performance of the SID update transmission was simulated by calculating EVSIDUR (Erased Valid SID_UPDATE frame Rate) associated to an adaptive speech traffic channel. In DTX testing we must ensure that codec continuously operates in discontinuous transmission mode and this was achieved by connecting all zero signal into speech codec input.</w:t>
      </w:r>
    </w:p>
    <w:p>
      <w:pPr>
        <w:pStyle w:val="Normal"/>
        <w:rPr/>
      </w:pPr>
      <w:r>
        <w:rPr>
          <w:lang w:eastAsia="de-DE"/>
        </w:rPr>
        <w:t>EVSIDUR figures were derived by taking frame classification for each transmitted SID_UPDATE frame and counting the number of incorrect classifications respect to the total amount of the transmitted SID_UPDATE frames. Transmission period of SID_UPDATE frames was 6 frames in TCH/AFS channel and 8 frames in TCH/AHS channel.</w:t>
      </w:r>
    </w:p>
    <w:p>
      <w:pPr>
        <w:pStyle w:val="Normal"/>
        <w:rPr/>
      </w:pPr>
      <w:r>
        <w:rPr>
          <w:lang w:eastAsia="de-DE"/>
        </w:rPr>
        <w:t>The length of the simulations was 200 000 frames which resulted in the transmission of 24 999 SID_UPDATE frames in TCH/AHS channel and 33 332 frames in TCH/AFS channel.</w:t>
      </w:r>
    </w:p>
    <w:p>
      <w:pPr>
        <w:pStyle w:val="Heading3"/>
        <w:rPr/>
      </w:pPr>
      <w:bookmarkStart w:id="299" w:name="__RefHeading___Toc518035733"/>
      <w:bookmarkEnd w:id="299"/>
      <w:r>
        <w:rPr/>
        <w:t>G.3.5.3</w:t>
        <w:tab/>
        <w:t>Simulation for inband channel</w:t>
      </w:r>
    </w:p>
    <w:p>
      <w:pPr>
        <w:pStyle w:val="Normal"/>
        <w:rPr/>
      </w:pPr>
      <w:r>
        <w:rPr/>
        <w:t>There are two parallel inband channels, one for ModeIndication and one for ModeCommand/ModeRequest. For each of the two inband channels the same algorithm where used. First the current mode was set to a random mode (one of four). Then after every 8 times the current mode had been transmitted a fair coin was flipped, and depending on the outcome of that the current mode was changed to the next higher or lower mode. If the current mode was already the lowest and the coin indicated that a lower mode should be selected, the current mode was retained. Similarly, if the current mode was the highest and the coin indicated that a higher mode should be selected, the current mode was retained. This means that there was a coin flip once every 2*8 = 16 speech frames (once every 320 ms) for each of the two inband channels or that in total there was a coin flip once every 160 ms. The simulation results put into the table was then the mean FER for the two inband channels.</w:t>
      </w:r>
    </w:p>
    <w:p>
      <w:pPr>
        <w:pStyle w:val="Normal"/>
        <w:rPr/>
      </w:pPr>
      <w:r>
        <w:rPr/>
        <w:t>All simulations for inband performance assumed that four modes where currently active.</w:t>
      </w:r>
    </w:p>
    <w:p>
      <w:pPr>
        <w:pStyle w:val="Heading2"/>
        <w:rPr/>
      </w:pPr>
      <w:bookmarkStart w:id="300" w:name="__RefHeading___Toc518035734"/>
      <w:bookmarkEnd w:id="300"/>
      <w:r>
        <w:rPr/>
        <w:t>G.3.6</w:t>
        <w:tab/>
        <w:t>Remarks to the Data in GSM 05.05</w:t>
      </w:r>
    </w:p>
    <w:p>
      <w:pPr>
        <w:pStyle w:val="Normal"/>
        <w:keepNext w:val="true"/>
        <w:keepLines/>
        <w:rPr/>
      </w:pPr>
      <w:r>
        <w:rPr/>
        <w:t>Like the specifications for GSM HS and EFS, all data given in GSM 05.05 are properly rounded.</w:t>
      </w:r>
    </w:p>
    <w:p>
      <w:pPr>
        <w:pStyle w:val="Normal"/>
        <w:keepNext w:val="true"/>
        <w:keepLines/>
        <w:rPr/>
      </w:pPr>
      <w:r>
        <w:rPr/>
        <w:t xml:space="preserve">In the case of TU50, TU50 no FH leads systematically to </w:t>
      </w:r>
      <w:r>
        <w:rPr>
          <w:i/>
        </w:rPr>
        <w:t>a little bit</w:t>
      </w:r>
      <w:r>
        <w:rPr/>
        <w:t xml:space="preserve"> better performance than TU50 IFH in many cases of GSM900 AHS, DCS1800 AFS and DCS1800 AHS. Possible explanation is that the FH algorithm used in the AMR radio simulator is not good enough to simulate the ideal FH, e.g. it may not be so good as that used for the GSM EFR simulations. Take the reference interference performance in the case of GSM900 as an example. TCH/EFS has an FER of 9%/3% for TU50 no FH/IFH, respectively, which corresponds to a factor of 3 (=9/3). In our simulation, TCH/AFS12.2 has an FER of 6%/3.5% for TU50 no FH/IFH, respectively, i.e. a factor of only 1.7 (=6/3.5). Regarding to this point, the following solution approved at SMG2#31 meeting was used: For the TU50 IFH (GSM900 AHS, DCS1800 AFS &amp; AHS), the same requirements as for the TU50 no FH are set in GSM 05.05 </w:t>
        <w:noBreakHyphen/>
        <w:t xml:space="preserve"> as people may have done also for GSM FR, HR and EFR simulations. This is reasonable since theoretically the TU50 IFH performance should be at least as good as TU50 no FH.</w:t>
      </w:r>
      <w:r>
        <w:br w:type="page"/>
      </w:r>
    </w:p>
    <w:p>
      <w:pPr>
        <w:pStyle w:val="Heading9"/>
        <w:rPr/>
      </w:pPr>
      <w:bookmarkStart w:id="301" w:name="__RefHeading___Toc518035735"/>
      <w:bookmarkEnd w:id="301"/>
      <w:r>
        <w:rPr/>
        <w:t>Annex H:</w:t>
        <w:br/>
        <w:t>GSM900 Railway System Scenarios</w:t>
      </w:r>
    </w:p>
    <w:p>
      <w:pPr>
        <w:pStyle w:val="Normal"/>
        <w:rPr>
          <w:b/>
          <w:b/>
          <w:lang w:val="en-US"/>
        </w:rPr>
      </w:pPr>
      <w:r>
        <w:rPr>
          <w:b/>
          <w:lang w:val="en-US"/>
        </w:rPr>
        <w:t>Title: UIC system scenarios requirements</w:t>
      </w:r>
    </w:p>
    <w:p>
      <w:pPr>
        <w:pStyle w:val="Normal"/>
        <w:rPr>
          <w:lang w:val="en-US"/>
        </w:rPr>
      </w:pPr>
      <w:r>
        <w:rPr>
          <w:lang w:val="en-US"/>
        </w:rPr>
        <w:t>Source: UIC / DSB</w:t>
      </w:r>
    </w:p>
    <w:p>
      <w:pPr>
        <w:pStyle w:val="Normal"/>
        <w:rPr>
          <w:lang w:val="en-US"/>
        </w:rPr>
      </w:pPr>
      <w:r>
        <w:rPr>
          <w:lang w:val="en-US"/>
        </w:rPr>
        <w:t>Date: 04.09.1996</w:t>
      </w:r>
    </w:p>
    <w:p>
      <w:pPr>
        <w:pStyle w:val="Heading1"/>
        <w:ind w:left="1134" w:hanging="1134"/>
        <w:rPr/>
      </w:pPr>
      <w:bookmarkStart w:id="302" w:name="__RefHeading___Toc518035736"/>
      <w:bookmarkEnd w:id="302"/>
      <w:r>
        <w:rPr/>
        <w:t>H.1</w:t>
        <w:tab/>
        <w:t>Scope</w:t>
      </w:r>
    </w:p>
    <w:p>
      <w:pPr>
        <w:pStyle w:val="Normal"/>
        <w:rPr/>
      </w:pPr>
      <w:r>
        <w:rPr/>
        <w:t>The present document discusses relevant system and interference scenarios of UIC equipments as a first step in determining the RF requirements in GSM 05.05 for the R</w:t>
        <w:noBreakHyphen/>
        <w:t>GSM band, both as regards intra</w:t>
        <w:noBreakHyphen/>
        <w:t>system performance of a UIC network and towards other systems.</w:t>
      </w:r>
    </w:p>
    <w:p>
      <w:pPr>
        <w:pStyle w:val="Heading2"/>
        <w:rPr/>
      </w:pPr>
      <w:bookmarkStart w:id="303" w:name="__RefHeading___Toc518035737"/>
      <w:bookmarkEnd w:id="303"/>
      <w:r>
        <w:rPr/>
        <w:t>H.1.1</w:t>
        <w:tab/>
        <w:t>List of some abbreviations</w:t>
      </w:r>
    </w:p>
    <w:p>
      <w:pPr>
        <w:pStyle w:val="EW"/>
        <w:rPr/>
      </w:pPr>
      <w:r>
        <w:rPr/>
        <w:t>AG</w:t>
        <w:tab/>
        <w:t>Antenna Gain, incl. cable losses etc.</w:t>
      </w:r>
    </w:p>
    <w:p>
      <w:pPr>
        <w:pStyle w:val="EW"/>
        <w:rPr/>
      </w:pPr>
      <w:r>
        <w:rPr/>
        <w:t>FPL</w:t>
        <w:tab/>
        <w:t>Free Path Loss</w:t>
      </w:r>
    </w:p>
    <w:p>
      <w:pPr>
        <w:pStyle w:val="EW"/>
        <w:rPr/>
      </w:pPr>
      <w:r>
        <w:rPr/>
        <w:t>MCL</w:t>
        <w:tab/>
        <w:t>Minimum Coupling Loss, incl. cable losses etc.</w:t>
      </w:r>
    </w:p>
    <w:p>
      <w:pPr>
        <w:pStyle w:val="EW"/>
        <w:rPr/>
      </w:pPr>
      <w:r>
        <w:rPr/>
        <w:t>MIM</w:t>
        <w:tab/>
        <w:t>Multiple Interferers Margin</w:t>
      </w:r>
    </w:p>
    <w:p>
      <w:pPr>
        <w:pStyle w:val="EX"/>
        <w:rPr/>
      </w:pPr>
      <w:r>
        <w:rPr/>
        <w:t>sMS</w:t>
        <w:tab/>
        <w:t>Small MS</w:t>
      </w:r>
    </w:p>
    <w:p>
      <w:pPr>
        <w:pStyle w:val="Heading1"/>
        <w:ind w:left="1134" w:hanging="1134"/>
        <w:rPr/>
      </w:pPr>
      <w:bookmarkStart w:id="304" w:name="__RefHeading___Toc518035738"/>
      <w:bookmarkEnd w:id="304"/>
      <w:r>
        <w:rPr/>
        <w:t>H.2</w:t>
        <w:tab/>
        <w:t>Constraints</w:t>
      </w:r>
    </w:p>
    <w:p>
      <w:pPr>
        <w:pStyle w:val="Heading2"/>
        <w:rPr/>
      </w:pPr>
      <w:bookmarkStart w:id="305" w:name="__RefHeading___Toc518035739"/>
      <w:bookmarkEnd w:id="305"/>
      <w:r>
        <w:rPr/>
        <w:t>H.2.1</w:t>
        <w:tab/>
        <w:t>GSM based systems in the 900 MHz band</w:t>
      </w:r>
    </w:p>
    <w:p>
      <w:pPr>
        <w:pStyle w:val="Normal"/>
        <w:rPr/>
      </w:pPr>
      <w:r>
        <w:rPr/>
        <w:t>Following the decision by CEPT ERC in their June 95 meeting to shift the UIC frequencies and to amend CEPT recommendation TR 25</w:t>
        <w:noBreakHyphen/>
        <w:t>09 accordingly, UIC systems are now designated on a European basis the band 876 MHz to 880 MHz (mobile station transmit) paired with 921 MHz to 925 MHz (base station transmit).</w:t>
      </w:r>
    </w:p>
    <w:p>
      <w:pPr>
        <w:pStyle w:val="Normal"/>
        <w:rPr/>
      </w:pPr>
      <w:r>
        <w:rPr/>
        <w:t>The GSM based systems in the 900 MHz band are thus, cf. GSM 05.05 and TD 139/95 of SMG2#15).</w:t>
      </w:r>
    </w:p>
    <w:p>
      <w:pPr>
        <w:pStyle w:val="TH"/>
        <w:rPr/>
      </w:pPr>
      <w:r>
        <w:rPr/>
      </w:r>
    </w:p>
    <w:tbl>
      <w:tblPr>
        <w:tblW w:w="7446" w:type="dxa"/>
        <w:jc w:val="center"/>
        <w:tblInd w:w="0" w:type="dxa"/>
        <w:tblLayout w:type="fixed"/>
        <w:tblCellMar>
          <w:top w:w="0" w:type="dxa"/>
          <w:left w:w="70" w:type="dxa"/>
          <w:bottom w:w="0" w:type="dxa"/>
          <w:right w:w="70" w:type="dxa"/>
        </w:tblCellMar>
      </w:tblPr>
      <w:tblGrid>
        <w:gridCol w:w="930"/>
        <w:gridCol w:w="2052"/>
        <w:gridCol w:w="2232"/>
        <w:gridCol w:w="2232"/>
      </w:tblGrid>
      <w:tr>
        <w:trPr/>
        <w:tc>
          <w:tcPr>
            <w:tcW w:w="93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05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ARFCN's</w:t>
            </w:r>
          </w:p>
        </w:tc>
        <w:tc>
          <w:tcPr>
            <w:tcW w:w="223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Uplink carriers</w:t>
            </w:r>
          </w:p>
        </w:tc>
        <w:tc>
          <w:tcPr>
            <w:tcW w:w="223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Downlink carriers</w:t>
            </w:r>
          </w:p>
        </w:tc>
      </w:tr>
      <w:tr>
        <w:trPr/>
        <w:tc>
          <w:tcPr>
            <w:tcW w:w="93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w:t>
              <w:noBreakHyphen/>
              <w:t>GSM</w:t>
            </w:r>
          </w:p>
        </w:tc>
        <w:tc>
          <w:tcPr>
            <w:tcW w:w="20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1..124</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890,2 MHz to 914,8 MHz</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935,2 MHz to 959,8 MHz</w:t>
            </w:r>
          </w:p>
        </w:tc>
      </w:tr>
      <w:tr>
        <w:trPr/>
        <w:tc>
          <w:tcPr>
            <w:tcW w:w="93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E</w:t>
              <w:noBreakHyphen/>
              <w:t>GSM</w:t>
            </w:r>
          </w:p>
        </w:tc>
        <w:tc>
          <w:tcPr>
            <w:tcW w:w="20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975..124 (mod1024)</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880,2 MHz to 914,8 MHz</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925,2 MHz to 959,8 MHz</w:t>
            </w:r>
          </w:p>
        </w:tc>
      </w:tr>
      <w:tr>
        <w:trPr/>
        <w:tc>
          <w:tcPr>
            <w:tcW w:w="93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w:t>
            </w:r>
          </w:p>
        </w:tc>
        <w:tc>
          <w:tcPr>
            <w:tcW w:w="20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955..974</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876,2 MHz to 880,0 MHz</w:t>
            </w:r>
          </w:p>
        </w:tc>
        <w:tc>
          <w:tcPr>
            <w:tcW w:w="2232" w:type="dxa"/>
            <w:tcBorders>
              <w:top w:val="single" w:sz="4" w:space="0" w:color="000000"/>
              <w:left w:val="single" w:sz="4" w:space="0" w:color="000000"/>
              <w:bottom w:val="single" w:sz="4" w:space="0" w:color="000000"/>
              <w:right w:val="single" w:sz="4" w:space="0" w:color="000000"/>
            </w:tcBorders>
          </w:tcPr>
          <w:p>
            <w:pPr>
              <w:pStyle w:val="TAC"/>
              <w:rPr/>
            </w:pPr>
            <w:r>
              <w:rPr>
                <w:lang w:val="en-GB"/>
              </w:rPr>
              <w:t>921,2 MHz to 925,0 MHz</w:t>
            </w:r>
          </w:p>
        </w:tc>
      </w:tr>
    </w:tbl>
    <w:p>
      <w:pPr>
        <w:pStyle w:val="FP"/>
        <w:rPr/>
      </w:pPr>
      <w:r>
        <w:rPr/>
      </w:r>
    </w:p>
    <w:p>
      <w:pPr>
        <w:pStyle w:val="TH"/>
        <w:rPr/>
      </w:pPr>
      <w:r>
        <w:rPr/>
        <w:drawing>
          <wp:inline distT="0" distB="0" distL="0" distR="0">
            <wp:extent cx="4635500" cy="1350010"/>
            <wp:effectExtent l="0" t="0" r="0" b="0"/>
            <wp:docPr id="68"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2" descr=""/>
                    <pic:cNvPicPr>
                      <a:picLocks noChangeAspect="1" noChangeArrowheads="1"/>
                    </pic:cNvPicPr>
                  </pic:nvPicPr>
                  <pic:blipFill>
                    <a:blip r:embed="rId64"/>
                    <a:srcRect l="-26" t="-87" r="-26" b="-87"/>
                    <a:stretch>
                      <a:fillRect/>
                    </a:stretch>
                  </pic:blipFill>
                  <pic:spPr bwMode="auto">
                    <a:xfrm>
                      <a:off x="0" y="0"/>
                      <a:ext cx="4635500" cy="1350010"/>
                    </a:xfrm>
                    <a:prstGeom prst="rect">
                      <a:avLst/>
                    </a:prstGeom>
                  </pic:spPr>
                </pic:pic>
              </a:graphicData>
            </a:graphic>
          </wp:inline>
        </w:drawing>
      </w:r>
    </w:p>
    <w:p>
      <w:pPr>
        <w:pStyle w:val="FP"/>
        <w:rPr/>
      </w:pPr>
      <w:r>
        <w:rPr/>
      </w:r>
    </w:p>
    <w:p>
      <w:pPr>
        <w:pStyle w:val="Heading2"/>
        <w:rPr/>
      </w:pPr>
      <w:bookmarkStart w:id="306" w:name="__RefHeading___Toc518035740"/>
      <w:bookmarkEnd w:id="306"/>
      <w:r>
        <w:rPr/>
        <w:t>H.2.2</w:t>
        <w:tab/>
        <w:t>Other systems</w:t>
      </w:r>
    </w:p>
    <w:p>
      <w:pPr>
        <w:pStyle w:val="Normal"/>
        <w:rPr/>
      </w:pPr>
      <w:r>
        <w:rPr/>
        <w:t>Other possible systems in the 900 MHz band include TETRA and various national public and military systems. These systems are not considered any further in the present document.</w:t>
      </w:r>
    </w:p>
    <w:p>
      <w:pPr>
        <w:pStyle w:val="Normal"/>
        <w:rPr/>
      </w:pPr>
      <w:r>
        <w:rPr/>
        <w:t>Neither is UIC co</w:t>
        <w:noBreakHyphen/>
        <w:t>existance with DCS1800 considered in any detail, assuming that the RF requirements for UIC equipments at frequencies far away from the operational frequencies shall be identical to P</w:t>
        <w:noBreakHyphen/>
        <w:t>GSM.</w:t>
      </w:r>
    </w:p>
    <w:p>
      <w:pPr>
        <w:pStyle w:val="Heading2"/>
        <w:rPr/>
      </w:pPr>
      <w:bookmarkStart w:id="307" w:name="__RefHeading___Toc518035741"/>
      <w:bookmarkEnd w:id="307"/>
      <w:r>
        <w:rPr/>
        <w:t>H.2.3</w:t>
        <w:tab/>
        <w:t>UIC systems outline</w:t>
      </w:r>
    </w:p>
    <w:p>
      <w:pPr>
        <w:pStyle w:val="Normal"/>
        <w:rPr/>
      </w:pPr>
      <w:r>
        <w:rPr/>
        <w:t>For reasons of economies of scale, timescales required, availability of equipment, the possibility to use also public networks, etc., it has been important for the UIC that its new radio system for integrated train communications as far as possible is based on an existing standard, namely GSM900.</w:t>
      </w:r>
    </w:p>
    <w:p>
      <w:pPr>
        <w:pStyle w:val="Normal"/>
        <w:rPr/>
      </w:pPr>
      <w:r>
        <w:rPr/>
        <w:t>This also implies that UIC RF parameters should not be different to P</w:t>
        <w:noBreakHyphen/>
        <w:t>GSM, except where justified by the different frequency band requiring modified filters.</w:t>
      </w:r>
    </w:p>
    <w:p>
      <w:pPr>
        <w:pStyle w:val="Normal"/>
        <w:rPr/>
      </w:pPr>
      <w:r>
        <w:rPr/>
        <w:t>In order to able to roam onto public networks, a UIC MS as a minimum shall be able to operate over both the UIC and the P</w:t>
        <w:noBreakHyphen/>
        <w:t>GSM band and it must meet the RF requirements of either. This requires a pass band of any "duplex" filters in the UIC MS of 39 MHz. At the same time the transition band is only 6 MHz between the downlink (of UIC) and the uplink (of P</w:t>
        <w:noBreakHyphen/>
        <w:t>GSM). This implies a greater filter complexity than for P</w:t>
        <w:noBreakHyphen/>
        <w:t>GSM and probably even E</w:t>
        <w:noBreakHyphen/>
        <w:t>GSM, unless possibly some related RF performance parameters are relaxed for the UIC MS, e.g. blocking and wide band noise - in line with the scenarios.</w:t>
      </w:r>
    </w:p>
    <w:p>
      <w:pPr>
        <w:pStyle w:val="Normal"/>
        <w:rPr/>
      </w:pPr>
      <w:r>
        <w:rPr/>
        <w:t>It should be studied whether the UIC MS filtering can be of a less order if operation is not required or tolerances (filter ripple) are relaxed in the GSM extension band.</w:t>
      </w:r>
    </w:p>
    <w:p>
      <w:pPr>
        <w:pStyle w:val="Heading2"/>
        <w:rPr/>
      </w:pPr>
      <w:bookmarkStart w:id="308" w:name="__RefHeading___Toc518035742"/>
      <w:bookmarkEnd w:id="308"/>
      <w:r>
        <w:rPr/>
        <w:t>H.2.4</w:t>
        <w:tab/>
        <w:t>Fixed UIC RF parameters</w:t>
      </w:r>
    </w:p>
    <w:p>
      <w:pPr>
        <w:pStyle w:val="Normal"/>
        <w:rPr/>
      </w:pPr>
      <w:r>
        <w:rPr/>
        <w:t>At least the following GSM900 parameters in GSM 05.05 are expected to apply equally to UIC equipments, referred to by the relevant section in GSM 05.05:</w:t>
      </w:r>
    </w:p>
    <w:p>
      <w:pPr>
        <w:pStyle w:val="B1"/>
        <w:ind w:left="851" w:hanging="567"/>
        <w:rPr/>
      </w:pPr>
      <w:r>
        <w:rPr/>
        <w:t>4.1</w:t>
        <w:tab/>
        <w:t>Output power and power levels.</w:t>
      </w:r>
    </w:p>
    <w:p>
      <w:pPr>
        <w:pStyle w:val="B1"/>
        <w:ind w:left="851" w:hanging="567"/>
        <w:rPr/>
      </w:pPr>
      <w:r>
        <w:rPr/>
        <w:t>4.4</w:t>
        <w:tab/>
        <w:t>Radio frequency tolerance.</w:t>
      </w:r>
    </w:p>
    <w:p>
      <w:pPr>
        <w:pStyle w:val="B1"/>
        <w:ind w:left="851" w:hanging="567"/>
        <w:rPr/>
      </w:pPr>
      <w:r>
        <w:rPr/>
        <w:t>4.6</w:t>
        <w:tab/>
        <w:t>Phase accuracy.</w:t>
      </w:r>
    </w:p>
    <w:p>
      <w:pPr>
        <w:pStyle w:val="B1"/>
        <w:ind w:left="851" w:hanging="567"/>
        <w:rPr/>
      </w:pPr>
      <w:r>
        <w:rPr/>
        <w:t>6.2</w:t>
        <w:tab/>
        <w:t>Ref. sensitivity level.</w:t>
      </w:r>
    </w:p>
    <w:p>
      <w:pPr>
        <w:pStyle w:val="B1"/>
        <w:ind w:left="851" w:hanging="567"/>
        <w:rPr/>
      </w:pPr>
      <w:r>
        <w:rPr/>
        <w:t>6.3</w:t>
        <w:tab/>
        <w:t>Ref. interference level.</w:t>
      </w:r>
    </w:p>
    <w:p>
      <w:pPr>
        <w:pStyle w:val="B1"/>
        <w:ind w:left="851" w:hanging="567"/>
        <w:rPr/>
      </w:pPr>
      <w:r>
        <w:rPr/>
        <w:t>6.4</w:t>
        <w:tab/>
        <w:t>Erroneous frame indication performance.</w:t>
      </w:r>
    </w:p>
    <w:p>
      <w:pPr>
        <w:pStyle w:val="Heading1"/>
        <w:ind w:left="1134" w:hanging="1134"/>
        <w:rPr/>
      </w:pPr>
      <w:bookmarkStart w:id="309" w:name="__RefHeading___Toc518035743"/>
      <w:bookmarkEnd w:id="309"/>
      <w:r>
        <w:rPr/>
        <w:t>H.3</w:t>
        <w:tab/>
        <w:t>Methodology</w:t>
      </w:r>
    </w:p>
    <w:p>
      <w:pPr>
        <w:pStyle w:val="Normal"/>
        <w:rPr/>
      </w:pPr>
      <w:r>
        <w:rPr/>
        <w:t>The relevant scenarios of interference are identified and a worst case analysis is applied along the lines of GSM 05.50. Thus, assuming a single interferer, the performance required to avoid the interference altogether is calculated based on the minimum coupling loss to the victim.</w:t>
      </w:r>
    </w:p>
    <w:p>
      <w:pPr>
        <w:pStyle w:val="Normal"/>
        <w:rPr/>
      </w:pPr>
      <w:r>
        <w:rPr/>
        <w:t>This method is justified by its simplicity and the typical applications of a UIC system for train control purposes and exchange of voice messages to override signalling information etc., whereby safety is a major concern. Furthermore, UIC systems will typically be noise limited, and any interference scenario not meeting the requirements will lead to a less reliable coverage.</w:t>
      </w:r>
    </w:p>
    <w:p>
      <w:pPr>
        <w:pStyle w:val="Normal"/>
        <w:rPr/>
      </w:pPr>
      <w:r>
        <w:rPr/>
        <w:t>To take in account any multiple interferers, the likelihood of a scenario and the possible consequences of it not being met, interference margins to the worst case requirement may be introduced.</w:t>
      </w:r>
    </w:p>
    <w:p>
      <w:pPr>
        <w:pStyle w:val="Heading2"/>
        <w:rPr/>
      </w:pPr>
      <w:bookmarkStart w:id="310" w:name="__RefHeading___Toc518035744"/>
      <w:bookmarkEnd w:id="310"/>
      <w:r>
        <w:rPr/>
        <w:t>H.3.1</w:t>
        <w:tab/>
        <w:t>Scenarios</w:t>
      </w:r>
    </w:p>
    <w:p>
      <w:pPr>
        <w:pStyle w:val="Normal"/>
        <w:keepNext w:val="true"/>
        <w:keepLines/>
        <w:rPr/>
      </w:pPr>
      <w:r>
        <w:rPr/>
        <w:t>The identification of relevant scenarios is based on the system scenarios of TD SMG 61/91 (part of technical report GSM 05.50). These are:</w:t>
      </w:r>
    </w:p>
    <w:p>
      <w:pPr>
        <w:pStyle w:val="B1"/>
        <w:keepNext w:val="true"/>
        <w:keepLines/>
        <w:rPr/>
      </w:pPr>
      <w:r>
        <w:rPr/>
        <w:t>1.</w:t>
        <w:tab/>
        <w:t>Single BTS and MS.</w:t>
      </w:r>
    </w:p>
    <w:p>
      <w:pPr>
        <w:pStyle w:val="B1"/>
        <w:keepNext w:val="true"/>
        <w:keepLines/>
        <w:rPr/>
      </w:pPr>
      <w:r>
        <w:rPr/>
        <w:t>2.</w:t>
        <w:tab/>
        <w:t>Multiple MS and BTS, one network.</w:t>
      </w:r>
    </w:p>
    <w:p>
      <w:pPr>
        <w:pStyle w:val="B1"/>
        <w:keepNext w:val="true"/>
        <w:keepLines/>
        <w:rPr/>
      </w:pPr>
      <w:r>
        <w:rPr/>
        <w:t>3.</w:t>
        <w:tab/>
        <w:t>Multiple MS and BTS, different networks.</w:t>
      </w:r>
    </w:p>
    <w:p>
      <w:pPr>
        <w:pStyle w:val="B1"/>
        <w:rPr/>
      </w:pPr>
      <w:r>
        <w:rPr/>
        <w:t>4.</w:t>
        <w:tab/>
        <w:t>Colocated MS, different networks.</w:t>
      </w:r>
    </w:p>
    <w:p>
      <w:pPr>
        <w:pStyle w:val="B1"/>
        <w:rPr/>
      </w:pPr>
      <w:r>
        <w:rPr/>
        <w:t>5.</w:t>
        <w:tab/>
        <w:t>Colocated BTS, different networks.</w:t>
      </w:r>
    </w:p>
    <w:p>
      <w:pPr>
        <w:pStyle w:val="B1"/>
        <w:rPr/>
      </w:pPr>
      <w:r>
        <w:rPr/>
        <w:t>6.</w:t>
        <w:tab/>
        <w:t>Colocation with other systems.</w:t>
      </w:r>
    </w:p>
    <w:p>
      <w:pPr>
        <w:pStyle w:val="Normal"/>
        <w:rPr/>
      </w:pPr>
      <w:r>
        <w:rPr/>
        <w:t>Only the scenario aspects related to close proximity are considered, as the fixed UIC RF parameters set the range as for GSM.</w:t>
      </w:r>
    </w:p>
    <w:p>
      <w:pPr>
        <w:pStyle w:val="Normal"/>
        <w:rPr/>
      </w:pPr>
      <w:r>
        <w:rPr/>
        <w:t>For UIC systems there will not be more than one operator in a region. Even at the border between such regions, the train control applications shall assure that an MS does not get close to a new BTS while still remaining on the old network. Thus 1 and 2 above are the only relevant UIC intra</w:t>
        <w:noBreakHyphen/>
        <w:t>system close proximity scenarios, with the addition of 4bis (colocated MS, one network) and 5bis (colocated BTS, one network).</w:t>
      </w:r>
    </w:p>
    <w:p>
      <w:pPr>
        <w:pStyle w:val="Normal"/>
        <w:rPr/>
      </w:pPr>
      <w:r>
        <w:rPr/>
        <w:t>Scenarios 3 to 5 are related to coexistance between UIC and other GSM900 systems.</w:t>
      </w:r>
    </w:p>
    <w:p>
      <w:pPr>
        <w:pStyle w:val="Normal"/>
        <w:rPr/>
      </w:pPr>
      <w:r>
        <w:rPr/>
        <w:t>Other systems in the 900 MHz band (scenario 6) are not considered further, as explained in subclause 2.2.</w:t>
      </w:r>
    </w:p>
    <w:p>
      <w:pPr>
        <w:pStyle w:val="Normal"/>
        <w:rPr/>
      </w:pPr>
      <w:r>
        <w:rPr/>
        <w:t>Thus the scenarios for investigation are as follows:</w:t>
      </w:r>
    </w:p>
    <w:p>
      <w:pPr>
        <w:pStyle w:val="EX"/>
        <w:rPr/>
      </w:pPr>
      <w:r>
        <w:rPr>
          <w:b/>
        </w:rPr>
        <w:t xml:space="preserve">Scenario 1: </w:t>
      </w:r>
      <w:r>
        <w:rPr/>
        <w:t>Single BTS and MS (UIC only)</w:t>
      </w:r>
    </w:p>
    <w:p>
      <w:pPr>
        <w:pStyle w:val="EX"/>
        <w:rPr/>
      </w:pPr>
      <w:r>
        <w:rPr/>
        <w:tab/>
        <w:t>Consider a UIC MS close to its serving BTS and no interferers, i.e. only the wanted signal levels involved and no interferers.</w:t>
      </w:r>
    </w:p>
    <w:p>
      <w:pPr>
        <w:pStyle w:val="EX"/>
        <w:rPr/>
      </w:pPr>
      <w:r>
        <w:rPr>
          <w:b/>
        </w:rPr>
        <w:t>Scenario 2:</w:t>
      </w:r>
      <w:r>
        <w:rPr/>
        <w:t xml:space="preserve"> Multiple MS and BTS of one network (UIC only)</w:t>
      </w:r>
    </w:p>
    <w:p>
      <w:pPr>
        <w:pStyle w:val="EX"/>
        <w:rPr/>
      </w:pPr>
      <w:r>
        <w:rPr/>
        <w:tab/>
        <w:t>Consider multiple UIC MS at different distances from a common serving site, i.e. mostly near</w:t>
        <w:noBreakHyphen/>
        <w:t>far effects. The site will typically be a single BTS with one or two carriers. Sectored cells or umbrella cells will seldom be used in railways networks.</w:t>
      </w:r>
    </w:p>
    <w:p>
      <w:pPr>
        <w:pStyle w:val="EX"/>
        <w:rPr/>
      </w:pPr>
      <w:r>
        <w:rPr>
          <w:b/>
        </w:rPr>
        <w:t>Scenario 3:</w:t>
      </w:r>
      <w:r>
        <w:rPr/>
        <w:t xml:space="preserve"> Multiple MS and BTS of different networks (UIC vs GSM)</w:t>
      </w:r>
    </w:p>
    <w:p>
      <w:pPr>
        <w:pStyle w:val="EX"/>
        <w:rPr/>
      </w:pPr>
      <w:r>
        <w:rPr/>
        <w:tab/>
        <w:t>Consider interference between a BTS and foreign MS's at close proximity: An MS being distant from its own BTS may transmit at maximum power close to a foreign BTS, and may be exposed to that one transmitting at maximum power to distant MS's of its own.</w:t>
      </w:r>
    </w:p>
    <w:p>
      <w:pPr>
        <w:pStyle w:val="EX"/>
        <w:rPr/>
      </w:pPr>
      <w:r>
        <w:rPr>
          <w:b/>
        </w:rPr>
        <w:t>Scenario 4:</w:t>
      </w:r>
      <w:r>
        <w:rPr/>
        <w:t xml:space="preserve"> Colocated MS of different networks (UIC vs GSM)</w:t>
      </w:r>
    </w:p>
    <w:p>
      <w:pPr>
        <w:pStyle w:val="EX"/>
        <w:rPr/>
      </w:pPr>
      <w:r>
        <w:rPr/>
        <w:tab/>
        <w:t>Consider GSM and UIC MS's at close proximity, each being served by its own BTS, neither colocated nor synchronised. Thus the uplink of the one MS transmitting at full power can interfere with the downlink of the other MS receiving at reference sensitivity.</w:t>
      </w:r>
    </w:p>
    <w:p>
      <w:pPr>
        <w:pStyle w:val="EX"/>
        <w:rPr/>
      </w:pPr>
      <w:r>
        <w:rPr>
          <w:b/>
        </w:rPr>
        <w:t>Scenario 4bis:</w:t>
      </w:r>
      <w:r>
        <w:rPr/>
        <w:t xml:space="preserve"> Colocated UIC MS (UIC only)</w:t>
      </w:r>
    </w:p>
    <w:p>
      <w:pPr>
        <w:pStyle w:val="EX"/>
        <w:rPr/>
      </w:pPr>
      <w:r>
        <w:rPr/>
        <w:tab/>
        <w:t>Consider UIC MS's at close proximity, transmitting at full power and receiving at the limit sensitivity.</w:t>
      </w:r>
    </w:p>
    <w:p>
      <w:pPr>
        <w:pStyle w:val="EX"/>
        <w:rPr/>
      </w:pPr>
      <w:r>
        <w:rPr>
          <w:b/>
        </w:rPr>
        <w:t>Scenario 5:</w:t>
      </w:r>
      <w:r>
        <w:rPr/>
        <w:t xml:space="preserve"> Colocated BTS of different networks (UIC vs GSM)</w:t>
      </w:r>
    </w:p>
    <w:p>
      <w:pPr>
        <w:pStyle w:val="EX"/>
        <w:rPr/>
      </w:pPr>
      <w:r>
        <w:rPr/>
        <w:tab/>
        <w:t>Consider a BTS transmitting to a distant MS at full power, thus possibly interfering with a close proximity BTS of the other system receiving a faint signal from a distant MS.</w:t>
      </w:r>
    </w:p>
    <w:p>
      <w:pPr>
        <w:pStyle w:val="EX"/>
        <w:rPr/>
      </w:pPr>
      <w:r>
        <w:rPr/>
        <w:tab/>
        <w:t>A co</w:t>
        <w:noBreakHyphen/>
        <w:t xml:space="preserve">siting and optimised UIC BTS </w:t>
        <w:noBreakHyphen/>
        <w:t xml:space="preserve"> GSM BTS scenario could be relevant in some cases, e.g. where a public GSM operator operates a UIC system on behalf of a railway, or where the same sites (e.g. a leaky cable system in tunnels) are used for the UIC system and a public GSM system, in order to provide public service to train passengers or to reduce cost for either system.</w:t>
      </w:r>
    </w:p>
    <w:p>
      <w:pPr>
        <w:pStyle w:val="EX"/>
        <w:keepNext w:val="true"/>
        <w:rPr/>
      </w:pPr>
      <w:r>
        <w:rPr>
          <w:b/>
        </w:rPr>
        <w:t>Scenario 5bis:</w:t>
      </w:r>
      <w:r>
        <w:rPr/>
        <w:t xml:space="preserve"> Colocated UIC BTS (UIC only)</w:t>
      </w:r>
    </w:p>
    <w:p>
      <w:pPr>
        <w:pStyle w:val="EX"/>
        <w:rPr/>
      </w:pPr>
      <w:r>
        <w:rPr/>
        <w:tab/>
        <w:t>Consider the interactions between transmitters and receivers of a single or cosited BTS's.</w:t>
      </w:r>
    </w:p>
    <w:p>
      <w:pPr>
        <w:pStyle w:val="Heading2"/>
        <w:rPr/>
      </w:pPr>
      <w:bookmarkStart w:id="311" w:name="__RefHeading___Toc518035745"/>
      <w:bookmarkEnd w:id="311"/>
      <w:r>
        <w:rPr/>
        <w:t>H.3.2</w:t>
        <w:tab/>
        <w:t>Format of calculations</w:t>
      </w:r>
    </w:p>
    <w:p>
      <w:pPr>
        <w:pStyle w:val="Normal"/>
        <w:rPr/>
      </w:pPr>
      <w:r>
        <w:rPr/>
        <w:t>The max emissions level allowed is calculated to give the requirement on any noise of the source of interference, overlapping the wanted signal of the victim receiver at reference sensitivity (assume 200 kHz bandwidth).</w:t>
      </w:r>
    </w:p>
    <w:p>
      <w:pPr>
        <w:pStyle w:val="Normal"/>
        <w:rPr/>
      </w:pPr>
      <w:r>
        <w:rPr/>
        <w:t>The maximum exposure signal level is calculated to give the requirement on the victim resilience against a strong signal off the channel of its wanted signal.</w:t>
      </w:r>
    </w:p>
    <w:p>
      <w:pPr>
        <w:pStyle w:val="Normal"/>
        <w:rPr/>
      </w:pPr>
      <w:r>
        <w:rPr/>
        <w:t>The interference signal levels are calculated at the antenna connector of the equipments, in line with GSM 05.05. For equipment with integral antenna only, a reference antenna with 0 dBi gain is assumed.</w:t>
      </w:r>
    </w:p>
    <w:p>
      <w:pPr>
        <w:pStyle w:val="Normal"/>
        <w:rPr/>
      </w:pPr>
      <w:r>
        <w:rPr/>
        <w:t>Correspondingly, the Minimum Coupling Loss is defined between the antenna connectors of either end of the interference link, i.e. it includes the antenna gains and any losses.</w:t>
      </w:r>
    </w:p>
    <w:p>
      <w:pPr>
        <w:pStyle w:val="Heading2"/>
        <w:rPr/>
      </w:pPr>
      <w:bookmarkStart w:id="312" w:name="__RefHeading___Toc518035746"/>
      <w:bookmarkEnd w:id="312"/>
      <w:r>
        <w:rPr/>
        <w:t>H.3.3</w:t>
        <w:tab/>
        <w:t>GSM900 systems parameters</w:t>
      </w:r>
    </w:p>
    <w:p>
      <w:pPr>
        <w:pStyle w:val="Normal"/>
        <w:rPr/>
      </w:pPr>
      <w:r>
        <w:rPr/>
        <w:t>Throughout the analysis the following parameter values are assumed, using values from GSM 03.30 clause A.2 where applicable.</w:t>
      </w:r>
    </w:p>
    <w:p>
      <w:pPr>
        <w:pStyle w:val="TH"/>
        <w:rPr/>
      </w:pPr>
      <w:r>
        <w:rPr/>
      </w:r>
    </w:p>
    <w:tbl>
      <w:tblPr>
        <w:tblW w:w="5988" w:type="dxa"/>
        <w:jc w:val="center"/>
        <w:tblInd w:w="0" w:type="dxa"/>
        <w:tblLayout w:type="fixed"/>
        <w:tblCellMar>
          <w:top w:w="0" w:type="dxa"/>
          <w:left w:w="70" w:type="dxa"/>
          <w:bottom w:w="0" w:type="dxa"/>
          <w:right w:w="70" w:type="dxa"/>
        </w:tblCellMar>
      </w:tblPr>
      <w:tblGrid>
        <w:gridCol w:w="3402"/>
        <w:gridCol w:w="1346"/>
        <w:gridCol w:w="1240"/>
      </w:tblGrid>
      <w:tr>
        <w:trPr>
          <w:tblHeader w:val="true"/>
        </w:trPr>
        <w:tc>
          <w:tcPr>
            <w:tcW w:w="3402"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34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UIC</w:t>
            </w:r>
          </w:p>
        </w:tc>
        <w:tc>
          <w:tcPr>
            <w:tcW w:w="12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GSM</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MS (vehicle mounted):</w:t>
            </w:r>
          </w:p>
        </w:tc>
        <w:tc>
          <w:tcPr>
            <w:tcW w:w="1346" w:type="dxa"/>
            <w:tcBorders>
              <w:top w:val="single" w:sz="4" w:space="0" w:color="000000"/>
              <w:left w:val="single" w:sz="4" w:space="0" w:color="000000"/>
              <w:bottom w:val="single" w:sz="4" w:space="0" w:color="000000"/>
              <w:right w:val="single" w:sz="4" w:space="0" w:color="000000"/>
            </w:tcBorders>
          </w:tcPr>
          <w:p>
            <w:pPr>
              <w:pStyle w:val="TAC"/>
              <w:snapToGrid w:val="false"/>
              <w:rPr>
                <w:b/>
                <w:b/>
                <w:lang w:val="en-GB"/>
              </w:rPr>
            </w:pPr>
            <w:r>
              <w:rPr>
                <w:b/>
                <w:lang w:val="en-GB"/>
              </w:rPr>
            </w:r>
          </w:p>
        </w:tc>
        <w:tc>
          <w:tcPr>
            <w:tcW w:w="12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dBi</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 dBi</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Cable and connector losses</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 dB</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 dB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height</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m</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 m</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Output power</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39 dBm</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39 dBm</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134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b/>
                <w:lang w:val="en-GB"/>
              </w:rPr>
              <w:t>Small MS (sMS): (note 1)</w:t>
            </w:r>
          </w:p>
        </w:tc>
        <w:tc>
          <w:tcPr>
            <w:tcW w:w="1346" w:type="dxa"/>
            <w:tcBorders>
              <w:top w:val="single" w:sz="4" w:space="0" w:color="000000"/>
              <w:left w:val="single" w:sz="4" w:space="0" w:color="000000"/>
              <w:bottom w:val="single" w:sz="4" w:space="0" w:color="000000"/>
              <w:right w:val="single" w:sz="4" w:space="0" w:color="000000"/>
            </w:tcBorders>
          </w:tcPr>
          <w:p>
            <w:pPr>
              <w:pStyle w:val="TAC"/>
              <w:snapToGrid w:val="false"/>
              <w:rPr>
                <w:b/>
                <w:b/>
                <w:lang w:val="en-GB"/>
              </w:rPr>
            </w:pPr>
            <w:r>
              <w:rPr>
                <w:b/>
                <w:lang w:val="en-GB"/>
              </w:rPr>
            </w:r>
          </w:p>
        </w:tc>
        <w:tc>
          <w:tcPr>
            <w:tcW w:w="12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 dBi</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 dBi</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Body losses (note 2)</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 dB</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 dB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height</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 m</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 m</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Output power</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33 dBm</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33 dBm</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134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b/>
                <w:lang w:val="en-GB"/>
              </w:rPr>
              <w:t>BTS:</w:t>
            </w:r>
          </w:p>
        </w:tc>
        <w:tc>
          <w:tcPr>
            <w:tcW w:w="1346" w:type="dxa"/>
            <w:tcBorders>
              <w:top w:val="single" w:sz="4" w:space="0" w:color="000000"/>
              <w:left w:val="single" w:sz="4" w:space="0" w:color="000000"/>
              <w:bottom w:val="single" w:sz="4" w:space="0" w:color="000000"/>
              <w:right w:val="single" w:sz="4" w:space="0" w:color="000000"/>
            </w:tcBorders>
          </w:tcPr>
          <w:p>
            <w:pPr>
              <w:pStyle w:val="TAC"/>
              <w:snapToGrid w:val="false"/>
              <w:rPr>
                <w:b/>
                <w:b/>
                <w:lang w:val="en-GB"/>
              </w:rPr>
            </w:pPr>
            <w:r>
              <w:rPr>
                <w:b/>
                <w:lang w:val="en-GB"/>
              </w:rPr>
            </w:r>
          </w:p>
        </w:tc>
        <w:tc>
          <w:tcPr>
            <w:tcW w:w="12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bore sight</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18 dBi (note 3)</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12 dBi</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30 degr. off bore sight</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dBi</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dBi</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lang w:val="en-GB"/>
              </w:rPr>
              <w:t>Cable and connector losses</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 dB</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 dB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height</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m</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m</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Output power (note 4)</w:t>
            </w:r>
          </w:p>
        </w:tc>
        <w:tc>
          <w:tcPr>
            <w:tcW w:w="134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39 dBm</w:t>
            </w:r>
          </w:p>
        </w:tc>
        <w:tc>
          <w:tcPr>
            <w:tcW w:w="12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39 dBm</w:t>
            </w:r>
          </w:p>
        </w:tc>
      </w:tr>
      <w:tr>
        <w:trPr/>
        <w:tc>
          <w:tcPr>
            <w:tcW w:w="5988" w:type="dxa"/>
            <w:gridSpan w:val="3"/>
            <w:tcBorders>
              <w:top w:val="single" w:sz="4" w:space="0" w:color="000000"/>
              <w:left w:val="single" w:sz="4" w:space="0" w:color="000000"/>
              <w:bottom w:val="single" w:sz="4" w:space="0" w:color="000000"/>
              <w:right w:val="single" w:sz="4" w:space="0" w:color="000000"/>
            </w:tcBorders>
          </w:tcPr>
          <w:p>
            <w:pPr>
              <w:pStyle w:val="TAL"/>
              <w:tabs>
                <w:tab w:val="clear" w:pos="284"/>
                <w:tab w:val="left" w:pos="2832" w:leader="none"/>
              </w:tabs>
              <w:rPr>
                <w:lang w:val="en-GB"/>
              </w:rPr>
            </w:pPr>
            <w:r>
              <w:rPr>
                <w:lang w:val="en-GB"/>
              </w:rPr>
              <w:t>Interference limit (note 5)</w:t>
            </w:r>
          </w:p>
          <w:p>
            <w:pPr>
              <w:pStyle w:val="TAL"/>
              <w:tabs>
                <w:tab w:val="clear" w:pos="284"/>
                <w:tab w:val="left" w:pos="2832" w:leader="none"/>
              </w:tabs>
              <w:rPr>
                <w:lang w:val="en-GB"/>
              </w:rPr>
            </w:pPr>
            <w:r>
              <w:rPr>
                <w:lang w:val="en-GB"/>
              </w:rPr>
              <w:t xml:space="preserve">= Sensitivity </w:t>
              <w:noBreakHyphen/>
              <w:t xml:space="preserve"> C/I </w:t>
              <w:noBreakHyphen/>
              <w:t xml:space="preserve"> interference degradation margin (note 6)</w:t>
            </w:r>
          </w:p>
          <w:p>
            <w:pPr>
              <w:pStyle w:val="TAL"/>
              <w:tabs>
                <w:tab w:val="clear" w:pos="284"/>
                <w:tab w:val="left" w:pos="2832" w:leader="none"/>
              </w:tabs>
              <w:rPr>
                <w:lang w:val="en-GB"/>
              </w:rPr>
            </w:pPr>
            <w:r>
              <w:rPr>
                <w:lang w:val="en-GB"/>
              </w:rPr>
              <w:t>=</w:t>
            </w:r>
          </w:p>
          <w:p>
            <w:pPr>
              <w:pStyle w:val="TAL"/>
              <w:tabs>
                <w:tab w:val="clear" w:pos="284"/>
                <w:tab w:val="left" w:pos="142" w:leader="none"/>
                <w:tab w:val="left" w:pos="2782" w:leader="none"/>
                <w:tab w:val="left" w:pos="4483" w:leader="none"/>
              </w:tabs>
              <w:rPr>
                <w:lang w:val="en-GB"/>
              </w:rPr>
            </w:pPr>
            <w:r>
              <w:rPr>
                <w:lang w:val="en-GB"/>
              </w:rPr>
              <w:tab/>
              <w:t>BTS and vehicle mounted MS:</w:t>
              <w:tab/>
              <w:noBreakHyphen/>
              <w:t xml:space="preserve">104 </w:t>
              <w:noBreakHyphen/>
              <w:t xml:space="preserve"> 9 </w:t>
              <w:noBreakHyphen/>
              <w:t xml:space="preserve"> 3 =</w:t>
              <w:tab/>
              <w:noBreakHyphen/>
              <w:t>116 dBm</w:t>
            </w:r>
          </w:p>
          <w:p>
            <w:pPr>
              <w:pStyle w:val="TAL"/>
              <w:tabs>
                <w:tab w:val="clear" w:pos="284"/>
                <w:tab w:val="left" w:pos="142" w:leader="none"/>
                <w:tab w:val="left" w:pos="2782" w:leader="none"/>
                <w:tab w:val="left" w:pos="4483" w:leader="none"/>
              </w:tabs>
              <w:rPr/>
            </w:pPr>
            <w:r>
              <w:rPr>
                <w:lang w:val="en-GB"/>
              </w:rPr>
              <w:tab/>
              <w:t>Small MS:</w:t>
              <w:tab/>
              <w:noBreakHyphen/>
              <w:t xml:space="preserve">102 </w:t>
              <w:noBreakHyphen/>
              <w:t xml:space="preserve"> 9 </w:t>
              <w:noBreakHyphen/>
              <w:t xml:space="preserve"> 3 =</w:t>
              <w:tab/>
              <w:noBreakHyphen/>
              <w:t>114 dBm</w:t>
            </w:r>
          </w:p>
        </w:tc>
      </w:tr>
      <w:tr>
        <w:trPr/>
        <w:tc>
          <w:tcPr>
            <w:tcW w:w="5988"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 0:</w:t>
              <w:tab/>
              <w:t>All power levels are at the antenna connector of the equipment.</w:t>
            </w:r>
          </w:p>
          <w:p>
            <w:pPr>
              <w:pStyle w:val="TAN"/>
              <w:rPr>
                <w:lang w:val="en-GB"/>
              </w:rPr>
            </w:pPr>
            <w:r>
              <w:rPr>
                <w:lang w:val="en-GB"/>
              </w:rPr>
              <w:t>NOTE 1:</w:t>
              <w:tab/>
              <w:t>As defined in GSM 05.05, a small UIC MS pertains to power class 4 or 5 (i.e. max 2W) and is not designed to be vehicle mounted.</w:t>
            </w:r>
          </w:p>
          <w:p>
            <w:pPr>
              <w:pStyle w:val="TAN"/>
              <w:rPr/>
            </w:pPr>
            <w:r>
              <w:rPr>
                <w:lang w:val="en-GB"/>
              </w:rPr>
              <w:t>NOTE 2:</w:t>
              <w:tab/>
              <w:t>For GSM sMS a body loss of 10 dB is assumed, in line with recent experiences and measurements. The lower value of 3 dB assumed for UIC sMS may reflect a typical use, being carried on the body rather than held at the head. By the way, this is also the value given in GSM 03.30.</w:t>
            </w:r>
          </w:p>
          <w:p>
            <w:pPr>
              <w:pStyle w:val="TAN"/>
              <w:rPr>
                <w:lang w:val="en-GB"/>
              </w:rPr>
            </w:pPr>
            <w:r>
              <w:rPr>
                <w:lang w:val="en-GB"/>
              </w:rPr>
              <w:t>NOTE 3:</w:t>
              <w:tab/>
              <w:t>For UIC base stations, especially serving high speed line sections, it is likely that high directivity antennas with a correspondingly high gain will be used to provide the required high grade and quality of coverage.</w:t>
            </w:r>
          </w:p>
          <w:p>
            <w:pPr>
              <w:pStyle w:val="TAN"/>
              <w:rPr/>
            </w:pPr>
            <w:r>
              <w:rPr>
                <w:lang w:val="en-GB"/>
              </w:rPr>
              <w:t>NOTE 4:</w:t>
              <w:tab/>
              <w:t>BTS RX diversity has not been considered. If this should be the case the BTS transmit power should be increased about 3 dB.</w:t>
            </w:r>
          </w:p>
          <w:p>
            <w:pPr>
              <w:pStyle w:val="TAN"/>
              <w:rPr>
                <w:lang w:val="en-GB"/>
              </w:rPr>
            </w:pPr>
            <w:r>
              <w:rPr>
                <w:lang w:val="en-GB"/>
              </w:rPr>
              <w:t>NOTE 5:</w:t>
              <w:tab/>
              <w:t>In receiver bandwidth: Assume 200 kHz.</w:t>
            </w:r>
          </w:p>
          <w:p>
            <w:pPr>
              <w:pStyle w:val="TAN"/>
              <w:rPr/>
            </w:pPr>
            <w:r>
              <w:rPr>
                <w:lang w:val="en-GB"/>
              </w:rPr>
              <w:t>NOTE 6:</w:t>
              <w:tab/>
              <w:t>For a noise limited system, the GSM reference sensitivity is not valid if the receiver is exposed to interference at the same time, nor is the 9 dB C/I ratio valid at the sensitivity limit. Thus a 3 db interference degradation margin is added in the worst case analysis in accordance with GSM 03.30. This is a compromise value, that allows a slight desensitisation of the victim in the case of interference.</w:t>
            </w:r>
          </w:p>
        </w:tc>
      </w:tr>
    </w:tbl>
    <w:p>
      <w:pPr>
        <w:pStyle w:val="FP"/>
        <w:rPr/>
      </w:pPr>
      <w:r>
        <w:rPr/>
      </w:r>
    </w:p>
    <w:p>
      <w:pPr>
        <w:pStyle w:val="Heading2"/>
        <w:rPr/>
      </w:pPr>
      <w:bookmarkStart w:id="313" w:name="__RefHeading___Toc518035747"/>
      <w:bookmarkEnd w:id="313"/>
      <w:r>
        <w:rPr/>
        <w:t>H.3.4</w:t>
        <w:tab/>
        <w:t>Minimum Coupling Loss</w:t>
      </w:r>
    </w:p>
    <w:p>
      <w:pPr>
        <w:pStyle w:val="Normal"/>
        <w:rPr/>
      </w:pPr>
      <w:r>
        <w:rPr/>
        <w:t>The minimum coupling loss is calculated assuming free space path loss at 900 MHz (31,5 dB + 20l og(d) [m]), a reasonable assumption for the close proximity scenarios in question.</w:t>
      </w:r>
    </w:p>
    <w:p>
      <w:pPr>
        <w:pStyle w:val="Normal"/>
        <w:rPr/>
      </w:pPr>
      <w:r>
        <w:rPr/>
        <w:t>For all MS to BTS scenarios, as a simple assumption, the minimum coupling loss is assumed to be at a downward angle of 30 deg. off bore sight (i.e. double the vertical distance) with a reduced BTS antenna gain as given above.</w:t>
      </w:r>
    </w:p>
    <w:p>
      <w:pPr>
        <w:pStyle w:val="TH"/>
        <w:rPr/>
      </w:pPr>
      <w:r>
        <w:rPr/>
      </w:r>
    </w:p>
    <w:tbl>
      <w:tblPr>
        <w:tblW w:w="6729" w:type="dxa"/>
        <w:jc w:val="center"/>
        <w:tblInd w:w="0" w:type="dxa"/>
        <w:tblLayout w:type="fixed"/>
        <w:tblCellMar>
          <w:top w:w="0" w:type="dxa"/>
          <w:left w:w="70" w:type="dxa"/>
          <w:bottom w:w="0" w:type="dxa"/>
          <w:right w:w="70" w:type="dxa"/>
        </w:tblCellMar>
      </w:tblPr>
      <w:tblGrid>
        <w:gridCol w:w="1024"/>
        <w:gridCol w:w="1160"/>
        <w:gridCol w:w="1160"/>
        <w:gridCol w:w="650"/>
        <w:gridCol w:w="605"/>
        <w:gridCol w:w="740"/>
        <w:gridCol w:w="740"/>
        <w:gridCol w:w="650"/>
      </w:tblGrid>
      <w:tr>
        <w:trPr>
          <w:tblHeader w:val="true"/>
        </w:trPr>
        <w:tc>
          <w:tcPr>
            <w:tcW w:w="102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Scenario</w:t>
            </w:r>
          </w:p>
        </w:tc>
        <w:tc>
          <w:tcPr>
            <w:tcW w:w="11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Equipm#1</w:t>
            </w:r>
          </w:p>
        </w:tc>
        <w:tc>
          <w:tcPr>
            <w:tcW w:w="11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Equipm#2</w:t>
            </w:r>
          </w:p>
        </w:tc>
        <w:tc>
          <w:tcPr>
            <w:tcW w:w="65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Dist.</w:t>
              <w:br/>
              <w:t>m</w:t>
            </w:r>
          </w:p>
        </w:tc>
        <w:tc>
          <w:tcPr>
            <w:tcW w:w="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FPL</w:t>
              <w:br/>
              <w:t>dB</w:t>
            </w:r>
          </w:p>
        </w:tc>
        <w:tc>
          <w:tcPr>
            <w:tcW w:w="7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AG#1</w:t>
              <w:br/>
              <w:t>dB</w:t>
            </w:r>
          </w:p>
        </w:tc>
        <w:tc>
          <w:tcPr>
            <w:tcW w:w="7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AG#2</w:t>
              <w:br/>
              <w:t>dB</w:t>
            </w:r>
          </w:p>
        </w:tc>
        <w:tc>
          <w:tcPr>
            <w:tcW w:w="65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MCL</w:t>
              <w:br/>
              <w:t>dB</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&amp; 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52</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66</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&amp; 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57</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67</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r>
      <w:tr>
        <w:trPr/>
        <w:tc>
          <w:tcPr>
            <w:tcW w:w="6729"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38</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34</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45</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46</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38</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44</w:t>
            </w:r>
          </w:p>
        </w:tc>
      </w:tr>
      <w:tr>
        <w:trPr/>
        <w:tc>
          <w:tcPr>
            <w:tcW w:w="6729"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2735" w:type="dxa"/>
            <w:gridSpan w:val="4"/>
            <w:tcBorders>
              <w:top w:val="single" w:sz="4" w:space="0" w:color="000000"/>
              <w:left w:val="single" w:sz="4" w:space="0" w:color="000000"/>
              <w:bottom w:val="single" w:sz="4" w:space="0" w:color="000000"/>
              <w:right w:val="single" w:sz="4" w:space="0" w:color="000000"/>
            </w:tcBorders>
          </w:tcPr>
          <w:p>
            <w:pPr>
              <w:pStyle w:val="TAC"/>
              <w:rPr/>
            </w:pPr>
            <w:r>
              <w:rPr>
                <w:lang w:val="en-GB"/>
              </w:rPr>
              <w:t>—</w:t>
            </w:r>
            <w:r>
              <w:rPr>
                <w:rFonts w:eastAsia="Arial"/>
                <w:lang w:val="en-GB"/>
              </w:rPr>
              <w:t xml:space="preserve"> </w:t>
            </w:r>
            <w:r>
              <w:rPr>
                <w:lang w:val="en-GB"/>
              </w:rPr>
              <w:t>as for GSM</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r>
      <w:tr>
        <w:trPr/>
        <w:tc>
          <w:tcPr>
            <w:tcW w:w="6729" w:type="dxa"/>
            <w:gridSpan w:val="8"/>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57</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67</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65</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57</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67</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10</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52</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66</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57</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67</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r>
      <w:tr>
        <w:trPr/>
        <w:tc>
          <w:tcPr>
            <w:tcW w:w="6729"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58</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45</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10</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53</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w:t>
            </w:r>
          </w:p>
        </w:tc>
        <w:tc>
          <w:tcPr>
            <w:tcW w:w="60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58</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605" w:type="dxa"/>
            <w:tcBorders>
              <w:top w:val="single" w:sz="4" w:space="0" w:color="000000"/>
              <w:left w:val="single" w:sz="4" w:space="0" w:color="000000"/>
              <w:bottom w:val="single" w:sz="4" w:space="0" w:color="000000"/>
              <w:right w:val="single" w:sz="4" w:space="0" w:color="000000"/>
            </w:tcBorders>
          </w:tcPr>
          <w:p>
            <w:pPr>
              <w:pStyle w:val="TAC"/>
              <w:rPr/>
            </w:pPr>
            <w:r>
              <w:rPr>
                <w:lang w:val="en-GB"/>
              </w:rPr>
              <w:t>38</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w:t>
            </w:r>
          </w:p>
        </w:tc>
        <w:tc>
          <w:tcPr>
            <w:tcW w:w="7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10</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51</w:t>
            </w:r>
          </w:p>
        </w:tc>
      </w:tr>
      <w:tr>
        <w:trPr/>
        <w:tc>
          <w:tcPr>
            <w:tcW w:w="6729"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02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2735" w:type="dxa"/>
            <w:gridSpan w:val="4"/>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w:t>
            </w:r>
            <w:r>
              <w:rPr>
                <w:rFonts w:eastAsia="Arial"/>
                <w:lang w:val="en-GB"/>
              </w:rPr>
              <w:t xml:space="preserve"> </w:t>
            </w:r>
            <w:r>
              <w:rPr>
                <w:lang w:val="en-GB"/>
              </w:rPr>
              <w:t>see section 3.1</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r>
    </w:tbl>
    <w:p>
      <w:pPr>
        <w:pStyle w:val="FP"/>
        <w:rPr/>
      </w:pPr>
      <w:r>
        <w:rPr/>
      </w:r>
    </w:p>
    <w:p>
      <w:pPr>
        <w:pStyle w:val="Heading2"/>
        <w:rPr/>
      </w:pPr>
      <w:bookmarkStart w:id="314" w:name="__RefHeading___Toc518035748"/>
      <w:bookmarkEnd w:id="314"/>
      <w:r>
        <w:rPr/>
        <w:t>H.3.5</w:t>
        <w:tab/>
        <w:t>Interference margins</w:t>
      </w:r>
    </w:p>
    <w:p>
      <w:pPr>
        <w:pStyle w:val="Normal"/>
        <w:rPr/>
      </w:pPr>
      <w:r>
        <w:rPr/>
        <w:t>A Multiple Interferers Margin (MIM) of 6 dB is introduced to tighten the scenarios requirements where GSM base stations are the source of interference, to take into account their multiple and continuous carriers. The likelihood of multiple close proximity mobiles active on overlapping timeslots is considered rather small, so no MIM applies for mobiles producing interference. Also for interfering UIC base stations no MIM applies, considering the low number of carriers.</w:t>
      </w:r>
    </w:p>
    <w:p>
      <w:pPr>
        <w:pStyle w:val="Normal"/>
        <w:rPr/>
      </w:pPr>
      <w:r>
        <w:rPr/>
        <w:t>However, no MIM shall apply for scenario requirements for blocking, which is considered a non</w:t>
        <w:noBreakHyphen/>
        <w:t>additive narrow band phenomenon.</w:t>
      </w:r>
    </w:p>
    <w:p>
      <w:pPr>
        <w:pStyle w:val="Heading2"/>
        <w:rPr/>
      </w:pPr>
      <w:bookmarkStart w:id="315" w:name="__RefHeading___Toc518035749"/>
      <w:bookmarkEnd w:id="315"/>
      <w:r>
        <w:rPr/>
        <w:t>H.3.6</w:t>
        <w:tab/>
        <w:t>Differences between E- and P-GSM</w:t>
      </w:r>
    </w:p>
    <w:p>
      <w:pPr>
        <w:pStyle w:val="Normal"/>
        <w:rPr/>
      </w:pPr>
      <w:r>
        <w:rPr/>
        <w:t>Concluding the above determination of scenarios and parameters, it may be noted that no differences apply between E</w:t>
        <w:noBreakHyphen/>
        <w:t> and P</w:t>
        <w:noBreakHyphen/>
        <w:t>GSM as regards co</w:t>
        <w:noBreakHyphen/>
        <w:t>existence scenarios with UIC.</w:t>
      </w:r>
    </w:p>
    <w:p>
      <w:pPr>
        <w:pStyle w:val="Heading1"/>
        <w:ind w:left="1134" w:hanging="1134"/>
        <w:rPr/>
      </w:pPr>
      <w:bookmarkStart w:id="316" w:name="__RefHeading___Toc518035750"/>
      <w:bookmarkEnd w:id="316"/>
      <w:r>
        <w:rPr/>
        <w:t>H4</w:t>
        <w:tab/>
        <w:t>Transmitter requirements</w:t>
      </w:r>
    </w:p>
    <w:p>
      <w:pPr>
        <w:pStyle w:val="Normal"/>
        <w:rPr/>
      </w:pPr>
      <w:r>
        <w:rPr/>
        <w:t>If not otherwise stated, the max emissions level allowed from an interference source for a given scenario is calculated as follows:</w:t>
      </w:r>
    </w:p>
    <w:p>
      <w:pPr>
        <w:pStyle w:val="B1"/>
        <w:tabs>
          <w:tab w:val="clear" w:pos="284"/>
          <w:tab w:val="left" w:pos="2835" w:leader="none"/>
        </w:tabs>
        <w:rPr/>
      </w:pPr>
      <w:r>
        <w:rPr/>
        <w:t>=</w:t>
        <w:tab/>
        <w:t>Victim interference limit</w:t>
        <w:tab/>
        <w:t>(see subclause 3.3)</w:t>
      </w:r>
    </w:p>
    <w:p>
      <w:pPr>
        <w:pStyle w:val="B1"/>
        <w:tabs>
          <w:tab w:val="clear" w:pos="284"/>
          <w:tab w:val="left" w:pos="2835" w:leader="none"/>
        </w:tabs>
        <w:rPr/>
      </w:pPr>
      <w:r>
        <w:rPr/>
        <w:tab/>
        <w:t>+MCL</w:t>
        <w:tab/>
        <w:t>(see subclause 3.4)</w:t>
      </w:r>
    </w:p>
    <w:p>
      <w:pPr>
        <w:pStyle w:val="B1"/>
        <w:tabs>
          <w:tab w:val="clear" w:pos="284"/>
          <w:tab w:val="left" w:pos="2835" w:leader="none"/>
        </w:tabs>
        <w:rPr/>
      </w:pPr>
      <w:r>
        <w:rPr/>
        <w:tab/>
        <w:noBreakHyphen/>
        <w:t>MIM</w:t>
        <w:tab/>
        <w:t>(see subclause 3.5)</w:t>
      </w:r>
    </w:p>
    <w:p>
      <w:pPr>
        <w:pStyle w:val="TH"/>
        <w:rPr/>
      </w:pPr>
      <w:r>
        <w:rPr/>
      </w:r>
    </w:p>
    <w:tbl>
      <w:tblPr>
        <w:tblW w:w="6840" w:type="dxa"/>
        <w:jc w:val="center"/>
        <w:tblInd w:w="0" w:type="dxa"/>
        <w:tblLayout w:type="fixed"/>
        <w:tblCellMar>
          <w:top w:w="0" w:type="dxa"/>
          <w:left w:w="70" w:type="dxa"/>
          <w:bottom w:w="0" w:type="dxa"/>
          <w:right w:w="70" w:type="dxa"/>
        </w:tblCellMar>
      </w:tblPr>
      <w:tblGrid>
        <w:gridCol w:w="913"/>
        <w:gridCol w:w="1160"/>
        <w:gridCol w:w="1506"/>
        <w:gridCol w:w="694"/>
        <w:gridCol w:w="581"/>
        <w:gridCol w:w="709"/>
        <w:gridCol w:w="544"/>
        <w:gridCol w:w="733"/>
      </w:tblGrid>
      <w:tr>
        <w:trPr>
          <w:tblHeader w:val="true"/>
        </w:trPr>
        <w:tc>
          <w:tcPr>
            <w:tcW w:w="91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Scenario</w:t>
            </w:r>
          </w:p>
        </w:tc>
        <w:tc>
          <w:tcPr>
            <w:tcW w:w="116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Source</w:t>
            </w:r>
          </w:p>
        </w:tc>
        <w:tc>
          <w:tcPr>
            <w:tcW w:w="1506"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Victim</w:t>
            </w:r>
          </w:p>
        </w:tc>
        <w:tc>
          <w:tcPr>
            <w:tcW w:w="69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Intf.</w:t>
              <w:br/>
              <w:t>limit</w:t>
            </w:r>
          </w:p>
        </w:tc>
        <w:tc>
          <w:tcPr>
            <w:tcW w:w="58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MCL</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MIM</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Max</w:t>
            </w:r>
          </w:p>
          <w:p>
            <w:pPr>
              <w:pStyle w:val="TAH"/>
              <w:rPr>
                <w:lang w:eastAsia="en-US"/>
              </w:rPr>
            </w:pPr>
            <w:r>
              <w:rPr>
                <w:lang w:eastAsia="en-US"/>
              </w:rPr>
              <w:t>emissions</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82</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60</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114</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52</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65</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51</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60</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114</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53</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41</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53</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63</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114</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51</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63</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76</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65</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51</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114</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39</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86</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7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Note</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73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Note</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54</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60</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506" w:type="dxa"/>
            <w:tcBorders>
              <w:top w:val="single" w:sz="4" w:space="0" w:color="000000"/>
              <w:left w:val="single" w:sz="4" w:space="0" w:color="000000"/>
              <w:bottom w:val="single" w:sz="4" w:space="0" w:color="000000"/>
              <w:right w:val="single" w:sz="4" w:space="0" w:color="000000"/>
            </w:tcBorders>
          </w:tcPr>
          <w:p>
            <w:pPr>
              <w:pStyle w:val="TAL"/>
              <w:rPr/>
            </w:pPr>
            <w:r>
              <w:rPr>
                <w:lang w:val="en-GB"/>
              </w:rPr>
              <w:t>GSM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114</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53</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61</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54</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82</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114</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46</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68</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48</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55</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114</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51</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63</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pPr>
            <w:r>
              <w:rPr>
                <w:lang w:val="en-GB"/>
              </w:rPr>
              <w:noBreakHyphen/>
            </w:r>
            <w:r>
              <w:rPr>
                <w:lang w:val="en-GB"/>
              </w:rPr>
              <w:t>48</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116</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46</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70</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1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114</w:t>
            </w:r>
          </w:p>
        </w:tc>
        <w:tc>
          <w:tcPr>
            <w:tcW w:w="5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44</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70</w:t>
            </w:r>
          </w:p>
        </w:tc>
        <w:tc>
          <w:tcPr>
            <w:tcW w:w="733"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6840" w:type="dxa"/>
            <w:gridSpan w:val="8"/>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Max BTS emissions allowed onto another downlink:</w:t>
            </w:r>
          </w:p>
          <w:p>
            <w:pPr>
              <w:pStyle w:val="TAN"/>
              <w:rPr>
                <w:lang w:val="en-GB"/>
              </w:rPr>
            </w:pPr>
            <w:r>
              <w:rPr>
                <w:lang w:val="en-GB"/>
              </w:rPr>
              <w:tab/>
              <w:t xml:space="preserve">= min BTS output power on the other downlink </w:t>
              <w:noBreakHyphen/>
              <w:t xml:space="preserve"> C/I </w:t>
              <w:noBreakHyphen/>
              <w:t xml:space="preserve"> MIM</w:t>
            </w:r>
          </w:p>
          <w:p>
            <w:pPr>
              <w:pStyle w:val="TAN"/>
              <w:rPr>
                <w:lang w:val="en-GB"/>
              </w:rPr>
            </w:pPr>
            <w:r>
              <w:rPr>
                <w:lang w:val="en-GB"/>
              </w:rPr>
              <w:tab/>
              <w:t xml:space="preserve">= Source output power </w:t>
              <w:noBreakHyphen/>
              <w:t xml:space="preserve"> Power control range </w:t>
              <w:noBreakHyphen/>
              <w:t xml:space="preserve"> C/I = 39 </w:t>
              <w:noBreakHyphen/>
              <w:t xml:space="preserve"> 30 </w:t>
              <w:noBreakHyphen/>
              <w:t xml:space="preserve"> 9</w:t>
            </w:r>
          </w:p>
          <w:p>
            <w:pPr>
              <w:pStyle w:val="TAN"/>
              <w:rPr/>
            </w:pPr>
            <w:r>
              <w:rPr>
                <w:lang w:val="en-GB"/>
              </w:rPr>
              <w:tab/>
              <w:t>= 0dBm</w:t>
            </w:r>
          </w:p>
        </w:tc>
      </w:tr>
    </w:tbl>
    <w:p>
      <w:pPr>
        <w:pStyle w:val="FP"/>
        <w:rPr/>
      </w:pPr>
      <w:r>
        <w:rPr/>
      </w:r>
    </w:p>
    <w:p>
      <w:pPr>
        <w:pStyle w:val="Heading2"/>
        <w:rPr/>
      </w:pPr>
      <w:bookmarkStart w:id="317" w:name="__RefHeading___Toc518035751"/>
      <w:bookmarkEnd w:id="317"/>
      <w:r>
        <w:rPr/>
        <w:t>H.4.1</w:t>
        <w:tab/>
        <w:t>Transmitter requirements summary</w:t>
      </w:r>
    </w:p>
    <w:p>
      <w:pPr>
        <w:pStyle w:val="Normal"/>
        <w:rPr/>
      </w:pPr>
      <w:r>
        <w:rPr/>
        <w:t>From the results above, selecting the more stringent requirement where either MS or sMS is involved at the other end of an interference link, the following table summarises the maximum allowed unwanted emissions of the equipments in order to meet the scenarios, measured in dBm in a 200 kHz bandwidth.</w:t>
      </w:r>
    </w:p>
    <w:p>
      <w:pPr>
        <w:pStyle w:val="TH"/>
        <w:rPr/>
      </w:pPr>
      <w:r>
        <w:rPr/>
      </w:r>
    </w:p>
    <w:tbl>
      <w:tblPr>
        <w:tblW w:w="5740" w:type="dxa"/>
        <w:jc w:val="center"/>
        <w:tblInd w:w="0" w:type="dxa"/>
        <w:tblLayout w:type="fixed"/>
        <w:tblCellMar>
          <w:top w:w="0" w:type="dxa"/>
          <w:left w:w="70" w:type="dxa"/>
          <w:bottom w:w="0" w:type="dxa"/>
          <w:right w:w="70" w:type="dxa"/>
        </w:tblCellMar>
      </w:tblPr>
      <w:tblGrid>
        <w:gridCol w:w="1346"/>
        <w:gridCol w:w="851"/>
        <w:gridCol w:w="1233"/>
        <w:gridCol w:w="1035"/>
        <w:gridCol w:w="1275"/>
      </w:tblGrid>
      <w:tr>
        <w:trPr/>
        <w:tc>
          <w:tcPr>
            <w:tcW w:w="1346" w:type="dxa"/>
            <w:tcBorders/>
          </w:tcPr>
          <w:p>
            <w:pPr>
              <w:pStyle w:val="TAH"/>
              <w:snapToGrid w:val="false"/>
              <w:rPr>
                <w:lang w:eastAsia="en-US"/>
              </w:rPr>
            </w:pPr>
            <w:r>
              <w:rPr>
                <w:lang w:eastAsia="en-US"/>
              </w:rPr>
            </w:r>
          </w:p>
        </w:tc>
        <w:tc>
          <w:tcPr>
            <w:tcW w:w="2084"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(Victim uplinks)</w:t>
            </w:r>
          </w:p>
        </w:tc>
        <w:tc>
          <w:tcPr>
            <w:tcW w:w="2310"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(Victim downlinks)</w:t>
            </w:r>
          </w:p>
        </w:tc>
      </w:tr>
      <w:tr>
        <w:trPr/>
        <w:tc>
          <w:tcPr>
            <w:tcW w:w="1346" w:type="dxa"/>
            <w:tcBorders/>
          </w:tcPr>
          <w:p>
            <w:pPr>
              <w:pStyle w:val="TAH"/>
              <w:snapToGrid w:val="false"/>
              <w:rPr>
                <w:lang w:eastAsia="en-US"/>
              </w:rPr>
            </w:pPr>
            <w:r>
              <w:rPr>
                <w:lang w:eastAsia="en-US"/>
              </w:rPr>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UIC</w:t>
            </w:r>
          </w:p>
        </w:tc>
        <w:tc>
          <w:tcPr>
            <w:tcW w:w="123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w:t>
            </w:r>
          </w:p>
        </w:tc>
        <w:tc>
          <w:tcPr>
            <w:tcW w:w="10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UIC</w:t>
            </w:r>
          </w:p>
        </w:tc>
        <w:tc>
          <w:tcPr>
            <w:tcW w:w="127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w:t>
            </w:r>
          </w:p>
        </w:tc>
      </w:tr>
      <w:tr>
        <w:trPr/>
        <w:tc>
          <w:tcPr>
            <w:tcW w:w="1346" w:type="dxa"/>
            <w:tcBorders/>
          </w:tcPr>
          <w:p>
            <w:pPr>
              <w:pStyle w:val="TAC"/>
              <w:snapToGrid w:val="false"/>
              <w:rPr>
                <w:lang w:val="en-GB" w:eastAsia="en-US"/>
              </w:rPr>
            </w:pPr>
            <w:r>
              <w:rPr>
                <w:lang w:val="en-GB" w:eastAsia="en-US"/>
              </w:rPr>
            </w:r>
          </w:p>
        </w:tc>
        <w:tc>
          <w:tcPr>
            <w:tcW w:w="851" w:type="dxa"/>
            <w:tcBorders>
              <w:top w:val="single" w:sz="6" w:space="0" w:color="000000"/>
              <w:left w:val="single" w:sz="6" w:space="0" w:color="000000"/>
              <w:right w:val="single" w:sz="6" w:space="0" w:color="000000"/>
            </w:tcBorders>
          </w:tcPr>
          <w:p>
            <w:pPr>
              <w:pStyle w:val="TAC"/>
              <w:rPr>
                <w:lang w:val="en-GB"/>
              </w:rPr>
            </w:pPr>
            <w:r>
              <w:rPr>
                <w:lang w:val="en-GB"/>
              </w:rPr>
              <w:t>876</w:t>
            </w:r>
          </w:p>
        </w:tc>
        <w:tc>
          <w:tcPr>
            <w:tcW w:w="1233" w:type="dxa"/>
            <w:tcBorders>
              <w:top w:val="single" w:sz="6" w:space="0" w:color="000000"/>
              <w:left w:val="single" w:sz="6" w:space="0" w:color="000000"/>
              <w:right w:val="single" w:sz="6" w:space="0" w:color="000000"/>
            </w:tcBorders>
          </w:tcPr>
          <w:p>
            <w:pPr>
              <w:pStyle w:val="TAC"/>
              <w:rPr>
                <w:lang w:val="en-GB"/>
              </w:rPr>
            </w:pPr>
            <w:r>
              <w:rPr>
                <w:lang w:val="en-GB"/>
              </w:rPr>
              <w:t>(880) 890</w:t>
            </w:r>
          </w:p>
        </w:tc>
        <w:tc>
          <w:tcPr>
            <w:tcW w:w="1035" w:type="dxa"/>
            <w:tcBorders>
              <w:top w:val="single" w:sz="6" w:space="0" w:color="000000"/>
              <w:left w:val="single" w:sz="6" w:space="0" w:color="000000"/>
              <w:right w:val="single" w:sz="6" w:space="0" w:color="000000"/>
            </w:tcBorders>
          </w:tcPr>
          <w:p>
            <w:pPr>
              <w:pStyle w:val="TAC"/>
              <w:rPr>
                <w:lang w:val="en-GB"/>
              </w:rPr>
            </w:pPr>
            <w:r>
              <w:rPr>
                <w:lang w:val="en-GB"/>
              </w:rPr>
              <w:t>921</w:t>
            </w:r>
          </w:p>
        </w:tc>
        <w:tc>
          <w:tcPr>
            <w:tcW w:w="1275" w:type="dxa"/>
            <w:tcBorders>
              <w:top w:val="single" w:sz="6" w:space="0" w:color="000000"/>
              <w:left w:val="single" w:sz="6" w:space="0" w:color="000000"/>
              <w:right w:val="single" w:sz="6" w:space="0" w:color="000000"/>
            </w:tcBorders>
          </w:tcPr>
          <w:p>
            <w:pPr>
              <w:pStyle w:val="TAC"/>
              <w:rPr>
                <w:lang w:val="en-GB"/>
              </w:rPr>
            </w:pPr>
            <w:r>
              <w:rPr>
                <w:lang w:val="en-GB"/>
              </w:rPr>
              <w:t>(925) 935</w:t>
            </w:r>
          </w:p>
        </w:tc>
      </w:tr>
      <w:tr>
        <w:trPr/>
        <w:tc>
          <w:tcPr>
            <w:tcW w:w="1346" w:type="dxa"/>
            <w:tcBorders/>
          </w:tcPr>
          <w:p>
            <w:pPr>
              <w:pStyle w:val="TAC"/>
              <w:snapToGrid w:val="false"/>
              <w:rPr>
                <w:lang w:val="en-GB"/>
              </w:rPr>
            </w:pPr>
            <w:r>
              <w:rPr>
                <w:lang w:val="en-GB"/>
              </w:rPr>
            </w:r>
          </w:p>
        </w:tc>
        <w:tc>
          <w:tcPr>
            <w:tcW w:w="851"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880</w:t>
            </w:r>
          </w:p>
        </w:tc>
        <w:tc>
          <w:tcPr>
            <w:tcW w:w="1233"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915</w:t>
            </w:r>
          </w:p>
        </w:tc>
        <w:tc>
          <w:tcPr>
            <w:tcW w:w="1035"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925</w:t>
            </w:r>
          </w:p>
        </w:tc>
        <w:tc>
          <w:tcPr>
            <w:tcW w:w="1275"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960 MHz</w:t>
            </w:r>
          </w:p>
        </w:tc>
      </w:tr>
      <w:tr>
        <w:trPr/>
        <w:tc>
          <w:tcPr>
            <w:tcW w:w="1346" w:type="dxa"/>
            <w:tcBorders/>
          </w:tcPr>
          <w:p>
            <w:pPr>
              <w:pStyle w:val="TAL"/>
              <w:rPr>
                <w:lang w:val="en-GB"/>
              </w:rPr>
            </w:pPr>
            <w:r>
              <w:rPr>
                <w:lang w:val="en-GB"/>
              </w:rPr>
              <w:t>(Source:)</w:t>
            </w:r>
          </w:p>
        </w:tc>
        <w:tc>
          <w:tcPr>
            <w:tcW w:w="851" w:type="dxa"/>
            <w:tcBorders/>
          </w:tcPr>
          <w:p>
            <w:pPr>
              <w:pStyle w:val="TAC"/>
              <w:snapToGrid w:val="false"/>
              <w:rPr>
                <w:lang w:val="en-GB"/>
              </w:rPr>
            </w:pPr>
            <w:r>
              <w:rPr>
                <w:lang w:val="en-GB"/>
              </w:rPr>
            </w:r>
          </w:p>
        </w:tc>
        <w:tc>
          <w:tcPr>
            <w:tcW w:w="1233" w:type="dxa"/>
            <w:tcBorders/>
          </w:tcPr>
          <w:p>
            <w:pPr>
              <w:pStyle w:val="TAC"/>
              <w:snapToGrid w:val="false"/>
              <w:rPr>
                <w:lang w:val="en-GB"/>
              </w:rPr>
            </w:pPr>
            <w:r>
              <w:rPr>
                <w:lang w:val="en-GB"/>
              </w:rPr>
            </w:r>
          </w:p>
        </w:tc>
        <w:tc>
          <w:tcPr>
            <w:tcW w:w="1035" w:type="dxa"/>
            <w:tcBorders/>
          </w:tcPr>
          <w:p>
            <w:pPr>
              <w:pStyle w:val="TAC"/>
              <w:snapToGrid w:val="false"/>
              <w:rPr>
                <w:lang w:val="en-GB"/>
              </w:rPr>
            </w:pPr>
            <w:r>
              <w:rPr>
                <w:lang w:val="en-GB"/>
              </w:rPr>
            </w:r>
          </w:p>
        </w:tc>
        <w:tc>
          <w:tcPr>
            <w:tcW w:w="1275" w:type="dxa"/>
            <w:tcBorders/>
          </w:tcPr>
          <w:p>
            <w:pPr>
              <w:pStyle w:val="TAC"/>
              <w:snapToGrid w:val="false"/>
              <w:rPr>
                <w:lang w:val="en-GB"/>
              </w:rPr>
            </w:pPr>
            <w:r>
              <w:rPr>
                <w:lang w:val="en-GB"/>
              </w:rPr>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BTS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86</w:t>
            </w:r>
          </w:p>
        </w:tc>
        <w:tc>
          <w:tcPr>
            <w:tcW w:w="12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76</w:t>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27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51</w:t>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MS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54</w:t>
            </w:r>
          </w:p>
        </w:tc>
        <w:tc>
          <w:tcPr>
            <w:tcW w:w="12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54</w:t>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82</w:t>
            </w:r>
          </w:p>
        </w:tc>
        <w:tc>
          <w:tcPr>
            <w:tcW w:w="127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61</w:t>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sMS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48</w:t>
            </w:r>
          </w:p>
        </w:tc>
        <w:tc>
          <w:tcPr>
            <w:tcW w:w="12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48</w:t>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70</w:t>
            </w:r>
          </w:p>
        </w:tc>
        <w:tc>
          <w:tcPr>
            <w:tcW w:w="127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63</w:t>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GSM BTS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82</w:t>
            </w:r>
          </w:p>
        </w:tc>
        <w:tc>
          <w:tcPr>
            <w:tcW w:w="1233"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60</w:t>
            </w:r>
          </w:p>
        </w:tc>
        <w:tc>
          <w:tcPr>
            <w:tcW w:w="1275"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GSM MS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51</w:t>
            </w:r>
          </w:p>
        </w:tc>
        <w:tc>
          <w:tcPr>
            <w:tcW w:w="1233"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60</w:t>
            </w:r>
          </w:p>
        </w:tc>
        <w:tc>
          <w:tcPr>
            <w:tcW w:w="1275"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GSM sMS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41</w:t>
            </w:r>
          </w:p>
        </w:tc>
        <w:tc>
          <w:tcPr>
            <w:tcW w:w="1233"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63</w:t>
            </w:r>
          </w:p>
        </w:tc>
        <w:tc>
          <w:tcPr>
            <w:tcW w:w="1275"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bl>
    <w:p>
      <w:pPr>
        <w:pStyle w:val="FP"/>
        <w:rPr/>
      </w:pPr>
      <w:r>
        <w:rPr/>
      </w:r>
    </w:p>
    <w:p>
      <w:pPr>
        <w:pStyle w:val="Heading1"/>
        <w:ind w:left="1134" w:hanging="1134"/>
        <w:rPr/>
      </w:pPr>
      <w:bookmarkStart w:id="318" w:name="__RefHeading___Toc518035752"/>
      <w:bookmarkEnd w:id="318"/>
      <w:r>
        <w:rPr/>
        <w:t>H.5</w:t>
        <w:tab/>
        <w:t>Receiver requirements</w:t>
      </w:r>
    </w:p>
    <w:p>
      <w:pPr>
        <w:pStyle w:val="Normal"/>
        <w:rPr/>
      </w:pPr>
      <w:r>
        <w:rPr/>
        <w:t>Applicable to blocking requirements, if not otherwise stated, the max exposure (off</w:t>
        <w:noBreakHyphen/>
        <w:t>channel) signal level presented to a victim for a given scenario is calculated as follows:</w:t>
      </w:r>
    </w:p>
    <w:p>
      <w:pPr>
        <w:pStyle w:val="B1"/>
        <w:tabs>
          <w:tab w:val="clear" w:pos="284"/>
          <w:tab w:val="left" w:pos="3402" w:leader="none"/>
        </w:tabs>
        <w:rPr/>
      </w:pPr>
      <w:r>
        <w:rPr/>
        <w:t>=</w:t>
        <w:tab/>
        <w:t>Interference source output power</w:t>
        <w:tab/>
        <w:t>(see subclause 3.3)</w:t>
      </w:r>
    </w:p>
    <w:p>
      <w:pPr>
        <w:pStyle w:val="B1"/>
        <w:tabs>
          <w:tab w:val="clear" w:pos="284"/>
          <w:tab w:val="left" w:pos="3402" w:leader="none"/>
        </w:tabs>
        <w:rPr/>
      </w:pPr>
      <w:r>
        <w:rPr/>
        <w:tab/>
        <w:noBreakHyphen/>
        <w:t xml:space="preserve"> MCL</w:t>
        <w:tab/>
        <w:t>(see subclause 3.4)</w:t>
      </w:r>
    </w:p>
    <w:p>
      <w:pPr>
        <w:pStyle w:val="TH"/>
        <w:rPr/>
      </w:pPr>
      <w:r>
        <w:rPr/>
      </w:r>
    </w:p>
    <w:tbl>
      <w:tblPr>
        <w:tblW w:w="6353" w:type="dxa"/>
        <w:jc w:val="center"/>
        <w:tblInd w:w="0" w:type="dxa"/>
        <w:tblLayout w:type="fixed"/>
        <w:tblCellMar>
          <w:top w:w="0" w:type="dxa"/>
          <w:left w:w="70" w:type="dxa"/>
          <w:bottom w:w="0" w:type="dxa"/>
          <w:right w:w="70" w:type="dxa"/>
        </w:tblCellMar>
      </w:tblPr>
      <w:tblGrid>
        <w:gridCol w:w="1171"/>
        <w:gridCol w:w="1160"/>
        <w:gridCol w:w="725"/>
        <w:gridCol w:w="1160"/>
        <w:gridCol w:w="650"/>
        <w:gridCol w:w="720"/>
        <w:gridCol w:w="767"/>
      </w:tblGrid>
      <w:tr>
        <w:trPr>
          <w:tblHeader w:val="true"/>
        </w:trPr>
        <w:tc>
          <w:tcPr>
            <w:tcW w:w="117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Scenario</w:t>
            </w:r>
          </w:p>
        </w:tc>
        <w:tc>
          <w:tcPr>
            <w:tcW w:w="116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Source</w:t>
            </w:r>
          </w:p>
        </w:tc>
        <w:tc>
          <w:tcPr>
            <w:tcW w:w="72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Outp.</w:t>
            </w:r>
          </w:p>
        </w:tc>
        <w:tc>
          <w:tcPr>
            <w:tcW w:w="1160" w:type="dxa"/>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t>Victim</w:t>
            </w:r>
          </w:p>
        </w:tc>
        <w:tc>
          <w:tcPr>
            <w:tcW w:w="650" w:type="dxa"/>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t>MCL</w:t>
            </w:r>
          </w:p>
        </w:tc>
        <w:tc>
          <w:tcPr>
            <w:tcW w:w="1487" w:type="dxa"/>
            <w:gridSpan w:val="2"/>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t>Max</w:t>
            </w:r>
          </w:p>
          <w:p>
            <w:pPr>
              <w:pStyle w:val="TAH"/>
              <w:rPr>
                <w:lang w:val="fr-FR" w:eastAsia="en-US"/>
              </w:rPr>
            </w:pPr>
            <w:r>
              <w:rPr>
                <w:lang w:val="fr-FR" w:eastAsia="en-US"/>
              </w:rPr>
              <w:t>exposure</w:t>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23</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35</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65</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26</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17</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28</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36</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53</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14</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51</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18</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65</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26</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75</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42</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57</w:t>
            </w:r>
          </w:p>
        </w:tc>
        <w:tc>
          <w:tcPr>
            <w:tcW w:w="7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Note</w:t>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63</w:t>
            </w:r>
          </w:p>
        </w:tc>
        <w:tc>
          <w:tcPr>
            <w:tcW w:w="7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Note</w:t>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23</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17</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53</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20</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62</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23</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34</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lang w:val="en-GB"/>
              </w:rPr>
              <w:t>UIC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46</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13</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29</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61</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22</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51</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18</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BTS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29</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39</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46</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7</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117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4bis</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7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33</w:t>
            </w:r>
          </w:p>
        </w:tc>
        <w:tc>
          <w:tcPr>
            <w:tcW w:w="11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 sMS</w:t>
            </w:r>
          </w:p>
        </w:tc>
        <w:tc>
          <w:tcPr>
            <w:tcW w:w="6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44</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noBreakHyphen/>
            </w:r>
            <w:r>
              <w:rPr>
                <w:lang w:val="en-GB"/>
              </w:rPr>
              <w:t>11</w:t>
            </w:r>
          </w:p>
        </w:tc>
        <w:tc>
          <w:tcPr>
            <w:tcW w:w="76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c>
          <w:tcPr>
            <w:tcW w:w="6353" w:type="dxa"/>
            <w:gridSpan w:val="7"/>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Power control is assumed.</w:t>
            </w:r>
          </w:p>
        </w:tc>
      </w:tr>
    </w:tbl>
    <w:p>
      <w:pPr>
        <w:pStyle w:val="FP"/>
        <w:rPr/>
      </w:pPr>
      <w:r>
        <w:rPr/>
      </w:r>
    </w:p>
    <w:p>
      <w:pPr>
        <w:pStyle w:val="Heading2"/>
        <w:rPr/>
      </w:pPr>
      <w:bookmarkStart w:id="319" w:name="__RefHeading___Toc518035753"/>
      <w:bookmarkEnd w:id="319"/>
      <w:r>
        <w:rPr/>
        <w:t>H.5.1</w:t>
        <w:tab/>
        <w:t>Receiver requirements summary</w:t>
      </w:r>
    </w:p>
    <w:p>
      <w:pPr>
        <w:pStyle w:val="Normal"/>
        <w:rPr/>
      </w:pPr>
      <w:r>
        <w:rPr/>
        <w:t>From the results above, selecting the more stringent requirement where either MS or sMS is involved at the other end of an interference link, the following table summarises the required resilience of the equipments against strong off</w:t>
        <w:noBreakHyphen/>
        <w:t>channel signals in order to meet the scenarios, measured in dBm.</w:t>
      </w:r>
    </w:p>
    <w:p>
      <w:pPr>
        <w:pStyle w:val="TH"/>
        <w:rPr/>
      </w:pPr>
      <w:r>
        <w:rPr/>
      </w:r>
    </w:p>
    <w:tbl>
      <w:tblPr>
        <w:tblW w:w="6166" w:type="dxa"/>
        <w:jc w:val="center"/>
        <w:tblInd w:w="0" w:type="dxa"/>
        <w:tblLayout w:type="fixed"/>
        <w:tblCellMar>
          <w:top w:w="0" w:type="dxa"/>
          <w:left w:w="70" w:type="dxa"/>
          <w:bottom w:w="0" w:type="dxa"/>
          <w:right w:w="70" w:type="dxa"/>
        </w:tblCellMar>
      </w:tblPr>
      <w:tblGrid>
        <w:gridCol w:w="1841"/>
        <w:gridCol w:w="781"/>
        <w:gridCol w:w="1309"/>
        <w:gridCol w:w="817"/>
        <w:gridCol w:w="1418"/>
      </w:tblGrid>
      <w:tr>
        <w:trPr/>
        <w:tc>
          <w:tcPr>
            <w:tcW w:w="1841" w:type="dxa"/>
            <w:tcBorders/>
          </w:tcPr>
          <w:p>
            <w:pPr>
              <w:pStyle w:val="TAH"/>
              <w:snapToGrid w:val="false"/>
              <w:rPr>
                <w:lang w:eastAsia="en-US"/>
              </w:rPr>
            </w:pPr>
            <w:r>
              <w:rPr>
                <w:lang w:eastAsia="en-US"/>
              </w:rPr>
            </w:r>
          </w:p>
        </w:tc>
        <w:tc>
          <w:tcPr>
            <w:tcW w:w="2090"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(Source uplinks)</w:t>
            </w:r>
          </w:p>
        </w:tc>
        <w:tc>
          <w:tcPr>
            <w:tcW w:w="2235"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(Source downlinks)</w:t>
            </w:r>
          </w:p>
        </w:tc>
      </w:tr>
      <w:tr>
        <w:trPr/>
        <w:tc>
          <w:tcPr>
            <w:tcW w:w="1841" w:type="dxa"/>
            <w:tcBorders/>
          </w:tcPr>
          <w:p>
            <w:pPr>
              <w:pStyle w:val="TAH"/>
              <w:snapToGrid w:val="false"/>
              <w:rPr>
                <w:lang w:eastAsia="en-US"/>
              </w:rPr>
            </w:pPr>
            <w:r>
              <w:rPr>
                <w:lang w:eastAsia="en-US"/>
              </w:rPr>
            </w:r>
          </w:p>
        </w:tc>
        <w:tc>
          <w:tcPr>
            <w:tcW w:w="78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UIC</w:t>
            </w:r>
          </w:p>
        </w:tc>
        <w:tc>
          <w:tcPr>
            <w:tcW w:w="130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w:t>
            </w:r>
          </w:p>
        </w:tc>
        <w:tc>
          <w:tcPr>
            <w:tcW w:w="81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UIC</w:t>
            </w:r>
          </w:p>
        </w:tc>
        <w:tc>
          <w:tcPr>
            <w:tcW w:w="141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w:t>
            </w:r>
          </w:p>
        </w:tc>
      </w:tr>
      <w:tr>
        <w:trPr/>
        <w:tc>
          <w:tcPr>
            <w:tcW w:w="1841" w:type="dxa"/>
            <w:tcBorders/>
          </w:tcPr>
          <w:p>
            <w:pPr>
              <w:pStyle w:val="TAC"/>
              <w:snapToGrid w:val="false"/>
              <w:rPr>
                <w:lang w:val="en-GB" w:eastAsia="en-US"/>
              </w:rPr>
            </w:pPr>
            <w:r>
              <w:rPr>
                <w:lang w:val="en-GB" w:eastAsia="en-US"/>
              </w:rPr>
            </w:r>
          </w:p>
        </w:tc>
        <w:tc>
          <w:tcPr>
            <w:tcW w:w="781" w:type="dxa"/>
            <w:tcBorders>
              <w:top w:val="single" w:sz="6" w:space="0" w:color="000000"/>
              <w:left w:val="single" w:sz="6" w:space="0" w:color="000000"/>
              <w:right w:val="single" w:sz="6" w:space="0" w:color="000000"/>
            </w:tcBorders>
          </w:tcPr>
          <w:p>
            <w:pPr>
              <w:pStyle w:val="TAC"/>
              <w:rPr>
                <w:lang w:val="en-GB"/>
              </w:rPr>
            </w:pPr>
            <w:r>
              <w:rPr>
                <w:lang w:val="en-GB"/>
              </w:rPr>
              <w:t>876</w:t>
            </w:r>
          </w:p>
        </w:tc>
        <w:tc>
          <w:tcPr>
            <w:tcW w:w="1309" w:type="dxa"/>
            <w:tcBorders>
              <w:top w:val="single" w:sz="6" w:space="0" w:color="000000"/>
              <w:left w:val="single" w:sz="6" w:space="0" w:color="000000"/>
              <w:right w:val="single" w:sz="6" w:space="0" w:color="000000"/>
            </w:tcBorders>
          </w:tcPr>
          <w:p>
            <w:pPr>
              <w:pStyle w:val="TAC"/>
              <w:rPr>
                <w:lang w:val="en-GB"/>
              </w:rPr>
            </w:pPr>
            <w:r>
              <w:rPr>
                <w:lang w:val="en-GB"/>
              </w:rPr>
              <w:t>(880) 890</w:t>
            </w:r>
          </w:p>
        </w:tc>
        <w:tc>
          <w:tcPr>
            <w:tcW w:w="817" w:type="dxa"/>
            <w:tcBorders>
              <w:top w:val="single" w:sz="6" w:space="0" w:color="000000"/>
              <w:left w:val="single" w:sz="6" w:space="0" w:color="000000"/>
              <w:right w:val="single" w:sz="6" w:space="0" w:color="000000"/>
            </w:tcBorders>
          </w:tcPr>
          <w:p>
            <w:pPr>
              <w:pStyle w:val="TAC"/>
              <w:rPr>
                <w:lang w:val="en-GB"/>
              </w:rPr>
            </w:pPr>
            <w:r>
              <w:rPr>
                <w:lang w:val="en-GB"/>
              </w:rPr>
              <w:t>921</w:t>
            </w:r>
          </w:p>
        </w:tc>
        <w:tc>
          <w:tcPr>
            <w:tcW w:w="1418" w:type="dxa"/>
            <w:tcBorders>
              <w:top w:val="single" w:sz="6" w:space="0" w:color="000000"/>
              <w:left w:val="single" w:sz="6" w:space="0" w:color="000000"/>
              <w:right w:val="single" w:sz="6" w:space="0" w:color="000000"/>
            </w:tcBorders>
          </w:tcPr>
          <w:p>
            <w:pPr>
              <w:pStyle w:val="TAC"/>
              <w:rPr>
                <w:lang w:val="en-GB"/>
              </w:rPr>
            </w:pPr>
            <w:r>
              <w:rPr>
                <w:lang w:val="en-GB"/>
              </w:rPr>
              <w:t>(925) 935</w:t>
            </w:r>
          </w:p>
        </w:tc>
      </w:tr>
      <w:tr>
        <w:trPr/>
        <w:tc>
          <w:tcPr>
            <w:tcW w:w="1841" w:type="dxa"/>
            <w:tcBorders/>
          </w:tcPr>
          <w:p>
            <w:pPr>
              <w:pStyle w:val="TAC"/>
              <w:snapToGrid w:val="false"/>
              <w:rPr>
                <w:lang w:val="en-GB"/>
              </w:rPr>
            </w:pPr>
            <w:r>
              <w:rPr>
                <w:lang w:val="en-GB"/>
              </w:rPr>
            </w:r>
          </w:p>
        </w:tc>
        <w:tc>
          <w:tcPr>
            <w:tcW w:w="781"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880</w:t>
            </w:r>
          </w:p>
        </w:tc>
        <w:tc>
          <w:tcPr>
            <w:tcW w:w="1309"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915</w:t>
            </w:r>
          </w:p>
        </w:tc>
        <w:tc>
          <w:tcPr>
            <w:tcW w:w="817"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925</w:t>
            </w:r>
          </w:p>
        </w:tc>
        <w:tc>
          <w:tcPr>
            <w:tcW w:w="1418"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960 MHz</w:t>
            </w:r>
          </w:p>
        </w:tc>
      </w:tr>
      <w:tr>
        <w:trPr/>
        <w:tc>
          <w:tcPr>
            <w:tcW w:w="1841" w:type="dxa"/>
            <w:tcBorders/>
          </w:tcPr>
          <w:p>
            <w:pPr>
              <w:pStyle w:val="TAL"/>
              <w:rPr>
                <w:lang w:val="en-GB"/>
              </w:rPr>
            </w:pPr>
            <w:r>
              <w:rPr>
                <w:lang w:val="en-GB"/>
              </w:rPr>
              <w:t>(Victim:)</w:t>
            </w:r>
          </w:p>
        </w:tc>
        <w:tc>
          <w:tcPr>
            <w:tcW w:w="781" w:type="dxa"/>
            <w:tcBorders/>
          </w:tcPr>
          <w:p>
            <w:pPr>
              <w:pStyle w:val="TAL"/>
              <w:snapToGrid w:val="false"/>
              <w:rPr>
                <w:lang w:val="en-GB"/>
              </w:rPr>
            </w:pPr>
            <w:r>
              <w:rPr>
                <w:lang w:val="en-GB"/>
              </w:rPr>
            </w:r>
          </w:p>
        </w:tc>
        <w:tc>
          <w:tcPr>
            <w:tcW w:w="1309" w:type="dxa"/>
            <w:tcBorders/>
          </w:tcPr>
          <w:p>
            <w:pPr>
              <w:pStyle w:val="TAL"/>
              <w:snapToGrid w:val="false"/>
              <w:rPr>
                <w:lang w:val="en-GB"/>
              </w:rPr>
            </w:pPr>
            <w:r>
              <w:rPr>
                <w:lang w:val="en-GB"/>
              </w:rPr>
            </w:r>
          </w:p>
        </w:tc>
        <w:tc>
          <w:tcPr>
            <w:tcW w:w="817" w:type="dxa"/>
            <w:tcBorders/>
          </w:tcPr>
          <w:p>
            <w:pPr>
              <w:pStyle w:val="TAL"/>
              <w:snapToGrid w:val="false"/>
              <w:rPr>
                <w:lang w:val="en-GB"/>
              </w:rPr>
            </w:pPr>
            <w:r>
              <w:rPr>
                <w:lang w:val="en-GB"/>
              </w:rPr>
            </w:r>
          </w:p>
        </w:tc>
        <w:tc>
          <w:tcPr>
            <w:tcW w:w="1418" w:type="dxa"/>
            <w:tcBorders/>
          </w:tcPr>
          <w:p>
            <w:pPr>
              <w:pStyle w:val="TAL"/>
              <w:snapToGrid w:val="false"/>
              <w:rPr>
                <w:lang w:val="en-GB"/>
              </w:rPr>
            </w:pPr>
            <w:r>
              <w:rPr>
                <w:lang w:val="en-GB"/>
              </w:rPr>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BTS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57</w:t>
            </w:r>
          </w:p>
        </w:tc>
        <w:tc>
          <w:tcPr>
            <w:tcW w:w="13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26</w:t>
            </w:r>
          </w:p>
        </w:tc>
        <w:tc>
          <w:tcPr>
            <w:tcW w:w="8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w:t>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MS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13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17</w:t>
            </w:r>
          </w:p>
        </w:tc>
        <w:tc>
          <w:tcPr>
            <w:tcW w:w="8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23</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23</w:t>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sMS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7</w:t>
            </w:r>
          </w:p>
        </w:tc>
        <w:tc>
          <w:tcPr>
            <w:tcW w:w="13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18</w:t>
            </w:r>
          </w:p>
        </w:tc>
        <w:tc>
          <w:tcPr>
            <w:tcW w:w="817" w:type="dxa"/>
            <w:tcBorders>
              <w:top w:val="single" w:sz="6" w:space="0" w:color="000000"/>
              <w:left w:val="single" w:sz="6" w:space="0" w:color="000000"/>
              <w:bottom w:val="single" w:sz="6" w:space="0" w:color="000000"/>
              <w:right w:val="single" w:sz="6" w:space="0" w:color="000000"/>
            </w:tcBorders>
          </w:tcPr>
          <w:p>
            <w:pPr>
              <w:pStyle w:val="TAC"/>
              <w:rPr/>
            </w:pPr>
            <w:r>
              <w:rPr>
                <w:lang w:val="en-GB"/>
              </w:rPr>
              <w:noBreakHyphen/>
            </w:r>
            <w:r>
              <w:rPr>
                <w:lang w:val="en-GB"/>
              </w:rPr>
              <w:t>29</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29</w:t>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GSM BTS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23</w:t>
            </w:r>
          </w:p>
        </w:tc>
        <w:tc>
          <w:tcPr>
            <w:tcW w:w="1309"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w:t>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GSM MS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17</w:t>
            </w:r>
          </w:p>
        </w:tc>
        <w:tc>
          <w:tcPr>
            <w:tcW w:w="1309"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26</w:t>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GSM sMS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14</w:t>
            </w:r>
          </w:p>
        </w:tc>
        <w:tc>
          <w:tcPr>
            <w:tcW w:w="1309"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8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36</w:t>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bl>
    <w:p>
      <w:pPr>
        <w:pStyle w:val="FP"/>
        <w:rPr/>
      </w:pPr>
      <w:r>
        <w:rPr/>
      </w:r>
    </w:p>
    <w:p>
      <w:pPr>
        <w:pStyle w:val="Heading1"/>
        <w:ind w:left="1134" w:hanging="1134"/>
        <w:rPr/>
      </w:pPr>
      <w:bookmarkStart w:id="320" w:name="__RefHeading___Toc518035754"/>
      <w:bookmarkEnd w:id="320"/>
      <w:r>
        <w:rPr/>
        <w:t>H.6</w:t>
        <w:tab/>
        <w:t>Wanted signals levels</w:t>
      </w:r>
    </w:p>
    <w:p>
      <w:pPr>
        <w:pStyle w:val="Normal"/>
        <w:rPr/>
      </w:pPr>
      <w:r>
        <w:rPr/>
        <w:t>In this clause the intra UIC system wanted signal levels are calculated.</w:t>
      </w:r>
    </w:p>
    <w:p>
      <w:pPr>
        <w:pStyle w:val="Heading2"/>
        <w:rPr/>
      </w:pPr>
      <w:bookmarkStart w:id="321" w:name="__RefHeading___Toc518035755"/>
      <w:bookmarkEnd w:id="321"/>
      <w:r>
        <w:rPr/>
        <w:t>H.6.1</w:t>
        <w:tab/>
        <w:t>Maximum wanted signal level</w:t>
      </w:r>
    </w:p>
    <w:p>
      <w:pPr>
        <w:pStyle w:val="Normal"/>
        <w:rPr/>
      </w:pPr>
      <w:r>
        <w:rPr/>
        <w:t>Scenario 1, single MS and BTS, refers.</w:t>
      </w:r>
    </w:p>
    <w:p>
      <w:pPr>
        <w:pStyle w:val="Normal"/>
        <w:rPr/>
      </w:pPr>
      <w:r>
        <w:rPr/>
        <w:t>Adaptive power control is not considered. At very high speeds and a BTS antenna located close to the track, it is expected to be too slow to react quickly enough to reduce the signal levels substantially at the passage of the mast.</w:t>
      </w:r>
    </w:p>
    <w:p>
      <w:pPr>
        <w:pStyle w:val="EX"/>
        <w:rPr>
          <w:b/>
          <w:b/>
        </w:rPr>
      </w:pPr>
      <w:r>
        <w:rPr>
          <w:b/>
        </w:rPr>
        <w:t>Vehicle Mounted MS:</w:t>
      </w:r>
    </w:p>
    <w:p>
      <w:pPr>
        <w:pStyle w:val="EW"/>
        <w:keepNext w:val="true"/>
        <w:rPr/>
      </w:pPr>
      <w:r>
        <w:rPr/>
        <w:t>1)</w:t>
        <w:tab/>
        <w:t>Max MS RX wanted signal level:</w:t>
      </w:r>
    </w:p>
    <w:p>
      <w:pPr>
        <w:pStyle w:val="EW"/>
        <w:keepNext w:val="true"/>
        <w:rPr/>
      </w:pPr>
      <w:r>
        <w:rPr/>
        <w:tab/>
        <w:t xml:space="preserve">Source output power </w:t>
        <w:noBreakHyphen/>
        <w:t xml:space="preserve"> MCL = 39 </w:t>
        <w:noBreakHyphen/>
        <w:t xml:space="preserve"> 62</w:t>
      </w:r>
    </w:p>
    <w:p>
      <w:pPr>
        <w:pStyle w:val="EX"/>
        <w:rPr/>
      </w:pPr>
      <w:r>
        <w:rPr/>
        <w:tab/>
        <w:t xml:space="preserve">= </w:t>
        <w:noBreakHyphen/>
        <w:t>23dBm</w:t>
      </w:r>
    </w:p>
    <w:p>
      <w:pPr>
        <w:pStyle w:val="EW"/>
        <w:keepNext w:val="true"/>
        <w:rPr/>
      </w:pPr>
      <w:r>
        <w:rPr/>
        <w:t>2)</w:t>
        <w:tab/>
        <w:t>Max BTS RX wanted signal level:</w:t>
      </w:r>
    </w:p>
    <w:p>
      <w:pPr>
        <w:pStyle w:val="EW"/>
        <w:keepNext w:val="true"/>
        <w:rPr/>
      </w:pPr>
      <w:r>
        <w:rPr/>
        <w:tab/>
        <w:t xml:space="preserve">Source output power </w:t>
        <w:noBreakHyphen/>
        <w:t xml:space="preserve"> MCL = 39 </w:t>
        <w:noBreakHyphen/>
        <w:t xml:space="preserve"> 62</w:t>
      </w:r>
    </w:p>
    <w:p>
      <w:pPr>
        <w:pStyle w:val="EW"/>
        <w:rPr/>
      </w:pPr>
      <w:r>
        <w:rPr/>
        <w:tab/>
        <w:t xml:space="preserve">= </w:t>
        <w:noBreakHyphen/>
        <w:t>23dBm</w:t>
      </w:r>
    </w:p>
    <w:p>
      <w:pPr>
        <w:pStyle w:val="EX"/>
        <w:rPr>
          <w:b/>
          <w:b/>
        </w:rPr>
      </w:pPr>
      <w:r>
        <w:rPr>
          <w:b/>
        </w:rPr>
        <w:t>Small MS:</w:t>
      </w:r>
    </w:p>
    <w:p>
      <w:pPr>
        <w:pStyle w:val="EW"/>
        <w:keepNext w:val="true"/>
        <w:rPr/>
      </w:pPr>
      <w:r>
        <w:rPr/>
        <w:t>1)</w:t>
        <w:tab/>
        <w:t>Max sMS RX wanted signal level:</w:t>
      </w:r>
    </w:p>
    <w:p>
      <w:pPr>
        <w:pStyle w:val="EW"/>
        <w:keepNext w:val="true"/>
        <w:rPr/>
      </w:pPr>
      <w:r>
        <w:rPr/>
        <w:tab/>
        <w:t xml:space="preserve">Source output power </w:t>
        <w:noBreakHyphen/>
        <w:t xml:space="preserve"> MCL = 39 </w:t>
        <w:noBreakHyphen/>
        <w:t xml:space="preserve"> 68</w:t>
      </w:r>
    </w:p>
    <w:p>
      <w:pPr>
        <w:pStyle w:val="EX"/>
        <w:rPr/>
      </w:pPr>
      <w:r>
        <w:rPr/>
        <w:tab/>
        <w:t xml:space="preserve">= </w:t>
        <w:noBreakHyphen/>
        <w:t>29dBm</w:t>
      </w:r>
    </w:p>
    <w:p>
      <w:pPr>
        <w:pStyle w:val="EW"/>
        <w:rPr/>
      </w:pPr>
      <w:r>
        <w:rPr/>
        <w:t>2)</w:t>
        <w:tab/>
        <w:t>Max BTS RX wanted signal level:</w:t>
      </w:r>
    </w:p>
    <w:p>
      <w:pPr>
        <w:pStyle w:val="EW"/>
        <w:rPr/>
      </w:pPr>
      <w:r>
        <w:rPr/>
        <w:tab/>
        <w:t xml:space="preserve">Source output power </w:t>
        <w:noBreakHyphen/>
        <w:t xml:space="preserve"> MCL = 33 </w:t>
        <w:noBreakHyphen/>
        <w:t xml:space="preserve"> 68</w:t>
      </w:r>
    </w:p>
    <w:p>
      <w:pPr>
        <w:pStyle w:val="EW"/>
        <w:rPr/>
      </w:pPr>
      <w:r>
        <w:rPr/>
        <w:tab/>
        <w:t xml:space="preserve">= </w:t>
        <w:noBreakHyphen/>
        <w:t>35dBm</w:t>
      </w:r>
    </w:p>
    <w:p>
      <w:pPr>
        <w:pStyle w:val="EX"/>
        <w:rPr/>
      </w:pPr>
      <w:r>
        <w:rPr/>
        <w:tab/>
        <w:t>i.e. the value above takes precedence.</w:t>
      </w:r>
    </w:p>
    <w:p>
      <w:pPr>
        <w:pStyle w:val="Heading2"/>
        <w:rPr/>
      </w:pPr>
      <w:bookmarkStart w:id="322" w:name="__RefHeading___Toc518035756"/>
      <w:bookmarkEnd w:id="322"/>
      <w:r>
        <w:rPr/>
        <w:t>H.6.2</w:t>
        <w:tab/>
        <w:t>Dynamic range of wanted signals</w:t>
      </w:r>
    </w:p>
    <w:p>
      <w:pPr>
        <w:pStyle w:val="Normal"/>
        <w:rPr/>
      </w:pPr>
      <w:r>
        <w:rPr/>
        <w:t>Scenario 2, multiple MS and BTS of one network, refers.</w:t>
      </w:r>
    </w:p>
    <w:p>
      <w:pPr>
        <w:pStyle w:val="Normal"/>
        <w:rPr/>
      </w:pPr>
      <w:r>
        <w:rPr/>
        <w:t>Within one carrier, in the extreme the BTS adjacent timeslots RX levels may range between the max level calculated above and the reference sensitivity.</w:t>
      </w:r>
      <w:r>
        <w:br w:type="page"/>
      </w:r>
    </w:p>
    <w:p>
      <w:pPr>
        <w:pStyle w:val="Heading9"/>
        <w:rPr/>
      </w:pPr>
      <w:bookmarkStart w:id="323" w:name="__RefHeading___Toc518035757"/>
      <w:bookmarkEnd w:id="323"/>
      <w:r>
        <w:rPr/>
        <w:t>Annex I:</w:t>
        <w:br/>
        <w:t>Void</w:t>
      </w:r>
    </w:p>
    <w:p>
      <w:pPr>
        <w:pStyle w:val="Normal"/>
        <w:rPr/>
      </w:pPr>
      <w:r>
        <w:rPr/>
      </w:r>
      <w:r>
        <w:br w:type="page"/>
      </w:r>
    </w:p>
    <w:p>
      <w:pPr>
        <w:pStyle w:val="Heading9"/>
        <w:rPr/>
      </w:pPr>
      <w:bookmarkStart w:id="324" w:name="__RefHeading___Toc518035758"/>
      <w:bookmarkEnd w:id="324"/>
      <w:r>
        <w:rPr/>
        <w:t>Annex J:</w:t>
        <w:br/>
        <w:t>GSM900 Railway System Scenarios</w:t>
      </w:r>
    </w:p>
    <w:p>
      <w:pPr>
        <w:pStyle w:val="Normal"/>
        <w:rPr>
          <w:b/>
          <w:b/>
          <w:lang w:val="en-US"/>
        </w:rPr>
      </w:pPr>
      <w:r>
        <w:rPr>
          <w:b/>
          <w:lang w:val="en-US"/>
        </w:rPr>
        <w:t>Title: UIC RF parameters</w:t>
      </w:r>
    </w:p>
    <w:p>
      <w:pPr>
        <w:pStyle w:val="Normal"/>
        <w:rPr>
          <w:lang w:val="en-US"/>
        </w:rPr>
      </w:pPr>
      <w:r>
        <w:rPr>
          <w:lang w:val="en-US"/>
        </w:rPr>
        <w:t xml:space="preserve">Source: </w:t>
      </w:r>
      <w:r>
        <w:rPr>
          <w:spacing w:val="-2"/>
          <w:lang w:val="en-US"/>
        </w:rPr>
        <w:t>UIC / DSB</w:t>
      </w:r>
    </w:p>
    <w:p>
      <w:pPr>
        <w:pStyle w:val="Normal"/>
        <w:rPr>
          <w:lang w:val="en-US"/>
        </w:rPr>
      </w:pPr>
      <w:r>
        <w:rPr>
          <w:spacing w:val="-2"/>
          <w:lang w:val="en-US"/>
        </w:rPr>
        <w:t>Date: 28.11.1996</w:t>
      </w:r>
    </w:p>
    <w:p>
      <w:pPr>
        <w:pStyle w:val="Heading1"/>
        <w:ind w:left="1134" w:hanging="1134"/>
        <w:rPr/>
      </w:pPr>
      <w:bookmarkStart w:id="325" w:name="__RefHeading___Toc518035759"/>
      <w:bookmarkEnd w:id="325"/>
      <w:r>
        <w:rPr/>
        <w:t>J.1</w:t>
        <w:tab/>
        <w:t>Introduction</w:t>
      </w:r>
    </w:p>
    <w:p>
      <w:pPr>
        <w:pStyle w:val="Normal"/>
        <w:rPr/>
      </w:pPr>
      <w:r>
        <w:rPr/>
        <w:t>The present document presents the results of a small working group aiming to determine the RF</w:t>
        <w:noBreakHyphen/>
        <w:t>parameters for UIC equipments, to be in line with the scenario requirements where possible and feasible, and to find a reasonable compromise where not.</w:t>
      </w:r>
    </w:p>
    <w:p>
      <w:pPr>
        <w:pStyle w:val="Normal"/>
        <w:rPr/>
      </w:pPr>
      <w:r>
        <w:rPr/>
        <w:t>The current specifications for GSM and DCS equipments are not changed, except possibly where absolutely no implications for their implementation are expected. It has not been investigated, if and to what extent this means that some close proximity co</w:t>
        <w:noBreakHyphen/>
        <w:t>existance scenarios towards UIC equipments are not met.</w:t>
      </w:r>
    </w:p>
    <w:p>
      <w:pPr>
        <w:pStyle w:val="Normal"/>
        <w:rPr/>
      </w:pPr>
      <w:r>
        <w:rPr/>
        <w:t>The document is largely structured as follows:</w:t>
      </w:r>
    </w:p>
    <w:p>
      <w:pPr>
        <w:pStyle w:val="B1"/>
        <w:rPr/>
      </w:pPr>
      <w:r>
        <w:rPr/>
        <w:t>-</w:t>
        <w:tab/>
        <w:t>Basic considerations.</w:t>
      </w:r>
    </w:p>
    <w:p>
      <w:pPr>
        <w:pStyle w:val="B1"/>
        <w:rPr/>
      </w:pPr>
      <w:r>
        <w:rPr/>
        <w:t>-</w:t>
        <w:tab/>
        <w:t>Discussion of transmitter characteristics.</w:t>
      </w:r>
    </w:p>
    <w:p>
      <w:pPr>
        <w:pStyle w:val="B1"/>
        <w:rPr/>
      </w:pPr>
      <w:r>
        <w:rPr/>
        <w:t>-</w:t>
        <w:tab/>
        <w:t>Discussion of receiver characteristics.</w:t>
      </w:r>
    </w:p>
    <w:p>
      <w:pPr>
        <w:pStyle w:val="B1"/>
        <w:rPr/>
      </w:pPr>
      <w:r>
        <w:rPr/>
        <w:t>-</w:t>
        <w:tab/>
        <w:t>Discussion of transmitter/receiver performance.</w:t>
      </w:r>
    </w:p>
    <w:p>
      <w:pPr>
        <w:pStyle w:val="Normal"/>
        <w:rPr/>
      </w:pPr>
      <w:r>
        <w:rPr/>
        <w:t>At the end of the document, a list of references is given.</w:t>
      </w:r>
    </w:p>
    <w:p>
      <w:pPr>
        <w:pStyle w:val="Heading1"/>
        <w:ind w:left="1134" w:hanging="1134"/>
        <w:rPr/>
      </w:pPr>
      <w:bookmarkStart w:id="326" w:name="__RefHeading___Toc518035760"/>
      <w:bookmarkEnd w:id="326"/>
      <w:r>
        <w:rPr/>
        <w:t>J.2</w:t>
        <w:tab/>
        <w:t>Basic considerations</w:t>
      </w:r>
    </w:p>
    <w:p>
      <w:pPr>
        <w:pStyle w:val="Normal"/>
        <w:rPr/>
      </w:pPr>
      <w:r>
        <w:rPr/>
        <w:t>As explained in [2] for reasons of economies of scale, availability of equipment and the timescales required, in principle, the RF</w:t>
        <w:noBreakHyphen/>
        <w:t>parameters for UIC equipments should not be different to standard GSM, except where affected by the different frequency band requiring modified filters.</w:t>
      </w:r>
    </w:p>
    <w:p>
      <w:pPr>
        <w:pStyle w:val="Normal"/>
        <w:rPr/>
      </w:pPr>
      <w:r>
        <w:rPr/>
        <w:t>In order to able to roam onto public networks, a UIC mobile as a minimum shall be able to operate over both the band designated for the UIC and the P</w:t>
        <w:noBreakHyphen/>
        <w:t>GSM band, fulfilling the RF requirements of either.</w:t>
      </w:r>
    </w:p>
    <w:p>
      <w:pPr>
        <w:pStyle w:val="Normal"/>
        <w:rPr/>
      </w:pPr>
      <w:r>
        <w:rPr/>
        <w:t>This requires a pass band of any "duplex" filters in the UIC mobile of 39 MHz. At the same time the transition band is only 6 MHz between the downlink (of UIC) and the uplink (of P</w:t>
        <w:noBreakHyphen/>
        <w:t>GSM). This implies a greater filter complexity than for P</w:t>
        <w:noBreakHyphen/>
        <w:t>GSM and probably even E</w:t>
        <w:noBreakHyphen/>
        <w:t>GSM. Therefore relaxations should be sought for RF parameters related to the filter in the UIC mobile, where possible while still meeting the scenario requirements. It should also be studied whether the filtering in the UIC mobile can be of a less order, if operation is not required or performance and tolerances are relaxed in the GSM extension band.</w:t>
      </w:r>
    </w:p>
    <w:p>
      <w:pPr>
        <w:pStyle w:val="Heading2"/>
        <w:rPr/>
      </w:pPr>
      <w:bookmarkStart w:id="327" w:name="__RefHeading___Toc518035761"/>
      <w:bookmarkEnd w:id="327"/>
      <w:r>
        <w:rPr/>
        <w:t>J.2.1</w:t>
        <w:tab/>
        <w:t>Types of equipment and frequency ranges</w:t>
      </w:r>
    </w:p>
    <w:p>
      <w:pPr>
        <w:pStyle w:val="Normal"/>
        <w:rPr/>
      </w:pPr>
      <w:r>
        <w:rPr/>
        <w:t>For reasons of interoperability and economies of scales, all UIC mobiles must have the capability to operate in the frequency bands mentioned above. UIC base stations,  however, in general will only be required to operate in the UIC band, although co</w:t>
        <w:noBreakHyphen/>
        <w:t>operation arrangements could be envisaged with public band operators, requiring base stations to operate on either band.</w:t>
      </w:r>
    </w:p>
    <w:p>
      <w:pPr>
        <w:pStyle w:val="Normal"/>
        <w:keepNext w:val="true"/>
        <w:keepLines/>
        <w:rPr/>
      </w:pPr>
      <w:r>
        <w:rPr/>
        <w:t>One way of reflecting this is to define the R</w:t>
        <w:noBreakHyphen/>
        <w:t>GSM band to cover the UIC band only, and to require UIC mobiles to have "multiband" capabilities. However, the current principle in GSM 05.05 requires multiband equipment to meet all requirements for each of the bands supported (and this is only described for mobiles). At the same time, in</w:t>
        <w:noBreakHyphen/>
        <w:t>band performances in general are referred to the frequencies of the individual bands, rather than considering that only GSM type scenarios apply within the full relevant GSM900 band, whereas the unwanted out</w:t>
        <w:noBreakHyphen/>
        <w:t>of</w:t>
        <w:noBreakHyphen/>
        <w:t>band signals originate from the other link direction and from other systems. For the UIC equipments, this approach leads to an unnecessary overlapping of the more strict out</w:t>
        <w:noBreakHyphen/>
        <w:t>of</w:t>
        <w:noBreakHyphen/>
        <w:t>band requirements with the in</w:t>
        <w:noBreakHyphen/>
        <w:t>band performance required to meet the relevant scenarios.</w:t>
      </w:r>
    </w:p>
    <w:p>
      <w:pPr>
        <w:pStyle w:val="Normal"/>
        <w:rPr/>
      </w:pPr>
      <w:r>
        <w:rPr/>
        <w:t>An alternative approach, to define the R</w:t>
        <w:noBreakHyphen/>
        <w:t>GSM band to cover both the UIC, P</w:t>
        <w:noBreakHyphen/>
        <w:t xml:space="preserve"> and possibly E</w:t>
        <w:noBreakHyphen/>
        <w:t>GSM bands, is not appropriate for the general type of UIC base stations, and it does not reflect what is needed for railways operation, namely a stand alone band which mobiles would only leave under controlled circumstances for roaming.</w:t>
      </w:r>
    </w:p>
    <w:p>
      <w:pPr>
        <w:pStyle w:val="Normal"/>
        <w:rPr/>
      </w:pPr>
      <w:r>
        <w:rPr/>
        <w:t xml:space="preserve">The approach taken in here is the pragmatic one, whereever relevant for the specification, to discuss and describe the frequency ranges that must actually apply for the "UIC equipment" types described above, when later elaborating the exact wordings.  </w:t>
      </w:r>
    </w:p>
    <w:p>
      <w:pPr>
        <w:pStyle w:val="Normal"/>
        <w:rPr/>
      </w:pPr>
      <w:r>
        <w:rPr/>
        <w:t>"UIC mobiles" is used throughout the text to designate either of the following:</w:t>
      </w:r>
    </w:p>
    <w:p>
      <w:pPr>
        <w:pStyle w:val="B1"/>
        <w:rPr/>
      </w:pPr>
      <w:r>
        <w:rPr/>
        <w:t>-</w:t>
        <w:tab/>
        <w:t>an MS, being a vehicle mounted equipment; or</w:t>
      </w:r>
    </w:p>
    <w:p>
      <w:pPr>
        <w:pStyle w:val="B1"/>
        <w:rPr/>
      </w:pPr>
      <w:r>
        <w:rPr/>
        <w:t>-</w:t>
        <w:tab/>
        <w:t>a small MS, for which the abbreviation "sMS" is used.</w:t>
      </w:r>
    </w:p>
    <w:p>
      <w:pPr>
        <w:pStyle w:val="Heading1"/>
        <w:ind w:left="1134" w:hanging="1134"/>
        <w:rPr/>
      </w:pPr>
      <w:bookmarkStart w:id="328" w:name="__RefHeading___Toc518035762"/>
      <w:bookmarkEnd w:id="328"/>
      <w:r>
        <w:rPr/>
        <w:t>J.3</w:t>
        <w:tab/>
        <w:t>Discussion of the individual sections in GSM 05.05</w:t>
      </w:r>
    </w:p>
    <w:p>
      <w:pPr>
        <w:pStyle w:val="Normal"/>
        <w:rPr/>
      </w:pPr>
      <w:r>
        <w:rPr/>
        <w:t>This clause discusses the RF</w:t>
        <w:noBreakHyphen/>
        <w:t>parameters for UIC equipments and the changes required in GSM 05.05 for their inclusion in GSM phase 2+.</w:t>
      </w:r>
    </w:p>
    <w:p>
      <w:pPr>
        <w:pStyle w:val="Normal"/>
        <w:rPr/>
      </w:pPr>
      <w:r>
        <w:rPr/>
        <w:t>Where possible and feasible, the RF</w:t>
        <w:noBreakHyphen/>
        <w:t>parameters are derived from the scenario requirements as set out in [2]. Otherwise a reasonable compromise is sought.</w:t>
      </w:r>
    </w:p>
    <w:p>
      <w:pPr>
        <w:pStyle w:val="Heading2"/>
        <w:rPr/>
      </w:pPr>
      <w:bookmarkStart w:id="329" w:name="__RefHeading___Toc518035763"/>
      <w:bookmarkEnd w:id="329"/>
      <w:r>
        <w:rPr/>
        <w:t>J.3.1</w:t>
        <w:tab/>
        <w:t>Scope</w:t>
      </w:r>
    </w:p>
    <w:p>
      <w:pPr>
        <w:pStyle w:val="Normal"/>
        <w:rPr/>
      </w:pPr>
      <w:r>
        <w:rPr/>
        <w:t>No change required.</w:t>
      </w:r>
    </w:p>
    <w:p>
      <w:pPr>
        <w:pStyle w:val="Heading2"/>
        <w:rPr/>
      </w:pPr>
      <w:bookmarkStart w:id="330" w:name="__RefHeading___Toc518035764"/>
      <w:bookmarkEnd w:id="330"/>
      <w:r>
        <w:rPr/>
        <w:t>J.3.2</w:t>
        <w:tab/>
        <w:t>Frequency bands and channel arrangement</w:t>
      </w:r>
    </w:p>
    <w:p>
      <w:pPr>
        <w:pStyle w:val="Normal"/>
        <w:rPr/>
      </w:pPr>
      <w:r>
        <w:rPr/>
        <w:t>As a working assumption, the UIC GSM900 band is to be included in the GSM 05.xx series under the term R</w:t>
        <w:noBreakHyphen/>
        <w:t>GSM, as described and agreed by SMG2 in [3]. Please refer to the present document for the details of the CR required for the change, but to summarise it, the GSM based systems in the 900 MHz band are:</w:t>
      </w:r>
    </w:p>
    <w:p>
      <w:pPr>
        <w:pStyle w:val="TH"/>
        <w:rPr/>
      </w:pPr>
      <w:r>
        <w:rPr/>
      </w:r>
    </w:p>
    <w:tbl>
      <w:tblPr>
        <w:tblW w:w="7446" w:type="dxa"/>
        <w:jc w:val="center"/>
        <w:tblInd w:w="0" w:type="dxa"/>
        <w:tblLayout w:type="fixed"/>
        <w:tblCellMar>
          <w:top w:w="0" w:type="dxa"/>
          <w:left w:w="70" w:type="dxa"/>
          <w:bottom w:w="0" w:type="dxa"/>
          <w:right w:w="70" w:type="dxa"/>
        </w:tblCellMar>
      </w:tblPr>
      <w:tblGrid>
        <w:gridCol w:w="930"/>
        <w:gridCol w:w="2052"/>
        <w:gridCol w:w="2232"/>
        <w:gridCol w:w="2232"/>
      </w:tblGrid>
      <w:tr>
        <w:trPr/>
        <w:tc>
          <w:tcPr>
            <w:tcW w:w="930"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205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ARFCN's</w:t>
            </w:r>
          </w:p>
        </w:tc>
        <w:tc>
          <w:tcPr>
            <w:tcW w:w="223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Uplink carriers</w:t>
            </w:r>
          </w:p>
        </w:tc>
        <w:tc>
          <w:tcPr>
            <w:tcW w:w="223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Downlink carriers</w:t>
            </w:r>
          </w:p>
        </w:tc>
      </w:tr>
      <w:tr>
        <w:trPr/>
        <w:tc>
          <w:tcPr>
            <w:tcW w:w="93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w:t>
              <w:noBreakHyphen/>
              <w:t>GSM</w:t>
            </w:r>
          </w:p>
        </w:tc>
        <w:tc>
          <w:tcPr>
            <w:tcW w:w="20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1..124</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890,2 MHz to 914,8 MHz</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935,2 MHz to 959,8 MHz</w:t>
            </w:r>
          </w:p>
        </w:tc>
      </w:tr>
      <w:tr>
        <w:trPr/>
        <w:tc>
          <w:tcPr>
            <w:tcW w:w="93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E</w:t>
              <w:noBreakHyphen/>
              <w:t>GSM</w:t>
            </w:r>
          </w:p>
        </w:tc>
        <w:tc>
          <w:tcPr>
            <w:tcW w:w="20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975..124 (mod1024)</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880,2 MHz to 914,8 MHz</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925,2 MHz to 959,8 MHz</w:t>
            </w:r>
          </w:p>
        </w:tc>
      </w:tr>
      <w:tr>
        <w:trPr/>
        <w:tc>
          <w:tcPr>
            <w:tcW w:w="93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UIC</w:t>
            </w:r>
          </w:p>
        </w:tc>
        <w:tc>
          <w:tcPr>
            <w:tcW w:w="20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955..974</w:t>
            </w:r>
          </w:p>
        </w:tc>
        <w:tc>
          <w:tcPr>
            <w:tcW w:w="223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876,2 MHz to 880,0 MHz</w:t>
            </w:r>
          </w:p>
        </w:tc>
        <w:tc>
          <w:tcPr>
            <w:tcW w:w="2232" w:type="dxa"/>
            <w:tcBorders>
              <w:top w:val="single" w:sz="4" w:space="0" w:color="000000"/>
              <w:left w:val="single" w:sz="4" w:space="0" w:color="000000"/>
              <w:bottom w:val="single" w:sz="4" w:space="0" w:color="000000"/>
              <w:right w:val="single" w:sz="4" w:space="0" w:color="000000"/>
            </w:tcBorders>
          </w:tcPr>
          <w:p>
            <w:pPr>
              <w:pStyle w:val="TAC"/>
              <w:rPr/>
            </w:pPr>
            <w:r>
              <w:rPr>
                <w:lang w:val="en-GB"/>
              </w:rPr>
              <w:t>921,2 MHz to 925,0 MHz</w:t>
            </w:r>
          </w:p>
        </w:tc>
      </w:tr>
    </w:tbl>
    <w:p>
      <w:pPr>
        <w:pStyle w:val="FP"/>
        <w:rPr/>
      </w:pPr>
      <w:r>
        <w:rPr/>
      </w:r>
    </w:p>
    <w:p>
      <w:pPr>
        <w:pStyle w:val="TH"/>
        <w:rPr>
          <w:sz w:val="22"/>
          <w:lang w:val="en-US"/>
        </w:rPr>
      </w:pPr>
      <w:r>
        <w:rPr>
          <w:lang w:val="en-US"/>
        </w:rPr>
        <w:drawing>
          <wp:inline distT="0" distB="0" distL="0" distR="0">
            <wp:extent cx="4618990" cy="1350010"/>
            <wp:effectExtent l="0" t="0" r="0" b="0"/>
            <wp:docPr id="69"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93" descr=""/>
                    <pic:cNvPicPr>
                      <a:picLocks noChangeAspect="1" noChangeArrowheads="1"/>
                    </pic:cNvPicPr>
                  </pic:nvPicPr>
                  <pic:blipFill>
                    <a:blip r:embed="rId65"/>
                    <a:srcRect l="-26" t="-87" r="-26" b="-87"/>
                    <a:stretch>
                      <a:fillRect/>
                    </a:stretch>
                  </pic:blipFill>
                  <pic:spPr bwMode="auto">
                    <a:xfrm>
                      <a:off x="0" y="0"/>
                      <a:ext cx="4618990" cy="1350010"/>
                    </a:xfrm>
                    <a:prstGeom prst="rect">
                      <a:avLst/>
                    </a:prstGeom>
                  </pic:spPr>
                </pic:pic>
              </a:graphicData>
            </a:graphic>
          </wp:inline>
        </w:drawing>
      </w:r>
    </w:p>
    <w:p>
      <w:pPr>
        <w:pStyle w:val="FP"/>
        <w:rPr>
          <w:sz w:val="22"/>
          <w:lang w:val="en-US"/>
        </w:rPr>
      </w:pPr>
      <w:r>
        <w:rPr>
          <w:sz w:val="22"/>
          <w:lang w:val="en-US"/>
        </w:rPr>
      </w:r>
    </w:p>
    <w:p>
      <w:pPr>
        <w:pStyle w:val="Heading2"/>
        <w:rPr/>
      </w:pPr>
      <w:bookmarkStart w:id="331" w:name="__RefHeading___Toc518035765"/>
      <w:bookmarkEnd w:id="331"/>
      <w:r>
        <w:rPr/>
        <w:t>J.3.3</w:t>
        <w:tab/>
        <w:t>Reference configuration</w:t>
      </w:r>
    </w:p>
    <w:p>
      <w:pPr>
        <w:pStyle w:val="Normal"/>
        <w:rPr/>
      </w:pPr>
      <w:r>
        <w:rPr/>
        <w:t>No changes are required in this subclause of GSM 05.05.</w:t>
      </w:r>
    </w:p>
    <w:p>
      <w:pPr>
        <w:pStyle w:val="Heading2"/>
        <w:rPr/>
      </w:pPr>
      <w:bookmarkStart w:id="332" w:name="__RefHeading___Toc518035766"/>
      <w:bookmarkEnd w:id="332"/>
      <w:r>
        <w:rPr/>
        <w:t>J.3.4</w:t>
        <w:tab/>
        <w:t>Transmitter characteristics</w:t>
      </w:r>
    </w:p>
    <w:p>
      <w:pPr>
        <w:pStyle w:val="Normal"/>
        <w:rPr/>
      </w:pPr>
      <w:r>
        <w:rPr/>
        <w:t>The following table, copied from clause 4 in [2], gives the scenarios requirements for the maximum allowed unwanted emissions of a UIC transmitter, in order not to interfere with another link.</w:t>
      </w:r>
    </w:p>
    <w:p>
      <w:pPr>
        <w:pStyle w:val="Normal"/>
        <w:rPr/>
      </w:pPr>
      <w:r>
        <w:rPr/>
        <w:t>The values corresponds to average measurements in dBm in a 200 kHz bandwidth. As in GSM 05.05, the reference point is the antenna connector of the equipment.</w:t>
      </w:r>
    </w:p>
    <w:p>
      <w:pPr>
        <w:pStyle w:val="TH"/>
        <w:rPr/>
      </w:pPr>
      <w:r>
        <w:rPr/>
      </w:r>
    </w:p>
    <w:tbl>
      <w:tblPr>
        <w:tblW w:w="5740" w:type="dxa"/>
        <w:jc w:val="center"/>
        <w:tblInd w:w="0" w:type="dxa"/>
        <w:tblLayout w:type="fixed"/>
        <w:tblCellMar>
          <w:top w:w="0" w:type="dxa"/>
          <w:left w:w="70" w:type="dxa"/>
          <w:bottom w:w="0" w:type="dxa"/>
          <w:right w:w="70" w:type="dxa"/>
        </w:tblCellMar>
      </w:tblPr>
      <w:tblGrid>
        <w:gridCol w:w="1346"/>
        <w:gridCol w:w="851"/>
        <w:gridCol w:w="1233"/>
        <w:gridCol w:w="1035"/>
        <w:gridCol w:w="1275"/>
      </w:tblGrid>
      <w:tr>
        <w:trPr/>
        <w:tc>
          <w:tcPr>
            <w:tcW w:w="1346" w:type="dxa"/>
            <w:tcBorders/>
          </w:tcPr>
          <w:p>
            <w:pPr>
              <w:pStyle w:val="TAH"/>
              <w:snapToGrid w:val="false"/>
              <w:rPr>
                <w:lang w:eastAsia="en-US"/>
              </w:rPr>
            </w:pPr>
            <w:r>
              <w:rPr>
                <w:lang w:eastAsia="en-US"/>
              </w:rPr>
            </w:r>
          </w:p>
        </w:tc>
        <w:tc>
          <w:tcPr>
            <w:tcW w:w="2084"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(Victim uplinks)</w:t>
            </w:r>
          </w:p>
        </w:tc>
        <w:tc>
          <w:tcPr>
            <w:tcW w:w="2310" w:type="dxa"/>
            <w:gridSpan w:val="2"/>
            <w:tcBorders>
              <w:top w:val="single" w:sz="6" w:space="0" w:color="000000"/>
              <w:left w:val="single" w:sz="6" w:space="0" w:color="000000"/>
              <w:bottom w:val="single" w:sz="6" w:space="0" w:color="000000"/>
              <w:right w:val="single" w:sz="6" w:space="0" w:color="000000"/>
            </w:tcBorders>
          </w:tcPr>
          <w:p>
            <w:pPr>
              <w:pStyle w:val="TAH"/>
              <w:rPr/>
            </w:pPr>
            <w:r>
              <w:rPr>
                <w:lang w:eastAsia="en-US"/>
              </w:rPr>
              <w:t>(Victim downlinks)</w:t>
            </w:r>
          </w:p>
        </w:tc>
      </w:tr>
      <w:tr>
        <w:trPr/>
        <w:tc>
          <w:tcPr>
            <w:tcW w:w="1346" w:type="dxa"/>
            <w:tcBorders/>
          </w:tcPr>
          <w:p>
            <w:pPr>
              <w:pStyle w:val="TAH"/>
              <w:snapToGrid w:val="false"/>
              <w:rPr>
                <w:lang w:eastAsia="en-US"/>
              </w:rPr>
            </w:pPr>
            <w:r>
              <w:rPr>
                <w:lang w:eastAsia="en-US"/>
              </w:rPr>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UIC</w:t>
            </w:r>
          </w:p>
        </w:tc>
        <w:tc>
          <w:tcPr>
            <w:tcW w:w="123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w:t>
            </w:r>
          </w:p>
        </w:tc>
        <w:tc>
          <w:tcPr>
            <w:tcW w:w="10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UIC</w:t>
            </w:r>
          </w:p>
        </w:tc>
        <w:tc>
          <w:tcPr>
            <w:tcW w:w="127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w:t>
            </w:r>
          </w:p>
        </w:tc>
      </w:tr>
      <w:tr>
        <w:trPr/>
        <w:tc>
          <w:tcPr>
            <w:tcW w:w="1346" w:type="dxa"/>
            <w:tcBorders/>
          </w:tcPr>
          <w:p>
            <w:pPr>
              <w:pStyle w:val="TAC"/>
              <w:snapToGrid w:val="false"/>
              <w:rPr>
                <w:lang w:val="en-GB" w:eastAsia="en-US"/>
              </w:rPr>
            </w:pPr>
            <w:r>
              <w:rPr>
                <w:lang w:val="en-GB" w:eastAsia="en-US"/>
              </w:rPr>
            </w:r>
          </w:p>
        </w:tc>
        <w:tc>
          <w:tcPr>
            <w:tcW w:w="851" w:type="dxa"/>
            <w:tcBorders>
              <w:top w:val="single" w:sz="6" w:space="0" w:color="000000"/>
              <w:left w:val="single" w:sz="6" w:space="0" w:color="000000"/>
              <w:right w:val="single" w:sz="6" w:space="0" w:color="000000"/>
            </w:tcBorders>
          </w:tcPr>
          <w:p>
            <w:pPr>
              <w:pStyle w:val="TAC"/>
              <w:rPr>
                <w:lang w:val="en-GB"/>
              </w:rPr>
            </w:pPr>
            <w:r>
              <w:rPr>
                <w:lang w:val="en-GB"/>
              </w:rPr>
              <w:t>876</w:t>
            </w:r>
          </w:p>
        </w:tc>
        <w:tc>
          <w:tcPr>
            <w:tcW w:w="1233" w:type="dxa"/>
            <w:tcBorders>
              <w:top w:val="single" w:sz="6" w:space="0" w:color="000000"/>
              <w:left w:val="single" w:sz="6" w:space="0" w:color="000000"/>
              <w:right w:val="single" w:sz="6" w:space="0" w:color="000000"/>
            </w:tcBorders>
          </w:tcPr>
          <w:p>
            <w:pPr>
              <w:pStyle w:val="TAC"/>
              <w:rPr>
                <w:lang w:val="en-GB"/>
              </w:rPr>
            </w:pPr>
            <w:r>
              <w:rPr>
                <w:lang w:val="en-GB"/>
              </w:rPr>
              <w:t>(880) 890</w:t>
            </w:r>
          </w:p>
        </w:tc>
        <w:tc>
          <w:tcPr>
            <w:tcW w:w="1035" w:type="dxa"/>
            <w:tcBorders>
              <w:top w:val="single" w:sz="6" w:space="0" w:color="000000"/>
              <w:left w:val="single" w:sz="6" w:space="0" w:color="000000"/>
              <w:right w:val="single" w:sz="6" w:space="0" w:color="000000"/>
            </w:tcBorders>
          </w:tcPr>
          <w:p>
            <w:pPr>
              <w:pStyle w:val="TAC"/>
              <w:rPr>
                <w:lang w:val="en-GB"/>
              </w:rPr>
            </w:pPr>
            <w:r>
              <w:rPr>
                <w:lang w:val="en-GB"/>
              </w:rPr>
              <w:t>921</w:t>
            </w:r>
          </w:p>
        </w:tc>
        <w:tc>
          <w:tcPr>
            <w:tcW w:w="1275" w:type="dxa"/>
            <w:tcBorders>
              <w:top w:val="single" w:sz="6" w:space="0" w:color="000000"/>
              <w:left w:val="single" w:sz="6" w:space="0" w:color="000000"/>
              <w:right w:val="single" w:sz="6" w:space="0" w:color="000000"/>
            </w:tcBorders>
          </w:tcPr>
          <w:p>
            <w:pPr>
              <w:pStyle w:val="TAC"/>
              <w:rPr>
                <w:lang w:val="en-GB"/>
              </w:rPr>
            </w:pPr>
            <w:r>
              <w:rPr>
                <w:lang w:val="en-GB"/>
              </w:rPr>
              <w:t>(925) 935</w:t>
            </w:r>
          </w:p>
        </w:tc>
      </w:tr>
      <w:tr>
        <w:trPr/>
        <w:tc>
          <w:tcPr>
            <w:tcW w:w="1346" w:type="dxa"/>
            <w:tcBorders/>
          </w:tcPr>
          <w:p>
            <w:pPr>
              <w:pStyle w:val="TAC"/>
              <w:snapToGrid w:val="false"/>
              <w:rPr>
                <w:lang w:val="en-GB"/>
              </w:rPr>
            </w:pPr>
            <w:r>
              <w:rPr>
                <w:lang w:val="en-GB"/>
              </w:rPr>
            </w:r>
          </w:p>
        </w:tc>
        <w:tc>
          <w:tcPr>
            <w:tcW w:w="851"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880</w:t>
            </w:r>
          </w:p>
        </w:tc>
        <w:tc>
          <w:tcPr>
            <w:tcW w:w="1233"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915</w:t>
            </w:r>
          </w:p>
        </w:tc>
        <w:tc>
          <w:tcPr>
            <w:tcW w:w="1035"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925</w:t>
            </w:r>
          </w:p>
        </w:tc>
        <w:tc>
          <w:tcPr>
            <w:tcW w:w="1275"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960 MHz</w:t>
            </w:r>
          </w:p>
        </w:tc>
      </w:tr>
      <w:tr>
        <w:trPr/>
        <w:tc>
          <w:tcPr>
            <w:tcW w:w="1346" w:type="dxa"/>
            <w:tcBorders/>
          </w:tcPr>
          <w:p>
            <w:pPr>
              <w:pStyle w:val="TAL"/>
              <w:rPr>
                <w:lang w:val="en-GB"/>
              </w:rPr>
            </w:pPr>
            <w:r>
              <w:rPr>
                <w:lang w:val="en-GB"/>
              </w:rPr>
              <w:t>(Source:)</w:t>
            </w:r>
          </w:p>
        </w:tc>
        <w:tc>
          <w:tcPr>
            <w:tcW w:w="851" w:type="dxa"/>
            <w:tcBorders/>
          </w:tcPr>
          <w:p>
            <w:pPr>
              <w:pStyle w:val="TAL"/>
              <w:snapToGrid w:val="false"/>
              <w:rPr>
                <w:lang w:val="en-GB"/>
              </w:rPr>
            </w:pPr>
            <w:r>
              <w:rPr>
                <w:lang w:val="en-GB"/>
              </w:rPr>
            </w:r>
          </w:p>
        </w:tc>
        <w:tc>
          <w:tcPr>
            <w:tcW w:w="1233" w:type="dxa"/>
            <w:tcBorders/>
          </w:tcPr>
          <w:p>
            <w:pPr>
              <w:pStyle w:val="TAL"/>
              <w:snapToGrid w:val="false"/>
              <w:rPr>
                <w:lang w:val="en-GB"/>
              </w:rPr>
            </w:pPr>
            <w:r>
              <w:rPr>
                <w:lang w:val="en-GB"/>
              </w:rPr>
            </w:r>
          </w:p>
        </w:tc>
        <w:tc>
          <w:tcPr>
            <w:tcW w:w="1035" w:type="dxa"/>
            <w:tcBorders/>
          </w:tcPr>
          <w:p>
            <w:pPr>
              <w:pStyle w:val="TAL"/>
              <w:snapToGrid w:val="false"/>
              <w:rPr>
                <w:lang w:val="en-GB"/>
              </w:rPr>
            </w:pPr>
            <w:r>
              <w:rPr>
                <w:lang w:val="en-GB"/>
              </w:rPr>
            </w:r>
          </w:p>
        </w:tc>
        <w:tc>
          <w:tcPr>
            <w:tcW w:w="1275" w:type="dxa"/>
            <w:tcBorders/>
          </w:tcPr>
          <w:p>
            <w:pPr>
              <w:pStyle w:val="TAL"/>
              <w:snapToGrid w:val="false"/>
              <w:rPr>
                <w:lang w:val="en-GB"/>
              </w:rPr>
            </w:pPr>
            <w:r>
              <w:rPr>
                <w:lang w:val="en-GB"/>
              </w:rPr>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BTS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86</w:t>
            </w:r>
          </w:p>
        </w:tc>
        <w:tc>
          <w:tcPr>
            <w:tcW w:w="12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76</w:t>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27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51</w:t>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MS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54</w:t>
            </w:r>
          </w:p>
        </w:tc>
        <w:tc>
          <w:tcPr>
            <w:tcW w:w="12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54</w:t>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82</w:t>
            </w:r>
          </w:p>
        </w:tc>
        <w:tc>
          <w:tcPr>
            <w:tcW w:w="127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61</w:t>
            </w:r>
          </w:p>
        </w:tc>
      </w:tr>
      <w:tr>
        <w:trPr/>
        <w:tc>
          <w:tcPr>
            <w:tcW w:w="1346"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sMS</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48</w:t>
            </w:r>
          </w:p>
        </w:tc>
        <w:tc>
          <w:tcPr>
            <w:tcW w:w="123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48</w:t>
            </w:r>
          </w:p>
        </w:tc>
        <w:tc>
          <w:tcPr>
            <w:tcW w:w="10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70</w:t>
            </w:r>
          </w:p>
        </w:tc>
        <w:tc>
          <w:tcPr>
            <w:tcW w:w="127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63</w:t>
            </w:r>
          </w:p>
        </w:tc>
      </w:tr>
    </w:tbl>
    <w:p>
      <w:pPr>
        <w:pStyle w:val="FP"/>
        <w:rPr/>
      </w:pPr>
      <w:r>
        <w:rPr/>
      </w:r>
    </w:p>
    <w:p>
      <w:pPr>
        <w:pStyle w:val="Heading3"/>
        <w:rPr/>
      </w:pPr>
      <w:bookmarkStart w:id="333" w:name="__RefHeading___Toc518035767"/>
      <w:bookmarkEnd w:id="333"/>
      <w:r>
        <w:rPr/>
        <w:t>J.3.4.1</w:t>
        <w:tab/>
        <w:t>Output power</w:t>
      </w:r>
    </w:p>
    <w:p>
      <w:pPr>
        <w:pStyle w:val="Normal"/>
        <w:rPr/>
      </w:pPr>
      <w:r>
        <w:rPr/>
        <w:t>No change is required.</w:t>
      </w:r>
    </w:p>
    <w:p>
      <w:pPr>
        <w:pStyle w:val="NO"/>
        <w:rPr/>
      </w:pPr>
      <w:r>
        <w:rPr/>
        <w:t>NOTE 1:</w:t>
        <w:tab/>
        <w:t>Also for UIC mobiles the lowest power control level is assumed to be 5dBm.</w:t>
      </w:r>
    </w:p>
    <w:p>
      <w:pPr>
        <w:pStyle w:val="NO"/>
        <w:rPr/>
      </w:pPr>
      <w:r>
        <w:rPr/>
        <w:t>NOTE 2:</w:t>
        <w:tab/>
        <w:t>Micro BTS is not expected to be used in UIC networks.</w:t>
      </w:r>
    </w:p>
    <w:p>
      <w:pPr>
        <w:pStyle w:val="Heading3"/>
        <w:rPr/>
      </w:pPr>
      <w:bookmarkStart w:id="334" w:name="__RefHeading___Toc518035768"/>
      <w:bookmarkEnd w:id="334"/>
      <w:r>
        <w:rPr/>
        <w:t>J.3.4.2</w:t>
        <w:tab/>
        <w:t>Void</w:t>
      </w:r>
    </w:p>
    <w:p>
      <w:pPr>
        <w:pStyle w:val="Heading4"/>
        <w:ind w:left="1418" w:hanging="1418"/>
        <w:rPr/>
      </w:pPr>
      <w:bookmarkStart w:id="335" w:name="__RefHeading___Toc518035769"/>
      <w:bookmarkEnd w:id="335"/>
      <w:r>
        <w:rPr/>
        <w:t>J.3.4.2.1</w:t>
        <w:tab/>
        <w:t>Spectrum due to the modulation and wide band noise</w:t>
      </w:r>
    </w:p>
    <w:p>
      <w:pPr>
        <w:pStyle w:val="Normal"/>
        <w:rPr/>
      </w:pPr>
      <w:r>
        <w:rPr/>
        <w:t>This specification is related to in</w:t>
        <w:noBreakHyphen/>
        <w:t>band performance only, and is closely related to the modulation, i.e. it does not include any effects of the "duplex" filter. Thus the performance should be as for standard GSM, also because the requirements are already close to what is obtainable.</w:t>
      </w:r>
    </w:p>
    <w:p>
      <w:pPr>
        <w:pStyle w:val="Normal"/>
        <w:rPr/>
      </w:pPr>
      <w:r>
        <w:rPr/>
        <w:t>Thus, as a working assumption, no change is proposed to this subclause of GSM 05.05.</w:t>
      </w:r>
    </w:p>
    <w:p>
      <w:pPr>
        <w:pStyle w:val="NO"/>
        <w:rPr/>
      </w:pPr>
      <w:r>
        <w:rPr/>
        <w:t>NOTE:</w:t>
        <w:tab/>
        <w:t>Comparing with the applicable scenario requirements:</w:t>
      </w:r>
    </w:p>
    <w:p>
      <w:pPr>
        <w:pStyle w:val="B4"/>
        <w:rPr/>
      </w:pPr>
      <w:r>
        <w:rPr/>
        <w:noBreakHyphen/>
      </w:r>
      <w:r>
        <w:rPr/>
        <w:tab/>
        <w:t>UIC BTS victimising UIC downlink: 0dBm;</w:t>
      </w:r>
    </w:p>
    <w:p>
      <w:pPr>
        <w:pStyle w:val="B4"/>
        <w:rPr/>
      </w:pPr>
      <w:r>
        <w:rPr/>
        <w:noBreakHyphen/>
      </w:r>
      <w:r>
        <w:rPr/>
        <w:tab/>
        <w:t xml:space="preserve">UIC MS or sMS victimising the UIC uplink: </w:t>
        <w:noBreakHyphen/>
        <w:t xml:space="preserve">54dBm and </w:t>
        <w:noBreakHyphen/>
        <w:t>48dBm, respectively;</w:t>
      </w:r>
    </w:p>
    <w:p>
      <w:pPr>
        <w:pStyle w:val="NO"/>
        <w:rPr/>
      </w:pPr>
      <w:r>
        <w:rPr/>
        <w:tab/>
        <w:t>the performance specified in GSM 05.05 is fully sufficient for the BTS, whereas the scenarios will not be met in all cases involving MS or sMS. A detailed calculation, however, has not been performed.</w:t>
      </w:r>
    </w:p>
    <w:p>
      <w:pPr>
        <w:pStyle w:val="Heading4"/>
        <w:ind w:left="1418" w:hanging="1418"/>
        <w:rPr/>
      </w:pPr>
      <w:bookmarkStart w:id="336" w:name="__RefHeading___Toc518035770"/>
      <w:bookmarkEnd w:id="336"/>
      <w:r>
        <w:rPr/>
        <w:t>J.3.4.2.2a</w:t>
        <w:tab/>
        <w:t>MS spectrum due to switching transients</w:t>
      </w:r>
    </w:p>
    <w:p>
      <w:pPr>
        <w:pStyle w:val="Normal"/>
        <w:rPr/>
      </w:pPr>
      <w:r>
        <w:rPr/>
        <w:t>This being a specification close to the carrier, the applicable scenarios deal with UIC MS or sMS victimising UIC or GSM uplinks.</w:t>
      </w:r>
    </w:p>
    <w:p>
      <w:pPr>
        <w:pStyle w:val="TH"/>
        <w:rPr/>
      </w:pPr>
      <w:r>
        <w:rPr/>
      </w:r>
    </w:p>
    <w:tbl>
      <w:tblPr>
        <w:tblW w:w="5724" w:type="dxa"/>
        <w:jc w:val="center"/>
        <w:tblInd w:w="0" w:type="dxa"/>
        <w:tblLayout w:type="fixed"/>
        <w:tblCellMar>
          <w:top w:w="0" w:type="dxa"/>
          <w:left w:w="108" w:type="dxa"/>
          <w:bottom w:w="0" w:type="dxa"/>
          <w:right w:w="108" w:type="dxa"/>
        </w:tblCellMar>
      </w:tblPr>
      <w:tblGrid>
        <w:gridCol w:w="817"/>
        <w:gridCol w:w="709"/>
        <w:gridCol w:w="4198"/>
      </w:tblGrid>
      <w:tr>
        <w:trPr/>
        <w:tc>
          <w:tcPr>
            <w:tcW w:w="817" w:type="dxa"/>
            <w:tcBorders/>
          </w:tcPr>
          <w:p>
            <w:pPr>
              <w:pStyle w:val="TAH"/>
              <w:rPr>
                <w:lang w:eastAsia="en-US"/>
              </w:rPr>
            </w:pPr>
            <w:r>
              <w:rPr>
                <w:lang w:eastAsia="en-US"/>
              </w:rPr>
              <w:t>MS</w:t>
            </w:r>
          </w:p>
        </w:tc>
        <w:tc>
          <w:tcPr>
            <w:tcW w:w="709" w:type="dxa"/>
            <w:tcBorders>
              <w:right w:val="single" w:sz="4" w:space="0" w:color="000000"/>
            </w:tcBorders>
          </w:tcPr>
          <w:p>
            <w:pPr>
              <w:pStyle w:val="TAH"/>
              <w:rPr>
                <w:lang w:eastAsia="en-US"/>
              </w:rPr>
            </w:pPr>
            <w:r>
              <w:rPr>
                <w:lang w:eastAsia="en-US"/>
              </w:rPr>
              <w:t>sMS</w:t>
            </w:r>
          </w:p>
        </w:tc>
        <w:tc>
          <w:tcPr>
            <w:tcW w:w="4198" w:type="dxa"/>
            <w:tcBorders>
              <w:left w:val="single" w:sz="4" w:space="0" w:color="000000"/>
            </w:tcBorders>
          </w:tcPr>
          <w:p>
            <w:pPr>
              <w:pStyle w:val="TAH"/>
              <w:snapToGrid w:val="false"/>
              <w:rPr>
                <w:lang w:eastAsia="en-US"/>
              </w:rPr>
            </w:pPr>
            <w:r>
              <w:rPr>
                <w:lang w:eastAsia="en-US"/>
              </w:rPr>
            </w:r>
          </w:p>
        </w:tc>
      </w:tr>
      <w:tr>
        <w:trPr/>
        <w:tc>
          <w:tcPr>
            <w:tcW w:w="817" w:type="dxa"/>
            <w:tcBorders/>
          </w:tcPr>
          <w:p>
            <w:pPr>
              <w:pStyle w:val="TAC"/>
              <w:rPr>
                <w:lang w:val="en-GB"/>
              </w:rPr>
            </w:pPr>
            <w:r>
              <w:rPr>
                <w:lang w:val="en-GB"/>
              </w:rPr>
              <w:t>-54</w:t>
            </w:r>
          </w:p>
        </w:tc>
        <w:tc>
          <w:tcPr>
            <w:tcW w:w="709" w:type="dxa"/>
            <w:tcBorders/>
          </w:tcPr>
          <w:p>
            <w:pPr>
              <w:pStyle w:val="TAC"/>
              <w:rPr>
                <w:lang w:val="en-GB"/>
              </w:rPr>
            </w:pPr>
            <w:r>
              <w:rPr>
                <w:lang w:val="en-GB"/>
              </w:rPr>
              <w:t>-48</w:t>
            </w:r>
          </w:p>
        </w:tc>
        <w:tc>
          <w:tcPr>
            <w:tcW w:w="4198" w:type="dxa"/>
            <w:tcBorders/>
          </w:tcPr>
          <w:p>
            <w:pPr>
              <w:pStyle w:val="TAL"/>
              <w:tabs>
                <w:tab w:val="clear" w:pos="284"/>
                <w:tab w:val="left" w:pos="517" w:leader="none"/>
              </w:tabs>
              <w:rPr>
                <w:lang w:val="en-GB"/>
              </w:rPr>
            </w:pPr>
            <w:r>
              <w:rPr>
                <w:lang w:val="en-GB"/>
              </w:rPr>
              <w:t>dBm</w:t>
              <w:tab/>
              <w:t>Scenarios requirement</w:t>
            </w:r>
          </w:p>
        </w:tc>
      </w:tr>
      <w:tr>
        <w:trPr/>
        <w:tc>
          <w:tcPr>
            <w:tcW w:w="817" w:type="dxa"/>
            <w:tcBorders/>
          </w:tcPr>
          <w:p>
            <w:pPr>
              <w:pStyle w:val="TAC"/>
              <w:rPr>
                <w:lang w:val="en-GB"/>
              </w:rPr>
            </w:pPr>
            <w:r>
              <w:rPr>
                <w:lang w:val="en-GB"/>
              </w:rPr>
              <w:t>+20</w:t>
            </w:r>
          </w:p>
        </w:tc>
        <w:tc>
          <w:tcPr>
            <w:tcW w:w="709" w:type="dxa"/>
            <w:tcBorders/>
          </w:tcPr>
          <w:p>
            <w:pPr>
              <w:pStyle w:val="TAC"/>
              <w:rPr>
                <w:lang w:val="en-GB"/>
              </w:rPr>
            </w:pPr>
            <w:r>
              <w:rPr>
                <w:lang w:val="en-GB"/>
              </w:rPr>
              <w:t>+20</w:t>
            </w:r>
          </w:p>
        </w:tc>
        <w:tc>
          <w:tcPr>
            <w:tcW w:w="4198" w:type="dxa"/>
            <w:tcBorders/>
          </w:tcPr>
          <w:p>
            <w:pPr>
              <w:pStyle w:val="TAL"/>
              <w:tabs>
                <w:tab w:val="clear" w:pos="284"/>
                <w:tab w:val="left" w:pos="517" w:leader="none"/>
              </w:tabs>
              <w:rPr>
                <w:lang w:val="en-GB"/>
              </w:rPr>
            </w:pPr>
            <w:r>
              <w:rPr>
                <w:lang w:val="en-GB"/>
              </w:rPr>
              <w:t>dB</w:t>
              <w:tab/>
              <w:t>Transient margin (GSM 05.50 p. A</w:t>
              <w:noBreakHyphen/>
              <w:t>18 [4])</w:t>
            </w:r>
          </w:p>
        </w:tc>
      </w:tr>
      <w:tr>
        <w:trPr/>
        <w:tc>
          <w:tcPr>
            <w:tcW w:w="817" w:type="dxa"/>
            <w:tcBorders/>
          </w:tcPr>
          <w:p>
            <w:pPr>
              <w:pStyle w:val="TAC"/>
              <w:rPr>
                <w:lang w:val="en-GB"/>
              </w:rPr>
            </w:pPr>
            <w:r>
              <w:rPr>
                <w:lang w:val="en-GB"/>
              </w:rPr>
              <w:t>-8</w:t>
            </w:r>
          </w:p>
        </w:tc>
        <w:tc>
          <w:tcPr>
            <w:tcW w:w="709" w:type="dxa"/>
            <w:tcBorders/>
          </w:tcPr>
          <w:p>
            <w:pPr>
              <w:pStyle w:val="TAC"/>
              <w:rPr>
                <w:lang w:val="en-GB"/>
              </w:rPr>
            </w:pPr>
            <w:r>
              <w:rPr>
                <w:lang w:val="en-GB"/>
              </w:rPr>
              <w:t>-8</w:t>
            </w:r>
          </w:p>
        </w:tc>
        <w:tc>
          <w:tcPr>
            <w:tcW w:w="4198" w:type="dxa"/>
            <w:tcBorders/>
          </w:tcPr>
          <w:p>
            <w:pPr>
              <w:pStyle w:val="TAL"/>
              <w:tabs>
                <w:tab w:val="clear" w:pos="284"/>
                <w:tab w:val="left" w:pos="517" w:leader="none"/>
              </w:tabs>
              <w:rPr>
                <w:lang w:val="en-GB"/>
              </w:rPr>
            </w:pPr>
            <w:r>
              <w:rPr>
                <w:lang w:val="en-GB"/>
              </w:rPr>
              <w:t>dB</w:t>
              <w:tab/>
              <w:t>Bandwidth conversion factor into 30 kHz</w:t>
            </w:r>
          </w:p>
        </w:tc>
      </w:tr>
      <w:tr>
        <w:trPr/>
        <w:tc>
          <w:tcPr>
            <w:tcW w:w="817" w:type="dxa"/>
            <w:tcBorders/>
          </w:tcPr>
          <w:p>
            <w:pPr>
              <w:pStyle w:val="TAC"/>
              <w:rPr>
                <w:lang w:val="en-GB"/>
              </w:rPr>
            </w:pPr>
            <w:r>
              <w:rPr>
                <w:lang w:val="en-GB"/>
              </w:rPr>
              <w:t>-</w:t>
            </w:r>
          </w:p>
        </w:tc>
        <w:tc>
          <w:tcPr>
            <w:tcW w:w="709" w:type="dxa"/>
            <w:tcBorders/>
          </w:tcPr>
          <w:p>
            <w:pPr>
              <w:pStyle w:val="TAC"/>
              <w:rPr>
                <w:lang w:val="en-GB"/>
              </w:rPr>
            </w:pPr>
            <w:r>
              <w:rPr>
                <w:lang w:val="en-GB"/>
              </w:rPr>
              <w:t>-</w:t>
            </w:r>
          </w:p>
        </w:tc>
        <w:tc>
          <w:tcPr>
            <w:tcW w:w="4198" w:type="dxa"/>
            <w:tcBorders/>
          </w:tcPr>
          <w:p>
            <w:pPr>
              <w:pStyle w:val="TAL"/>
              <w:tabs>
                <w:tab w:val="clear" w:pos="284"/>
                <w:tab w:val="left" w:pos="517" w:leader="none"/>
              </w:tabs>
              <w:snapToGrid w:val="false"/>
              <w:rPr>
                <w:lang w:val="en-GB"/>
              </w:rPr>
            </w:pPr>
            <w:r>
              <w:rPr>
                <w:lang w:val="en-GB"/>
              </w:rPr>
            </w:r>
          </w:p>
        </w:tc>
      </w:tr>
      <w:tr>
        <w:trPr/>
        <w:tc>
          <w:tcPr>
            <w:tcW w:w="817" w:type="dxa"/>
            <w:tcBorders/>
          </w:tcPr>
          <w:p>
            <w:pPr>
              <w:pStyle w:val="TAC"/>
              <w:rPr>
                <w:lang w:val="en-GB"/>
              </w:rPr>
            </w:pPr>
            <w:r>
              <w:rPr>
                <w:lang w:val="en-GB"/>
              </w:rPr>
              <w:t>-42</w:t>
            </w:r>
          </w:p>
        </w:tc>
        <w:tc>
          <w:tcPr>
            <w:tcW w:w="709" w:type="dxa"/>
            <w:tcBorders/>
          </w:tcPr>
          <w:p>
            <w:pPr>
              <w:pStyle w:val="TAC"/>
              <w:rPr>
                <w:lang w:val="en-GB"/>
              </w:rPr>
            </w:pPr>
            <w:r>
              <w:rPr>
                <w:lang w:val="en-GB"/>
              </w:rPr>
              <w:t>-36</w:t>
            </w:r>
          </w:p>
        </w:tc>
        <w:tc>
          <w:tcPr>
            <w:tcW w:w="4198" w:type="dxa"/>
            <w:tcBorders/>
          </w:tcPr>
          <w:p>
            <w:pPr>
              <w:pStyle w:val="TAL"/>
              <w:tabs>
                <w:tab w:val="clear" w:pos="284"/>
                <w:tab w:val="left" w:pos="517" w:leader="none"/>
              </w:tabs>
              <w:rPr/>
            </w:pPr>
            <w:r>
              <w:rPr>
                <w:lang w:val="en-GB"/>
              </w:rPr>
              <w:t>dBm</w:t>
              <w:tab/>
              <w:t>Performance requirement</w:t>
            </w:r>
          </w:p>
        </w:tc>
      </w:tr>
    </w:tbl>
    <w:p>
      <w:pPr>
        <w:pStyle w:val="FP"/>
        <w:rPr/>
      </w:pPr>
      <w:r>
        <w:rPr/>
      </w:r>
    </w:p>
    <w:p>
      <w:pPr>
        <w:pStyle w:val="Normal"/>
        <w:rPr/>
      </w:pPr>
      <w:r>
        <w:rPr/>
        <w:t>For feasibility reasons, this is compared with the requirement in GSM 05.05 at 1 800 kHz offset only, implying a tightening for UIC MS. Nevertheless, no change is proposed, because this could make it difficult to use standard GSM technology, and because only a balanced specification with the 'spectrum due to the modulation and wide band noise' makes sense, by which the scenario requirement is not fully met anyhow, as discussed above (see subclause 4.2.1).</w:t>
      </w:r>
    </w:p>
    <w:p>
      <w:pPr>
        <w:pStyle w:val="Heading4"/>
        <w:ind w:left="1418" w:hanging="1418"/>
        <w:rPr/>
      </w:pPr>
      <w:bookmarkStart w:id="337" w:name="__RefHeading___Toc518035771"/>
      <w:bookmarkEnd w:id="337"/>
      <w:r>
        <w:rPr/>
        <w:t>J.3.4.2.2b</w:t>
        <w:tab/>
        <w:t>BTS spectrum due to switching transients</w:t>
      </w:r>
    </w:p>
    <w:p>
      <w:pPr>
        <w:pStyle w:val="Normal"/>
        <w:rPr/>
      </w:pPr>
      <w:r>
        <w:rPr/>
        <w:t>Here, for one, the scenario of UIC BTS victimising the UIC downlink applies. The corresponding requirement is 0dBm, which is uncritial and requires no change to GSM 05.05.</w:t>
      </w:r>
    </w:p>
    <w:p>
      <w:pPr>
        <w:pStyle w:val="NO"/>
        <w:rPr/>
      </w:pPr>
      <w:r>
        <w:rPr/>
        <w:t>NOTE:</w:t>
        <w:tab/>
        <w:t>The high value reflects the assumption that there will only be one UIC operator in an area, and thus only the coordinated case with power control to consider.</w:t>
      </w:r>
    </w:p>
    <w:p>
      <w:pPr>
        <w:pStyle w:val="Normal"/>
        <w:rPr/>
      </w:pPr>
      <w:r>
        <w:rPr/>
        <w:t>At the upper end of the transmit band, however, UIC BTS switching transients may extend into and victimise the E</w:t>
        <w:noBreakHyphen/>
        <w:t>GSM downlink, whereby the following applies:</w:t>
      </w:r>
    </w:p>
    <w:p>
      <w:pPr>
        <w:pStyle w:val="B2"/>
        <w:keepNext w:val="true"/>
        <w:tabs>
          <w:tab w:val="clear" w:pos="284"/>
          <w:tab w:val="left" w:pos="1134" w:leader="none"/>
          <w:tab w:val="left" w:pos="1701" w:leader="none"/>
        </w:tabs>
        <w:rPr/>
      </w:pPr>
      <w:r>
        <w:rPr/>
        <w:noBreakHyphen/>
      </w:r>
      <w:r>
        <w:rPr/>
        <w:t>51</w:t>
        <w:tab/>
        <w:t>dBm</w:t>
        <w:tab/>
        <w:t>Scenarios requirement</w:t>
      </w:r>
    </w:p>
    <w:p>
      <w:pPr>
        <w:pStyle w:val="B2"/>
        <w:keepNext w:val="true"/>
        <w:tabs>
          <w:tab w:val="clear" w:pos="284"/>
          <w:tab w:val="left" w:pos="1134" w:leader="none"/>
          <w:tab w:val="left" w:pos="1701" w:leader="none"/>
        </w:tabs>
        <w:rPr/>
      </w:pPr>
      <w:r>
        <w:rPr/>
        <w:t>+20</w:t>
        <w:tab/>
        <w:t>dB</w:t>
        <w:tab/>
        <w:t>Transient margin (GSM 05.50 p. A</w:t>
        <w:noBreakHyphen/>
        <w:t>18 [4])</w:t>
      </w:r>
    </w:p>
    <w:p>
      <w:pPr>
        <w:pStyle w:val="B2"/>
        <w:keepNext w:val="true"/>
        <w:pBdr>
          <w:bottom w:val="single" w:sz="6" w:space="1" w:color="000000"/>
        </w:pBdr>
        <w:tabs>
          <w:tab w:val="clear" w:pos="284"/>
          <w:tab w:val="left" w:pos="1134" w:leader="none"/>
          <w:tab w:val="left" w:pos="1701" w:leader="none"/>
        </w:tabs>
        <w:rPr/>
      </w:pPr>
      <w:r>
        <w:rPr/>
        <w:noBreakHyphen/>
      </w:r>
      <w:r>
        <w:rPr/>
        <w:t>8</w:t>
        <w:tab/>
        <w:t>dB</w:t>
        <w:tab/>
        <w:t>Bandwidth conversion factor into 30 kHz</w:t>
      </w:r>
    </w:p>
    <w:p>
      <w:pPr>
        <w:pStyle w:val="B2"/>
        <w:keepNext w:val="true"/>
        <w:tabs>
          <w:tab w:val="clear" w:pos="284"/>
          <w:tab w:val="left" w:pos="1134" w:leader="none"/>
          <w:tab w:val="left" w:pos="1701" w:leader="none"/>
        </w:tabs>
        <w:rPr/>
      </w:pPr>
      <w:r>
        <w:rPr/>
        <w:noBreakHyphen/>
      </w:r>
      <w:r>
        <w:rPr/>
        <w:t>39</w:t>
        <w:tab/>
        <w:t>dBm</w:t>
        <w:tab/>
        <w:t>Performance requirement onto E</w:t>
        <w:noBreakHyphen/>
        <w:t>GSM downlink</w:t>
      </w:r>
    </w:p>
    <w:p>
      <w:pPr>
        <w:pStyle w:val="Normal"/>
        <w:rPr/>
      </w:pPr>
      <w:r>
        <w:rPr/>
        <w:t xml:space="preserve">The UIC BTS power being 39 dBm measured in a 300 kHz bandwidth, this corresponds to </w:t>
        <w:noBreakHyphen/>
        <w:t xml:space="preserve">78 dBc. The requirement in GSM 05.05 at 1,2 MHz to 1,8 MHz from the carrier is </w:t>
        <w:noBreakHyphen/>
        <w:t xml:space="preserve">74 dBc or </w:t>
        <w:noBreakHyphen/>
        <w:t>36 dBm, whichever is the higher.</w:t>
      </w:r>
    </w:p>
    <w:p>
      <w:pPr>
        <w:pStyle w:val="Normal"/>
        <w:rPr/>
      </w:pPr>
      <w:r>
        <w:rPr/>
        <w:t>Nevertheless, it is suggested to stay with the GSM 05.05 specification, considering that only mobiles operating on the outermost frequencies of the E</w:t>
        <w:noBreakHyphen/>
        <w:t>GSM and very close to their reference sensitivity will possibly be interfered with.</w:t>
      </w:r>
    </w:p>
    <w:p>
      <w:pPr>
        <w:pStyle w:val="Heading4"/>
        <w:ind w:left="1418" w:hanging="1418"/>
        <w:rPr/>
      </w:pPr>
      <w:bookmarkStart w:id="338" w:name="__RefHeading___Toc518035772"/>
      <w:bookmarkEnd w:id="338"/>
      <w:r>
        <w:rPr/>
        <w:t>J.3.4.3.1</w:t>
        <w:tab/>
        <w:t>Spurious emissions</w:t>
      </w:r>
    </w:p>
    <w:p>
      <w:pPr>
        <w:pStyle w:val="Normal"/>
        <w:rPr/>
      </w:pPr>
      <w:r>
        <w:rPr/>
        <w:t>The principle of the spurious emissions specification in 05.05 is basically a split in two, an in</w:t>
        <w:noBreakHyphen/>
        <w:t>band part a), and an out</w:t>
        <w:noBreakHyphen/>
        <w:t>of</w:t>
        <w:noBreakHyphen/>
        <w:t>band part b) with more strict requirements. However, the specification is not fully clear on what is the in</w:t>
        <w:noBreakHyphen/>
        <w:t>band part: Does the term "relevant transmit band" refer to:</w:t>
      </w:r>
    </w:p>
    <w:p>
      <w:pPr>
        <w:pStyle w:val="B1"/>
        <w:rPr/>
      </w:pPr>
      <w:r>
        <w:rPr/>
        <w:noBreakHyphen/>
      </w:r>
      <w:r>
        <w:rPr/>
        <w:tab/>
        <w:t>the actual transmit band of an equipment; or</w:t>
      </w:r>
    </w:p>
    <w:p>
      <w:pPr>
        <w:pStyle w:val="B1"/>
        <w:rPr/>
      </w:pPr>
      <w:r>
        <w:rPr/>
        <w:noBreakHyphen/>
      </w:r>
      <w:r>
        <w:rPr/>
        <w:tab/>
        <w:t>the total combined range of GSM9 00 as opposed to DCS1800?</w:t>
      </w:r>
    </w:p>
    <w:p>
      <w:pPr>
        <w:pStyle w:val="Normal"/>
        <w:rPr/>
      </w:pPr>
      <w:r>
        <w:rPr/>
        <w:t>The latter seems the more appropriate, assuming that the out</w:t>
        <w:noBreakHyphen/>
        <w:t>of</w:t>
        <w:noBreakHyphen/>
        <w:t>band requirement is adapted from general CEPT limits to protect all other various applications of radio reception, whereas the in</w:t>
        <w:noBreakHyphen/>
        <w:t>band part of the requirements should relate to co</w:t>
        <w:noBreakHyphen/>
        <w:t>existence scenarios for GSM network operation.</w:t>
      </w:r>
    </w:p>
    <w:p>
      <w:pPr>
        <w:pStyle w:val="Normal"/>
        <w:rPr/>
      </w:pPr>
      <w:r>
        <w:rPr/>
        <w:t>For implementation of E</w:t>
        <w:noBreakHyphen/>
        <w:t xml:space="preserve"> or P</w:t>
        <w:noBreakHyphen/>
        <w:t>GSM equipments, the difference between the two interpretations may be negligible, but in any case the latter is more relaxed than the first.</w:t>
      </w:r>
    </w:p>
    <w:p>
      <w:pPr>
        <w:pStyle w:val="Normal"/>
        <w:rPr/>
      </w:pPr>
      <w:r>
        <w:rPr/>
        <w:t>For UIC equipments, capable of operation over the full GSM900 band, however, the latter definition must apply. Otherwise, requiring for multiband operation that all the requirements for each of the bands must be met, unnecessarily strict requirements would result by overlapping an out</w:t>
        <w:noBreakHyphen/>
        <w:t>of</w:t>
        <w:noBreakHyphen/>
        <w:t>band with the in</w:t>
        <w:noBreakHyphen/>
        <w:t>band of another band.</w:t>
      </w:r>
    </w:p>
    <w:p>
      <w:pPr>
        <w:pStyle w:val="Normal"/>
        <w:rPr/>
      </w:pPr>
      <w:r>
        <w:rPr/>
        <w:t>Thus, for UIC equipments, the "relevant transmit band" shall be:</w:t>
      </w:r>
    </w:p>
    <w:p>
      <w:pPr>
        <w:pStyle w:val="B1"/>
        <w:tabs>
          <w:tab w:val="clear" w:pos="284"/>
          <w:tab w:val="left" w:pos="2268" w:leader="none"/>
        </w:tabs>
        <w:rPr/>
      </w:pPr>
      <w:r>
        <w:rPr/>
        <w:t>MS and sMS:</w:t>
        <w:tab/>
        <w:t>876 MHz to 915 MHz;</w:t>
      </w:r>
    </w:p>
    <w:p>
      <w:pPr>
        <w:pStyle w:val="B1"/>
        <w:tabs>
          <w:tab w:val="clear" w:pos="284"/>
          <w:tab w:val="left" w:pos="2268" w:leader="none"/>
        </w:tabs>
        <w:rPr/>
      </w:pPr>
      <w:r>
        <w:rPr/>
        <w:t>BTS:</w:t>
        <w:tab/>
        <w:t>921 MHz to 960 MHz.</w:t>
      </w:r>
    </w:p>
    <w:p>
      <w:pPr>
        <w:pStyle w:val="Heading4"/>
        <w:ind w:left="1418" w:hanging="1418"/>
        <w:rPr/>
      </w:pPr>
      <w:bookmarkStart w:id="339" w:name="__RefHeading___Toc518035773"/>
      <w:bookmarkEnd w:id="339"/>
      <w:r>
        <w:rPr/>
        <w:t>J.3.4.3.2</w:t>
        <w:tab/>
        <w:t>BTS spurious emissions</w:t>
      </w:r>
    </w:p>
    <w:p>
      <w:pPr>
        <w:pStyle w:val="Normal"/>
        <w:rPr/>
      </w:pPr>
      <w:r>
        <w:rPr/>
        <w:t>In order to keep a balanced specification, the BTS spurious emissions requirement in the first paragraph of this subclause of GSM 05.05, referring to the conditions specified in subclause 4.3.1a (at 1,8 MHz or greater offset from the carrier), should not be tighter than what is applied for the switching transients (in subclause 4.2.2b, at 1,8 MHz or less offset from the carrier), i.e. also here the current GSM 05.05 specification should be kept.</w:t>
      </w:r>
    </w:p>
    <w:p>
      <w:pPr>
        <w:pStyle w:val="Normal"/>
        <w:rPr/>
      </w:pPr>
      <w:r>
        <w:rPr/>
        <w:t>A tighter specification would not be of much use anyhow. For UIC, with its narrow downlink band, the BTS noise closer to the carrier is expected to be dominant, and even this is not critical, due to the coordinated scenarios. For GSM mobiles suffering this kind of interference when being close to a base station, in most cases the source would rather be a GSM BTS (by their multitude, and being closer in frequency).</w:t>
      </w:r>
    </w:p>
    <w:p>
      <w:pPr>
        <w:pStyle w:val="Normal"/>
        <w:rPr/>
      </w:pPr>
      <w:r>
        <w:rPr/>
        <w:t>In the second paragraph of the section, referring to the conditions in subclause 4.3.1b, the "out</w:t>
        <w:noBreakHyphen/>
        <w:t>of</w:t>
        <w:noBreakHyphen/>
        <w:t>band" requirements should not be changed, assuming these are adopted from general CEPT limits.</w:t>
      </w:r>
    </w:p>
    <w:p>
      <w:pPr>
        <w:pStyle w:val="Normal"/>
        <w:rPr/>
      </w:pPr>
      <w:r>
        <w:rPr/>
        <w:t>Regarding protection of the BTS receive band, the UIC BTS victimising UIC or GSM uplinks scenarios apply:</w:t>
      </w:r>
    </w:p>
    <w:p>
      <w:pPr>
        <w:pStyle w:val="TH"/>
        <w:rPr/>
      </w:pPr>
      <w:r>
        <w:rPr/>
      </w:r>
    </w:p>
    <w:tbl>
      <w:tblPr>
        <w:tblW w:w="6062" w:type="dxa"/>
        <w:jc w:val="center"/>
        <w:tblInd w:w="0" w:type="dxa"/>
        <w:tblLayout w:type="fixed"/>
        <w:tblCellMar>
          <w:top w:w="0" w:type="dxa"/>
          <w:left w:w="108" w:type="dxa"/>
          <w:bottom w:w="0" w:type="dxa"/>
          <w:right w:w="108" w:type="dxa"/>
        </w:tblCellMar>
      </w:tblPr>
      <w:tblGrid>
        <w:gridCol w:w="817"/>
        <w:gridCol w:w="851"/>
        <w:gridCol w:w="4394"/>
      </w:tblGrid>
      <w:tr>
        <w:trPr/>
        <w:tc>
          <w:tcPr>
            <w:tcW w:w="817" w:type="dxa"/>
            <w:tcBorders/>
          </w:tcPr>
          <w:p>
            <w:pPr>
              <w:pStyle w:val="TAH"/>
              <w:rPr>
                <w:lang w:eastAsia="en-US"/>
              </w:rPr>
            </w:pPr>
            <w:r>
              <w:rPr>
                <w:lang w:eastAsia="en-US"/>
              </w:rPr>
              <w:t>UIC</w:t>
            </w:r>
          </w:p>
        </w:tc>
        <w:tc>
          <w:tcPr>
            <w:tcW w:w="851" w:type="dxa"/>
            <w:tcBorders/>
          </w:tcPr>
          <w:p>
            <w:pPr>
              <w:pStyle w:val="TAH"/>
              <w:rPr>
                <w:lang w:eastAsia="en-US"/>
              </w:rPr>
            </w:pPr>
            <w:r>
              <w:rPr>
                <w:lang w:eastAsia="en-US"/>
              </w:rPr>
              <w:t>GSM</w:t>
            </w:r>
          </w:p>
        </w:tc>
        <w:tc>
          <w:tcPr>
            <w:tcW w:w="4394" w:type="dxa"/>
            <w:tcBorders/>
          </w:tcPr>
          <w:p>
            <w:pPr>
              <w:pStyle w:val="TAH"/>
              <w:snapToGrid w:val="false"/>
              <w:rPr>
                <w:lang w:eastAsia="en-US"/>
              </w:rPr>
            </w:pPr>
            <w:r>
              <w:rPr>
                <w:lang w:eastAsia="en-US"/>
              </w:rPr>
            </w:r>
          </w:p>
        </w:tc>
      </w:tr>
      <w:tr>
        <w:trPr/>
        <w:tc>
          <w:tcPr>
            <w:tcW w:w="817" w:type="dxa"/>
            <w:tcBorders/>
          </w:tcPr>
          <w:p>
            <w:pPr>
              <w:pStyle w:val="TAC"/>
              <w:rPr>
                <w:lang w:val="en-GB"/>
              </w:rPr>
            </w:pPr>
            <w:r>
              <w:rPr>
                <w:lang w:val="en-GB"/>
              </w:rPr>
              <w:t>-86</w:t>
            </w:r>
          </w:p>
        </w:tc>
        <w:tc>
          <w:tcPr>
            <w:tcW w:w="851" w:type="dxa"/>
            <w:tcBorders/>
          </w:tcPr>
          <w:p>
            <w:pPr>
              <w:pStyle w:val="TAC"/>
              <w:rPr>
                <w:lang w:val="en-GB"/>
              </w:rPr>
            </w:pPr>
            <w:r>
              <w:rPr>
                <w:lang w:val="en-GB"/>
              </w:rPr>
              <w:t>-76</w:t>
            </w:r>
          </w:p>
        </w:tc>
        <w:tc>
          <w:tcPr>
            <w:tcW w:w="4394" w:type="dxa"/>
            <w:tcBorders/>
          </w:tcPr>
          <w:p>
            <w:pPr>
              <w:pStyle w:val="TAL"/>
              <w:tabs>
                <w:tab w:val="clear" w:pos="284"/>
                <w:tab w:val="left" w:pos="612" w:leader="none"/>
              </w:tabs>
              <w:rPr>
                <w:lang w:val="en-GB"/>
              </w:rPr>
            </w:pPr>
            <w:r>
              <w:rPr>
                <w:lang w:val="en-GB"/>
              </w:rPr>
              <w:t>dBm</w:t>
              <w:tab/>
              <w:t>Scenarios requirement</w:t>
            </w:r>
          </w:p>
        </w:tc>
      </w:tr>
      <w:tr>
        <w:trPr/>
        <w:tc>
          <w:tcPr>
            <w:tcW w:w="817" w:type="dxa"/>
            <w:tcBorders/>
          </w:tcPr>
          <w:p>
            <w:pPr>
              <w:pStyle w:val="TAC"/>
              <w:rPr>
                <w:lang w:val="en-GB"/>
              </w:rPr>
            </w:pPr>
            <w:r>
              <w:rPr>
                <w:lang w:val="en-GB"/>
              </w:rPr>
              <w:t>-3</w:t>
            </w:r>
          </w:p>
        </w:tc>
        <w:tc>
          <w:tcPr>
            <w:tcW w:w="851" w:type="dxa"/>
            <w:tcBorders/>
          </w:tcPr>
          <w:p>
            <w:pPr>
              <w:pStyle w:val="TAC"/>
              <w:rPr>
                <w:lang w:val="en-GB"/>
              </w:rPr>
            </w:pPr>
            <w:r>
              <w:rPr>
                <w:lang w:val="en-GB"/>
              </w:rPr>
              <w:t>-3</w:t>
            </w:r>
          </w:p>
        </w:tc>
        <w:tc>
          <w:tcPr>
            <w:tcW w:w="4394" w:type="dxa"/>
            <w:tcBorders/>
          </w:tcPr>
          <w:p>
            <w:pPr>
              <w:pStyle w:val="TAL"/>
              <w:tabs>
                <w:tab w:val="clear" w:pos="284"/>
                <w:tab w:val="left" w:pos="612" w:leader="none"/>
              </w:tabs>
              <w:rPr>
                <w:lang w:val="en-GB"/>
              </w:rPr>
            </w:pPr>
            <w:r>
              <w:rPr>
                <w:lang w:val="en-GB"/>
              </w:rPr>
              <w:t>dB</w:t>
              <w:tab/>
              <w:t>Bandwidth conversion factor into 100 kHz</w:t>
            </w:r>
          </w:p>
        </w:tc>
      </w:tr>
      <w:tr>
        <w:trPr/>
        <w:tc>
          <w:tcPr>
            <w:tcW w:w="817" w:type="dxa"/>
            <w:tcBorders/>
          </w:tcPr>
          <w:p>
            <w:pPr>
              <w:pStyle w:val="TAC"/>
              <w:rPr>
                <w:lang w:val="en-GB"/>
              </w:rPr>
            </w:pPr>
            <w:r>
              <w:rPr>
                <w:lang w:val="en-GB"/>
              </w:rPr>
              <w:t>-</w:t>
            </w:r>
          </w:p>
        </w:tc>
        <w:tc>
          <w:tcPr>
            <w:tcW w:w="851" w:type="dxa"/>
            <w:tcBorders/>
          </w:tcPr>
          <w:p>
            <w:pPr>
              <w:pStyle w:val="TAC"/>
              <w:rPr>
                <w:lang w:val="en-GB"/>
              </w:rPr>
            </w:pPr>
            <w:r>
              <w:rPr>
                <w:lang w:val="en-GB"/>
              </w:rPr>
              <w:t>-</w:t>
            </w:r>
          </w:p>
        </w:tc>
        <w:tc>
          <w:tcPr>
            <w:tcW w:w="4394" w:type="dxa"/>
            <w:tcBorders/>
          </w:tcPr>
          <w:p>
            <w:pPr>
              <w:pStyle w:val="TAL"/>
              <w:tabs>
                <w:tab w:val="clear" w:pos="284"/>
                <w:tab w:val="left" w:pos="612" w:leader="none"/>
              </w:tabs>
              <w:snapToGrid w:val="false"/>
              <w:rPr>
                <w:lang w:val="en-GB"/>
              </w:rPr>
            </w:pPr>
            <w:r>
              <w:rPr>
                <w:lang w:val="en-GB"/>
              </w:rPr>
            </w:r>
          </w:p>
        </w:tc>
      </w:tr>
      <w:tr>
        <w:trPr/>
        <w:tc>
          <w:tcPr>
            <w:tcW w:w="817" w:type="dxa"/>
            <w:tcBorders/>
          </w:tcPr>
          <w:p>
            <w:pPr>
              <w:pStyle w:val="TAC"/>
              <w:rPr>
                <w:lang w:val="en-GB"/>
              </w:rPr>
            </w:pPr>
            <w:r>
              <w:rPr>
                <w:lang w:val="en-GB"/>
              </w:rPr>
              <w:t>-89</w:t>
            </w:r>
          </w:p>
        </w:tc>
        <w:tc>
          <w:tcPr>
            <w:tcW w:w="851" w:type="dxa"/>
            <w:tcBorders/>
          </w:tcPr>
          <w:p>
            <w:pPr>
              <w:pStyle w:val="TAC"/>
              <w:rPr>
                <w:lang w:val="en-GB"/>
              </w:rPr>
            </w:pPr>
            <w:r>
              <w:rPr>
                <w:lang w:val="en-GB"/>
              </w:rPr>
              <w:t>-79</w:t>
            </w:r>
          </w:p>
        </w:tc>
        <w:tc>
          <w:tcPr>
            <w:tcW w:w="4394" w:type="dxa"/>
            <w:tcBorders/>
          </w:tcPr>
          <w:p>
            <w:pPr>
              <w:pStyle w:val="TAL"/>
              <w:tabs>
                <w:tab w:val="clear" w:pos="284"/>
                <w:tab w:val="left" w:pos="612" w:leader="none"/>
              </w:tabs>
              <w:rPr>
                <w:lang w:val="en-GB"/>
              </w:rPr>
            </w:pPr>
            <w:r>
              <w:rPr>
                <w:lang w:val="en-GB"/>
              </w:rPr>
              <w:t>dBm</w:t>
              <w:tab/>
              <w:t>Performance requirement</w:t>
            </w:r>
          </w:p>
        </w:tc>
      </w:tr>
    </w:tbl>
    <w:p>
      <w:pPr>
        <w:pStyle w:val="FP"/>
        <w:rPr/>
      </w:pPr>
      <w:r>
        <w:rPr/>
      </w:r>
    </w:p>
    <w:p>
      <w:pPr>
        <w:pStyle w:val="NO"/>
        <w:rPr/>
      </w:pPr>
      <w:r>
        <w:rPr/>
        <w:t>NOTE 1:</w:t>
        <w:tab/>
        <w:t>The less tight requirement against the E</w:t>
        <w:noBreakHyphen/>
        <w:t xml:space="preserve"> and P</w:t>
        <w:noBreakHyphen/>
        <w:t>GSM bands reflects the scenarios assumption that such cositings would be subject to optimised arrangements providing a coupling loss of at least 40 dB, see [2].</w:t>
      </w:r>
    </w:p>
    <w:p>
      <w:pPr>
        <w:pStyle w:val="Normal"/>
        <w:rPr/>
      </w:pPr>
      <w:r>
        <w:rPr/>
        <w:t xml:space="preserve">Thus, for UIC, a limit of </w:t>
        <w:noBreakHyphen/>
        <w:t>89 dBm towards the full BTS receive band should apply, taking the more strict value. This still forms a relaxation compared with standard GSM that can assist the implementation, considering the narrower transition band for the filtering implicated.</w:t>
      </w:r>
    </w:p>
    <w:p>
      <w:pPr>
        <w:pStyle w:val="NO"/>
        <w:rPr/>
      </w:pPr>
      <w:r>
        <w:rPr/>
        <w:t>NOTE 2:</w:t>
        <w:tab/>
        <w:t>The relaxation largely reflects that no multiple interferers margin is applied for a UIC BTS.</w:t>
      </w:r>
    </w:p>
    <w:p>
      <w:pPr>
        <w:pStyle w:val="Normal"/>
        <w:rPr/>
      </w:pPr>
      <w:r>
        <w:rPr/>
        <w:t>No change is suggested against DCS, assuming implementations based on standard GSM and thus meeting the current requirement.</w:t>
      </w:r>
    </w:p>
    <w:p>
      <w:pPr>
        <w:pStyle w:val="Normal"/>
        <w:rPr/>
      </w:pPr>
      <w:r>
        <w:rPr/>
        <w:t>Considering the above relaxation of the protection of the UIC uplink as compared with GSM, the GSM 05.05 note on protection from co</w:t>
        <w:noBreakHyphen/>
        <w:t>sited DCS transmitters should be sufficient for protection of the UIC band as well, if ever needed. Nevertheless, it is suggested to include it in the GSM uplink frequency range specified for protection (to read 876 MHz to 915 MHz). This downwards extension by 4 MHz should pose no problem for actual DCS equipments, considering the large spacing to its wanted signal.</w:t>
      </w:r>
    </w:p>
    <w:p>
      <w:pPr>
        <w:pStyle w:val="Normal"/>
        <w:rPr/>
      </w:pPr>
      <w:r>
        <w:rPr/>
        <w:t>By the same principle, also in the last paragraph of this section of GSM 05.05, for protection of the GSM downlink from DCS, the frequency range should be extended to include the UIC band (to read 921 MHz to 960 MHz), and again this should pose no problems for actual DCS equipments.</w:t>
      </w:r>
    </w:p>
    <w:p>
      <w:pPr>
        <w:pStyle w:val="Heading4"/>
        <w:ind w:left="1418" w:hanging="1418"/>
        <w:rPr/>
      </w:pPr>
      <w:bookmarkStart w:id="340" w:name="__RefHeading___Toc518035774"/>
      <w:bookmarkEnd w:id="340"/>
      <w:r>
        <w:rPr/>
        <w:t>J.3.4.3.3</w:t>
        <w:tab/>
        <w:t>MS spurious emissions</w:t>
      </w:r>
    </w:p>
    <w:p>
      <w:pPr>
        <w:pStyle w:val="Normal"/>
        <w:keepNext w:val="true"/>
        <w:keepLines/>
        <w:rPr/>
      </w:pPr>
      <w:r>
        <w:rPr/>
        <w:t>For the "in</w:t>
        <w:noBreakHyphen/>
        <w:t>band" part of the specification, the applicable scenarios deal with UIC MS or sMS victimising UIC or GSM uplinks:</w:t>
      </w:r>
    </w:p>
    <w:p>
      <w:pPr>
        <w:pStyle w:val="TH"/>
        <w:rPr/>
      </w:pPr>
      <w:r>
        <w:rPr/>
      </w:r>
    </w:p>
    <w:tbl>
      <w:tblPr>
        <w:tblW w:w="6345" w:type="dxa"/>
        <w:jc w:val="center"/>
        <w:tblInd w:w="0" w:type="dxa"/>
        <w:tblLayout w:type="fixed"/>
        <w:tblCellMar>
          <w:top w:w="0" w:type="dxa"/>
          <w:left w:w="108" w:type="dxa"/>
          <w:bottom w:w="0" w:type="dxa"/>
          <w:right w:w="108" w:type="dxa"/>
        </w:tblCellMar>
      </w:tblPr>
      <w:tblGrid>
        <w:gridCol w:w="959"/>
        <w:gridCol w:w="992"/>
        <w:gridCol w:w="4394"/>
      </w:tblGrid>
      <w:tr>
        <w:trPr/>
        <w:tc>
          <w:tcPr>
            <w:tcW w:w="959" w:type="dxa"/>
            <w:tcBorders/>
          </w:tcPr>
          <w:p>
            <w:pPr>
              <w:pStyle w:val="TAH"/>
              <w:rPr>
                <w:lang w:eastAsia="en-US"/>
              </w:rPr>
            </w:pPr>
            <w:r>
              <w:rPr>
                <w:lang w:eastAsia="en-US"/>
              </w:rPr>
              <w:t>MS</w:t>
            </w:r>
          </w:p>
        </w:tc>
        <w:tc>
          <w:tcPr>
            <w:tcW w:w="992" w:type="dxa"/>
            <w:tcBorders/>
          </w:tcPr>
          <w:p>
            <w:pPr>
              <w:pStyle w:val="TAH"/>
              <w:rPr>
                <w:lang w:eastAsia="en-US"/>
              </w:rPr>
            </w:pPr>
            <w:r>
              <w:rPr>
                <w:lang w:eastAsia="en-US"/>
              </w:rPr>
              <w:t>sMs</w:t>
            </w:r>
          </w:p>
        </w:tc>
        <w:tc>
          <w:tcPr>
            <w:tcW w:w="4394" w:type="dxa"/>
            <w:tcBorders/>
          </w:tcPr>
          <w:p>
            <w:pPr>
              <w:pStyle w:val="TAH"/>
              <w:snapToGrid w:val="false"/>
              <w:rPr>
                <w:lang w:eastAsia="en-US"/>
              </w:rPr>
            </w:pPr>
            <w:r>
              <w:rPr>
                <w:lang w:eastAsia="en-US"/>
              </w:rPr>
            </w:r>
          </w:p>
        </w:tc>
      </w:tr>
      <w:tr>
        <w:trPr/>
        <w:tc>
          <w:tcPr>
            <w:tcW w:w="959" w:type="dxa"/>
            <w:tcBorders/>
          </w:tcPr>
          <w:p>
            <w:pPr>
              <w:pStyle w:val="TAC"/>
              <w:rPr>
                <w:lang w:val="en-GB"/>
              </w:rPr>
            </w:pPr>
            <w:r>
              <w:rPr>
                <w:lang w:val="en-GB"/>
              </w:rPr>
              <w:t>-54</w:t>
            </w:r>
          </w:p>
        </w:tc>
        <w:tc>
          <w:tcPr>
            <w:tcW w:w="992" w:type="dxa"/>
            <w:tcBorders/>
          </w:tcPr>
          <w:p>
            <w:pPr>
              <w:pStyle w:val="TAC"/>
              <w:rPr>
                <w:lang w:val="en-GB"/>
              </w:rPr>
            </w:pPr>
            <w:r>
              <w:rPr>
                <w:lang w:val="en-GB"/>
              </w:rPr>
              <w:t>-48</w:t>
            </w:r>
          </w:p>
        </w:tc>
        <w:tc>
          <w:tcPr>
            <w:tcW w:w="4394" w:type="dxa"/>
            <w:tcBorders/>
          </w:tcPr>
          <w:p>
            <w:pPr>
              <w:pStyle w:val="TAL"/>
              <w:tabs>
                <w:tab w:val="clear" w:pos="284"/>
                <w:tab w:val="left" w:pos="601" w:leader="none"/>
              </w:tabs>
              <w:rPr>
                <w:lang w:val="en-GB"/>
              </w:rPr>
            </w:pPr>
            <w:r>
              <w:rPr>
                <w:lang w:val="en-GB"/>
              </w:rPr>
              <w:t>dBm</w:t>
              <w:tab/>
              <w:t>Scenarios requirement</w:t>
            </w:r>
          </w:p>
        </w:tc>
      </w:tr>
      <w:tr>
        <w:trPr/>
        <w:tc>
          <w:tcPr>
            <w:tcW w:w="959" w:type="dxa"/>
            <w:tcBorders/>
          </w:tcPr>
          <w:p>
            <w:pPr>
              <w:pStyle w:val="TAC"/>
              <w:rPr>
                <w:lang w:val="en-GB"/>
              </w:rPr>
            </w:pPr>
            <w:r>
              <w:rPr>
                <w:lang w:val="en-GB"/>
              </w:rPr>
              <w:t>+20</w:t>
            </w:r>
          </w:p>
        </w:tc>
        <w:tc>
          <w:tcPr>
            <w:tcW w:w="992" w:type="dxa"/>
            <w:tcBorders/>
          </w:tcPr>
          <w:p>
            <w:pPr>
              <w:pStyle w:val="TAC"/>
              <w:rPr>
                <w:lang w:val="en-GB"/>
              </w:rPr>
            </w:pPr>
            <w:r>
              <w:rPr>
                <w:lang w:val="en-GB"/>
              </w:rPr>
              <w:t>+20</w:t>
            </w:r>
          </w:p>
        </w:tc>
        <w:tc>
          <w:tcPr>
            <w:tcW w:w="4394" w:type="dxa"/>
            <w:tcBorders/>
          </w:tcPr>
          <w:p>
            <w:pPr>
              <w:pStyle w:val="TAL"/>
              <w:tabs>
                <w:tab w:val="clear" w:pos="284"/>
                <w:tab w:val="left" w:pos="601" w:leader="none"/>
              </w:tabs>
              <w:rPr>
                <w:lang w:val="en-GB"/>
              </w:rPr>
            </w:pPr>
            <w:r>
              <w:rPr>
                <w:lang w:val="en-GB"/>
              </w:rPr>
              <w:t>dB</w:t>
              <w:tab/>
              <w:t>Transient margin</w:t>
            </w:r>
          </w:p>
        </w:tc>
      </w:tr>
      <w:tr>
        <w:trPr/>
        <w:tc>
          <w:tcPr>
            <w:tcW w:w="959" w:type="dxa"/>
            <w:tcBorders/>
          </w:tcPr>
          <w:p>
            <w:pPr>
              <w:pStyle w:val="TAC"/>
              <w:rPr>
                <w:lang w:val="en-GB"/>
              </w:rPr>
            </w:pPr>
            <w:r>
              <w:rPr>
                <w:lang w:val="en-GB"/>
              </w:rPr>
              <w:t>-8</w:t>
            </w:r>
          </w:p>
        </w:tc>
        <w:tc>
          <w:tcPr>
            <w:tcW w:w="992" w:type="dxa"/>
            <w:tcBorders/>
          </w:tcPr>
          <w:p>
            <w:pPr>
              <w:pStyle w:val="TAC"/>
              <w:rPr>
                <w:lang w:val="en-GB"/>
              </w:rPr>
            </w:pPr>
            <w:r>
              <w:rPr>
                <w:lang w:val="en-GB"/>
              </w:rPr>
              <w:t>-8</w:t>
            </w:r>
          </w:p>
        </w:tc>
        <w:tc>
          <w:tcPr>
            <w:tcW w:w="4394" w:type="dxa"/>
            <w:tcBorders/>
          </w:tcPr>
          <w:p>
            <w:pPr>
              <w:pStyle w:val="TAL"/>
              <w:tabs>
                <w:tab w:val="clear" w:pos="284"/>
                <w:tab w:val="left" w:pos="601" w:leader="none"/>
              </w:tabs>
              <w:rPr>
                <w:lang w:val="en-GB"/>
              </w:rPr>
            </w:pPr>
            <w:r>
              <w:rPr>
                <w:lang w:val="en-GB"/>
              </w:rPr>
              <w:t>dB</w:t>
              <w:tab/>
              <w:t>Bandwidth conversion factor into 30 kHz</w:t>
            </w:r>
          </w:p>
        </w:tc>
      </w:tr>
      <w:tr>
        <w:trPr/>
        <w:tc>
          <w:tcPr>
            <w:tcW w:w="959" w:type="dxa"/>
            <w:tcBorders/>
          </w:tcPr>
          <w:p>
            <w:pPr>
              <w:pStyle w:val="TAC"/>
              <w:rPr>
                <w:lang w:val="en-GB"/>
              </w:rPr>
            </w:pPr>
            <w:r>
              <w:rPr>
                <w:lang w:val="en-GB"/>
              </w:rPr>
              <w:t>-</w:t>
            </w:r>
          </w:p>
        </w:tc>
        <w:tc>
          <w:tcPr>
            <w:tcW w:w="992" w:type="dxa"/>
            <w:tcBorders/>
          </w:tcPr>
          <w:p>
            <w:pPr>
              <w:pStyle w:val="TAC"/>
              <w:rPr>
                <w:lang w:val="en-GB"/>
              </w:rPr>
            </w:pPr>
            <w:r>
              <w:rPr>
                <w:lang w:val="en-GB"/>
              </w:rPr>
              <w:t>-</w:t>
            </w:r>
          </w:p>
        </w:tc>
        <w:tc>
          <w:tcPr>
            <w:tcW w:w="4394" w:type="dxa"/>
            <w:tcBorders/>
          </w:tcPr>
          <w:p>
            <w:pPr>
              <w:pStyle w:val="TAL"/>
              <w:tabs>
                <w:tab w:val="clear" w:pos="284"/>
                <w:tab w:val="left" w:pos="601" w:leader="none"/>
              </w:tabs>
              <w:snapToGrid w:val="false"/>
              <w:rPr>
                <w:lang w:val="en-GB"/>
              </w:rPr>
            </w:pPr>
            <w:r>
              <w:rPr>
                <w:lang w:val="en-GB"/>
              </w:rPr>
            </w:r>
          </w:p>
        </w:tc>
      </w:tr>
      <w:tr>
        <w:trPr/>
        <w:tc>
          <w:tcPr>
            <w:tcW w:w="959" w:type="dxa"/>
            <w:tcBorders/>
          </w:tcPr>
          <w:p>
            <w:pPr>
              <w:pStyle w:val="TAC"/>
              <w:rPr>
                <w:lang w:val="en-GB"/>
              </w:rPr>
            </w:pPr>
            <w:r>
              <w:rPr>
                <w:lang w:val="en-GB"/>
              </w:rPr>
              <w:t>-42</w:t>
            </w:r>
          </w:p>
        </w:tc>
        <w:tc>
          <w:tcPr>
            <w:tcW w:w="992" w:type="dxa"/>
            <w:tcBorders/>
          </w:tcPr>
          <w:p>
            <w:pPr>
              <w:pStyle w:val="TAC"/>
              <w:rPr>
                <w:lang w:val="en-GB"/>
              </w:rPr>
            </w:pPr>
            <w:r>
              <w:rPr>
                <w:lang w:val="en-GB"/>
              </w:rPr>
              <w:t>-36</w:t>
            </w:r>
          </w:p>
        </w:tc>
        <w:tc>
          <w:tcPr>
            <w:tcW w:w="4394" w:type="dxa"/>
            <w:tcBorders/>
          </w:tcPr>
          <w:p>
            <w:pPr>
              <w:pStyle w:val="TAL"/>
              <w:tabs>
                <w:tab w:val="clear" w:pos="284"/>
                <w:tab w:val="left" w:pos="601" w:leader="none"/>
              </w:tabs>
              <w:rPr/>
            </w:pPr>
            <w:r>
              <w:rPr>
                <w:lang w:val="en-GB"/>
              </w:rPr>
              <w:t>dBm</w:t>
              <w:tab/>
              <w:t>Performance requirement</w:t>
            </w:r>
          </w:p>
        </w:tc>
      </w:tr>
    </w:tbl>
    <w:p>
      <w:pPr>
        <w:pStyle w:val="FP"/>
        <w:rPr/>
      </w:pPr>
      <w:r>
        <w:rPr/>
      </w:r>
    </w:p>
    <w:p>
      <w:pPr>
        <w:pStyle w:val="Normal"/>
        <w:keepNext w:val="true"/>
        <w:keepLines/>
        <w:rPr/>
      </w:pPr>
      <w:r>
        <w:rPr/>
        <w:t>The first paragraph of GSM 05.05 subclause 4.3.3 should be amended accordingly, to include the above more strict requirement on UIC MS, whereas it is unchanged for UIC sMS.</w:t>
      </w:r>
    </w:p>
    <w:p>
      <w:pPr>
        <w:pStyle w:val="Normal"/>
        <w:keepNext w:val="true"/>
        <w:keepLines/>
        <w:rPr/>
      </w:pPr>
      <w:r>
        <w:rPr/>
        <w:t>As above in subclause 4.3.2, the "out</w:t>
        <w:noBreakHyphen/>
        <w:t>of</w:t>
        <w:noBreakHyphen/>
        <w:t>band" requirements in the second paragraph should not be changed, assuming these are adopted from general CEPT limits.</w:t>
      </w:r>
    </w:p>
    <w:p>
      <w:pPr>
        <w:pStyle w:val="Normal"/>
        <w:rPr/>
      </w:pPr>
      <w:r>
        <w:rPr/>
        <w:t>Regarding the requirements in idle mode in the 3</w:t>
      </w:r>
      <w:r>
        <w:rPr>
          <w:vertAlign w:val="superscript"/>
        </w:rPr>
        <w:t>rd</w:t>
      </w:r>
      <w:r>
        <w:rPr/>
        <w:t xml:space="preserve"> paragraph, the following applies towards the UIC and GSM uplinks:</w:t>
      </w:r>
    </w:p>
    <w:p>
      <w:pPr>
        <w:pStyle w:val="TH"/>
        <w:rPr/>
      </w:pPr>
      <w:r>
        <w:rPr/>
      </w:r>
    </w:p>
    <w:tbl>
      <w:tblPr>
        <w:tblW w:w="6345" w:type="dxa"/>
        <w:jc w:val="center"/>
        <w:tblInd w:w="0" w:type="dxa"/>
        <w:tblLayout w:type="fixed"/>
        <w:tblCellMar>
          <w:top w:w="0" w:type="dxa"/>
          <w:left w:w="108" w:type="dxa"/>
          <w:bottom w:w="0" w:type="dxa"/>
          <w:right w:w="108" w:type="dxa"/>
        </w:tblCellMar>
      </w:tblPr>
      <w:tblGrid>
        <w:gridCol w:w="959"/>
        <w:gridCol w:w="1134"/>
        <w:gridCol w:w="4252"/>
      </w:tblGrid>
      <w:tr>
        <w:trPr/>
        <w:tc>
          <w:tcPr>
            <w:tcW w:w="959" w:type="dxa"/>
            <w:tcBorders/>
          </w:tcPr>
          <w:p>
            <w:pPr>
              <w:pStyle w:val="TAH"/>
              <w:rPr>
                <w:lang w:eastAsia="en-US"/>
              </w:rPr>
            </w:pPr>
            <w:r>
              <w:rPr>
                <w:lang w:eastAsia="en-US"/>
              </w:rPr>
              <w:t>MS</w:t>
            </w:r>
          </w:p>
        </w:tc>
        <w:tc>
          <w:tcPr>
            <w:tcW w:w="1134" w:type="dxa"/>
            <w:tcBorders/>
          </w:tcPr>
          <w:p>
            <w:pPr>
              <w:pStyle w:val="TAH"/>
              <w:rPr>
                <w:lang w:eastAsia="en-US"/>
              </w:rPr>
            </w:pPr>
            <w:r>
              <w:rPr>
                <w:lang w:eastAsia="en-US"/>
              </w:rPr>
              <w:t>sMS</w:t>
            </w:r>
          </w:p>
        </w:tc>
        <w:tc>
          <w:tcPr>
            <w:tcW w:w="4252" w:type="dxa"/>
            <w:tcBorders/>
          </w:tcPr>
          <w:p>
            <w:pPr>
              <w:pStyle w:val="TAH"/>
              <w:snapToGrid w:val="false"/>
              <w:rPr>
                <w:lang w:eastAsia="en-US"/>
              </w:rPr>
            </w:pPr>
            <w:r>
              <w:rPr>
                <w:lang w:eastAsia="en-US"/>
              </w:rPr>
            </w:r>
          </w:p>
        </w:tc>
      </w:tr>
      <w:tr>
        <w:trPr/>
        <w:tc>
          <w:tcPr>
            <w:tcW w:w="959" w:type="dxa"/>
            <w:tcBorders/>
          </w:tcPr>
          <w:p>
            <w:pPr>
              <w:pStyle w:val="TAC"/>
              <w:rPr>
                <w:lang w:val="en-GB"/>
              </w:rPr>
            </w:pPr>
            <w:r>
              <w:rPr>
                <w:lang w:val="en-GB"/>
              </w:rPr>
              <w:t>-54</w:t>
            </w:r>
          </w:p>
        </w:tc>
        <w:tc>
          <w:tcPr>
            <w:tcW w:w="1134" w:type="dxa"/>
            <w:tcBorders/>
          </w:tcPr>
          <w:p>
            <w:pPr>
              <w:pStyle w:val="TAC"/>
              <w:rPr>
                <w:lang w:val="en-GB"/>
              </w:rPr>
            </w:pPr>
            <w:r>
              <w:rPr>
                <w:lang w:val="en-GB"/>
              </w:rPr>
              <w:t>-48</w:t>
            </w:r>
          </w:p>
        </w:tc>
        <w:tc>
          <w:tcPr>
            <w:tcW w:w="4252" w:type="dxa"/>
            <w:tcBorders/>
          </w:tcPr>
          <w:p>
            <w:pPr>
              <w:pStyle w:val="TAL"/>
              <w:tabs>
                <w:tab w:val="clear" w:pos="284"/>
                <w:tab w:val="left" w:pos="547" w:leader="none"/>
              </w:tabs>
              <w:rPr/>
            </w:pPr>
            <w:r>
              <w:rPr>
                <w:lang w:val="en-GB"/>
              </w:rPr>
              <w:t>dBm</w:t>
              <w:tab/>
              <w:t>Scenarios requirement</w:t>
            </w:r>
          </w:p>
        </w:tc>
      </w:tr>
      <w:tr>
        <w:trPr/>
        <w:tc>
          <w:tcPr>
            <w:tcW w:w="959" w:type="dxa"/>
            <w:tcBorders/>
          </w:tcPr>
          <w:p>
            <w:pPr>
              <w:pStyle w:val="TAC"/>
              <w:rPr>
                <w:lang w:val="en-GB"/>
              </w:rPr>
            </w:pPr>
            <w:r>
              <w:rPr>
                <w:lang w:val="en-GB"/>
              </w:rPr>
              <w:t>-3</w:t>
            </w:r>
          </w:p>
        </w:tc>
        <w:tc>
          <w:tcPr>
            <w:tcW w:w="1134" w:type="dxa"/>
            <w:tcBorders/>
          </w:tcPr>
          <w:p>
            <w:pPr>
              <w:pStyle w:val="TAC"/>
              <w:rPr>
                <w:lang w:val="en-GB"/>
              </w:rPr>
            </w:pPr>
            <w:r>
              <w:rPr>
                <w:lang w:val="en-GB"/>
              </w:rPr>
              <w:t>-3</w:t>
            </w:r>
          </w:p>
        </w:tc>
        <w:tc>
          <w:tcPr>
            <w:tcW w:w="4252" w:type="dxa"/>
            <w:tcBorders/>
          </w:tcPr>
          <w:p>
            <w:pPr>
              <w:pStyle w:val="TAL"/>
              <w:tabs>
                <w:tab w:val="clear" w:pos="284"/>
                <w:tab w:val="left" w:pos="547" w:leader="none"/>
              </w:tabs>
              <w:rPr>
                <w:lang w:val="en-GB"/>
              </w:rPr>
            </w:pPr>
            <w:r>
              <w:rPr>
                <w:lang w:val="en-GB"/>
              </w:rPr>
              <w:t>dB</w:t>
              <w:tab/>
              <w:t>Bandwidth conversion factor into 100 kHz</w:t>
            </w:r>
          </w:p>
        </w:tc>
      </w:tr>
      <w:tr>
        <w:trPr/>
        <w:tc>
          <w:tcPr>
            <w:tcW w:w="959" w:type="dxa"/>
            <w:tcBorders/>
          </w:tcPr>
          <w:p>
            <w:pPr>
              <w:pStyle w:val="TAC"/>
              <w:rPr>
                <w:lang w:val="en-GB"/>
              </w:rPr>
            </w:pPr>
            <w:r>
              <w:rPr>
                <w:lang w:val="en-GB"/>
              </w:rPr>
              <w:t>-</w:t>
            </w:r>
          </w:p>
        </w:tc>
        <w:tc>
          <w:tcPr>
            <w:tcW w:w="1134" w:type="dxa"/>
            <w:tcBorders/>
          </w:tcPr>
          <w:p>
            <w:pPr>
              <w:pStyle w:val="TAC"/>
              <w:rPr>
                <w:lang w:val="en-GB"/>
              </w:rPr>
            </w:pPr>
            <w:r>
              <w:rPr>
                <w:lang w:val="en-GB"/>
              </w:rPr>
              <w:t>-</w:t>
            </w:r>
          </w:p>
        </w:tc>
        <w:tc>
          <w:tcPr>
            <w:tcW w:w="4252" w:type="dxa"/>
            <w:tcBorders/>
          </w:tcPr>
          <w:p>
            <w:pPr>
              <w:pStyle w:val="TAL"/>
              <w:tabs>
                <w:tab w:val="clear" w:pos="284"/>
                <w:tab w:val="left" w:pos="547" w:leader="none"/>
              </w:tabs>
              <w:snapToGrid w:val="false"/>
              <w:rPr>
                <w:lang w:val="en-GB"/>
              </w:rPr>
            </w:pPr>
            <w:r>
              <w:rPr>
                <w:lang w:val="en-GB"/>
              </w:rPr>
            </w:r>
          </w:p>
        </w:tc>
      </w:tr>
      <w:tr>
        <w:trPr/>
        <w:tc>
          <w:tcPr>
            <w:tcW w:w="959" w:type="dxa"/>
            <w:tcBorders/>
          </w:tcPr>
          <w:p>
            <w:pPr>
              <w:pStyle w:val="TAC"/>
              <w:rPr>
                <w:lang w:val="en-GB"/>
              </w:rPr>
            </w:pPr>
            <w:r>
              <w:rPr>
                <w:lang w:val="en-GB"/>
              </w:rPr>
              <w:t>-57</w:t>
            </w:r>
          </w:p>
        </w:tc>
        <w:tc>
          <w:tcPr>
            <w:tcW w:w="1134" w:type="dxa"/>
            <w:tcBorders/>
          </w:tcPr>
          <w:p>
            <w:pPr>
              <w:pStyle w:val="TAC"/>
              <w:rPr>
                <w:lang w:val="en-GB"/>
              </w:rPr>
            </w:pPr>
            <w:r>
              <w:rPr>
                <w:lang w:val="en-GB"/>
              </w:rPr>
              <w:t>-51</w:t>
            </w:r>
          </w:p>
        </w:tc>
        <w:tc>
          <w:tcPr>
            <w:tcW w:w="4252" w:type="dxa"/>
            <w:tcBorders/>
          </w:tcPr>
          <w:p>
            <w:pPr>
              <w:pStyle w:val="TAL"/>
              <w:tabs>
                <w:tab w:val="clear" w:pos="284"/>
                <w:tab w:val="left" w:pos="547" w:leader="none"/>
              </w:tabs>
              <w:rPr>
                <w:lang w:val="en-GB"/>
              </w:rPr>
            </w:pPr>
            <w:r>
              <w:rPr>
                <w:lang w:val="en-GB"/>
              </w:rPr>
              <w:t>dBm</w:t>
              <w:tab/>
              <w:t>Performance requirement</w:t>
            </w:r>
          </w:p>
        </w:tc>
      </w:tr>
    </w:tbl>
    <w:p>
      <w:pPr>
        <w:pStyle w:val="FP"/>
        <w:rPr/>
      </w:pPr>
      <w:r>
        <w:rPr/>
      </w:r>
    </w:p>
    <w:p>
      <w:pPr>
        <w:pStyle w:val="Normal"/>
        <w:rPr/>
      </w:pPr>
      <w:r>
        <w:rPr/>
        <w:t>Comparing this with the existing requirements, for UIC the following differences arise:</w:t>
      </w:r>
    </w:p>
    <w:p>
      <w:pPr>
        <w:pStyle w:val="B1"/>
        <w:tabs>
          <w:tab w:val="clear" w:pos="284"/>
          <w:tab w:val="left" w:pos="1418" w:leader="none"/>
        </w:tabs>
        <w:rPr/>
      </w:pPr>
      <w:r>
        <w:rPr/>
        <w:t>UIC MS:</w:t>
        <w:tab/>
        <w:noBreakHyphen/>
        <w:t>57dBm throughout, below 1 GHz;</w:t>
      </w:r>
    </w:p>
    <w:p>
      <w:pPr>
        <w:pStyle w:val="B1"/>
        <w:tabs>
          <w:tab w:val="clear" w:pos="284"/>
          <w:tab w:val="left" w:pos="1418" w:leader="none"/>
        </w:tabs>
        <w:rPr/>
      </w:pPr>
      <w:r>
        <w:rPr/>
        <w:t>UIC sMS:</w:t>
        <w:tab/>
        <w:noBreakHyphen/>
        <w:t>51dBm in the frequency band 876 MHz to 915 MHz.</w:t>
      </w:r>
    </w:p>
    <w:p>
      <w:pPr>
        <w:pStyle w:val="Normal"/>
        <w:rPr/>
      </w:pPr>
      <w:r>
        <w:rPr/>
        <w:t>No change is assumed above 1 GHz.</w:t>
      </w:r>
    </w:p>
    <w:p>
      <w:pPr>
        <w:pStyle w:val="Heading4"/>
        <w:ind w:left="1418" w:hanging="1418"/>
        <w:rPr/>
      </w:pPr>
      <w:bookmarkStart w:id="341" w:name="__RefHeading___Toc518035775"/>
      <w:bookmarkEnd w:id="341"/>
      <w:r>
        <w:rPr/>
        <w:t>J.3.4.3.4</w:t>
        <w:tab/>
        <w:t>MS spurious emissions onto downlinks</w:t>
      </w:r>
    </w:p>
    <w:p>
      <w:pPr>
        <w:pStyle w:val="Normal"/>
        <w:rPr/>
      </w:pPr>
      <w:r>
        <w:rPr/>
        <w:t xml:space="preserve">For UIC MS or sMS victimising the UIC downlink, the scenario requirement is </w:t>
        <w:noBreakHyphen/>
        <w:t xml:space="preserve">82 dBm and </w:t>
        <w:noBreakHyphen/>
        <w:t xml:space="preserve">70 dBm, i.e. the performance requirement is </w:t>
        <w:noBreakHyphen/>
        <w:t xml:space="preserve">85 dBm and </w:t>
        <w:noBreakHyphen/>
        <w:t>73 dBm in 100 kHz, respectively.</w:t>
      </w:r>
    </w:p>
    <w:p>
      <w:pPr>
        <w:pStyle w:val="Normal"/>
        <w:rPr/>
      </w:pPr>
      <w:r>
        <w:rPr/>
        <w:t xml:space="preserve">However, for UIC mobiles, featuring all 3 GSM bands and having a narrower duplex gap of 6MHz only, it is considered unrealistic to have a performance any better than for GSM MS and sMS. For such, a maximum of </w:t>
        <w:noBreakHyphen/>
        <w:t xml:space="preserve">79 dBm and </w:t>
        <w:noBreakHyphen/>
        <w:t>67 dBm is allowed in the P</w:t>
        <w:noBreakHyphen/>
        <w:t>GSM and E</w:t>
        <w:noBreakHyphen/>
        <w:t>GSM downlink bands, respectively. By a simple extrapolation of 79 dB - 67 dB / 10 MHz = 1,2 dB/MHz as a roll</w:t>
        <w:noBreakHyphen/>
        <w:t>off function towards the edge of the E</w:t>
        <w:noBreakHyphen/>
        <w:t xml:space="preserve">GSM downlink, the estimated performance of GSM mobiles in the UIC downlink band is </w:t>
        <w:noBreakHyphen/>
        <w:t>62 dBm. This is summarised in the figure below.</w:t>
      </w:r>
    </w:p>
    <w:p>
      <w:pPr>
        <w:pStyle w:val="TH"/>
        <w:rPr/>
      </w:pPr>
      <w:r>
        <w:rPr/>
        <w:drawing>
          <wp:inline distT="0" distB="0" distL="0" distR="0">
            <wp:extent cx="4343400" cy="2647950"/>
            <wp:effectExtent l="0" t="0" r="0" b="0"/>
            <wp:docPr id="70"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4" descr=""/>
                    <pic:cNvPicPr>
                      <a:picLocks noChangeAspect="1" noChangeArrowheads="1"/>
                    </pic:cNvPicPr>
                  </pic:nvPicPr>
                  <pic:blipFill>
                    <a:blip r:embed="rId66"/>
                    <a:srcRect l="-8" t="-14" r="-8" b="-14"/>
                    <a:stretch>
                      <a:fillRect/>
                    </a:stretch>
                  </pic:blipFill>
                  <pic:spPr bwMode="auto">
                    <a:xfrm>
                      <a:off x="0" y="0"/>
                      <a:ext cx="4343400" cy="2647950"/>
                    </a:xfrm>
                    <a:prstGeom prst="rect">
                      <a:avLst/>
                    </a:prstGeom>
                  </pic:spPr>
                </pic:pic>
              </a:graphicData>
            </a:graphic>
          </wp:inline>
        </w:drawing>
      </w:r>
    </w:p>
    <w:p>
      <w:pPr>
        <w:pStyle w:val="FP"/>
        <w:rPr/>
      </w:pPr>
      <w:r>
        <w:rPr/>
      </w:r>
    </w:p>
    <w:p>
      <w:pPr>
        <w:pStyle w:val="Normal"/>
        <w:rPr/>
      </w:pPr>
      <w:r>
        <w:rPr/>
        <w:t xml:space="preserve">More detailed investigations and measurements by Philips Semiconductors [5], however, have shown that </w:t>
        <w:noBreakHyphen/>
        <w:t>60 dBm is a more realistic and feasible value at 921 MHz, using currently available GSM duplexers without extra effort or costs.</w:t>
      </w:r>
    </w:p>
    <w:p>
      <w:pPr>
        <w:pStyle w:val="Normal"/>
        <w:rPr/>
      </w:pPr>
      <w:r>
        <w:rPr/>
        <w:t>It should also be noted, that if UIC mobiles would have a better performance than GSM, then the GSM sMS would remain as the more significant interference source, considering their large numbers and similar close proximity scenarios. Actually, it would be more important to set a corresponding limit for GSM equipments, considering that none exists currently.</w:t>
      </w:r>
    </w:p>
    <w:p>
      <w:pPr>
        <w:pStyle w:val="Normal"/>
        <w:rPr/>
      </w:pPr>
      <w:r>
        <w:rPr/>
        <w:t xml:space="preserve">Thus a limit of </w:t>
        <w:noBreakHyphen/>
        <w:t>60 dBm is proposed to go into GSM 05.05 for UIC MS and sMS in the UIC downlink frequency range, and to maintain the limits for the GSM downlink. This satisfies the scenario requirements for UIC mobiles victimising the GSM downlink, whereas the scenario requirements for close proximity between UIC mobiles are not met.</w:t>
      </w:r>
    </w:p>
    <w:p>
      <w:pPr>
        <w:pStyle w:val="Normal"/>
        <w:rPr/>
      </w:pPr>
      <w:r>
        <w:rPr/>
        <w:t>Therefore a backwards calculation is performed to determine the resulting minimum distances required to avoid the interference, see also [2].</w:t>
      </w:r>
    </w:p>
    <w:p>
      <w:pPr>
        <w:pStyle w:val="TH"/>
        <w:rPr/>
      </w:pPr>
      <w:r>
        <w:rPr/>
      </w:r>
    </w:p>
    <w:tbl>
      <w:tblPr>
        <w:tblW w:w="7098" w:type="dxa"/>
        <w:jc w:val="center"/>
        <w:tblInd w:w="0" w:type="dxa"/>
        <w:tblLayout w:type="fixed"/>
        <w:tblCellMar>
          <w:top w:w="0" w:type="dxa"/>
          <w:left w:w="70" w:type="dxa"/>
          <w:bottom w:w="0" w:type="dxa"/>
          <w:right w:w="70" w:type="dxa"/>
        </w:tblCellMar>
      </w:tblPr>
      <w:tblGrid>
        <w:gridCol w:w="2842"/>
        <w:gridCol w:w="968"/>
        <w:gridCol w:w="1096"/>
        <w:gridCol w:w="1096"/>
        <w:gridCol w:w="1096"/>
      </w:tblGrid>
      <w:tr>
        <w:trPr>
          <w:tblHeader w:val="true"/>
        </w:trPr>
        <w:tc>
          <w:tcPr>
            <w:tcW w:w="2842" w:type="dxa"/>
            <w:tcBorders>
              <w:right w:val="single" w:sz="12" w:space="0" w:color="000000"/>
            </w:tcBorders>
          </w:tcPr>
          <w:p>
            <w:pPr>
              <w:pStyle w:val="TAL"/>
              <w:rPr>
                <w:lang w:val="en-GB"/>
              </w:rPr>
            </w:pPr>
            <w:r>
              <w:rPr>
                <w:lang w:val="en-GB"/>
              </w:rPr>
              <w:t>Source:</w:t>
            </w:r>
          </w:p>
        </w:tc>
        <w:tc>
          <w:tcPr>
            <w:tcW w:w="968" w:type="dxa"/>
            <w:tcBorders/>
          </w:tcPr>
          <w:p>
            <w:pPr>
              <w:pStyle w:val="TAC"/>
              <w:rPr>
                <w:lang w:val="en-GB"/>
              </w:rPr>
            </w:pPr>
            <w:r>
              <w:rPr>
                <w:lang w:val="en-GB"/>
              </w:rPr>
              <w:t>UIC MS</w:t>
            </w:r>
          </w:p>
        </w:tc>
        <w:tc>
          <w:tcPr>
            <w:tcW w:w="1096" w:type="dxa"/>
            <w:tcBorders/>
          </w:tcPr>
          <w:p>
            <w:pPr>
              <w:pStyle w:val="TAC"/>
              <w:rPr>
                <w:lang w:val="en-GB"/>
              </w:rPr>
            </w:pPr>
            <w:r>
              <w:rPr>
                <w:lang w:val="en-GB"/>
              </w:rPr>
              <w:t>UIC MS</w:t>
            </w:r>
          </w:p>
        </w:tc>
        <w:tc>
          <w:tcPr>
            <w:tcW w:w="1096" w:type="dxa"/>
            <w:tcBorders/>
          </w:tcPr>
          <w:p>
            <w:pPr>
              <w:pStyle w:val="TAC"/>
              <w:rPr>
                <w:lang w:val="en-GB"/>
              </w:rPr>
            </w:pPr>
            <w:r>
              <w:rPr>
                <w:lang w:val="en-GB"/>
              </w:rPr>
              <w:t>UIC SMS</w:t>
            </w:r>
          </w:p>
        </w:tc>
        <w:tc>
          <w:tcPr>
            <w:tcW w:w="1096" w:type="dxa"/>
            <w:tcBorders/>
          </w:tcPr>
          <w:p>
            <w:pPr>
              <w:pStyle w:val="TAC"/>
              <w:rPr>
                <w:lang w:val="en-GB"/>
              </w:rPr>
            </w:pPr>
            <w:r>
              <w:rPr>
                <w:lang w:val="en-GB"/>
              </w:rPr>
              <w:t>UIC SMS</w:t>
            </w:r>
          </w:p>
        </w:tc>
      </w:tr>
      <w:tr>
        <w:trPr>
          <w:tblHeader w:val="true"/>
        </w:trPr>
        <w:tc>
          <w:tcPr>
            <w:tcW w:w="2842" w:type="dxa"/>
            <w:tcBorders>
              <w:right w:val="single" w:sz="12" w:space="0" w:color="000000"/>
            </w:tcBorders>
          </w:tcPr>
          <w:p>
            <w:pPr>
              <w:pStyle w:val="TAL"/>
              <w:rPr>
                <w:lang w:val="en-GB"/>
              </w:rPr>
            </w:pPr>
            <w:r>
              <w:rPr>
                <w:lang w:val="en-GB"/>
              </w:rPr>
              <w:t>Victim:</w:t>
            </w:r>
          </w:p>
        </w:tc>
        <w:tc>
          <w:tcPr>
            <w:tcW w:w="968" w:type="dxa"/>
            <w:tcBorders/>
          </w:tcPr>
          <w:p>
            <w:pPr>
              <w:pStyle w:val="TAC"/>
              <w:rPr>
                <w:lang w:val="en-GB"/>
              </w:rPr>
            </w:pPr>
            <w:r>
              <w:rPr>
                <w:lang w:val="en-GB"/>
              </w:rPr>
              <w:t>UIC MS</w:t>
            </w:r>
          </w:p>
        </w:tc>
        <w:tc>
          <w:tcPr>
            <w:tcW w:w="1096" w:type="dxa"/>
            <w:tcBorders/>
          </w:tcPr>
          <w:p>
            <w:pPr>
              <w:pStyle w:val="TAC"/>
              <w:rPr>
                <w:lang w:val="en-GB"/>
              </w:rPr>
            </w:pPr>
            <w:r>
              <w:rPr>
                <w:lang w:val="en-GB"/>
              </w:rPr>
              <w:t>UIC SMS</w:t>
            </w:r>
          </w:p>
        </w:tc>
        <w:tc>
          <w:tcPr>
            <w:tcW w:w="1096" w:type="dxa"/>
            <w:tcBorders/>
          </w:tcPr>
          <w:p>
            <w:pPr>
              <w:pStyle w:val="TAC"/>
              <w:rPr>
                <w:lang w:val="en-GB"/>
              </w:rPr>
            </w:pPr>
            <w:r>
              <w:rPr>
                <w:lang w:val="en-GB"/>
              </w:rPr>
              <w:t>UIC MS</w:t>
            </w:r>
          </w:p>
        </w:tc>
        <w:tc>
          <w:tcPr>
            <w:tcW w:w="1096" w:type="dxa"/>
            <w:tcBorders/>
          </w:tcPr>
          <w:p>
            <w:pPr>
              <w:pStyle w:val="TAC"/>
              <w:rPr>
                <w:lang w:val="en-GB"/>
              </w:rPr>
            </w:pPr>
            <w:r>
              <w:rPr>
                <w:lang w:val="en-GB"/>
              </w:rPr>
              <w:t>UIC sMS</w:t>
            </w:r>
          </w:p>
        </w:tc>
      </w:tr>
      <w:tr>
        <w:trPr>
          <w:tblHeader w:val="true"/>
        </w:trPr>
        <w:tc>
          <w:tcPr>
            <w:tcW w:w="2842" w:type="dxa"/>
            <w:tcBorders>
              <w:bottom w:val="single" w:sz="12" w:space="0" w:color="000000"/>
              <w:right w:val="single" w:sz="12" w:space="0" w:color="000000"/>
            </w:tcBorders>
          </w:tcPr>
          <w:p>
            <w:pPr>
              <w:pStyle w:val="TAL"/>
              <w:snapToGrid w:val="false"/>
              <w:rPr>
                <w:lang w:val="en-GB"/>
              </w:rPr>
            </w:pPr>
            <w:r>
              <w:rPr>
                <w:lang w:val="en-GB"/>
              </w:rPr>
            </w:r>
          </w:p>
        </w:tc>
        <w:tc>
          <w:tcPr>
            <w:tcW w:w="968" w:type="dxa"/>
            <w:tcBorders>
              <w:bottom w:val="single" w:sz="12" w:space="0" w:color="000000"/>
            </w:tcBorders>
          </w:tcPr>
          <w:p>
            <w:pPr>
              <w:pStyle w:val="TAC"/>
              <w:snapToGrid w:val="false"/>
              <w:rPr>
                <w:lang w:val="en-GB"/>
              </w:rPr>
            </w:pPr>
            <w:r>
              <w:rPr>
                <w:lang w:val="en-GB"/>
              </w:rPr>
            </w:r>
          </w:p>
        </w:tc>
        <w:tc>
          <w:tcPr>
            <w:tcW w:w="1096" w:type="dxa"/>
            <w:tcBorders>
              <w:bottom w:val="single" w:sz="12" w:space="0" w:color="000000"/>
            </w:tcBorders>
          </w:tcPr>
          <w:p>
            <w:pPr>
              <w:pStyle w:val="TAC"/>
              <w:snapToGrid w:val="false"/>
              <w:rPr>
                <w:lang w:val="en-GB"/>
              </w:rPr>
            </w:pPr>
            <w:r>
              <w:rPr>
                <w:lang w:val="en-GB"/>
              </w:rPr>
            </w:r>
          </w:p>
        </w:tc>
        <w:tc>
          <w:tcPr>
            <w:tcW w:w="1096" w:type="dxa"/>
            <w:tcBorders>
              <w:bottom w:val="single" w:sz="12" w:space="0" w:color="000000"/>
            </w:tcBorders>
          </w:tcPr>
          <w:p>
            <w:pPr>
              <w:pStyle w:val="TAC"/>
              <w:snapToGrid w:val="false"/>
              <w:rPr>
                <w:lang w:val="en-GB"/>
              </w:rPr>
            </w:pPr>
            <w:r>
              <w:rPr>
                <w:lang w:val="en-GB"/>
              </w:rPr>
            </w:r>
          </w:p>
        </w:tc>
        <w:tc>
          <w:tcPr>
            <w:tcW w:w="1096" w:type="dxa"/>
            <w:tcBorders>
              <w:bottom w:val="single" w:sz="12" w:space="0" w:color="000000"/>
            </w:tcBorders>
          </w:tcPr>
          <w:p>
            <w:pPr>
              <w:pStyle w:val="TAC"/>
              <w:snapToGrid w:val="false"/>
              <w:rPr>
                <w:lang w:val="en-GB"/>
              </w:rPr>
            </w:pPr>
            <w:r>
              <w:rPr>
                <w:lang w:val="en-GB"/>
              </w:rPr>
            </w:r>
          </w:p>
        </w:tc>
      </w:tr>
      <w:tr>
        <w:trPr/>
        <w:tc>
          <w:tcPr>
            <w:tcW w:w="2842" w:type="dxa"/>
            <w:tcBorders>
              <w:right w:val="single" w:sz="12" w:space="0" w:color="000000"/>
            </w:tcBorders>
          </w:tcPr>
          <w:p>
            <w:pPr>
              <w:pStyle w:val="TAL"/>
              <w:rPr>
                <w:lang w:val="en-GB"/>
              </w:rPr>
            </w:pPr>
            <w:r>
              <w:rPr>
                <w:lang w:val="en-GB"/>
              </w:rPr>
              <w:t>Victim interference limit</w:t>
            </w:r>
          </w:p>
        </w:tc>
        <w:tc>
          <w:tcPr>
            <w:tcW w:w="968" w:type="dxa"/>
            <w:tcBorders/>
          </w:tcPr>
          <w:p>
            <w:pPr>
              <w:pStyle w:val="TAC"/>
              <w:rPr>
                <w:lang w:val="en-GB"/>
              </w:rPr>
            </w:pPr>
            <w:r>
              <w:rPr>
                <w:lang w:val="en-GB"/>
              </w:rPr>
              <w:noBreakHyphen/>
            </w:r>
            <w:r>
              <w:rPr>
                <w:lang w:val="en-GB"/>
              </w:rPr>
              <w:t>116</w:t>
            </w:r>
          </w:p>
        </w:tc>
        <w:tc>
          <w:tcPr>
            <w:tcW w:w="1096" w:type="dxa"/>
            <w:tcBorders/>
          </w:tcPr>
          <w:p>
            <w:pPr>
              <w:pStyle w:val="TAC"/>
              <w:rPr>
                <w:highlight w:val="cyan"/>
                <w:lang w:val="en-GB"/>
              </w:rPr>
            </w:pPr>
            <w:r>
              <w:rPr>
                <w:highlight w:val="cyan"/>
                <w:lang w:val="en-GB"/>
              </w:rPr>
              <w:noBreakHyphen/>
            </w:r>
            <w:r>
              <w:rPr>
                <w:highlight w:val="cyan"/>
                <w:lang w:val="en-GB"/>
              </w:rPr>
              <w:t>114</w:t>
            </w:r>
          </w:p>
        </w:tc>
        <w:tc>
          <w:tcPr>
            <w:tcW w:w="1096" w:type="dxa"/>
            <w:tcBorders/>
          </w:tcPr>
          <w:p>
            <w:pPr>
              <w:pStyle w:val="TAC"/>
              <w:rPr>
                <w:highlight w:val="cyan"/>
                <w:lang w:val="en-GB"/>
              </w:rPr>
            </w:pPr>
            <w:r>
              <w:rPr>
                <w:highlight w:val="cyan"/>
                <w:lang w:val="en-GB"/>
              </w:rPr>
              <w:noBreakHyphen/>
            </w:r>
            <w:r>
              <w:rPr>
                <w:highlight w:val="cyan"/>
                <w:lang w:val="en-GB"/>
              </w:rPr>
              <w:t>116</w:t>
            </w:r>
          </w:p>
        </w:tc>
        <w:tc>
          <w:tcPr>
            <w:tcW w:w="1096" w:type="dxa"/>
            <w:tcBorders/>
          </w:tcPr>
          <w:p>
            <w:pPr>
              <w:pStyle w:val="TAC"/>
              <w:rPr>
                <w:lang w:val="en-GB"/>
              </w:rPr>
            </w:pPr>
            <w:r>
              <w:rPr>
                <w:highlight w:val="cyan"/>
                <w:lang w:val="en-GB"/>
              </w:rPr>
              <w:noBreakHyphen/>
            </w:r>
            <w:r>
              <w:rPr>
                <w:highlight w:val="cyan"/>
                <w:lang w:val="en-GB"/>
              </w:rPr>
              <w:t>114</w:t>
            </w:r>
          </w:p>
        </w:tc>
      </w:tr>
      <w:tr>
        <w:trPr/>
        <w:tc>
          <w:tcPr>
            <w:tcW w:w="2842" w:type="dxa"/>
            <w:tcBorders>
              <w:right w:val="single" w:sz="12" w:space="0" w:color="000000"/>
            </w:tcBorders>
          </w:tcPr>
          <w:p>
            <w:pPr>
              <w:pStyle w:val="TAL"/>
              <w:rPr/>
            </w:pPr>
            <w:r>
              <w:rPr>
                <w:lang w:val="en-GB"/>
              </w:rPr>
              <w:t>Assumed noise in RX band</w:t>
            </w:r>
          </w:p>
        </w:tc>
        <w:tc>
          <w:tcPr>
            <w:tcW w:w="968" w:type="dxa"/>
            <w:tcBorders/>
          </w:tcPr>
          <w:p>
            <w:pPr>
              <w:pStyle w:val="TAC"/>
              <w:rPr>
                <w:lang w:val="en-GB"/>
              </w:rPr>
            </w:pPr>
            <w:r>
              <w:rPr>
                <w:lang w:val="en-GB"/>
              </w:rPr>
              <w:noBreakHyphen/>
            </w:r>
            <w:r>
              <w:rPr>
                <w:lang w:val="en-GB"/>
              </w:rPr>
              <w:t>60</w:t>
            </w:r>
          </w:p>
        </w:tc>
        <w:tc>
          <w:tcPr>
            <w:tcW w:w="1096" w:type="dxa"/>
            <w:tcBorders/>
          </w:tcPr>
          <w:p>
            <w:pPr>
              <w:pStyle w:val="TAC"/>
              <w:rPr>
                <w:lang w:val="en-GB"/>
              </w:rPr>
            </w:pPr>
            <w:r>
              <w:rPr>
                <w:lang w:val="en-GB"/>
              </w:rPr>
              <w:noBreakHyphen/>
            </w:r>
            <w:r>
              <w:rPr>
                <w:lang w:val="en-GB"/>
              </w:rPr>
              <w:t>60</w:t>
            </w:r>
          </w:p>
        </w:tc>
        <w:tc>
          <w:tcPr>
            <w:tcW w:w="1096" w:type="dxa"/>
            <w:tcBorders/>
          </w:tcPr>
          <w:p>
            <w:pPr>
              <w:pStyle w:val="TAC"/>
              <w:rPr>
                <w:lang w:val="en-GB"/>
              </w:rPr>
            </w:pPr>
            <w:r>
              <w:rPr>
                <w:lang w:val="en-GB"/>
              </w:rPr>
              <w:noBreakHyphen/>
            </w:r>
            <w:r>
              <w:rPr>
                <w:lang w:val="en-GB"/>
              </w:rPr>
              <w:t>60</w:t>
            </w:r>
          </w:p>
        </w:tc>
        <w:tc>
          <w:tcPr>
            <w:tcW w:w="1096" w:type="dxa"/>
            <w:tcBorders/>
          </w:tcPr>
          <w:p>
            <w:pPr>
              <w:pStyle w:val="TAC"/>
              <w:rPr>
                <w:lang w:val="en-GB"/>
              </w:rPr>
            </w:pPr>
            <w:r>
              <w:rPr>
                <w:lang w:val="en-GB"/>
              </w:rPr>
              <w:noBreakHyphen/>
            </w:r>
            <w:r>
              <w:rPr>
                <w:lang w:val="en-GB"/>
              </w:rPr>
              <w:t>60</w:t>
            </w:r>
          </w:p>
        </w:tc>
      </w:tr>
      <w:tr>
        <w:trPr/>
        <w:tc>
          <w:tcPr>
            <w:tcW w:w="2842" w:type="dxa"/>
            <w:tcBorders>
              <w:right w:val="single" w:sz="12" w:space="0" w:color="000000"/>
            </w:tcBorders>
          </w:tcPr>
          <w:p>
            <w:pPr>
              <w:pStyle w:val="TAL"/>
              <w:snapToGrid w:val="false"/>
              <w:rPr>
                <w:lang w:val="en-GB"/>
              </w:rPr>
            </w:pPr>
            <w:r>
              <w:rPr>
                <w:lang w:val="en-GB"/>
              </w:rPr>
            </w:r>
          </w:p>
        </w:tc>
        <w:tc>
          <w:tcPr>
            <w:tcW w:w="968" w:type="dxa"/>
            <w:tcBorders/>
          </w:tcPr>
          <w:p>
            <w:pPr>
              <w:pStyle w:val="TAC"/>
              <w:snapToGrid w:val="false"/>
              <w:rPr>
                <w:lang w:val="en-GB"/>
              </w:rPr>
            </w:pPr>
            <w:r>
              <w:rPr>
                <w:lang w:val="en-GB"/>
              </w:rPr>
            </w:r>
          </w:p>
        </w:tc>
        <w:tc>
          <w:tcPr>
            <w:tcW w:w="1096" w:type="dxa"/>
            <w:tcBorders/>
          </w:tcPr>
          <w:p>
            <w:pPr>
              <w:pStyle w:val="TAC"/>
              <w:snapToGrid w:val="false"/>
              <w:rPr>
                <w:lang w:val="en-GB"/>
              </w:rPr>
            </w:pPr>
            <w:r>
              <w:rPr>
                <w:lang w:val="en-GB"/>
              </w:rPr>
            </w:r>
          </w:p>
        </w:tc>
        <w:tc>
          <w:tcPr>
            <w:tcW w:w="1096" w:type="dxa"/>
            <w:tcBorders/>
          </w:tcPr>
          <w:p>
            <w:pPr>
              <w:pStyle w:val="TAC"/>
              <w:snapToGrid w:val="false"/>
              <w:rPr>
                <w:lang w:val="en-GB"/>
              </w:rPr>
            </w:pPr>
            <w:r>
              <w:rPr>
                <w:lang w:val="en-GB"/>
              </w:rPr>
            </w:r>
          </w:p>
        </w:tc>
        <w:tc>
          <w:tcPr>
            <w:tcW w:w="1096" w:type="dxa"/>
            <w:tcBorders/>
          </w:tcPr>
          <w:p>
            <w:pPr>
              <w:pStyle w:val="TAC"/>
              <w:snapToGrid w:val="false"/>
              <w:rPr>
                <w:lang w:val="en-GB"/>
              </w:rPr>
            </w:pPr>
            <w:r>
              <w:rPr>
                <w:lang w:val="en-GB"/>
              </w:rPr>
            </w:r>
          </w:p>
        </w:tc>
      </w:tr>
      <w:tr>
        <w:trPr/>
        <w:tc>
          <w:tcPr>
            <w:tcW w:w="2842" w:type="dxa"/>
            <w:tcBorders>
              <w:right w:val="single" w:sz="12" w:space="0" w:color="000000"/>
            </w:tcBorders>
          </w:tcPr>
          <w:p>
            <w:pPr>
              <w:pStyle w:val="TAL"/>
              <w:rPr>
                <w:lang w:val="en-GB"/>
              </w:rPr>
            </w:pPr>
            <w:r>
              <w:rPr>
                <w:lang w:val="en-GB"/>
              </w:rPr>
              <w:t>MCL of the scenario</w:t>
            </w:r>
          </w:p>
        </w:tc>
        <w:tc>
          <w:tcPr>
            <w:tcW w:w="968" w:type="dxa"/>
            <w:tcBorders/>
          </w:tcPr>
          <w:p>
            <w:pPr>
              <w:pStyle w:val="TAC"/>
              <w:rPr>
                <w:lang w:val="en-GB"/>
              </w:rPr>
            </w:pPr>
            <w:r>
              <w:rPr>
                <w:lang w:val="en-GB"/>
              </w:rPr>
              <w:t>56</w:t>
            </w:r>
          </w:p>
        </w:tc>
        <w:tc>
          <w:tcPr>
            <w:tcW w:w="1096" w:type="dxa"/>
            <w:tcBorders/>
          </w:tcPr>
          <w:p>
            <w:pPr>
              <w:pStyle w:val="TAC"/>
              <w:rPr>
                <w:lang w:val="en-GB"/>
              </w:rPr>
            </w:pPr>
            <w:r>
              <w:rPr>
                <w:lang w:val="en-GB"/>
              </w:rPr>
              <w:t>54</w:t>
            </w:r>
          </w:p>
        </w:tc>
        <w:tc>
          <w:tcPr>
            <w:tcW w:w="1096" w:type="dxa"/>
            <w:tcBorders/>
          </w:tcPr>
          <w:p>
            <w:pPr>
              <w:pStyle w:val="TAC"/>
              <w:rPr>
                <w:lang w:val="en-GB"/>
              </w:rPr>
            </w:pPr>
            <w:r>
              <w:rPr>
                <w:lang w:val="en-GB"/>
              </w:rPr>
              <w:t>56</w:t>
            </w:r>
          </w:p>
        </w:tc>
        <w:tc>
          <w:tcPr>
            <w:tcW w:w="1096" w:type="dxa"/>
            <w:tcBorders/>
          </w:tcPr>
          <w:p>
            <w:pPr>
              <w:pStyle w:val="TAC"/>
              <w:rPr>
                <w:lang w:val="en-GB"/>
              </w:rPr>
            </w:pPr>
            <w:r>
              <w:rPr>
                <w:lang w:val="en-GB"/>
              </w:rPr>
              <w:t>54</w:t>
            </w:r>
          </w:p>
        </w:tc>
      </w:tr>
      <w:tr>
        <w:trPr/>
        <w:tc>
          <w:tcPr>
            <w:tcW w:w="2842" w:type="dxa"/>
            <w:tcBorders>
              <w:right w:val="single" w:sz="12" w:space="0" w:color="000000"/>
            </w:tcBorders>
          </w:tcPr>
          <w:p>
            <w:pPr>
              <w:pStyle w:val="TAL"/>
              <w:rPr>
                <w:lang w:val="en-GB"/>
              </w:rPr>
            </w:pPr>
            <w:r>
              <w:rPr>
                <w:lang w:val="en-GB"/>
              </w:rPr>
              <w:t>AG source</w:t>
            </w:r>
          </w:p>
        </w:tc>
        <w:tc>
          <w:tcPr>
            <w:tcW w:w="968" w:type="dxa"/>
            <w:tcBorders/>
          </w:tcPr>
          <w:p>
            <w:pPr>
              <w:pStyle w:val="TAC"/>
              <w:rPr>
                <w:lang w:val="en-GB"/>
              </w:rPr>
            </w:pPr>
            <w:r>
              <w:rPr>
                <w:lang w:val="en-GB"/>
              </w:rPr>
              <w:t>2</w:t>
            </w:r>
          </w:p>
        </w:tc>
        <w:tc>
          <w:tcPr>
            <w:tcW w:w="1096" w:type="dxa"/>
            <w:tcBorders/>
          </w:tcPr>
          <w:p>
            <w:pPr>
              <w:pStyle w:val="TAC"/>
              <w:rPr>
                <w:lang w:val="en-GB"/>
              </w:rPr>
            </w:pPr>
            <w:r>
              <w:rPr>
                <w:lang w:val="en-GB"/>
              </w:rPr>
              <w:t>2</w:t>
            </w:r>
          </w:p>
        </w:tc>
        <w:tc>
          <w:tcPr>
            <w:tcW w:w="1096" w:type="dxa"/>
            <w:tcBorders/>
          </w:tcPr>
          <w:p>
            <w:pPr>
              <w:pStyle w:val="TAC"/>
              <w:rPr>
                <w:lang w:val="en-GB"/>
              </w:rPr>
            </w:pPr>
            <w:r>
              <w:rPr>
                <w:lang w:val="en-GB"/>
              </w:rPr>
              <w:noBreakHyphen/>
            </w:r>
            <w:r>
              <w:rPr>
                <w:lang w:val="en-GB"/>
              </w:rPr>
              <w:t>3</w:t>
            </w:r>
          </w:p>
        </w:tc>
        <w:tc>
          <w:tcPr>
            <w:tcW w:w="1096" w:type="dxa"/>
            <w:tcBorders/>
          </w:tcPr>
          <w:p>
            <w:pPr>
              <w:pStyle w:val="TAC"/>
              <w:rPr>
                <w:lang w:val="en-GB"/>
              </w:rPr>
            </w:pPr>
            <w:r>
              <w:rPr>
                <w:lang w:val="en-GB"/>
              </w:rPr>
              <w:noBreakHyphen/>
            </w:r>
            <w:r>
              <w:rPr>
                <w:lang w:val="en-GB"/>
              </w:rPr>
              <w:t>3</w:t>
            </w:r>
          </w:p>
        </w:tc>
      </w:tr>
      <w:tr>
        <w:trPr/>
        <w:tc>
          <w:tcPr>
            <w:tcW w:w="2842" w:type="dxa"/>
            <w:tcBorders>
              <w:right w:val="single" w:sz="12" w:space="0" w:color="000000"/>
            </w:tcBorders>
          </w:tcPr>
          <w:p>
            <w:pPr>
              <w:pStyle w:val="TAL"/>
              <w:rPr>
                <w:lang w:val="en-GB"/>
              </w:rPr>
            </w:pPr>
            <w:r>
              <w:rPr>
                <w:lang w:val="en-GB"/>
              </w:rPr>
              <w:t>AG victim</w:t>
            </w:r>
          </w:p>
        </w:tc>
        <w:tc>
          <w:tcPr>
            <w:tcW w:w="968" w:type="dxa"/>
            <w:tcBorders/>
          </w:tcPr>
          <w:p>
            <w:pPr>
              <w:pStyle w:val="TAC"/>
              <w:rPr>
                <w:lang w:val="en-GB"/>
              </w:rPr>
            </w:pPr>
            <w:r>
              <w:rPr>
                <w:lang w:val="en-GB"/>
              </w:rPr>
              <w:t>2</w:t>
            </w:r>
          </w:p>
        </w:tc>
        <w:tc>
          <w:tcPr>
            <w:tcW w:w="1096" w:type="dxa"/>
            <w:tcBorders/>
          </w:tcPr>
          <w:p>
            <w:pPr>
              <w:pStyle w:val="TAC"/>
              <w:rPr>
                <w:lang w:val="en-GB"/>
              </w:rPr>
            </w:pPr>
            <w:r>
              <w:rPr>
                <w:lang w:val="en-GB"/>
              </w:rPr>
              <w:noBreakHyphen/>
            </w:r>
            <w:r>
              <w:rPr>
                <w:lang w:val="en-GB"/>
              </w:rPr>
              <w:t>3</w:t>
            </w:r>
          </w:p>
        </w:tc>
        <w:tc>
          <w:tcPr>
            <w:tcW w:w="1096" w:type="dxa"/>
            <w:tcBorders/>
          </w:tcPr>
          <w:p>
            <w:pPr>
              <w:pStyle w:val="TAC"/>
              <w:rPr>
                <w:lang w:val="en-GB"/>
              </w:rPr>
            </w:pPr>
            <w:r>
              <w:rPr>
                <w:lang w:val="en-GB"/>
              </w:rPr>
              <w:t>2</w:t>
            </w:r>
          </w:p>
        </w:tc>
        <w:tc>
          <w:tcPr>
            <w:tcW w:w="1096" w:type="dxa"/>
            <w:tcBorders/>
          </w:tcPr>
          <w:p>
            <w:pPr>
              <w:pStyle w:val="TAC"/>
              <w:rPr>
                <w:lang w:val="en-GB"/>
              </w:rPr>
            </w:pPr>
            <w:r>
              <w:rPr>
                <w:lang w:val="en-GB"/>
              </w:rPr>
              <w:noBreakHyphen/>
            </w:r>
            <w:r>
              <w:rPr>
                <w:lang w:val="en-GB"/>
              </w:rPr>
              <w:t>3</w:t>
            </w:r>
          </w:p>
        </w:tc>
      </w:tr>
      <w:tr>
        <w:trPr/>
        <w:tc>
          <w:tcPr>
            <w:tcW w:w="2842" w:type="dxa"/>
            <w:tcBorders>
              <w:right w:val="single" w:sz="12" w:space="0" w:color="000000"/>
            </w:tcBorders>
          </w:tcPr>
          <w:p>
            <w:pPr>
              <w:pStyle w:val="TAL"/>
              <w:snapToGrid w:val="false"/>
              <w:rPr>
                <w:lang w:val="en-GB"/>
              </w:rPr>
            </w:pPr>
            <w:r>
              <w:rPr>
                <w:lang w:val="en-GB"/>
              </w:rPr>
            </w:r>
          </w:p>
        </w:tc>
        <w:tc>
          <w:tcPr>
            <w:tcW w:w="968" w:type="dxa"/>
            <w:tcBorders/>
          </w:tcPr>
          <w:p>
            <w:pPr>
              <w:pStyle w:val="TAC"/>
              <w:snapToGrid w:val="false"/>
              <w:rPr>
                <w:lang w:val="en-GB"/>
              </w:rPr>
            </w:pPr>
            <w:r>
              <w:rPr>
                <w:lang w:val="en-GB"/>
              </w:rPr>
            </w:r>
          </w:p>
        </w:tc>
        <w:tc>
          <w:tcPr>
            <w:tcW w:w="1096" w:type="dxa"/>
            <w:tcBorders/>
          </w:tcPr>
          <w:p>
            <w:pPr>
              <w:pStyle w:val="TAC"/>
              <w:snapToGrid w:val="false"/>
              <w:rPr>
                <w:lang w:val="en-GB"/>
              </w:rPr>
            </w:pPr>
            <w:r>
              <w:rPr>
                <w:lang w:val="en-GB"/>
              </w:rPr>
            </w:r>
          </w:p>
        </w:tc>
        <w:tc>
          <w:tcPr>
            <w:tcW w:w="1096" w:type="dxa"/>
            <w:tcBorders/>
          </w:tcPr>
          <w:p>
            <w:pPr>
              <w:pStyle w:val="TAC"/>
              <w:snapToGrid w:val="false"/>
              <w:rPr>
                <w:lang w:val="en-GB"/>
              </w:rPr>
            </w:pPr>
            <w:r>
              <w:rPr>
                <w:lang w:val="en-GB"/>
              </w:rPr>
            </w:r>
          </w:p>
        </w:tc>
        <w:tc>
          <w:tcPr>
            <w:tcW w:w="1096" w:type="dxa"/>
            <w:tcBorders/>
          </w:tcPr>
          <w:p>
            <w:pPr>
              <w:pStyle w:val="TAC"/>
              <w:snapToGrid w:val="false"/>
              <w:rPr>
                <w:lang w:val="en-GB"/>
              </w:rPr>
            </w:pPr>
            <w:r>
              <w:rPr>
                <w:lang w:val="en-GB"/>
              </w:rPr>
            </w:r>
          </w:p>
        </w:tc>
      </w:tr>
      <w:tr>
        <w:trPr/>
        <w:tc>
          <w:tcPr>
            <w:tcW w:w="2842" w:type="dxa"/>
            <w:tcBorders>
              <w:right w:val="single" w:sz="12" w:space="0" w:color="000000"/>
            </w:tcBorders>
          </w:tcPr>
          <w:p>
            <w:pPr>
              <w:pStyle w:val="TAL"/>
              <w:rPr>
                <w:lang w:val="en-GB"/>
              </w:rPr>
            </w:pPr>
            <w:r>
              <w:rPr>
                <w:lang w:val="en-GB"/>
              </w:rPr>
              <w:t>FPL required</w:t>
            </w:r>
          </w:p>
        </w:tc>
        <w:tc>
          <w:tcPr>
            <w:tcW w:w="968" w:type="dxa"/>
            <w:tcBorders/>
          </w:tcPr>
          <w:p>
            <w:pPr>
              <w:pStyle w:val="TAC"/>
              <w:rPr>
                <w:lang w:val="en-GB"/>
              </w:rPr>
            </w:pPr>
            <w:r>
              <w:rPr>
                <w:lang w:val="en-GB"/>
              </w:rPr>
              <w:t>60</w:t>
            </w:r>
          </w:p>
        </w:tc>
        <w:tc>
          <w:tcPr>
            <w:tcW w:w="1096" w:type="dxa"/>
            <w:tcBorders/>
          </w:tcPr>
          <w:p>
            <w:pPr>
              <w:pStyle w:val="TAC"/>
              <w:rPr>
                <w:lang w:val="en-GB"/>
              </w:rPr>
            </w:pPr>
            <w:r>
              <w:rPr>
                <w:lang w:val="en-GB"/>
              </w:rPr>
              <w:t>53</w:t>
            </w:r>
          </w:p>
        </w:tc>
        <w:tc>
          <w:tcPr>
            <w:tcW w:w="1096" w:type="dxa"/>
            <w:tcBorders/>
          </w:tcPr>
          <w:p>
            <w:pPr>
              <w:pStyle w:val="TAC"/>
              <w:rPr>
                <w:lang w:val="en-GB"/>
              </w:rPr>
            </w:pPr>
            <w:r>
              <w:rPr>
                <w:lang w:val="en-GB"/>
              </w:rPr>
              <w:t>55</w:t>
            </w:r>
          </w:p>
        </w:tc>
        <w:tc>
          <w:tcPr>
            <w:tcW w:w="1096" w:type="dxa"/>
            <w:tcBorders/>
          </w:tcPr>
          <w:p>
            <w:pPr>
              <w:pStyle w:val="TAC"/>
              <w:rPr>
                <w:lang w:val="en-GB"/>
              </w:rPr>
            </w:pPr>
            <w:r>
              <w:rPr>
                <w:lang w:val="en-GB"/>
              </w:rPr>
              <w:t>48</w:t>
            </w:r>
          </w:p>
        </w:tc>
      </w:tr>
      <w:tr>
        <w:trPr/>
        <w:tc>
          <w:tcPr>
            <w:tcW w:w="2842" w:type="dxa"/>
            <w:tcBorders>
              <w:right w:val="single" w:sz="12" w:space="0" w:color="000000"/>
            </w:tcBorders>
          </w:tcPr>
          <w:p>
            <w:pPr>
              <w:pStyle w:val="TAL"/>
              <w:rPr>
                <w:lang w:val="en-GB"/>
              </w:rPr>
            </w:pPr>
            <w:r>
              <w:rPr>
                <w:lang w:val="en-GB"/>
              </w:rPr>
              <w:t>Distance required [m]</w:t>
            </w:r>
          </w:p>
        </w:tc>
        <w:tc>
          <w:tcPr>
            <w:tcW w:w="968" w:type="dxa"/>
            <w:tcBorders/>
          </w:tcPr>
          <w:p>
            <w:pPr>
              <w:pStyle w:val="TAC"/>
              <w:rPr>
                <w:lang w:val="en-GB"/>
              </w:rPr>
            </w:pPr>
            <w:r>
              <w:rPr>
                <w:lang w:val="en-GB"/>
              </w:rPr>
              <w:t>27</w:t>
            </w:r>
          </w:p>
        </w:tc>
        <w:tc>
          <w:tcPr>
            <w:tcW w:w="1096" w:type="dxa"/>
            <w:tcBorders/>
          </w:tcPr>
          <w:p>
            <w:pPr>
              <w:pStyle w:val="TAC"/>
              <w:rPr>
                <w:lang w:val="en-GB"/>
              </w:rPr>
            </w:pPr>
            <w:r>
              <w:rPr>
                <w:lang w:val="en-GB"/>
              </w:rPr>
              <w:t>12</w:t>
            </w:r>
          </w:p>
        </w:tc>
        <w:tc>
          <w:tcPr>
            <w:tcW w:w="1096" w:type="dxa"/>
            <w:tcBorders/>
          </w:tcPr>
          <w:p>
            <w:pPr>
              <w:pStyle w:val="TAC"/>
              <w:rPr>
                <w:lang w:val="en-GB"/>
              </w:rPr>
            </w:pPr>
            <w:r>
              <w:rPr>
                <w:lang w:val="en-GB"/>
              </w:rPr>
              <w:t>15</w:t>
            </w:r>
          </w:p>
        </w:tc>
        <w:tc>
          <w:tcPr>
            <w:tcW w:w="1096" w:type="dxa"/>
            <w:tcBorders/>
          </w:tcPr>
          <w:p>
            <w:pPr>
              <w:pStyle w:val="TAC"/>
              <w:rPr>
                <w:lang w:val="en-GB"/>
              </w:rPr>
            </w:pPr>
            <w:r>
              <w:rPr>
                <w:lang w:val="en-GB"/>
              </w:rPr>
              <w:t>7</w:t>
            </w:r>
          </w:p>
        </w:tc>
      </w:tr>
      <w:tr>
        <w:trPr/>
        <w:tc>
          <w:tcPr>
            <w:tcW w:w="2842" w:type="dxa"/>
            <w:tcBorders>
              <w:bottom w:val="single" w:sz="4" w:space="0" w:color="000000"/>
              <w:right w:val="single" w:sz="12" w:space="0" w:color="000000"/>
            </w:tcBorders>
          </w:tcPr>
          <w:p>
            <w:pPr>
              <w:pStyle w:val="TAL"/>
              <w:rPr>
                <w:lang w:val="en-GB"/>
              </w:rPr>
            </w:pPr>
            <w:r>
              <w:rPr>
                <w:lang w:val="en-GB"/>
              </w:rPr>
              <w:t>Scenarios requirement</w:t>
            </w:r>
          </w:p>
        </w:tc>
        <w:tc>
          <w:tcPr>
            <w:tcW w:w="968" w:type="dxa"/>
            <w:tcBorders>
              <w:bottom w:val="single" w:sz="4" w:space="0" w:color="000000"/>
            </w:tcBorders>
          </w:tcPr>
          <w:p>
            <w:pPr>
              <w:pStyle w:val="TAC"/>
              <w:rPr>
                <w:lang w:val="en-GB"/>
              </w:rPr>
            </w:pPr>
            <w:r>
              <w:rPr>
                <w:lang w:val="en-GB"/>
              </w:rPr>
              <w:t>2</w:t>
            </w:r>
          </w:p>
        </w:tc>
        <w:tc>
          <w:tcPr>
            <w:tcW w:w="1096" w:type="dxa"/>
            <w:tcBorders>
              <w:bottom w:val="single" w:sz="4" w:space="0" w:color="000000"/>
            </w:tcBorders>
          </w:tcPr>
          <w:p>
            <w:pPr>
              <w:pStyle w:val="TAC"/>
              <w:rPr>
                <w:lang w:val="en-GB"/>
              </w:rPr>
            </w:pPr>
            <w:r>
              <w:rPr>
                <w:lang w:val="en-GB"/>
              </w:rPr>
              <w:t>5</w:t>
            </w:r>
          </w:p>
        </w:tc>
        <w:tc>
          <w:tcPr>
            <w:tcW w:w="1096" w:type="dxa"/>
            <w:tcBorders>
              <w:bottom w:val="single" w:sz="4" w:space="0" w:color="000000"/>
            </w:tcBorders>
          </w:tcPr>
          <w:p>
            <w:pPr>
              <w:pStyle w:val="TAC"/>
              <w:rPr>
                <w:lang w:val="en-GB"/>
              </w:rPr>
            </w:pPr>
            <w:r>
              <w:rPr>
                <w:lang w:val="en-GB"/>
              </w:rPr>
              <w:t>5</w:t>
            </w:r>
          </w:p>
        </w:tc>
        <w:tc>
          <w:tcPr>
            <w:tcW w:w="1096" w:type="dxa"/>
            <w:tcBorders>
              <w:bottom w:val="single" w:sz="4" w:space="0" w:color="000000"/>
            </w:tcBorders>
          </w:tcPr>
          <w:p>
            <w:pPr>
              <w:pStyle w:val="TAC"/>
              <w:rPr>
                <w:lang w:val="en-GB"/>
              </w:rPr>
            </w:pPr>
            <w:r>
              <w:rPr>
                <w:lang w:val="en-GB"/>
              </w:rPr>
              <w:t>2</w:t>
            </w:r>
          </w:p>
        </w:tc>
      </w:tr>
      <w:tr>
        <w:trPr/>
        <w:tc>
          <w:tcPr>
            <w:tcW w:w="7098" w:type="dxa"/>
            <w:gridSpan w:val="5"/>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AG =</w:t>
              <w:tab/>
              <w:t>Antenna Gain, incl. cable losses etc.</w:t>
            </w:r>
          </w:p>
          <w:p>
            <w:pPr>
              <w:pStyle w:val="TAN"/>
              <w:rPr/>
            </w:pPr>
            <w:r>
              <w:rPr>
                <w:lang w:val="en-GB"/>
              </w:rPr>
              <w:t>FPL =</w:t>
              <w:tab/>
              <w:t>Free Path Loss.</w:t>
            </w:r>
          </w:p>
          <w:p>
            <w:pPr>
              <w:pStyle w:val="TAN"/>
              <w:rPr>
                <w:lang w:val="en-GB"/>
              </w:rPr>
            </w:pPr>
            <w:r>
              <w:rPr>
                <w:lang w:val="en-GB"/>
              </w:rPr>
              <w:t>MCL =</w:t>
              <w:tab/>
              <w:t>Minimum Coupling Loss, incl. cable losses etc.</w:t>
            </w:r>
          </w:p>
        </w:tc>
      </w:tr>
    </w:tbl>
    <w:p>
      <w:pPr>
        <w:pStyle w:val="FP"/>
        <w:rPr/>
      </w:pPr>
      <w:r>
        <w:rPr/>
      </w:r>
    </w:p>
    <w:p>
      <w:pPr>
        <w:pStyle w:val="Normal"/>
        <w:rPr/>
      </w:pPr>
      <w:r>
        <w:rPr/>
        <w:t>When evaluating the consequencies of these UIC mobile to mobile close proximity scenarios not being met, the following preconditions for the interference actually to occur must be borne in mind, that significantly decrease the likelihood of interference:</w:t>
      </w:r>
    </w:p>
    <w:p>
      <w:pPr>
        <w:pStyle w:val="B1"/>
        <w:rPr/>
      </w:pPr>
      <w:r>
        <w:rPr/>
        <w:t>-</w:t>
        <w:tab/>
        <w:t>although the interference limit applies also to the idle mode, in practice, the worst case is expected to require that the victim and the interfering mobile are both active and operating on overlapping timeslots;</w:t>
      </w:r>
    </w:p>
    <w:p>
      <w:pPr>
        <w:pStyle w:val="B1"/>
        <w:rPr/>
      </w:pPr>
      <w:r>
        <w:rPr/>
        <w:t>-</w:t>
        <w:tab/>
        <w:t>the victim mobile must be receiving at reference sensitivity.</w:t>
      </w:r>
    </w:p>
    <w:p>
      <w:pPr>
        <w:pStyle w:val="Normal"/>
        <w:widowControl w:val="false"/>
        <w:rPr/>
      </w:pPr>
      <w:r>
        <w:rPr/>
        <w:t>In addition, for the UIC vehicle mounted MS to MS scenario, along a railways line two locomotives moving in opposite directions must be within 27 m of each other. Thus the overall likelihood of the UIC MS to MS interference is considered small enough to be acceptable, also when seen in relation to the large number of operating GSM MS and sMS, each of which presents a similar potential level of interference.</w:t>
      </w:r>
    </w:p>
    <w:p>
      <w:pPr>
        <w:pStyle w:val="Normal"/>
        <w:widowControl w:val="false"/>
        <w:rPr/>
      </w:pPr>
      <w:r>
        <w:rPr/>
        <w:t>Whereever UIC sMS are typically being used, such as in stations and shunting yards, a better radio coverage is needed to provide service for such equipments. This implies generally higher wanted signal levels in scenarios involving an sMS, further decreasing the overall likelihood of interference. Thus it is considered acceptable that the scenarios involving UIC sMS are missed by a factor of about 3.</w:t>
      </w:r>
    </w:p>
    <w:p>
      <w:pPr>
        <w:pStyle w:val="Normal"/>
        <w:widowControl w:val="false"/>
        <w:rPr/>
      </w:pPr>
      <w:r>
        <w:rPr/>
        <w:t>No changes are proposed to the last two paragraphs of this section of GSM 05.05.</w:t>
      </w:r>
    </w:p>
    <w:p>
      <w:pPr>
        <w:pStyle w:val="Heading3"/>
        <w:rPr/>
      </w:pPr>
      <w:bookmarkStart w:id="342" w:name="__RefHeading___Toc518035776"/>
      <w:bookmarkEnd w:id="342"/>
      <w:r>
        <w:rPr/>
        <w:t>J.3.4.4</w:t>
        <w:tab/>
        <w:t>Radio frequency tolerance</w:t>
      </w:r>
    </w:p>
    <w:p>
      <w:pPr>
        <w:pStyle w:val="Normal"/>
        <w:rPr/>
      </w:pPr>
      <w:r>
        <w:rPr/>
        <w:t>No issues, no change required.</w:t>
      </w:r>
    </w:p>
    <w:p>
      <w:pPr>
        <w:pStyle w:val="Heading3"/>
        <w:rPr/>
      </w:pPr>
      <w:bookmarkStart w:id="343" w:name="__RefHeading___Toc518035777"/>
      <w:bookmarkEnd w:id="343"/>
      <w:r>
        <w:rPr/>
        <w:t>J.3.4.5</w:t>
        <w:tab/>
        <w:t>Output level dynamic operation</w:t>
      </w:r>
    </w:p>
    <w:p>
      <w:pPr>
        <w:pStyle w:val="Normal"/>
        <w:rPr/>
      </w:pPr>
      <w:r>
        <w:rPr/>
        <w:t>As in subclause 4.3.3, also here it is not fully clear what is the "relevant transmit band". Assuming again that "in</w:t>
        <w:noBreakHyphen/>
        <w:t>band" requirements relate to co</w:t>
        <w:noBreakHyphen/>
        <w:t>existence scenarios for operation of GSM networks, it is proposed to apply the same definition, i.e. it is the total combined range of GSM900.</w:t>
      </w:r>
    </w:p>
    <w:p>
      <w:pPr>
        <w:pStyle w:val="Heading4"/>
        <w:ind w:left="1418" w:hanging="1418"/>
        <w:rPr/>
      </w:pPr>
      <w:bookmarkStart w:id="344" w:name="__RefHeading___Toc518035778"/>
      <w:bookmarkEnd w:id="344"/>
      <w:r>
        <w:rPr/>
        <w:t>J.3.4.5.1</w:t>
        <w:tab/>
        <w:t>BTS output level dynamic operation</w:t>
      </w:r>
    </w:p>
    <w:p>
      <w:pPr>
        <w:pStyle w:val="Normal"/>
        <w:rPr/>
      </w:pPr>
      <w:r>
        <w:rPr/>
        <w:t>No changes required.</w:t>
      </w:r>
    </w:p>
    <w:p>
      <w:pPr>
        <w:pStyle w:val="Heading4"/>
        <w:ind w:left="1418" w:hanging="1418"/>
        <w:rPr/>
      </w:pPr>
      <w:bookmarkStart w:id="345" w:name="__RefHeading___Toc518035779"/>
      <w:bookmarkEnd w:id="345"/>
      <w:r>
        <w:rPr/>
        <w:t>J.3.4.5.2</w:t>
        <w:tab/>
        <w:t>MS output level dynamic operation</w:t>
      </w:r>
    </w:p>
    <w:p>
      <w:pPr>
        <w:pStyle w:val="Normal"/>
        <w:rPr/>
      </w:pPr>
      <w:r>
        <w:rPr/>
        <w:t>For the present document, the applicable scenarios deal with UIC MS or sMS victimising UIC or GSM uplinks.</w:t>
      </w:r>
    </w:p>
    <w:p>
      <w:pPr>
        <w:pStyle w:val="Normal"/>
        <w:rPr/>
      </w:pPr>
      <w:r>
        <w:rPr/>
        <w:t xml:space="preserve">For the UIC MS, the scenario requirement is </w:t>
        <w:noBreakHyphen/>
        <w:t xml:space="preserve">54 dBm. At the lowest transmit power level, 5 dBm, this corresponds to </w:t>
        <w:noBreakHyphen/>
        <w:t>59 dBc, assuming 17 power control steps as for standard GSM. I.e. no change is required to GSM 05.05.</w:t>
      </w:r>
    </w:p>
    <w:p>
      <w:pPr>
        <w:pStyle w:val="Normal"/>
        <w:rPr/>
      </w:pPr>
      <w:r>
        <w:rPr/>
        <w:t xml:space="preserve">For the UIC sMS, the scenario requirement is no tighter than </w:t>
        <w:noBreakHyphen/>
        <w:t>48 dBm. This relaxation should be included in GMS 05.05.</w:t>
      </w:r>
    </w:p>
    <w:p>
      <w:pPr>
        <w:pStyle w:val="Heading3"/>
        <w:rPr/>
      </w:pPr>
      <w:bookmarkStart w:id="346" w:name="__RefHeading___Toc518035780"/>
      <w:bookmarkEnd w:id="346"/>
      <w:r>
        <w:rPr/>
        <w:t>J.3.4.6</w:t>
        <w:tab/>
        <w:t>Phase accuracy</w:t>
      </w:r>
    </w:p>
    <w:p>
      <w:pPr>
        <w:pStyle w:val="Normal"/>
        <w:rPr/>
      </w:pPr>
      <w:r>
        <w:rPr/>
        <w:t>No issues, no change required.</w:t>
      </w:r>
    </w:p>
    <w:p>
      <w:pPr>
        <w:pStyle w:val="Heading4"/>
        <w:ind w:left="1418" w:hanging="1418"/>
        <w:rPr/>
      </w:pPr>
      <w:bookmarkStart w:id="347" w:name="__RefHeading___Toc518035781"/>
      <w:bookmarkEnd w:id="347"/>
      <w:r>
        <w:rPr/>
        <w:t>J.3.4.7.1</w:t>
        <w:tab/>
        <w:t>Intra BTS intermod attenuation</w:t>
      </w:r>
    </w:p>
    <w:p>
      <w:pPr>
        <w:pStyle w:val="Normal"/>
        <w:rPr/>
      </w:pPr>
      <w:r>
        <w:rPr/>
        <w:t>Throughout this section of GSM 05.05, it is supposed that the BTS transmit and receive bands are referred to, although this is not clearly stated in the first paragraph.</w:t>
      </w:r>
    </w:p>
    <w:p>
      <w:pPr>
        <w:pStyle w:val="Normal"/>
        <w:rPr/>
      </w:pPr>
      <w:r>
        <w:rPr/>
        <w:t>The second paragraph is understood only to give requirements on intermodulation products falling into the BTS transmit band, i.e. victimising downlinks.</w:t>
      </w:r>
    </w:p>
    <w:p>
      <w:pPr>
        <w:pStyle w:val="Normal"/>
        <w:widowControl w:val="false"/>
        <w:rPr/>
      </w:pPr>
      <w:r>
        <w:rPr/>
        <w:t>The scenario requirement for UIC BTS victimising the UIC downlink is 0dBm, which is absolutely no problem with the current specification.</w:t>
      </w:r>
    </w:p>
    <w:p>
      <w:pPr>
        <w:pStyle w:val="NO"/>
        <w:keepLines w:val="false"/>
        <w:widowControl w:val="false"/>
        <w:rPr/>
      </w:pPr>
      <w:r>
        <w:rPr/>
        <w:t>NOTE:</w:t>
        <w:tab/>
        <w:t>This reflects the assumption, that for UIC only coordinated scenarios apply, whereas for GSM the intermodulation product could interfere with a close proximity foreign mobile at reference sensitivity.</w:t>
      </w:r>
    </w:p>
    <w:p>
      <w:pPr>
        <w:pStyle w:val="Normal"/>
        <w:keepNext w:val="true"/>
        <w:keepLines/>
        <w:widowControl w:val="false"/>
        <w:rPr/>
      </w:pPr>
      <w:r>
        <w:rPr/>
        <w:t xml:space="preserve">However, for any UIC BTS intermodulation product falling into the GSM downlink, a scenario requirement of </w:t>
        <w:noBreakHyphen/>
        <w:t>51 dBm applies. For comparison, for GSM uncoordinated networks the corresponding traditional scenario requirement calculation is:</w:t>
      </w:r>
    </w:p>
    <w:p>
      <w:pPr>
        <w:pStyle w:val="B2"/>
        <w:keepNext w:val="true"/>
        <w:keepLines/>
        <w:widowControl w:val="false"/>
        <w:tabs>
          <w:tab w:val="clear" w:pos="284"/>
          <w:tab w:val="left" w:pos="1418" w:leader="none"/>
          <w:tab w:val="left" w:pos="2268" w:leader="none"/>
        </w:tabs>
        <w:rPr/>
      </w:pPr>
      <w:r>
        <w:rPr/>
        <w:noBreakHyphen/>
      </w:r>
      <w:r>
        <w:rPr/>
        <w:t>104</w:t>
        <w:tab/>
        <w:t>dBm</w:t>
        <w:tab/>
        <w:t>Reference sensitivity</w:t>
      </w:r>
    </w:p>
    <w:p>
      <w:pPr>
        <w:pStyle w:val="B2"/>
        <w:keepNext w:val="true"/>
        <w:keepLines/>
        <w:widowControl w:val="false"/>
        <w:tabs>
          <w:tab w:val="clear" w:pos="284"/>
          <w:tab w:val="left" w:pos="1418" w:leader="none"/>
          <w:tab w:val="left" w:pos="2268" w:leader="none"/>
        </w:tabs>
        <w:rPr/>
      </w:pPr>
      <w:r>
        <w:rPr/>
        <w:noBreakHyphen/>
      </w:r>
      <w:r>
        <w:rPr/>
        <w:t>9</w:t>
        <w:tab/>
        <w:t>dB</w:t>
        <w:tab/>
        <w:t>C/I</w:t>
      </w:r>
    </w:p>
    <w:p>
      <w:pPr>
        <w:pStyle w:val="B2"/>
        <w:keepNext w:val="true"/>
        <w:keepLines/>
        <w:widowControl w:val="false"/>
        <w:pBdr>
          <w:bottom w:val="single" w:sz="6" w:space="1" w:color="000000"/>
        </w:pBdr>
        <w:tabs>
          <w:tab w:val="clear" w:pos="284"/>
          <w:tab w:val="left" w:pos="1418" w:leader="none"/>
          <w:tab w:val="left" w:pos="2268" w:leader="none"/>
        </w:tabs>
        <w:rPr/>
      </w:pPr>
      <w:r>
        <w:rPr/>
        <w:t>+59</w:t>
        <w:tab/>
        <w:t>dB</w:t>
        <w:tab/>
        <w:t>MCL</w:t>
      </w:r>
    </w:p>
    <w:p>
      <w:pPr>
        <w:pStyle w:val="B2"/>
        <w:keepNext w:val="true"/>
        <w:keepLines/>
        <w:widowControl w:val="false"/>
        <w:tabs>
          <w:tab w:val="clear" w:pos="284"/>
          <w:tab w:val="left" w:pos="1418" w:leader="none"/>
          <w:tab w:val="left" w:pos="2268" w:leader="none"/>
        </w:tabs>
        <w:rPr/>
      </w:pPr>
      <w:r>
        <w:rPr/>
        <w:noBreakHyphen/>
      </w:r>
      <w:r>
        <w:rPr/>
        <w:t>54</w:t>
        <w:tab/>
        <w:t>dBm</w:t>
        <w:tab/>
        <w:t>Performance limit</w:t>
      </w:r>
    </w:p>
    <w:p>
      <w:pPr>
        <w:pStyle w:val="Normal"/>
        <w:keepNext w:val="true"/>
        <w:keepLines/>
        <w:rPr/>
      </w:pPr>
      <w:r>
        <w:rPr/>
        <w:t>This is not met by the specification either, probably for feasibility reasons.</w:t>
      </w:r>
    </w:p>
    <w:p>
      <w:pPr>
        <w:pStyle w:val="Normal"/>
        <w:rPr/>
      </w:pPr>
      <w:r>
        <w:rPr/>
        <w:t>Thus no change is proposed to the second paragraph of this subclause in GSM 05.05.</w:t>
      </w:r>
    </w:p>
    <w:p>
      <w:pPr>
        <w:pStyle w:val="Normal"/>
        <w:rPr/>
      </w:pPr>
      <w:r>
        <w:rPr/>
        <w:t>Considering the likely network implementation, with a UIC BTS operating only in the UIC band, normally no 3</w:t>
      </w:r>
      <w:r>
        <w:rPr>
          <w:vertAlign w:val="superscript"/>
        </w:rPr>
        <w:t>rd</w:t>
      </w:r>
      <w:r>
        <w:rPr/>
        <w:t xml:space="preserve"> order intermodulation products will fall into any of the UIC or GSM uplinks. In any case, the scenarios requirements for UIC BTS victimising UIC and GSM uplinks are </w:t>
        <w:noBreakHyphen/>
        <w:t xml:space="preserve">86 dBm and </w:t>
        <w:noBreakHyphen/>
        <w:t>76d Bm, respectively. These are the same scenario requirements as in subclause 4.3.2, and for which a TX filter is introduced to protect the BTS receive bands in general. Thus the requirement in the 3'rd paragraph of this section in GSM 05.05 is not a significant problem, and no change is proposed here either.</w:t>
      </w:r>
    </w:p>
    <w:p>
      <w:pPr>
        <w:pStyle w:val="Heading4"/>
        <w:ind w:left="1418" w:hanging="1418"/>
        <w:rPr/>
      </w:pPr>
      <w:bookmarkStart w:id="348" w:name="__RefHeading___Toc518035782"/>
      <w:bookmarkEnd w:id="348"/>
      <w:r>
        <w:rPr/>
        <w:t>J.3.4.7.2</w:t>
        <w:tab/>
        <w:t>Intermodulation between MS (DCS1800 only)</w:t>
      </w:r>
    </w:p>
    <w:p>
      <w:pPr>
        <w:pStyle w:val="Normal"/>
        <w:rPr/>
      </w:pPr>
      <w:r>
        <w:rPr/>
        <w:t>Not applicable.</w:t>
      </w:r>
    </w:p>
    <w:p>
      <w:pPr>
        <w:pStyle w:val="Heading4"/>
        <w:ind w:left="1418" w:hanging="1418"/>
        <w:rPr/>
      </w:pPr>
      <w:bookmarkStart w:id="349" w:name="__RefHeading___Toc518035783"/>
      <w:bookmarkEnd w:id="349"/>
      <w:r>
        <w:rPr/>
        <w:t>J.3.4.7.3</w:t>
        <w:tab/>
        <w:t>Mobile PBX</w:t>
      </w:r>
    </w:p>
    <w:p>
      <w:pPr>
        <w:pStyle w:val="Normal"/>
        <w:rPr/>
      </w:pPr>
      <w:r>
        <w:rPr/>
        <w:t>No change proposed.</w:t>
      </w:r>
    </w:p>
    <w:p>
      <w:pPr>
        <w:pStyle w:val="Heading2"/>
        <w:rPr/>
      </w:pPr>
      <w:bookmarkStart w:id="350" w:name="__RefHeading___Toc518035784"/>
      <w:bookmarkEnd w:id="350"/>
      <w:r>
        <w:rPr/>
        <w:t>J.3.5</w:t>
        <w:tab/>
        <w:t>Receiver characteristics</w:t>
      </w:r>
    </w:p>
    <w:p>
      <w:pPr>
        <w:pStyle w:val="Normal"/>
        <w:rPr/>
      </w:pPr>
      <w:r>
        <w:rPr/>
        <w:t>The following table of scenario requirements, copied from clause 5 in [2], gives the required blocking performance of UIC receivers against strong off</w:t>
        <w:noBreakHyphen/>
        <w:t>channel signals of another link.</w:t>
      </w:r>
    </w:p>
    <w:p>
      <w:pPr>
        <w:pStyle w:val="Normal"/>
        <w:rPr/>
      </w:pPr>
      <w:r>
        <w:rPr/>
        <w:t>The values are given in dBm. As in GSM 05.05, the reference point is the antenna connector of the equipment.</w:t>
      </w:r>
    </w:p>
    <w:p>
      <w:pPr>
        <w:pStyle w:val="Normal"/>
        <w:rPr/>
      </w:pPr>
      <w:r>
        <w:rPr/>
      </w:r>
    </w:p>
    <w:tbl>
      <w:tblPr>
        <w:tblW w:w="6166" w:type="dxa"/>
        <w:jc w:val="center"/>
        <w:tblInd w:w="0" w:type="dxa"/>
        <w:tblLayout w:type="fixed"/>
        <w:tblCellMar>
          <w:top w:w="0" w:type="dxa"/>
          <w:left w:w="70" w:type="dxa"/>
          <w:bottom w:w="0" w:type="dxa"/>
          <w:right w:w="70" w:type="dxa"/>
        </w:tblCellMar>
      </w:tblPr>
      <w:tblGrid>
        <w:gridCol w:w="1841"/>
        <w:gridCol w:w="781"/>
        <w:gridCol w:w="1309"/>
        <w:gridCol w:w="817"/>
        <w:gridCol w:w="1418"/>
      </w:tblGrid>
      <w:tr>
        <w:trPr/>
        <w:tc>
          <w:tcPr>
            <w:tcW w:w="1841" w:type="dxa"/>
            <w:tcBorders/>
          </w:tcPr>
          <w:p>
            <w:pPr>
              <w:pStyle w:val="TAH"/>
              <w:snapToGrid w:val="false"/>
              <w:rPr>
                <w:lang w:eastAsia="en-US"/>
              </w:rPr>
            </w:pPr>
            <w:r>
              <w:rPr>
                <w:lang w:eastAsia="en-US"/>
              </w:rPr>
            </w:r>
          </w:p>
        </w:tc>
        <w:tc>
          <w:tcPr>
            <w:tcW w:w="2090"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(Source uplinks)</w:t>
            </w:r>
          </w:p>
        </w:tc>
        <w:tc>
          <w:tcPr>
            <w:tcW w:w="2235" w:type="dxa"/>
            <w:gridSpan w:val="2"/>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(Source downlinks)</w:t>
            </w:r>
          </w:p>
        </w:tc>
      </w:tr>
      <w:tr>
        <w:trPr/>
        <w:tc>
          <w:tcPr>
            <w:tcW w:w="1841" w:type="dxa"/>
            <w:tcBorders/>
          </w:tcPr>
          <w:p>
            <w:pPr>
              <w:pStyle w:val="TAH"/>
              <w:snapToGrid w:val="false"/>
              <w:rPr>
                <w:lang w:eastAsia="en-US"/>
              </w:rPr>
            </w:pPr>
            <w:r>
              <w:rPr>
                <w:lang w:eastAsia="en-US"/>
              </w:rPr>
            </w:r>
          </w:p>
        </w:tc>
        <w:tc>
          <w:tcPr>
            <w:tcW w:w="78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UIC</w:t>
            </w:r>
          </w:p>
        </w:tc>
        <w:tc>
          <w:tcPr>
            <w:tcW w:w="130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w:t>
            </w:r>
          </w:p>
        </w:tc>
        <w:tc>
          <w:tcPr>
            <w:tcW w:w="81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UIC</w:t>
            </w:r>
          </w:p>
        </w:tc>
        <w:tc>
          <w:tcPr>
            <w:tcW w:w="141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w:t>
            </w:r>
          </w:p>
        </w:tc>
      </w:tr>
      <w:tr>
        <w:trPr/>
        <w:tc>
          <w:tcPr>
            <w:tcW w:w="1841" w:type="dxa"/>
            <w:tcBorders/>
          </w:tcPr>
          <w:p>
            <w:pPr>
              <w:pStyle w:val="TAL"/>
              <w:snapToGrid w:val="false"/>
              <w:rPr>
                <w:lang w:val="en-GB" w:eastAsia="en-US"/>
              </w:rPr>
            </w:pPr>
            <w:r>
              <w:rPr>
                <w:lang w:val="en-GB" w:eastAsia="en-US"/>
              </w:rPr>
            </w:r>
          </w:p>
        </w:tc>
        <w:tc>
          <w:tcPr>
            <w:tcW w:w="781" w:type="dxa"/>
            <w:tcBorders>
              <w:top w:val="single" w:sz="6" w:space="0" w:color="000000"/>
              <w:left w:val="single" w:sz="6" w:space="0" w:color="000000"/>
              <w:right w:val="single" w:sz="6" w:space="0" w:color="000000"/>
            </w:tcBorders>
          </w:tcPr>
          <w:p>
            <w:pPr>
              <w:pStyle w:val="TAC"/>
              <w:rPr>
                <w:lang w:val="en-GB"/>
              </w:rPr>
            </w:pPr>
            <w:r>
              <w:rPr>
                <w:lang w:val="en-GB"/>
              </w:rPr>
              <w:t>876</w:t>
            </w:r>
          </w:p>
        </w:tc>
        <w:tc>
          <w:tcPr>
            <w:tcW w:w="1309" w:type="dxa"/>
            <w:tcBorders>
              <w:top w:val="single" w:sz="6" w:space="0" w:color="000000"/>
              <w:left w:val="single" w:sz="6" w:space="0" w:color="000000"/>
              <w:right w:val="single" w:sz="6" w:space="0" w:color="000000"/>
            </w:tcBorders>
          </w:tcPr>
          <w:p>
            <w:pPr>
              <w:pStyle w:val="TAC"/>
              <w:rPr>
                <w:lang w:val="en-GB"/>
              </w:rPr>
            </w:pPr>
            <w:r>
              <w:rPr>
                <w:lang w:val="en-GB"/>
              </w:rPr>
              <w:t>(880) 890</w:t>
            </w:r>
          </w:p>
        </w:tc>
        <w:tc>
          <w:tcPr>
            <w:tcW w:w="817" w:type="dxa"/>
            <w:tcBorders>
              <w:top w:val="single" w:sz="6" w:space="0" w:color="000000"/>
              <w:left w:val="single" w:sz="6" w:space="0" w:color="000000"/>
              <w:right w:val="single" w:sz="6" w:space="0" w:color="000000"/>
            </w:tcBorders>
          </w:tcPr>
          <w:p>
            <w:pPr>
              <w:pStyle w:val="TAC"/>
              <w:rPr>
                <w:lang w:val="en-GB"/>
              </w:rPr>
            </w:pPr>
            <w:r>
              <w:rPr>
                <w:lang w:val="en-GB"/>
              </w:rPr>
              <w:t>921</w:t>
            </w:r>
          </w:p>
        </w:tc>
        <w:tc>
          <w:tcPr>
            <w:tcW w:w="1418" w:type="dxa"/>
            <w:tcBorders>
              <w:top w:val="single" w:sz="6" w:space="0" w:color="000000"/>
              <w:left w:val="single" w:sz="6" w:space="0" w:color="000000"/>
              <w:right w:val="single" w:sz="6" w:space="0" w:color="000000"/>
            </w:tcBorders>
          </w:tcPr>
          <w:p>
            <w:pPr>
              <w:pStyle w:val="TAC"/>
              <w:rPr>
                <w:lang w:val="en-GB"/>
              </w:rPr>
            </w:pPr>
            <w:r>
              <w:rPr>
                <w:lang w:val="en-GB"/>
              </w:rPr>
              <w:t>(925) 935</w:t>
            </w:r>
          </w:p>
        </w:tc>
      </w:tr>
      <w:tr>
        <w:trPr/>
        <w:tc>
          <w:tcPr>
            <w:tcW w:w="1841" w:type="dxa"/>
            <w:tcBorders/>
          </w:tcPr>
          <w:p>
            <w:pPr>
              <w:pStyle w:val="TAL"/>
              <w:snapToGrid w:val="false"/>
              <w:rPr>
                <w:lang w:val="en-GB"/>
              </w:rPr>
            </w:pPr>
            <w:r>
              <w:rPr>
                <w:lang w:val="en-GB"/>
              </w:rPr>
            </w:r>
          </w:p>
        </w:tc>
        <w:tc>
          <w:tcPr>
            <w:tcW w:w="781"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880</w:t>
            </w:r>
          </w:p>
        </w:tc>
        <w:tc>
          <w:tcPr>
            <w:tcW w:w="1309"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915</w:t>
            </w:r>
          </w:p>
        </w:tc>
        <w:tc>
          <w:tcPr>
            <w:tcW w:w="817"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925</w:t>
            </w:r>
          </w:p>
        </w:tc>
        <w:tc>
          <w:tcPr>
            <w:tcW w:w="1418" w:type="dxa"/>
            <w:tcBorders>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960 MHz</w:t>
            </w:r>
          </w:p>
        </w:tc>
      </w:tr>
      <w:tr>
        <w:trPr/>
        <w:tc>
          <w:tcPr>
            <w:tcW w:w="1841" w:type="dxa"/>
            <w:tcBorders/>
          </w:tcPr>
          <w:p>
            <w:pPr>
              <w:pStyle w:val="TAL"/>
              <w:rPr>
                <w:lang w:val="en-GB"/>
              </w:rPr>
            </w:pPr>
            <w:r>
              <w:rPr>
                <w:lang w:val="en-GB"/>
              </w:rPr>
              <w:t>(Victim:)</w:t>
            </w:r>
          </w:p>
        </w:tc>
        <w:tc>
          <w:tcPr>
            <w:tcW w:w="781" w:type="dxa"/>
            <w:tcBorders/>
          </w:tcPr>
          <w:p>
            <w:pPr>
              <w:pStyle w:val="TAC"/>
              <w:snapToGrid w:val="false"/>
              <w:rPr>
                <w:lang w:val="en-GB"/>
              </w:rPr>
            </w:pPr>
            <w:r>
              <w:rPr>
                <w:lang w:val="en-GB"/>
              </w:rPr>
            </w:r>
          </w:p>
        </w:tc>
        <w:tc>
          <w:tcPr>
            <w:tcW w:w="1309" w:type="dxa"/>
            <w:tcBorders/>
          </w:tcPr>
          <w:p>
            <w:pPr>
              <w:pStyle w:val="TAC"/>
              <w:snapToGrid w:val="false"/>
              <w:rPr>
                <w:lang w:val="en-GB"/>
              </w:rPr>
            </w:pPr>
            <w:r>
              <w:rPr>
                <w:lang w:val="en-GB"/>
              </w:rPr>
            </w:r>
          </w:p>
        </w:tc>
        <w:tc>
          <w:tcPr>
            <w:tcW w:w="817" w:type="dxa"/>
            <w:tcBorders/>
          </w:tcPr>
          <w:p>
            <w:pPr>
              <w:pStyle w:val="TAC"/>
              <w:snapToGrid w:val="false"/>
              <w:rPr>
                <w:lang w:val="en-GB"/>
              </w:rPr>
            </w:pPr>
            <w:r>
              <w:rPr>
                <w:lang w:val="en-GB"/>
              </w:rPr>
            </w:r>
          </w:p>
        </w:tc>
        <w:tc>
          <w:tcPr>
            <w:tcW w:w="1418" w:type="dxa"/>
            <w:tcBorders/>
          </w:tcPr>
          <w:p>
            <w:pPr>
              <w:pStyle w:val="TAC"/>
              <w:snapToGrid w:val="false"/>
              <w:rPr>
                <w:lang w:val="en-GB"/>
              </w:rPr>
            </w:pPr>
            <w:r>
              <w:rPr>
                <w:lang w:val="en-GB"/>
              </w:rPr>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BTS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57</w:t>
            </w:r>
          </w:p>
        </w:tc>
        <w:tc>
          <w:tcPr>
            <w:tcW w:w="13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26</w:t>
            </w:r>
          </w:p>
        </w:tc>
        <w:tc>
          <w:tcPr>
            <w:tcW w:w="8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w:t>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MS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13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17</w:t>
            </w:r>
          </w:p>
        </w:tc>
        <w:tc>
          <w:tcPr>
            <w:tcW w:w="8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23</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23</w:t>
            </w:r>
          </w:p>
        </w:tc>
      </w:tr>
      <w:tr>
        <w:trPr/>
        <w:tc>
          <w:tcPr>
            <w:tcW w:w="184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UIC sMS</w:t>
            </w:r>
          </w:p>
        </w:tc>
        <w:tc>
          <w:tcPr>
            <w:tcW w:w="78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7</w:t>
            </w:r>
          </w:p>
        </w:tc>
        <w:tc>
          <w:tcPr>
            <w:tcW w:w="13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18</w:t>
            </w:r>
          </w:p>
        </w:tc>
        <w:tc>
          <w:tcPr>
            <w:tcW w:w="81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29</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noBreakHyphen/>
            </w:r>
            <w:r>
              <w:rPr>
                <w:lang w:val="en-GB"/>
              </w:rPr>
              <w:t>29</w:t>
            </w:r>
          </w:p>
        </w:tc>
      </w:tr>
    </w:tbl>
    <w:p>
      <w:pPr>
        <w:pStyle w:val="FP"/>
        <w:rPr/>
      </w:pPr>
      <w:r>
        <w:rPr/>
      </w:r>
    </w:p>
    <w:p>
      <w:pPr>
        <w:pStyle w:val="Heading3"/>
        <w:widowControl w:val="false"/>
        <w:rPr/>
      </w:pPr>
      <w:bookmarkStart w:id="351" w:name="__RefHeading___Toc518035785"/>
      <w:bookmarkEnd w:id="351"/>
      <w:r>
        <w:rPr/>
        <w:t>J.3.5.1</w:t>
        <w:tab/>
        <w:t>Blocking characteristics</w:t>
      </w:r>
    </w:p>
    <w:p>
      <w:pPr>
        <w:pStyle w:val="Normal"/>
        <w:keepNext w:val="true"/>
        <w:keepLines/>
        <w:rPr/>
      </w:pPr>
      <w:r>
        <w:rPr/>
        <w:t>The "in</w:t>
        <w:noBreakHyphen/>
        <w:t>band" and "out</w:t>
        <w:noBreakHyphen/>
        <w:t>of</w:t>
        <w:noBreakHyphen/>
        <w:t>band" frequency ranges to apply for the blocking performance of a UIC receiver are determined as follows:</w:t>
      </w:r>
    </w:p>
    <w:p>
      <w:pPr>
        <w:pStyle w:val="B1"/>
        <w:keepNext w:val="true"/>
        <w:keepLines/>
        <w:rPr/>
      </w:pPr>
      <w:r>
        <w:rPr/>
        <w:t>1)</w:t>
        <w:tab/>
        <w:t>one of the out</w:t>
        <w:noBreakHyphen/>
        <w:t>of</w:t>
        <w:noBreakHyphen/>
        <w:t>bands must include the combined unwanted UIC and GSM transmit band;</w:t>
      </w:r>
    </w:p>
    <w:p>
      <w:pPr>
        <w:pStyle w:val="B1"/>
        <w:keepNext w:val="true"/>
        <w:keepLines/>
        <w:rPr/>
      </w:pPr>
      <w:r>
        <w:rPr/>
        <w:t>2)</w:t>
        <w:tab/>
        <w:t>the in</w:t>
        <w:noBreakHyphen/>
        <w:t>band, containing wanted as well as unwanted signals and having the more relaxed performance, adjoins the above out</w:t>
        <w:noBreakHyphen/>
        <w:t>of</w:t>
        <w:noBreakHyphen/>
        <w:t>band on the one side;</w:t>
      </w:r>
    </w:p>
    <w:p>
      <w:pPr>
        <w:pStyle w:val="B1"/>
        <w:keepNext w:val="true"/>
        <w:keepLines/>
        <w:rPr/>
      </w:pPr>
      <w:r>
        <w:rPr/>
        <w:t>3)</w:t>
        <w:tab/>
        <w:t>the in</w:t>
        <w:noBreakHyphen/>
        <w:t>band adjoins the other out</w:t>
        <w:noBreakHyphen/>
        <w:t>of</w:t>
        <w:noBreakHyphen/>
        <w:t>band at 20 MHz beyond the combined wanted UIC and GSM band.</w:t>
      </w:r>
    </w:p>
    <w:p>
      <w:pPr>
        <w:pStyle w:val="NO"/>
        <w:keepNext w:val="true"/>
        <w:rPr/>
      </w:pPr>
      <w:r>
        <w:rPr/>
        <w:t>NOTE:</w:t>
        <w:tab/>
        <w:t>Referring to the combined ranges of UIC and GSM bands is necessary, in 1) to cover the UIC/UIC as well as the UIC/GSM scenarios, and in 3) to avoid possibly extending the stricter requirements of the out</w:t>
        <w:noBreakHyphen/>
        <w:t>of</w:t>
        <w:noBreakHyphen/>
        <w:t>band to where the corresponding scenarios are not applicable. This definition is also in line with the assumed wide band capabilities of UIC equipments.</w:t>
      </w:r>
    </w:p>
    <w:p>
      <w:pPr>
        <w:pStyle w:val="Normal"/>
        <w:keepNext w:val="true"/>
        <w:keepLines/>
        <w:rPr/>
      </w:pPr>
      <w:r>
        <w:rPr/>
        <w:t>The following results:</w:t>
      </w:r>
    </w:p>
    <w:p>
      <w:pPr>
        <w:pStyle w:val="TH"/>
        <w:rPr/>
      </w:pPr>
      <w:r>
        <w:rPr/>
      </w:r>
    </w:p>
    <w:tbl>
      <w:tblPr>
        <w:tblW w:w="6216" w:type="dxa"/>
        <w:jc w:val="center"/>
        <w:tblInd w:w="0" w:type="dxa"/>
        <w:tblLayout w:type="fixed"/>
        <w:tblCellMar>
          <w:top w:w="0" w:type="dxa"/>
          <w:left w:w="28" w:type="dxa"/>
          <w:bottom w:w="0" w:type="dxa"/>
          <w:right w:w="28" w:type="dxa"/>
        </w:tblCellMar>
      </w:tblPr>
      <w:tblGrid>
        <w:gridCol w:w="2552"/>
        <w:gridCol w:w="1817"/>
        <w:gridCol w:w="1847"/>
      </w:tblGrid>
      <w:tr>
        <w:trPr/>
        <w:tc>
          <w:tcPr>
            <w:tcW w:w="2552" w:type="dxa"/>
            <w:tcBorders>
              <w:bottom w:val="single" w:sz="4" w:space="0" w:color="000000"/>
              <w:right w:val="single" w:sz="4" w:space="0" w:color="000000"/>
            </w:tcBorders>
          </w:tcPr>
          <w:p>
            <w:pPr>
              <w:pStyle w:val="TAH"/>
              <w:snapToGrid w:val="false"/>
              <w:rPr>
                <w:lang w:eastAsia="en-US"/>
              </w:rPr>
            </w:pPr>
            <w:r>
              <w:rPr>
                <w:lang w:eastAsia="en-US"/>
              </w:rPr>
            </w:r>
          </w:p>
        </w:tc>
        <w:tc>
          <w:tcPr>
            <w:tcW w:w="18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UIC BTS</w:t>
            </w:r>
          </w:p>
        </w:tc>
        <w:tc>
          <w:tcPr>
            <w:tcW w:w="18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UIC mobiles</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out</w:t>
              <w:noBreakHyphen/>
              <w:t>of</w:t>
              <w:noBreakHyphen/>
              <w:t>band, incl TX band</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&gt; 921 MHz</w:t>
            </w:r>
          </w:p>
        </w:tc>
        <w:tc>
          <w:tcPr>
            <w:tcW w:w="184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 915 MHz</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lang w:val="en-GB"/>
              </w:rPr>
              <w:t>in</w:t>
              <w:noBreakHyphen/>
              <w:t>band</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856 MHz to 921 Mhz</w:t>
            </w:r>
          </w:p>
        </w:tc>
        <w:tc>
          <w:tcPr>
            <w:tcW w:w="184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915 MHz to 980 MHz</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other out</w:t>
              <w:noBreakHyphen/>
              <w:t>of</w:t>
              <w:noBreakHyphen/>
              <w:t>band</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 856 MHz</w:t>
            </w:r>
          </w:p>
        </w:tc>
        <w:tc>
          <w:tcPr>
            <w:tcW w:w="184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&gt; 980 MHz</w:t>
            </w:r>
          </w:p>
        </w:tc>
      </w:tr>
    </w:tbl>
    <w:p>
      <w:pPr>
        <w:pStyle w:val="FP"/>
        <w:rPr/>
      </w:pPr>
      <w:r>
        <w:rPr/>
      </w:r>
    </w:p>
    <w:p>
      <w:pPr>
        <w:pStyle w:val="Normal"/>
        <w:rPr/>
      </w:pPr>
      <w:r>
        <w:rPr/>
        <w:t>Thus the table in GSM 05.05 for GSM900 MS applies to UIC MS as well with no change, whereas a new entry is needed for the UIC BTS.</w:t>
      </w:r>
    </w:p>
    <w:p>
      <w:pPr>
        <w:pStyle w:val="Normal"/>
        <w:rPr/>
      </w:pPr>
      <w:r>
        <w:rPr/>
        <w:t>The specification in GSM 05.05 on exceptions is proposed not to be changed.</w:t>
      </w:r>
    </w:p>
    <w:p>
      <w:pPr>
        <w:pStyle w:val="Normal"/>
        <w:rPr/>
      </w:pPr>
      <w:r>
        <w:rPr/>
        <w:t>The changes needed to the GSM 05.05 blocking specification for the UIC equipments are discussed in the following.</w:t>
      </w:r>
    </w:p>
    <w:p>
      <w:pPr>
        <w:pStyle w:val="Normal"/>
        <w:rPr/>
      </w:pPr>
      <w:r>
        <w:rPr/>
        <w:t>As micro BTS is not considered an issue for UIC networks, no changes apply to the last table in subclause 5.1 of GSM 05.05.</w:t>
      </w:r>
    </w:p>
    <w:p>
      <w:pPr>
        <w:pStyle w:val="Heading3"/>
        <w:rPr/>
      </w:pPr>
      <w:bookmarkStart w:id="352" w:name="__RefHeading___Toc518035786"/>
      <w:bookmarkEnd w:id="352"/>
      <w:r>
        <w:rPr/>
        <w:t>J.3.5.2</w:t>
        <w:tab/>
        <w:t>Blocking characteristics (in</w:t>
        <w:noBreakHyphen/>
        <w:t>band)</w:t>
      </w:r>
    </w:p>
    <w:p>
      <w:pPr>
        <w:pStyle w:val="Normal"/>
        <w:rPr/>
      </w:pPr>
      <w:r>
        <w:rPr/>
        <w:t>For UIC MS in</w:t>
        <w:noBreakHyphen/>
        <w:t xml:space="preserve">band blocking performance, the scenario requirement is </w:t>
        <w:noBreakHyphen/>
        <w:t>23 dBm to protect against unwanted UIC and GSM downlinks. This is in line with the current specification.</w:t>
      </w:r>
    </w:p>
    <w:p>
      <w:pPr>
        <w:pStyle w:val="Normal"/>
        <w:rPr/>
      </w:pPr>
      <w:r>
        <w:rPr/>
        <w:t xml:space="preserve">For UIC sMS, the scenario requirement is </w:t>
        <w:noBreakHyphen/>
        <w:t>29 dBm to protect against unwanted UIC and GSM downlinks.</w:t>
      </w:r>
    </w:p>
    <w:p>
      <w:pPr>
        <w:pStyle w:val="Normal"/>
        <w:rPr/>
      </w:pPr>
      <w:r>
        <w:rPr/>
        <w:t xml:space="preserve">For UIC BTS, to protect against unwanted GSM uplinks, the scenario requirement is </w:t>
        <w:noBreakHyphen/>
        <w:t xml:space="preserve">26 dBm. To protect against unwanted UIC uplinks, the requirement is only </w:t>
        <w:noBreakHyphen/>
        <w:t>57 dBm, reflecting the coordinated scenario.</w:t>
      </w:r>
    </w:p>
    <w:p>
      <w:pPr>
        <w:pStyle w:val="Normal"/>
        <w:rPr/>
      </w:pPr>
      <w:r>
        <w:rPr/>
        <w:t>In summary, this points to the possibility of relaxing some in</w:t>
        <w:noBreakHyphen/>
        <w:t>band blocking requirements for UIC equipments as compared with GSM. However, there are a number of good reasons not to do so: These requirements are not related to the different frequency band and the narrower duplex gap for filtering. They are not difficult to meet. And this allows for a better performance than for the typical close proximity scenarios, e.g. in a BTS</w:t>
        <w:noBreakHyphen/>
        <w:t>MS case where antennas are used at the mouth of tunnels to provide inside coverage. Thus it is proposed to retain the same in</w:t>
        <w:noBreakHyphen/>
        <w:t>band specification as for GSM throughout the table in GSM 05.05.</w:t>
      </w:r>
    </w:p>
    <w:p>
      <w:pPr>
        <w:pStyle w:val="Heading3"/>
        <w:rPr/>
      </w:pPr>
      <w:bookmarkStart w:id="353" w:name="__RefHeading___Toc518035787"/>
      <w:bookmarkEnd w:id="353"/>
      <w:r>
        <w:rPr/>
        <w:t>J.3.5.3</w:t>
        <w:tab/>
        <w:t>Blocking characteristics (out</w:t>
        <w:noBreakHyphen/>
        <w:t>of</w:t>
        <w:noBreakHyphen/>
        <w:t>band)</w:t>
      </w:r>
    </w:p>
    <w:p>
      <w:pPr>
        <w:pStyle w:val="Normal"/>
        <w:rPr/>
      </w:pPr>
      <w:r>
        <w:rPr/>
        <w:t>For UIC MS out</w:t>
        <w:noBreakHyphen/>
        <w:t>of</w:t>
        <w:noBreakHyphen/>
        <w:t xml:space="preserve">band blocking performance, the scenario requirement is +5 dBm or </w:t>
        <w:noBreakHyphen/>
        <w:t>13 dBm, where the source is a UIC MS or sMS uplink, respectively (see [2]). However, the UIC MS / UIC MS scenario is being failed by the MS spurious emissions anyhow (27 m distance required instead of 2 m, as discussed above on subclause 4.3.3). Thus it is proposed to maintain the 0 dBm specification in GSM 05.05.</w:t>
      </w:r>
    </w:p>
    <w:p>
      <w:pPr>
        <w:pStyle w:val="Normal"/>
        <w:rPr/>
      </w:pPr>
      <w:r>
        <w:rPr/>
        <w:t xml:space="preserve">For UIC MS, to protect against the GSM uplink, the scenario requirement is </w:t>
        <w:noBreakHyphen/>
        <w:t>17dBm. Thus, in the band 880 MHz to 915 MHz the out</w:t>
        <w:noBreakHyphen/>
        <w:t>of</w:t>
        <w:noBreakHyphen/>
        <w:t xml:space="preserve">band requirement is suggested to be relaxed to </w:t>
        <w:noBreakHyphen/>
        <w:t>5 dBm, as in note 2 of GSM 05.05.</w:t>
      </w:r>
    </w:p>
    <w:p>
      <w:pPr>
        <w:pStyle w:val="Normal"/>
        <w:rPr/>
      </w:pPr>
      <w:r>
        <w:rPr/>
        <w:t xml:space="preserve">For UIC sMS, </w:t>
        <w:noBreakHyphen/>
        <w:t xml:space="preserve">7 dBm is sufficient to protect against either of the UIC and GSM uplinks. Thus, a relaxation to </w:t>
        <w:noBreakHyphen/>
        <w:t>7 dBm is suggested for the UIC sMS in the frequency range 876 MHz to 915 MHz.</w:t>
      </w:r>
    </w:p>
    <w:p>
      <w:pPr>
        <w:pStyle w:val="Normal"/>
        <w:rPr/>
      </w:pPr>
      <w:r>
        <w:rPr/>
        <w:t>For UIC BTS, to protect against other UIC and GSM downlinks, the scenario requirements are +9 dBm and -1 dBm, respectively. This is only a very small difference to the requirements in GSM 05.05, and thus no change is proposed, incl. retaining note 3 although a relaxation to an inside part of the out</w:t>
        <w:noBreakHyphen/>
        <w:t>of</w:t>
        <w:noBreakHyphen/>
        <w:t>band is probably not usefull for the UIC BTS.</w:t>
      </w:r>
    </w:p>
    <w:p>
      <w:pPr>
        <w:pStyle w:val="Heading3"/>
        <w:rPr/>
      </w:pPr>
      <w:bookmarkStart w:id="354" w:name="__RefHeading___Toc518035788"/>
      <w:bookmarkEnd w:id="354"/>
      <w:r>
        <w:rPr/>
        <w:t>J.3.5.4</w:t>
        <w:tab/>
        <w:t>AM suppresion characteristics</w:t>
      </w:r>
    </w:p>
    <w:p>
      <w:pPr>
        <w:pStyle w:val="Normal"/>
        <w:rPr/>
      </w:pPr>
      <w:r>
        <w:rPr/>
        <w:t>No change is proposed.</w:t>
      </w:r>
    </w:p>
    <w:p>
      <w:pPr>
        <w:pStyle w:val="Heading3"/>
        <w:rPr/>
      </w:pPr>
      <w:bookmarkStart w:id="355" w:name="__RefHeading___Toc518035789"/>
      <w:bookmarkEnd w:id="355"/>
      <w:r>
        <w:rPr/>
        <w:t>J.3.5.5</w:t>
        <w:tab/>
        <w:t>Intermodulation characteristics</w:t>
      </w:r>
    </w:p>
    <w:p>
      <w:pPr>
        <w:pStyle w:val="Normal"/>
        <w:rPr/>
      </w:pPr>
      <w:r>
        <w:rPr/>
        <w:t>No change is assumed, as this specification is not directly based on system scenarios.</w:t>
      </w:r>
    </w:p>
    <w:p>
      <w:pPr>
        <w:pStyle w:val="Heading3"/>
        <w:rPr/>
      </w:pPr>
      <w:bookmarkStart w:id="356" w:name="__RefHeading___Toc518035790"/>
      <w:bookmarkEnd w:id="356"/>
      <w:r>
        <w:rPr/>
        <w:t>J.3.5.6</w:t>
        <w:tab/>
        <w:t>Spurious emissions</w:t>
      </w:r>
    </w:p>
    <w:p>
      <w:pPr>
        <w:pStyle w:val="Normal"/>
        <w:rPr/>
      </w:pPr>
      <w:r>
        <w:rPr/>
        <w:t>This section has not been examined in detail, but no change is assumed.</w:t>
      </w:r>
    </w:p>
    <w:p>
      <w:pPr>
        <w:pStyle w:val="Heading2"/>
        <w:rPr/>
      </w:pPr>
      <w:bookmarkStart w:id="357" w:name="__RefHeading___Toc518035791"/>
      <w:bookmarkEnd w:id="357"/>
      <w:r>
        <w:rPr/>
        <w:t>J.3.6</w:t>
        <w:tab/>
        <w:t>Transmitter/receiver performance</w:t>
      </w:r>
    </w:p>
    <w:p>
      <w:pPr>
        <w:pStyle w:val="Heading3"/>
        <w:rPr/>
      </w:pPr>
      <w:bookmarkStart w:id="358" w:name="__RefHeading___Toc518035792"/>
      <w:bookmarkEnd w:id="358"/>
      <w:r>
        <w:rPr/>
        <w:t>J.3.6.1</w:t>
        <w:tab/>
        <w:t>Nominal error rates</w:t>
      </w:r>
    </w:p>
    <w:p>
      <w:pPr>
        <w:pStyle w:val="Normal"/>
        <w:rPr/>
      </w:pPr>
      <w:r>
        <w:rPr/>
        <w:t>For UIC equipments the highest wanted signal levels are:</w:t>
      </w:r>
    </w:p>
    <w:p>
      <w:pPr>
        <w:pStyle w:val="B1"/>
        <w:tabs>
          <w:tab w:val="clear" w:pos="284"/>
          <w:tab w:val="left" w:pos="1418" w:leader="none"/>
        </w:tabs>
        <w:rPr/>
      </w:pPr>
      <w:r>
        <w:rPr/>
        <w:t>UIC BTS</w:t>
        <w:tab/>
        <w:noBreakHyphen/>
        <w:t>23 dBm.</w:t>
      </w:r>
    </w:p>
    <w:p>
      <w:pPr>
        <w:pStyle w:val="B1"/>
        <w:tabs>
          <w:tab w:val="clear" w:pos="284"/>
          <w:tab w:val="left" w:pos="1418" w:leader="none"/>
        </w:tabs>
        <w:rPr/>
      </w:pPr>
      <w:r>
        <w:rPr/>
        <w:t>UIC MS</w:t>
        <w:tab/>
        <w:noBreakHyphen/>
        <w:t>23 dBm.</w:t>
      </w:r>
    </w:p>
    <w:p>
      <w:pPr>
        <w:pStyle w:val="B1"/>
        <w:tabs>
          <w:tab w:val="clear" w:pos="284"/>
          <w:tab w:val="left" w:pos="1418" w:leader="none"/>
        </w:tabs>
        <w:rPr/>
      </w:pPr>
      <w:r>
        <w:rPr/>
        <w:t>UIC sMS</w:t>
        <w:tab/>
        <w:noBreakHyphen/>
        <w:t>29 dBm.</w:t>
      </w:r>
    </w:p>
    <w:p>
      <w:pPr>
        <w:pStyle w:val="Normal"/>
        <w:rPr/>
      </w:pPr>
      <w:r>
        <w:rPr/>
        <w:t>Although this reflects a possible relaxation, it is proposed to stay with the current specification in GSM 05.05, considering, that in the worst case UIC BTS and mobiles may be much closer to each other than in the more typical case used to calculate the scenario, and that the requirement poses no problem for implementation anyhow.</w:t>
      </w:r>
    </w:p>
    <w:p>
      <w:pPr>
        <w:pStyle w:val="Normal"/>
        <w:rPr/>
      </w:pPr>
      <w:r>
        <w:rPr/>
        <w:t>Thus, no changes are suggested for this section of GSM 05.05.</w:t>
      </w:r>
    </w:p>
    <w:p>
      <w:pPr>
        <w:pStyle w:val="Heading3"/>
        <w:rPr/>
      </w:pPr>
      <w:bookmarkStart w:id="359" w:name="__RefHeading___Toc518035793"/>
      <w:bookmarkEnd w:id="359"/>
      <w:r>
        <w:rPr/>
        <w:t>J.3.6.2</w:t>
        <w:tab/>
        <w:t>Reference sensitivity level</w:t>
      </w:r>
    </w:p>
    <w:p>
      <w:pPr>
        <w:pStyle w:val="Normal"/>
        <w:rPr/>
      </w:pPr>
      <w:r>
        <w:rPr/>
        <w:t>No changes are assumed to this subclause of GSM 05.05. This also applies to the last paragraph, which is assumed to reflect feasibility.</w:t>
      </w:r>
    </w:p>
    <w:p>
      <w:pPr>
        <w:pStyle w:val="NO"/>
        <w:rPr/>
      </w:pPr>
      <w:r>
        <w:rPr/>
        <w:t>Hint:</w:t>
        <w:tab/>
        <w:t>In some places of a radio network design, not the natural noise floor may be dominant (as assumed in determining the sensitivity), but rather other uncoordinated mobiles by their wide band noise setting an artificial and actual higher noise floor, desensitising the BTS.</w:t>
      </w:r>
    </w:p>
    <w:p>
      <w:pPr>
        <w:pStyle w:val="Normal"/>
        <w:rPr>
          <w:b/>
          <w:b/>
        </w:rPr>
      </w:pPr>
      <w:r>
        <w:rPr>
          <w:b/>
        </w:rPr>
        <w:t>The rest of GSM 05.05</w:t>
      </w:r>
    </w:p>
    <w:p>
      <w:pPr>
        <w:pStyle w:val="Normal"/>
        <w:rPr/>
      </w:pPr>
      <w:r>
        <w:rPr/>
        <w:t>No change is assumed, except for annex D.</w:t>
      </w:r>
    </w:p>
    <w:p>
      <w:pPr>
        <w:pStyle w:val="Normal"/>
        <w:rPr>
          <w:lang w:val="en-US"/>
        </w:rPr>
      </w:pPr>
      <w:r>
        <w:rPr>
          <w:b/>
          <w:lang w:val="en-US"/>
        </w:rPr>
        <w:t>Annex D:</w:t>
        <w:br/>
        <w:t>Environmental conditions</w:t>
      </w:r>
    </w:p>
    <w:p>
      <w:pPr>
        <w:pStyle w:val="Normal"/>
        <w:rPr/>
      </w:pPr>
      <w:r>
        <w:rPr/>
        <w:t>To be considered for UIC equipments on another occation.</w:t>
      </w:r>
    </w:p>
    <w:p>
      <w:pPr>
        <w:pStyle w:val="Normal"/>
        <w:keepNext w:val="true"/>
        <w:keepLines/>
        <w:rPr>
          <w:b/>
          <w:b/>
        </w:rPr>
      </w:pPr>
      <w:r>
        <w:rPr>
          <w:b/>
        </w:rPr>
        <w:t>IV</w:t>
        <w:tab/>
        <w:t>References</w:t>
      </w:r>
    </w:p>
    <w:p>
      <w:pPr>
        <w:pStyle w:val="EX"/>
        <w:keepNext w:val="true"/>
        <w:rPr/>
      </w:pPr>
      <w:r>
        <w:rPr/>
        <w:t>[1]</w:t>
        <w:tab/>
        <w:t>GSM TS 05.05 (V5.2.0): "Radio transmission and reception".</w:t>
      </w:r>
    </w:p>
    <w:p>
      <w:pPr>
        <w:pStyle w:val="EX"/>
        <w:keepNext w:val="true"/>
        <w:rPr/>
      </w:pPr>
      <w:r>
        <w:rPr/>
        <w:t>[2]</w:t>
        <w:tab/>
        <w:t>"UIC system scenarios requirements" (First part of this annex)</w:t>
      </w:r>
    </w:p>
    <w:p>
      <w:pPr>
        <w:pStyle w:val="EX"/>
        <w:keepNext w:val="true"/>
        <w:rPr/>
      </w:pPr>
      <w:r>
        <w:rPr/>
        <w:t>[3]</w:t>
        <w:tab/>
        <w:t>T/Doc. 139/95 (SMG2#15): "AR's on the UIC frequency band".</w:t>
      </w:r>
    </w:p>
    <w:p>
      <w:pPr>
        <w:pStyle w:val="EX"/>
        <w:keepNext w:val="true"/>
        <w:rPr/>
      </w:pPr>
      <w:r>
        <w:rPr/>
        <w:t>[4]</w:t>
        <w:tab/>
        <w:t>GSM TR 05.50: "Background for Radio Frequency (RF) requirements".</w:t>
      </w:r>
    </w:p>
    <w:p>
      <w:pPr>
        <w:pStyle w:val="EX"/>
        <w:keepNext w:val="true"/>
        <w:rPr/>
      </w:pPr>
      <w:r>
        <w:rPr/>
        <w:t>[5]</w:t>
        <w:tab/>
        <w:t>Tdoc. 239/36 (SMG2#20): "MS spurious emissions onto downlink of UIC".</w:t>
      </w:r>
    </w:p>
    <w:p>
      <w:pPr>
        <w:pStyle w:val="FP"/>
        <w:rPr/>
      </w:pPr>
      <w:r>
        <w:rPr/>
      </w:r>
      <w:r>
        <w:br w:type="page"/>
      </w:r>
    </w:p>
    <w:p>
      <w:pPr>
        <w:pStyle w:val="Heading9"/>
        <w:rPr/>
      </w:pPr>
      <w:bookmarkStart w:id="360" w:name="__RefHeading___Toc518035794"/>
      <w:bookmarkEnd w:id="360"/>
      <w:r>
        <w:rPr/>
        <w:t>Annex K:</w:t>
        <w:br/>
        <w:t>Block Erasure Rate Performance for GPRS</w:t>
      </w:r>
    </w:p>
    <w:p>
      <w:pPr>
        <w:pStyle w:val="Normal"/>
        <w:tabs>
          <w:tab w:val="clear" w:pos="284"/>
          <w:tab w:val="right" w:pos="9639" w:leader="none"/>
        </w:tabs>
        <w:rPr/>
      </w:pPr>
      <w:r>
        <w:rPr/>
        <w:t>ETSI STC SMG2 WPB</w:t>
        <w:tab/>
        <w:t>Tdoc SMG2 WPB 47/97</w:t>
      </w:r>
    </w:p>
    <w:p>
      <w:pPr>
        <w:pStyle w:val="Normal"/>
        <w:tabs>
          <w:tab w:val="clear" w:pos="284"/>
          <w:tab w:val="right" w:pos="9639" w:leader="none"/>
        </w:tabs>
        <w:rPr/>
      </w:pPr>
      <w:r>
        <w:rPr/>
        <w:t>Meeting no 1</w:t>
        <w:tab/>
        <w:t>Agenda Item 6.1</w:t>
        <w:br/>
        <w:t>Edinburgh, Scotland</w:t>
        <w:br/>
        <w:t>22 - 26 September 1997</w:t>
      </w:r>
    </w:p>
    <w:p>
      <w:pPr>
        <w:pStyle w:val="Normal"/>
        <w:rPr/>
      </w:pPr>
      <w:r>
        <w:rPr>
          <w:b/>
        </w:rPr>
        <w:t>Title: Block Erasure Rate Performance for GPRS/CS-1, CS-2, CS-3 and CS-4 in TU50 ideal FH and TU3 no FH, in the presence of co-channel interference</w:t>
      </w:r>
    </w:p>
    <w:p>
      <w:pPr>
        <w:pStyle w:val="Normal"/>
        <w:rPr/>
      </w:pPr>
      <w:r>
        <w:rPr/>
        <w:t>Source: CSELT, Ericsson</w:t>
      </w:r>
    </w:p>
    <w:p>
      <w:pPr>
        <w:pStyle w:val="Heading1"/>
        <w:ind w:left="1134" w:hanging="1134"/>
        <w:rPr/>
      </w:pPr>
      <w:bookmarkStart w:id="361" w:name="__RefHeading___Toc518035795"/>
      <w:bookmarkEnd w:id="361"/>
      <w:r>
        <w:rPr/>
        <w:t>K.1</w:t>
        <w:tab/>
        <w:t>Introduction</w:t>
      </w:r>
    </w:p>
    <w:p>
      <w:pPr>
        <w:pStyle w:val="Normal"/>
        <w:rPr/>
      </w:pPr>
      <w:r>
        <w:rPr/>
        <w:t>Block Erasure Rate (BLER) performance for GPRS/CS-1, CS-2, CS-3 and CS-4 are provided in the case of Typical Urban 50 km/h with ideal frequency hopping and TU3 no FH, in the presence of co-channel interference. CS-1 BLER performance is to be compared with SDCCH FER performance provided by AEG and used for specifying the reference performance in GSM 05.05.</w:t>
      </w:r>
    </w:p>
    <w:p>
      <w:pPr>
        <w:pStyle w:val="Heading1"/>
        <w:ind w:left="1134" w:hanging="1134"/>
        <w:rPr/>
      </w:pPr>
      <w:bookmarkStart w:id="362" w:name="__RefHeading___Toc518035796"/>
      <w:bookmarkEnd w:id="362"/>
      <w:r>
        <w:rPr/>
        <w:t>K.2</w:t>
        <w:tab/>
        <w:t>Simulation Model</w:t>
      </w:r>
    </w:p>
    <w:p>
      <w:pPr>
        <w:pStyle w:val="Normal"/>
        <w:rPr/>
      </w:pPr>
      <w:r>
        <w:rPr/>
        <w:t>Hereunder the main assumptions used for carrying out the simulations are reported:</w:t>
      </w:r>
    </w:p>
    <w:p>
      <w:pPr>
        <w:pStyle w:val="B1"/>
        <w:rPr/>
      </w:pPr>
      <w:r>
        <w:rPr/>
        <w:t>-</w:t>
        <w:tab/>
        <w:t>TU50 ideal FH and TU3 no FH propagation models, as defined in GSM 05.05.</w:t>
      </w:r>
    </w:p>
    <w:p>
      <w:pPr>
        <w:pStyle w:val="Normal"/>
        <w:rPr/>
      </w:pPr>
      <w:r>
        <w:rPr/>
        <w:t>In case of ideal FH, independent fadings over consecutive bursts are assumed:</w:t>
      </w:r>
    </w:p>
    <w:p>
      <w:pPr>
        <w:pStyle w:val="B1"/>
        <w:rPr/>
      </w:pPr>
      <w:r>
        <w:rPr/>
        <w:t>-</w:t>
        <w:tab/>
        <w:t>Varying fading during one burst.</w:t>
      </w:r>
    </w:p>
    <w:p>
      <w:pPr>
        <w:pStyle w:val="B1"/>
        <w:rPr/>
      </w:pPr>
      <w:r>
        <w:rPr/>
        <w:t>-</w:t>
        <w:tab/>
        <w:t>One single interfering signal.</w:t>
      </w:r>
    </w:p>
    <w:p>
      <w:pPr>
        <w:pStyle w:val="B1"/>
        <w:rPr/>
      </w:pPr>
      <w:r>
        <w:rPr/>
        <w:t>-</w:t>
        <w:tab/>
        <w:t>Eb/No = 28 dB (according to GSM 05.05).</w:t>
      </w:r>
    </w:p>
    <w:p>
      <w:pPr>
        <w:pStyle w:val="B1"/>
        <w:rPr/>
      </w:pPr>
      <w:r>
        <w:rPr/>
        <w:t>-</w:t>
        <w:tab/>
        <w:t>No antenna diversity.</w:t>
      </w:r>
    </w:p>
    <w:p>
      <w:pPr>
        <w:pStyle w:val="B1"/>
        <w:rPr/>
      </w:pPr>
      <w:r>
        <w:rPr/>
        <w:t>-</w:t>
        <w:tab/>
        <w:t>Burst synchronisation recovery based on the cross-correlation properties of the training sequence.</w:t>
      </w:r>
    </w:p>
    <w:p>
      <w:pPr>
        <w:pStyle w:val="B1"/>
        <w:rPr/>
      </w:pPr>
      <w:r>
        <w:rPr/>
        <w:t>-</w:t>
        <w:tab/>
        <w:t>Soft output equaliser.</w:t>
      </w:r>
    </w:p>
    <w:p>
      <w:pPr>
        <w:pStyle w:val="B1"/>
        <w:rPr/>
      </w:pPr>
      <w:r>
        <w:rPr/>
        <w:t>-</w:t>
        <w:tab/>
        <w:t>Channel decoding (for CS-1, performance includes Fire decoding and correction, as for AEG SDCCH FER performance; for CS-2, CS-3 and CS-4, CRC are used for detection only).</w:t>
      </w:r>
    </w:p>
    <w:p>
      <w:pPr>
        <w:pStyle w:val="Heading1"/>
        <w:ind w:left="1134" w:hanging="1134"/>
        <w:rPr/>
      </w:pPr>
      <w:bookmarkStart w:id="363" w:name="__RefHeading___Toc518035797"/>
      <w:bookmarkEnd w:id="363"/>
      <w:r>
        <w:rPr/>
        <w:t>K.3</w:t>
        <w:tab/>
        <w:t>Results</w:t>
      </w:r>
    </w:p>
    <w:p>
      <w:pPr>
        <w:pStyle w:val="Normal"/>
        <w:rPr/>
      </w:pPr>
      <w:r>
        <w:rPr/>
        <w:t>Figure 1 shows Block Erasure Rate curves for GPRS/CS-1, CS-2, CS-3 and CS-4 in TU50 ideal FH, coming from CSELT and Ericsson. Moreover SDCCH FER performance from AEG is reported.</w:t>
      </w:r>
    </w:p>
    <w:p>
      <w:pPr>
        <w:pStyle w:val="TH"/>
        <w:rPr/>
      </w:pPr>
      <w:r>
        <w:rPr/>
        <w:drawing>
          <wp:inline distT="0" distB="0" distL="0" distR="0">
            <wp:extent cx="5396865" cy="3314700"/>
            <wp:effectExtent l="0" t="0" r="0" b="0"/>
            <wp:docPr id="71"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95" descr=""/>
                    <pic:cNvPicPr>
                      <a:picLocks noChangeAspect="1" noChangeArrowheads="1"/>
                    </pic:cNvPicPr>
                  </pic:nvPicPr>
                  <pic:blipFill>
                    <a:blip r:embed="rId67"/>
                    <a:srcRect l="-4" t="-6" r="-4" b="-6"/>
                    <a:stretch>
                      <a:fillRect/>
                    </a:stretch>
                  </pic:blipFill>
                  <pic:spPr bwMode="auto">
                    <a:xfrm>
                      <a:off x="0" y="0"/>
                      <a:ext cx="5396865" cy="3314700"/>
                    </a:xfrm>
                    <a:prstGeom prst="rect">
                      <a:avLst/>
                    </a:prstGeom>
                  </pic:spPr>
                </pic:pic>
              </a:graphicData>
            </a:graphic>
          </wp:inline>
        </w:drawing>
      </w:r>
    </w:p>
    <w:p>
      <w:pPr>
        <w:pStyle w:val="TF"/>
        <w:rPr/>
      </w:pPr>
      <w:r>
        <w:rPr/>
        <w:t>Figure 1: BLER vs. C/I for GPRS/CS-1, CS-2, CS-3 and CS-4 in TU50 ideal FH.</w:t>
        <w:br/>
        <w:t>SDCCH FER performance is reported as a reference for GPRS/CS-1 performance</w:t>
      </w:r>
    </w:p>
    <w:p>
      <w:pPr>
        <w:pStyle w:val="Normal"/>
        <w:rPr/>
      </w:pPr>
      <w:r>
        <w:rPr/>
        <w:t>Figure 2 reports BLER versus C/I in TU3 no FH.</w:t>
      </w:r>
    </w:p>
    <w:p>
      <w:pPr>
        <w:pStyle w:val="TH"/>
        <w:rPr/>
      </w:pPr>
      <w:r>
        <w:rPr/>
        <w:drawing>
          <wp:inline distT="0" distB="0" distL="0" distR="0">
            <wp:extent cx="5396865" cy="3314700"/>
            <wp:effectExtent l="0" t="0" r="0" b="0"/>
            <wp:docPr id="72"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6" descr=""/>
                    <pic:cNvPicPr>
                      <a:picLocks noChangeAspect="1" noChangeArrowheads="1"/>
                    </pic:cNvPicPr>
                  </pic:nvPicPr>
                  <pic:blipFill>
                    <a:blip r:embed="rId68"/>
                    <a:srcRect l="-4" t="-6" r="-4" b="-6"/>
                    <a:stretch>
                      <a:fillRect/>
                    </a:stretch>
                  </pic:blipFill>
                  <pic:spPr bwMode="auto">
                    <a:xfrm>
                      <a:off x="0" y="0"/>
                      <a:ext cx="5396865" cy="3314700"/>
                    </a:xfrm>
                    <a:prstGeom prst="rect">
                      <a:avLst/>
                    </a:prstGeom>
                  </pic:spPr>
                </pic:pic>
              </a:graphicData>
            </a:graphic>
          </wp:inline>
        </w:drawing>
      </w:r>
    </w:p>
    <w:p>
      <w:pPr>
        <w:pStyle w:val="TF"/>
        <w:rPr/>
      </w:pPr>
      <w:r>
        <w:rPr/>
        <w:t>Figure 2: BLER vs. C/I for GPRS/CS-1, CS-2, CS-3 and CS-4 in TU3 no FH</w:t>
      </w:r>
    </w:p>
    <w:p>
      <w:pPr>
        <w:pStyle w:val="Heading1"/>
        <w:ind w:left="1134" w:hanging="1134"/>
        <w:rPr/>
      </w:pPr>
      <w:bookmarkStart w:id="364" w:name="__RefHeading___Toc518035798"/>
      <w:bookmarkEnd w:id="364"/>
      <w:r>
        <w:rPr/>
        <w:t>K.4</w:t>
        <w:tab/>
        <w:t>Conclusions</w:t>
      </w:r>
    </w:p>
    <w:p>
      <w:pPr>
        <w:pStyle w:val="Normal"/>
        <w:rPr/>
      </w:pPr>
      <w:r>
        <w:rPr/>
        <w:t>CSELT and Ericsson results are similar for all the 4 coding schemes and may be assumed as a basis for specifying the reference values in GSM 05.05. For CS-1 the results are very similar and there is also a good alignment with SDCCH FER results provided by AEG, especially at BLER = 10%, which is the proposed reference performance value.</w:t>
      </w:r>
      <w:r>
        <w:br w:type="page"/>
      </w:r>
    </w:p>
    <w:p>
      <w:pPr>
        <w:pStyle w:val="Heading9"/>
        <w:rPr/>
      </w:pPr>
      <w:bookmarkStart w:id="365" w:name="__RefHeading___Toc518035799"/>
      <w:bookmarkEnd w:id="365"/>
      <w:r>
        <w:rPr/>
        <w:t>Annex L:</w:t>
        <w:br/>
        <w:t>Proposal on how to report GPRS performance into GSM 05.05</w:t>
      </w:r>
    </w:p>
    <w:p>
      <w:pPr>
        <w:pStyle w:val="Normal"/>
        <w:tabs>
          <w:tab w:val="clear" w:pos="284"/>
          <w:tab w:val="right" w:pos="9639" w:leader="none"/>
        </w:tabs>
        <w:rPr/>
      </w:pPr>
      <w:r>
        <w:rPr/>
        <w:t>ETSI STC SMG2 WPB</w:t>
        <w:tab/>
        <w:t>Tdoc SMG2 WPB 48/97</w:t>
      </w:r>
    </w:p>
    <w:p>
      <w:pPr>
        <w:pStyle w:val="Normal"/>
        <w:tabs>
          <w:tab w:val="clear" w:pos="284"/>
          <w:tab w:val="right" w:pos="9639" w:leader="none"/>
        </w:tabs>
        <w:rPr/>
      </w:pPr>
      <w:r>
        <w:rPr/>
        <w:t>Meeting no 1</w:t>
        <w:tab/>
        <w:t>Agenda Item 6.1</w:t>
        <w:br/>
        <w:t>Edinburgh, Scotland</w:t>
        <w:br/>
        <w:t>22 - 26 September 1997</w:t>
      </w:r>
    </w:p>
    <w:p>
      <w:pPr>
        <w:pStyle w:val="Normal"/>
        <w:rPr>
          <w:b/>
          <w:b/>
        </w:rPr>
      </w:pPr>
      <w:r>
        <w:rPr>
          <w:b/>
        </w:rPr>
        <w:t>Title: Proposal on how to report GPRS performance into GSM 05.05</w:t>
      </w:r>
    </w:p>
    <w:p>
      <w:pPr>
        <w:pStyle w:val="Normal"/>
        <w:rPr/>
      </w:pPr>
      <w:r>
        <w:rPr/>
        <w:t>Source: CSELT</w:t>
      </w:r>
    </w:p>
    <w:p>
      <w:pPr>
        <w:pStyle w:val="Heading1"/>
        <w:ind w:left="1134" w:hanging="1134"/>
        <w:rPr/>
      </w:pPr>
      <w:bookmarkStart w:id="366" w:name="__RefHeading___Toc518035800"/>
      <w:bookmarkEnd w:id="366"/>
      <w:r>
        <w:rPr/>
        <w:t>L.1</w:t>
        <w:tab/>
        <w:t>Introduction</w:t>
      </w:r>
    </w:p>
    <w:p>
      <w:pPr>
        <w:pStyle w:val="Normal"/>
        <w:rPr/>
      </w:pPr>
      <w:r>
        <w:rPr/>
        <w:t>The present document reports GPRS Block Erasure Rate (BLER) performance and throughput analyses obtained by simulations for GPRS/CS-1, CS-2, CS-3 and CS-4 coding schemes, in order to provide reference performance in GSM 05.05. The considered propagation models are TU50 ideal FH and TU3 no FH.</w:t>
      </w:r>
    </w:p>
    <w:p>
      <w:pPr>
        <w:pStyle w:val="Heading1"/>
        <w:ind w:left="1134" w:hanging="1134"/>
        <w:rPr/>
      </w:pPr>
      <w:bookmarkStart w:id="367" w:name="__RefHeading___Toc518035801"/>
      <w:bookmarkEnd w:id="367"/>
      <w:r>
        <w:rPr/>
        <w:t>L.2</w:t>
        <w:tab/>
        <w:t>GPRS BLER performance</w:t>
      </w:r>
    </w:p>
    <w:p>
      <w:pPr>
        <w:pStyle w:val="Normal"/>
        <w:rPr/>
      </w:pPr>
      <w:r>
        <w:rPr/>
        <w:t>Figures 1 and 2 show the BLER performance for CS-1 to CS-4 in TU50 ideal FH and TU3 no FH, in the presence of co-channel interference. These curves have been obtained with the following assumptions:</w:t>
      </w:r>
    </w:p>
    <w:p>
      <w:pPr>
        <w:pStyle w:val="B1"/>
        <w:rPr/>
      </w:pPr>
      <w:r>
        <w:rPr/>
        <w:t>-</w:t>
        <w:tab/>
        <w:t>TU50 ideal FH and TU3 no FH propagation models, as defined in GSM05.05.</w:t>
      </w:r>
    </w:p>
    <w:p>
      <w:pPr>
        <w:pStyle w:val="Normal"/>
        <w:rPr/>
      </w:pPr>
      <w:r>
        <w:rPr/>
        <w:t>In case of ideal FH, independent fadings over consecutive bursts are assumed</w:t>
      </w:r>
    </w:p>
    <w:p>
      <w:pPr>
        <w:pStyle w:val="B1"/>
        <w:rPr/>
      </w:pPr>
      <w:r>
        <w:rPr/>
        <w:t>-</w:t>
        <w:tab/>
        <w:t>Varying fading during one burst.</w:t>
      </w:r>
    </w:p>
    <w:p>
      <w:pPr>
        <w:pStyle w:val="B1"/>
        <w:rPr/>
      </w:pPr>
      <w:r>
        <w:rPr/>
        <w:t>-</w:t>
        <w:tab/>
        <w:t>One single interfering signal.</w:t>
      </w:r>
    </w:p>
    <w:p>
      <w:pPr>
        <w:pStyle w:val="B1"/>
        <w:rPr/>
      </w:pPr>
      <w:r>
        <w:rPr/>
        <w:t>-</w:t>
        <w:tab/>
        <w:t>Eb/No = 28 dB (according to GSM 05.05).</w:t>
      </w:r>
    </w:p>
    <w:p>
      <w:pPr>
        <w:pStyle w:val="B1"/>
        <w:rPr/>
      </w:pPr>
      <w:r>
        <w:rPr/>
        <w:t>-</w:t>
        <w:tab/>
        <w:t>No antenna diversity.</w:t>
      </w:r>
    </w:p>
    <w:p>
      <w:pPr>
        <w:pStyle w:val="B1"/>
        <w:rPr/>
      </w:pPr>
      <w:r>
        <w:rPr/>
        <w:t>-</w:t>
        <w:tab/>
        <w:t>Burst synchronisation recovery based on the cross-correlation properties of the training sequence.</w:t>
      </w:r>
    </w:p>
    <w:p>
      <w:pPr>
        <w:pStyle w:val="B1"/>
        <w:rPr/>
      </w:pPr>
      <w:r>
        <w:rPr/>
        <w:t>-</w:t>
        <w:tab/>
        <w:t>Soft output equaliser.</w:t>
      </w:r>
    </w:p>
    <w:p>
      <w:pPr>
        <w:pStyle w:val="B1"/>
        <w:rPr/>
      </w:pPr>
      <w:r>
        <w:rPr/>
        <w:t>-</w:t>
        <w:tab/>
        <w:t>Channel decoding (for CS-1, performance includes Fire decoding and correction; for CS-2, CS-3 and CS-4, CRC are used for detection only).</w:t>
      </w:r>
    </w:p>
    <w:p>
      <w:pPr>
        <w:pStyle w:val="TH"/>
        <w:rPr/>
      </w:pPr>
      <w:r>
        <w:rPr/>
        <w:drawing>
          <wp:inline distT="0" distB="0" distL="0" distR="0">
            <wp:extent cx="4770755" cy="3261995"/>
            <wp:effectExtent l="0" t="0" r="0" b="0"/>
            <wp:docPr id="73"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97" descr=""/>
                    <pic:cNvPicPr>
                      <a:picLocks noChangeAspect="1" noChangeArrowheads="1"/>
                    </pic:cNvPicPr>
                  </pic:nvPicPr>
                  <pic:blipFill>
                    <a:blip r:embed="rId69"/>
                    <a:srcRect l="-4" t="-6" r="-4" b="-6"/>
                    <a:stretch>
                      <a:fillRect/>
                    </a:stretch>
                  </pic:blipFill>
                  <pic:spPr bwMode="auto">
                    <a:xfrm>
                      <a:off x="0" y="0"/>
                      <a:ext cx="4770755" cy="3261995"/>
                    </a:xfrm>
                    <a:prstGeom prst="rect">
                      <a:avLst/>
                    </a:prstGeom>
                  </pic:spPr>
                </pic:pic>
              </a:graphicData>
            </a:graphic>
          </wp:inline>
        </w:drawing>
      </w:r>
    </w:p>
    <w:p>
      <w:pPr>
        <w:pStyle w:val="TF"/>
        <w:rPr/>
      </w:pPr>
      <w:r>
        <w:rPr>
          <w:lang w:val="fr-FR"/>
        </w:rPr>
        <w:t>Figure 1: BLER vs. C/I</w:t>
      </w:r>
      <w:r>
        <w:rPr>
          <w:vertAlign w:val="subscript"/>
          <w:lang w:val="fr-FR"/>
        </w:rPr>
        <w:t>c</w:t>
      </w:r>
      <w:r>
        <w:rPr>
          <w:lang w:val="fr-FR"/>
        </w:rPr>
        <w:t>, TU50 ideal FH</w:t>
      </w:r>
    </w:p>
    <w:p>
      <w:pPr>
        <w:pStyle w:val="TH"/>
        <w:rPr/>
      </w:pPr>
      <w:r>
        <w:rPr/>
        <w:drawing>
          <wp:inline distT="0" distB="0" distL="0" distR="0">
            <wp:extent cx="4770755" cy="3261995"/>
            <wp:effectExtent l="0" t="0" r="0" b="0"/>
            <wp:docPr id="74"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8" descr=""/>
                    <pic:cNvPicPr>
                      <a:picLocks noChangeAspect="1" noChangeArrowheads="1"/>
                    </pic:cNvPicPr>
                  </pic:nvPicPr>
                  <pic:blipFill>
                    <a:blip r:embed="rId70"/>
                    <a:srcRect l="-4" t="-6" r="-4" b="-6"/>
                    <a:stretch>
                      <a:fillRect/>
                    </a:stretch>
                  </pic:blipFill>
                  <pic:spPr bwMode="auto">
                    <a:xfrm>
                      <a:off x="0" y="0"/>
                      <a:ext cx="4770755" cy="3261995"/>
                    </a:xfrm>
                    <a:prstGeom prst="rect">
                      <a:avLst/>
                    </a:prstGeom>
                  </pic:spPr>
                </pic:pic>
              </a:graphicData>
            </a:graphic>
          </wp:inline>
        </w:drawing>
      </w:r>
    </w:p>
    <w:p>
      <w:pPr>
        <w:pStyle w:val="TF"/>
        <w:rPr/>
      </w:pPr>
      <w:r>
        <w:rPr>
          <w:lang w:val="fr-FR"/>
        </w:rPr>
        <w:t>Figure 2: BLER vs. C/I</w:t>
      </w:r>
      <w:r>
        <w:rPr>
          <w:vertAlign w:val="subscript"/>
          <w:lang w:val="fr-FR"/>
        </w:rPr>
        <w:t>c</w:t>
      </w:r>
      <w:r>
        <w:rPr>
          <w:lang w:val="fr-FR"/>
        </w:rPr>
        <w:t>, TU3 no FH</w:t>
      </w:r>
    </w:p>
    <w:p>
      <w:pPr>
        <w:pStyle w:val="FP"/>
        <w:rPr>
          <w:lang w:val="fr-FR"/>
        </w:rPr>
      </w:pPr>
      <w:r>
        <w:rPr>
          <w:lang w:val="fr-FR"/>
        </w:rPr>
      </w:r>
    </w:p>
    <w:p>
      <w:pPr>
        <w:pStyle w:val="Heading1"/>
        <w:ind w:left="1134" w:hanging="1134"/>
        <w:rPr/>
      </w:pPr>
      <w:bookmarkStart w:id="368" w:name="__RefHeading___Toc518035802"/>
      <w:bookmarkEnd w:id="368"/>
      <w:r>
        <w:rPr/>
        <w:t>L.3</w:t>
        <w:tab/>
        <w:t>GPRS throughput analyses</w:t>
      </w:r>
    </w:p>
    <w:p>
      <w:pPr>
        <w:pStyle w:val="Normal"/>
        <w:rPr/>
      </w:pPr>
      <w:r>
        <w:rPr/>
        <w:t>Throughput performance has been evaluated for CS-1 to CS-4 versus C/I</w:t>
      </w:r>
      <w:r>
        <w:rPr>
          <w:vertAlign w:val="subscript"/>
        </w:rPr>
        <w:t>c</w:t>
      </w:r>
      <w:r>
        <w:rPr/>
        <w:t xml:space="preserve"> with the following assumptions:</w:t>
      </w:r>
    </w:p>
    <w:p>
      <w:pPr>
        <w:pStyle w:val="B1"/>
        <w:rPr/>
      </w:pPr>
      <w:r>
        <w:rPr/>
        <w:t>-</w:t>
        <w:tab/>
        <w:t>GPRS MAC/RLC protocol.</w:t>
      </w:r>
    </w:p>
    <w:p>
      <w:pPr>
        <w:pStyle w:val="B1"/>
        <w:rPr/>
      </w:pPr>
      <w:r>
        <w:rPr/>
        <w:t>-</w:t>
        <w:tab/>
      </w:r>
      <w:r>
        <w:rPr>
          <w:b/>
        </w:rPr>
        <w:t>C/I distribution:</w:t>
      </w:r>
      <w:r>
        <w:rPr/>
        <w:t xml:space="preserve"> log-normal with variable mean value and standard deviation of 7 dB.</w:t>
      </w:r>
    </w:p>
    <w:p>
      <w:pPr>
        <w:pStyle w:val="B1"/>
        <w:rPr/>
      </w:pPr>
      <w:r>
        <w:rPr/>
        <w:t>-</w:t>
        <w:tab/>
      </w:r>
      <w:r>
        <w:rPr>
          <w:b/>
        </w:rPr>
        <w:t>Traffic Model:</w:t>
      </w:r>
      <w:r>
        <w:rPr/>
        <w:t xml:space="preserve"> Poisson distribution of the packet inter-arrival time and packet length distributed according to the Railway traffic model.</w:t>
      </w:r>
    </w:p>
    <w:p>
      <w:pPr>
        <w:pStyle w:val="B1"/>
        <w:rPr/>
      </w:pPr>
      <w:r>
        <w:rPr/>
        <w:t>-</w:t>
        <w:tab/>
        <w:t>Single-slot MSs.</w:t>
      </w:r>
    </w:p>
    <w:p>
      <w:pPr>
        <w:pStyle w:val="B1"/>
        <w:rPr/>
      </w:pPr>
      <w:r>
        <w:rPr/>
        <w:t>-</w:t>
        <w:tab/>
        <w:t>A single PDCH dedicated to data traffic.</w:t>
      </w:r>
    </w:p>
    <w:p>
      <w:pPr>
        <w:pStyle w:val="B1"/>
        <w:rPr/>
      </w:pPr>
      <w:r>
        <w:rPr/>
        <w:t>-</w:t>
        <w:tab/>
        <w:t>Up-link performance.</w:t>
      </w:r>
    </w:p>
    <w:p>
      <w:pPr>
        <w:pStyle w:val="Heading2"/>
        <w:rPr/>
      </w:pPr>
      <w:bookmarkStart w:id="369" w:name="__RefHeading___Toc518035803"/>
      <w:bookmarkEnd w:id="369"/>
      <w:r>
        <w:rPr/>
        <w:t>L.3.1</w:t>
        <w:tab/>
        <w:t>TU50 ideal FH</w:t>
      </w:r>
    </w:p>
    <w:p>
      <w:pPr>
        <w:pStyle w:val="Normal"/>
        <w:rPr/>
      </w:pPr>
      <w:r>
        <w:rPr/>
        <w:t>Figure 3 shows the throughput vs. C/I</w:t>
      </w:r>
      <w:r>
        <w:rPr>
          <w:vertAlign w:val="subscript"/>
        </w:rPr>
        <w:t>c</w:t>
      </w:r>
      <w:r>
        <w:rPr/>
        <w:t xml:space="preserve"> curves in the case of TU50 ideal FH. It is also indicated the C/I</w:t>
      </w:r>
      <w:r>
        <w:rPr>
          <w:vertAlign w:val="subscript"/>
        </w:rPr>
        <w:t>c</w:t>
      </w:r>
      <w:r>
        <w:rPr/>
        <w:t xml:space="preserve"> value at BLER=10% for each coding scheme.</w:t>
      </w:r>
    </w:p>
    <w:p>
      <w:pPr>
        <w:pStyle w:val="TH"/>
        <w:rPr/>
      </w:pPr>
      <w:r>
        <w:rPr/>
        <w:drawing>
          <wp:inline distT="0" distB="0" distL="0" distR="0">
            <wp:extent cx="4020185" cy="2753360"/>
            <wp:effectExtent l="0" t="0" r="0" b="0"/>
            <wp:docPr id="75"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99" descr=""/>
                    <pic:cNvPicPr>
                      <a:picLocks noChangeAspect="1" noChangeArrowheads="1"/>
                    </pic:cNvPicPr>
                  </pic:nvPicPr>
                  <pic:blipFill>
                    <a:blip r:embed="rId71"/>
                    <a:srcRect l="-6" t="-9" r="-6" b="-9"/>
                    <a:stretch>
                      <a:fillRect/>
                    </a:stretch>
                  </pic:blipFill>
                  <pic:spPr bwMode="auto">
                    <a:xfrm>
                      <a:off x="0" y="0"/>
                      <a:ext cx="4020185" cy="2753360"/>
                    </a:xfrm>
                    <a:prstGeom prst="rect">
                      <a:avLst/>
                    </a:prstGeom>
                  </pic:spPr>
                </pic:pic>
              </a:graphicData>
            </a:graphic>
          </wp:inline>
        </w:drawing>
      </w:r>
    </w:p>
    <w:p>
      <w:pPr>
        <w:pStyle w:val="TF"/>
        <w:rPr/>
      </w:pPr>
      <w:r>
        <w:rPr/>
        <w:t>Figure 3: Throughput vs. C/I</w:t>
      </w:r>
      <w:r>
        <w:rPr>
          <w:vertAlign w:val="subscript"/>
        </w:rPr>
        <w:t>c</w:t>
      </w:r>
      <w:r>
        <w:rPr/>
        <w:t>, TU50 ideal FH. Each cross corresponds to a BLER=10%</w:t>
      </w:r>
    </w:p>
    <w:p>
      <w:pPr>
        <w:pStyle w:val="FP"/>
        <w:rPr/>
      </w:pPr>
      <w:r>
        <w:rPr/>
      </w:r>
    </w:p>
    <w:p>
      <w:pPr>
        <w:pStyle w:val="Normal"/>
        <w:rPr/>
      </w:pPr>
      <w:r>
        <w:rPr/>
        <w:t>Figure 4 shows the BLER vs. C/I</w:t>
      </w:r>
      <w:r>
        <w:rPr>
          <w:vertAlign w:val="subscript"/>
        </w:rPr>
        <w:t>c</w:t>
      </w:r>
      <w:r>
        <w:rPr/>
        <w:t xml:space="preserve"> curves for each coding scheme in the case of TU50 ideal FH. Arrows show for which range of C/I</w:t>
      </w:r>
      <w:r>
        <w:rPr>
          <w:vertAlign w:val="subscript"/>
        </w:rPr>
        <w:t>c</w:t>
      </w:r>
      <w:r>
        <w:rPr/>
        <w:t xml:space="preserve"> values each coding scheme provides the highest throughput: for instance, CS-1 has the best performance for C/I</w:t>
      </w:r>
      <w:r>
        <w:rPr>
          <w:vertAlign w:val="subscript"/>
        </w:rPr>
        <w:t>c</w:t>
      </w:r>
      <w:r>
        <w:rPr/>
        <w:t xml:space="preserve"> lower than 7,5 dB, and CS-2 has the highest throughput for 7,5 dB &lt; C/I</w:t>
      </w:r>
      <w:r>
        <w:rPr>
          <w:vertAlign w:val="subscript"/>
        </w:rPr>
        <w:t>c</w:t>
      </w:r>
      <w:r>
        <w:rPr/>
        <w:t xml:space="preserve"> &lt; 10 dB.</w:t>
      </w:r>
    </w:p>
    <w:p>
      <w:pPr>
        <w:pStyle w:val="TH"/>
        <w:rPr/>
      </w:pPr>
      <w:r>
        <w:rPr/>
        <w:drawing>
          <wp:inline distT="0" distB="0" distL="0" distR="0">
            <wp:extent cx="4027170" cy="2760345"/>
            <wp:effectExtent l="0" t="0" r="0" b="0"/>
            <wp:docPr id="76"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0" descr=""/>
                    <pic:cNvPicPr>
                      <a:picLocks noChangeAspect="1" noChangeArrowheads="1"/>
                    </pic:cNvPicPr>
                  </pic:nvPicPr>
                  <pic:blipFill>
                    <a:blip r:embed="rId72"/>
                    <a:srcRect l="-6" t="-9" r="-6" b="-9"/>
                    <a:stretch>
                      <a:fillRect/>
                    </a:stretch>
                  </pic:blipFill>
                  <pic:spPr bwMode="auto">
                    <a:xfrm>
                      <a:off x="0" y="0"/>
                      <a:ext cx="4027170" cy="2760345"/>
                    </a:xfrm>
                    <a:prstGeom prst="rect">
                      <a:avLst/>
                    </a:prstGeom>
                  </pic:spPr>
                </pic:pic>
              </a:graphicData>
            </a:graphic>
          </wp:inline>
        </w:drawing>
      </w:r>
    </w:p>
    <w:p>
      <w:pPr>
        <w:pStyle w:val="TF"/>
        <w:rPr/>
      </w:pPr>
      <w:r>
        <w:rPr/>
        <w:t>Figure 4: BLER vs. C/I</w:t>
      </w:r>
      <w:r>
        <w:rPr>
          <w:vertAlign w:val="subscript"/>
        </w:rPr>
        <w:t>c</w:t>
      </w:r>
      <w:r>
        <w:rPr/>
        <w:t>, TU50 ideal FH. Arrows indicate the highest throughput ranges</w:t>
      </w:r>
    </w:p>
    <w:p>
      <w:pPr>
        <w:pStyle w:val="FP"/>
        <w:rPr/>
      </w:pPr>
      <w:r>
        <w:rPr/>
      </w:r>
    </w:p>
    <w:p>
      <w:pPr>
        <w:pStyle w:val="Heading2"/>
        <w:rPr/>
      </w:pPr>
      <w:bookmarkStart w:id="370" w:name="__RefHeading___Toc518035804"/>
      <w:bookmarkEnd w:id="370"/>
      <w:r>
        <w:rPr>
          <w:lang w:val="en-US"/>
        </w:rPr>
        <w:t>L.3.2</w:t>
        <w:tab/>
        <w:t>TU3 no FH</w:t>
      </w:r>
    </w:p>
    <w:p>
      <w:pPr>
        <w:pStyle w:val="Normal"/>
        <w:rPr/>
      </w:pPr>
      <w:r>
        <w:rPr/>
        <w:t>Figure 5 shows the throughput performance in the case of TU3 no FH. It is also indicated the C/I</w:t>
      </w:r>
      <w:r>
        <w:rPr>
          <w:vertAlign w:val="subscript"/>
        </w:rPr>
        <w:t>c</w:t>
      </w:r>
      <w:r>
        <w:rPr/>
        <w:t xml:space="preserve"> value at BLER=10% for each coding scheme.</w:t>
      </w:r>
    </w:p>
    <w:p>
      <w:pPr>
        <w:pStyle w:val="TH"/>
        <w:rPr/>
      </w:pPr>
      <w:r>
        <w:rPr/>
        <w:drawing>
          <wp:inline distT="0" distB="0" distL="0" distR="0">
            <wp:extent cx="4286250" cy="2957195"/>
            <wp:effectExtent l="0" t="0" r="0" b="0"/>
            <wp:docPr id="77"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01" descr=""/>
                    <pic:cNvPicPr>
                      <a:picLocks noChangeAspect="1" noChangeArrowheads="1"/>
                    </pic:cNvPicPr>
                  </pic:nvPicPr>
                  <pic:blipFill>
                    <a:blip r:embed="rId73"/>
                    <a:srcRect l="-6" t="-9" r="-6" b="-9"/>
                    <a:stretch>
                      <a:fillRect/>
                    </a:stretch>
                  </pic:blipFill>
                  <pic:spPr bwMode="auto">
                    <a:xfrm>
                      <a:off x="0" y="0"/>
                      <a:ext cx="4286250" cy="2957195"/>
                    </a:xfrm>
                    <a:prstGeom prst="rect">
                      <a:avLst/>
                    </a:prstGeom>
                  </pic:spPr>
                </pic:pic>
              </a:graphicData>
            </a:graphic>
          </wp:inline>
        </w:drawing>
      </w:r>
    </w:p>
    <w:p>
      <w:pPr>
        <w:pStyle w:val="TF"/>
        <w:rPr/>
      </w:pPr>
      <w:r>
        <w:rPr/>
        <w:t>Figure 5: Throughput vs. C/I</w:t>
      </w:r>
      <w:r>
        <w:rPr>
          <w:vertAlign w:val="subscript"/>
        </w:rPr>
        <w:t>c</w:t>
      </w:r>
      <w:r>
        <w:rPr/>
        <w:t>, TU3 no FH. Each cross corresponds to a BLER=10%</w:t>
      </w:r>
    </w:p>
    <w:p>
      <w:pPr>
        <w:pStyle w:val="FP"/>
        <w:rPr/>
      </w:pPr>
      <w:r>
        <w:rPr/>
      </w:r>
    </w:p>
    <w:p>
      <w:pPr>
        <w:pStyle w:val="Heading1"/>
        <w:ind w:left="1134" w:hanging="1134"/>
        <w:rPr/>
      </w:pPr>
      <w:bookmarkStart w:id="371" w:name="__RefHeading___Toc518035805"/>
      <w:bookmarkEnd w:id="371"/>
      <w:r>
        <w:rPr/>
        <w:t>L.4</w:t>
        <w:tab/>
        <w:t>Proposals for GPRS performance in GSM 05.05</w:t>
      </w:r>
    </w:p>
    <w:p>
      <w:pPr>
        <w:pStyle w:val="Heading2"/>
        <w:rPr/>
      </w:pPr>
      <w:bookmarkStart w:id="372" w:name="__RefHeading___Toc518035806"/>
      <w:bookmarkEnd w:id="372"/>
      <w:r>
        <w:rPr/>
        <w:t>L.4.1</w:t>
        <w:tab/>
        <w:t>TU50 ideal FH</w:t>
      </w:r>
    </w:p>
    <w:p>
      <w:pPr>
        <w:pStyle w:val="Normal"/>
        <w:rPr/>
      </w:pPr>
      <w:r>
        <w:rPr/>
        <w:t>Hereunder two alternatives have been considered for TU50 ideal FH (2 dB implementation margin has been taken into account to specify the C/I</w:t>
      </w:r>
      <w:r>
        <w:rPr>
          <w:vertAlign w:val="subscript"/>
        </w:rPr>
        <w:t>c</w:t>
      </w:r>
      <w:r>
        <w:rPr/>
        <w:t xml:space="preserve"> values):</w:t>
      </w:r>
    </w:p>
    <w:p>
      <w:pPr>
        <w:pStyle w:val="B1"/>
        <w:rPr>
          <w:lang w:val="en-US"/>
        </w:rPr>
      </w:pPr>
      <w:r>
        <w:rPr>
          <w:lang w:val="en-US"/>
        </w:rPr>
        <w:t>1)</w:t>
        <w:tab/>
        <w:t>Variable BLER (figure 4).</w:t>
      </w:r>
    </w:p>
    <w:p>
      <w:pPr>
        <w:pStyle w:val="Normal"/>
        <w:rPr/>
      </w:pPr>
      <w:r>
        <w:rPr/>
        <w:t>In this case the coding schemes are evaluated for different reference BLER values, corresponding to the ranges of the highest throughput.</w:t>
      </w:r>
    </w:p>
    <w:p>
      <w:pPr>
        <w:pStyle w:val="TH"/>
        <w:rPr/>
      </w:pPr>
      <w:r>
        <w:rPr/>
      </w:r>
    </w:p>
    <w:tbl>
      <w:tblPr>
        <w:tblW w:w="4608" w:type="dxa"/>
        <w:jc w:val="center"/>
        <w:tblInd w:w="0" w:type="dxa"/>
        <w:tblLayout w:type="fixed"/>
        <w:tblCellMar>
          <w:top w:w="0" w:type="dxa"/>
          <w:left w:w="108" w:type="dxa"/>
          <w:bottom w:w="0" w:type="dxa"/>
          <w:right w:w="108" w:type="dxa"/>
        </w:tblCellMar>
      </w:tblPr>
      <w:tblGrid>
        <w:gridCol w:w="2304"/>
        <w:gridCol w:w="2304"/>
      </w:tblGrid>
      <w:tr>
        <w:trPr/>
        <w:tc>
          <w:tcPr>
            <w:tcW w:w="2304"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Coding scheme</w:t>
            </w:r>
          </w:p>
        </w:tc>
        <w:tc>
          <w:tcPr>
            <w:tcW w:w="2304"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BLER - C/I</w:t>
            </w:r>
            <w:r>
              <w:rPr>
                <w:vertAlign w:val="subscript"/>
                <w:lang w:eastAsia="en-US"/>
              </w:rPr>
              <w:t>c</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CS-1</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8,5% - 9.5 dB</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CS-2</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35% - 9.5 dB</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CS-3</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32% - 12 dB</w:t>
            </w:r>
          </w:p>
        </w:tc>
      </w:tr>
      <w:tr>
        <w:trPr/>
        <w:tc>
          <w:tcPr>
            <w:tcW w:w="2304" w:type="dxa"/>
            <w:tcBorders>
              <w:top w:val="single" w:sz="6" w:space="0" w:color="000000"/>
              <w:left w:val="single" w:sz="4" w:space="0" w:color="000000"/>
              <w:bottom w:val="single" w:sz="4" w:space="0" w:color="000000"/>
              <w:right w:val="single" w:sz="6" w:space="0" w:color="000000"/>
            </w:tcBorders>
          </w:tcPr>
          <w:p>
            <w:pPr>
              <w:pStyle w:val="TAL"/>
              <w:rPr>
                <w:lang w:val="en-GB"/>
              </w:rPr>
            </w:pPr>
            <w:r>
              <w:rPr>
                <w:lang w:val="en-GB"/>
              </w:rPr>
              <w:t>CS-4</w:t>
            </w:r>
          </w:p>
        </w:tc>
        <w:tc>
          <w:tcPr>
            <w:tcW w:w="2304"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10% - 23 dB</w:t>
            </w:r>
          </w:p>
        </w:tc>
      </w:tr>
    </w:tbl>
    <w:p>
      <w:pPr>
        <w:pStyle w:val="FP"/>
        <w:rPr/>
      </w:pPr>
      <w:r>
        <w:rPr/>
      </w:r>
    </w:p>
    <w:p>
      <w:pPr>
        <w:pStyle w:val="B1"/>
        <w:rPr/>
      </w:pPr>
      <w:r>
        <w:rPr/>
        <w:t>2)</w:t>
        <w:tab/>
        <w:t>Fixed BLER (figure 3).</w:t>
      </w:r>
    </w:p>
    <w:p>
      <w:pPr>
        <w:pStyle w:val="Normal"/>
        <w:rPr/>
      </w:pPr>
      <w:r>
        <w:rPr/>
        <w:t>In this case, the coding schemes are evaluated for a fixed BLER reference value (BLER=10%), in order to try to maximise the throughput performance.</w:t>
      </w:r>
    </w:p>
    <w:p>
      <w:pPr>
        <w:pStyle w:val="TH"/>
        <w:rPr/>
      </w:pPr>
      <w:r>
        <w:rPr/>
      </w:r>
    </w:p>
    <w:tbl>
      <w:tblPr>
        <w:tblW w:w="4608" w:type="dxa"/>
        <w:jc w:val="center"/>
        <w:tblInd w:w="0" w:type="dxa"/>
        <w:tblLayout w:type="fixed"/>
        <w:tblCellMar>
          <w:top w:w="0" w:type="dxa"/>
          <w:left w:w="108" w:type="dxa"/>
          <w:bottom w:w="0" w:type="dxa"/>
          <w:right w:w="108" w:type="dxa"/>
        </w:tblCellMar>
      </w:tblPr>
      <w:tblGrid>
        <w:gridCol w:w="2304"/>
        <w:gridCol w:w="2304"/>
      </w:tblGrid>
      <w:tr>
        <w:trPr/>
        <w:tc>
          <w:tcPr>
            <w:tcW w:w="2304"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Coding scheme</w:t>
            </w:r>
          </w:p>
        </w:tc>
        <w:tc>
          <w:tcPr>
            <w:tcW w:w="2304" w:type="dxa"/>
            <w:tcBorders>
              <w:top w:val="single" w:sz="4" w:space="0" w:color="000000"/>
              <w:left w:val="single" w:sz="6" w:space="0" w:color="000000"/>
              <w:bottom w:val="single" w:sz="6" w:space="0" w:color="000000"/>
              <w:right w:val="single" w:sz="4" w:space="0" w:color="000000"/>
            </w:tcBorders>
          </w:tcPr>
          <w:p>
            <w:pPr>
              <w:pStyle w:val="TAH"/>
              <w:rPr/>
            </w:pPr>
            <w:r>
              <w:rPr>
                <w:lang w:eastAsia="en-US"/>
              </w:rPr>
              <w:t>C/I</w:t>
            </w:r>
            <w:r>
              <w:rPr>
                <w:vertAlign w:val="subscript"/>
                <w:lang w:eastAsia="en-US"/>
              </w:rPr>
              <w:t>c</w:t>
            </w:r>
            <w:r>
              <w:rPr>
                <w:lang w:eastAsia="en-US"/>
              </w:rPr>
              <w:t xml:space="preserve"> at BLER=10% </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CS-1</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9 dB</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CS-2</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13,8 dB</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CS-3</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16 dB</w:t>
            </w:r>
          </w:p>
        </w:tc>
      </w:tr>
      <w:tr>
        <w:trPr/>
        <w:tc>
          <w:tcPr>
            <w:tcW w:w="2304" w:type="dxa"/>
            <w:tcBorders>
              <w:top w:val="single" w:sz="6" w:space="0" w:color="000000"/>
              <w:left w:val="single" w:sz="4" w:space="0" w:color="000000"/>
              <w:bottom w:val="single" w:sz="4" w:space="0" w:color="000000"/>
              <w:right w:val="single" w:sz="6" w:space="0" w:color="000000"/>
            </w:tcBorders>
          </w:tcPr>
          <w:p>
            <w:pPr>
              <w:pStyle w:val="TAL"/>
              <w:rPr>
                <w:lang w:val="en-GB"/>
              </w:rPr>
            </w:pPr>
            <w:r>
              <w:rPr>
                <w:lang w:val="en-GB"/>
              </w:rPr>
              <w:t>CS-4</w:t>
            </w:r>
          </w:p>
        </w:tc>
        <w:tc>
          <w:tcPr>
            <w:tcW w:w="2304"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23 dB</w:t>
            </w:r>
          </w:p>
        </w:tc>
      </w:tr>
    </w:tbl>
    <w:p>
      <w:pPr>
        <w:pStyle w:val="FP"/>
        <w:rPr/>
      </w:pPr>
      <w:r>
        <w:rPr/>
      </w:r>
    </w:p>
    <w:p>
      <w:pPr>
        <w:pStyle w:val="Heading2"/>
        <w:rPr/>
      </w:pPr>
      <w:bookmarkStart w:id="373" w:name="__RefHeading___Toc518035807"/>
      <w:bookmarkEnd w:id="373"/>
      <w:r>
        <w:rPr/>
        <w:t>L.4.2</w:t>
        <w:tab/>
        <w:t>TU3 no FH</w:t>
      </w:r>
    </w:p>
    <w:p>
      <w:pPr>
        <w:pStyle w:val="Normal"/>
        <w:rPr/>
      </w:pPr>
      <w:r>
        <w:rPr/>
        <w:t>As far as TU3 no FH is considered, the throughput analysis has shown that option 2) should be considered. A BLER reference value equal to 10% still represents a good trade-off, in order to try to maximise the throughput performance.</w:t>
      </w:r>
    </w:p>
    <w:p>
      <w:pPr>
        <w:pStyle w:val="B1"/>
        <w:rPr/>
      </w:pPr>
      <w:r>
        <w:rPr/>
        <w:t>-</w:t>
        <w:tab/>
        <w:t>Fixed BLER (figure 5).</w:t>
      </w:r>
    </w:p>
    <w:p>
      <w:pPr>
        <w:pStyle w:val="TH"/>
        <w:rPr/>
      </w:pPr>
      <w:r>
        <w:rPr/>
      </w:r>
    </w:p>
    <w:tbl>
      <w:tblPr>
        <w:tblW w:w="4608" w:type="dxa"/>
        <w:jc w:val="center"/>
        <w:tblInd w:w="0" w:type="dxa"/>
        <w:tblLayout w:type="fixed"/>
        <w:tblCellMar>
          <w:top w:w="0" w:type="dxa"/>
          <w:left w:w="108" w:type="dxa"/>
          <w:bottom w:w="0" w:type="dxa"/>
          <w:right w:w="108" w:type="dxa"/>
        </w:tblCellMar>
      </w:tblPr>
      <w:tblGrid>
        <w:gridCol w:w="2304"/>
        <w:gridCol w:w="2304"/>
      </w:tblGrid>
      <w:tr>
        <w:trPr/>
        <w:tc>
          <w:tcPr>
            <w:tcW w:w="2304"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Coding scheme</w:t>
            </w:r>
          </w:p>
        </w:tc>
        <w:tc>
          <w:tcPr>
            <w:tcW w:w="2304" w:type="dxa"/>
            <w:tcBorders>
              <w:top w:val="single" w:sz="4" w:space="0" w:color="000000"/>
              <w:left w:val="single" w:sz="6" w:space="0" w:color="000000"/>
              <w:bottom w:val="single" w:sz="6" w:space="0" w:color="000000"/>
              <w:right w:val="single" w:sz="4" w:space="0" w:color="000000"/>
            </w:tcBorders>
          </w:tcPr>
          <w:p>
            <w:pPr>
              <w:pStyle w:val="TAH"/>
              <w:rPr/>
            </w:pPr>
            <w:r>
              <w:rPr>
                <w:lang w:eastAsia="en-US"/>
              </w:rPr>
              <w:t>C/I</w:t>
            </w:r>
            <w:r>
              <w:rPr>
                <w:vertAlign w:val="subscript"/>
                <w:lang w:eastAsia="en-US"/>
              </w:rPr>
              <w:t>c</w:t>
            </w:r>
            <w:r>
              <w:rPr>
                <w:lang w:eastAsia="en-US"/>
              </w:rPr>
              <w:t xml:space="preserve"> at BLER=10% </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CS-1</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13 dB</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CS-2</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15 dB</w:t>
            </w:r>
          </w:p>
        </w:tc>
      </w:tr>
      <w:tr>
        <w:trPr/>
        <w:tc>
          <w:tcPr>
            <w:tcW w:w="2304"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CS-3</w:t>
            </w:r>
          </w:p>
        </w:tc>
        <w:tc>
          <w:tcPr>
            <w:tcW w:w="230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16 dB</w:t>
            </w:r>
          </w:p>
        </w:tc>
      </w:tr>
      <w:tr>
        <w:trPr/>
        <w:tc>
          <w:tcPr>
            <w:tcW w:w="2304" w:type="dxa"/>
            <w:tcBorders>
              <w:top w:val="single" w:sz="6" w:space="0" w:color="000000"/>
              <w:left w:val="single" w:sz="4" w:space="0" w:color="000000"/>
              <w:bottom w:val="single" w:sz="4" w:space="0" w:color="000000"/>
              <w:right w:val="single" w:sz="6" w:space="0" w:color="000000"/>
            </w:tcBorders>
          </w:tcPr>
          <w:p>
            <w:pPr>
              <w:pStyle w:val="TAL"/>
              <w:rPr>
                <w:lang w:val="en-GB"/>
              </w:rPr>
            </w:pPr>
            <w:r>
              <w:rPr>
                <w:lang w:val="en-GB"/>
              </w:rPr>
              <w:t>CS-4</w:t>
            </w:r>
          </w:p>
        </w:tc>
        <w:tc>
          <w:tcPr>
            <w:tcW w:w="2304"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19,3 dB</w:t>
            </w:r>
          </w:p>
        </w:tc>
      </w:tr>
    </w:tbl>
    <w:p>
      <w:pPr>
        <w:pStyle w:val="FP"/>
        <w:rPr/>
      </w:pPr>
      <w:r>
        <w:rPr/>
      </w:r>
    </w:p>
    <w:p>
      <w:pPr>
        <w:pStyle w:val="Heading1"/>
        <w:ind w:left="1134" w:hanging="1134"/>
        <w:rPr/>
      </w:pPr>
      <w:bookmarkStart w:id="374" w:name="__RefHeading___Toc518035808"/>
      <w:bookmarkEnd w:id="374"/>
      <w:r>
        <w:rPr/>
        <w:t>L.5</w:t>
        <w:tab/>
        <w:t>Conclusions</w:t>
      </w:r>
    </w:p>
    <w:p>
      <w:pPr>
        <w:pStyle w:val="Normal"/>
        <w:rPr/>
      </w:pPr>
      <w:r>
        <w:rPr/>
        <w:t>Based on the presented results, a BLER reference value equal to 10% for all the coding schemes is proposed, in order to specify performance in GSM 05.05. An implementation margin equal to 2 dB has been taken into account in the proposed C/I</w:t>
      </w:r>
      <w:r>
        <w:rPr>
          <w:vertAlign w:val="subscript"/>
        </w:rPr>
        <w:t>c</w:t>
      </w:r>
      <w:r>
        <w:rPr/>
        <w:t xml:space="preserve"> values.</w:t>
      </w:r>
    </w:p>
    <w:p>
      <w:pPr>
        <w:pStyle w:val="FP"/>
        <w:rPr/>
      </w:pPr>
      <w:r>
        <w:rPr/>
      </w:r>
      <w:r>
        <w:br w:type="page"/>
      </w:r>
    </w:p>
    <w:p>
      <w:pPr>
        <w:pStyle w:val="Heading9"/>
        <w:rPr/>
      </w:pPr>
      <w:bookmarkStart w:id="375" w:name="__RefHeading___Toc518035809"/>
      <w:bookmarkEnd w:id="375"/>
      <w:r>
        <w:rPr/>
        <w:t>Annex M:</w:t>
        <w:br/>
        <w:t>GPRS simulation results in TU 3 and TU 50 no FH</w:t>
      </w:r>
    </w:p>
    <w:p>
      <w:pPr>
        <w:pStyle w:val="Normal"/>
        <w:tabs>
          <w:tab w:val="clear" w:pos="284"/>
          <w:tab w:val="right" w:pos="9639" w:leader="none"/>
        </w:tabs>
        <w:rPr/>
      </w:pPr>
      <w:r>
        <w:rPr/>
        <w:t>ETSI STC SMG2 WPB#2</w:t>
        <w:tab/>
        <w:t>Tdoc SMG2 WPB 99/97</w:t>
      </w:r>
    </w:p>
    <w:p>
      <w:pPr>
        <w:pStyle w:val="Normal"/>
        <w:rPr/>
      </w:pPr>
      <w:r>
        <w:rPr/>
        <w:t>Bonn 3-7 November 1997</w:t>
      </w:r>
    </w:p>
    <w:p>
      <w:pPr>
        <w:pStyle w:val="Normal"/>
        <w:rPr>
          <w:b/>
          <w:b/>
        </w:rPr>
      </w:pPr>
      <w:r>
        <w:rPr>
          <w:b/>
        </w:rPr>
        <w:t>Title: GPRS simulation results in TU 3 and TU 50 no FH</w:t>
      </w:r>
    </w:p>
    <w:p>
      <w:pPr>
        <w:pStyle w:val="Normal"/>
        <w:rPr/>
      </w:pPr>
      <w:r>
        <w:rPr>
          <w:lang w:val="en-US"/>
        </w:rPr>
        <w:t>Source: GIE CEGETEL</w:t>
      </w:r>
    </w:p>
    <w:p>
      <w:pPr>
        <w:pStyle w:val="Heading1"/>
        <w:ind w:left="1134" w:hanging="1134"/>
        <w:rPr/>
      </w:pPr>
      <w:bookmarkStart w:id="376" w:name="__RefHeading___Toc518035810"/>
      <w:bookmarkEnd w:id="376"/>
      <w:r>
        <w:rPr/>
        <w:t>M.1</w:t>
        <w:tab/>
        <w:t>Introduction</w:t>
      </w:r>
    </w:p>
    <w:p>
      <w:pPr>
        <w:pStyle w:val="Normal"/>
        <w:rPr/>
      </w:pPr>
      <w:r>
        <w:rPr/>
        <w:t>The present document presents the performances of the 4 GPRS coding schemes on the GSM radio interface. The performances in terms of BLER and throughput as a function of the C/I are provided to SMG2 WPB for information.</w:t>
      </w:r>
    </w:p>
    <w:p>
      <w:pPr>
        <w:pStyle w:val="Heading1"/>
        <w:ind w:left="1134" w:hanging="1134"/>
        <w:rPr/>
      </w:pPr>
      <w:bookmarkStart w:id="377" w:name="__RefHeading___Toc518035811"/>
      <w:bookmarkEnd w:id="377"/>
      <w:r>
        <w:rPr/>
        <w:t>M.2</w:t>
        <w:tab/>
        <w:t>Simulation Model</w:t>
      </w:r>
    </w:p>
    <w:p>
      <w:pPr>
        <w:pStyle w:val="Normal"/>
        <w:rPr>
          <w:b/>
          <w:b/>
        </w:rPr>
      </w:pPr>
      <w:r>
        <w:rPr>
          <w:b/>
        </w:rPr>
        <w:t>The conditions for the simulations are:</w:t>
      </w:r>
    </w:p>
    <w:p>
      <w:pPr>
        <w:pStyle w:val="B1"/>
        <w:rPr/>
      </w:pPr>
      <w:r>
        <w:rPr/>
        <w:t>-</w:t>
        <w:tab/>
        <w:t>TU3 and TU50 propagation models as defined in GSM 05.05 (without frequency hopping for both models).</w:t>
      </w:r>
    </w:p>
    <w:p>
      <w:pPr>
        <w:pStyle w:val="B1"/>
        <w:rPr/>
      </w:pPr>
      <w:r>
        <w:rPr/>
        <w:t>-</w:t>
        <w:tab/>
        <w:t>one single interferer experiencing the same propagation conditions as the wanted signal with independent fading on the two channels.</w:t>
      </w:r>
    </w:p>
    <w:p>
      <w:pPr>
        <w:pStyle w:val="Normal"/>
        <w:rPr/>
      </w:pPr>
      <w:r>
        <w:rPr/>
        <w:t>Varying fading during one burst:</w:t>
      </w:r>
    </w:p>
    <w:p>
      <w:pPr>
        <w:pStyle w:val="B1"/>
        <w:rPr/>
      </w:pPr>
      <w:r>
        <w:rPr/>
        <w:t>-</w:t>
        <w:tab/>
        <w:t>noise floor such that Eb/No = 26 dB.</w:t>
      </w:r>
    </w:p>
    <w:p>
      <w:pPr>
        <w:pStyle w:val="B1"/>
        <w:rPr/>
      </w:pPr>
      <w:r>
        <w:rPr/>
        <w:t>-</w:t>
        <w:tab/>
        <w:t>soft output equaliser.</w:t>
      </w:r>
    </w:p>
    <w:p>
      <w:pPr>
        <w:pStyle w:val="Normal"/>
        <w:rPr/>
      </w:pPr>
      <w:r>
        <w:rPr/>
        <w:t>The results are obtained by processing 40 000 radio blocks for each coding scheme which represents a transfer duration of about 13 minutes. At the end of the simulation a file containing the Block Error Pattern is generated.</w:t>
      </w:r>
    </w:p>
    <w:p>
      <w:pPr>
        <w:pStyle w:val="Normal"/>
        <w:rPr/>
      </w:pPr>
      <w:r>
        <w:rPr/>
        <w:t>Below, the C/I giving a BLER of 10</w:t>
      </w:r>
      <w:r>
        <w:rPr>
          <w:vertAlign w:val="superscript"/>
        </w:rPr>
        <w:t xml:space="preserve">-1 </w:t>
      </w:r>
      <w:r>
        <w:rPr/>
        <w:t>are presented for information.</w:t>
      </w:r>
    </w:p>
    <w:p>
      <w:pPr>
        <w:pStyle w:val="Normal"/>
        <w:rPr/>
      </w:pPr>
      <w:r>
        <w:rPr/>
        <w:t>Interference ratio at Reference performance.</w:t>
      </w:r>
    </w:p>
    <w:p>
      <w:pPr>
        <w:pStyle w:val="TH"/>
        <w:rPr/>
      </w:pPr>
      <w:r>
        <w:rPr/>
      </w:r>
    </w:p>
    <w:tbl>
      <w:tblPr>
        <w:tblW w:w="6804" w:type="dxa"/>
        <w:jc w:val="center"/>
        <w:tblInd w:w="0" w:type="dxa"/>
        <w:tblLayout w:type="fixed"/>
        <w:tblCellMar>
          <w:top w:w="0" w:type="dxa"/>
          <w:left w:w="70" w:type="dxa"/>
          <w:bottom w:w="0" w:type="dxa"/>
          <w:right w:w="70" w:type="dxa"/>
        </w:tblCellMar>
      </w:tblPr>
      <w:tblGrid>
        <w:gridCol w:w="2410"/>
        <w:gridCol w:w="2242"/>
        <w:gridCol w:w="2152"/>
      </w:tblGrid>
      <w:tr>
        <w:trPr/>
        <w:tc>
          <w:tcPr>
            <w:tcW w:w="241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 of channel</w:t>
            </w:r>
          </w:p>
        </w:tc>
        <w:tc>
          <w:tcPr>
            <w:tcW w:w="2242"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lang w:val="fr-FR" w:eastAsia="en-US"/>
              </w:rPr>
              <w:t>Tu3 (no FH)</w:t>
            </w:r>
          </w:p>
        </w:tc>
        <w:tc>
          <w:tcPr>
            <w:tcW w:w="2152"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lang w:val="fr-FR" w:eastAsia="en-US"/>
              </w:rPr>
              <w:t>Tu50 (no FH)</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CS1</w:t>
            </w:r>
          </w:p>
        </w:tc>
        <w:tc>
          <w:tcPr>
            <w:tcW w:w="224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13,5 dB</w:t>
            </w:r>
          </w:p>
        </w:tc>
        <w:tc>
          <w:tcPr>
            <w:tcW w:w="21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10,5 dB</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CS2</w:t>
            </w:r>
          </w:p>
        </w:tc>
        <w:tc>
          <w:tcPr>
            <w:tcW w:w="224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15,5 dB</w:t>
            </w:r>
          </w:p>
        </w:tc>
        <w:tc>
          <w:tcPr>
            <w:tcW w:w="21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13,5 dB</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CS3</w:t>
            </w:r>
          </w:p>
        </w:tc>
        <w:tc>
          <w:tcPr>
            <w:tcW w:w="224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17,5 dB</w:t>
            </w:r>
          </w:p>
        </w:tc>
        <w:tc>
          <w:tcPr>
            <w:tcW w:w="21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 dB</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CS4</w:t>
            </w:r>
          </w:p>
        </w:tc>
        <w:tc>
          <w:tcPr>
            <w:tcW w:w="224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 dB</w:t>
            </w:r>
          </w:p>
        </w:tc>
        <w:tc>
          <w:tcPr>
            <w:tcW w:w="215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24 dB</w:t>
            </w:r>
          </w:p>
        </w:tc>
      </w:tr>
    </w:tbl>
    <w:p>
      <w:pPr>
        <w:pStyle w:val="FP"/>
        <w:rPr/>
      </w:pPr>
      <w:r>
        <w:rPr/>
      </w:r>
    </w:p>
    <w:p>
      <w:pPr>
        <w:pStyle w:val="B1"/>
        <w:rPr/>
      </w:pPr>
      <w:r>
        <w:rPr/>
        <w:t>-</w:t>
        <w:tab/>
        <w:t>C/I for a BLER = 10</w:t>
      </w:r>
      <w:r>
        <w:rPr>
          <w:vertAlign w:val="superscript"/>
        </w:rPr>
        <w:t>-1</w:t>
      </w:r>
      <w:r>
        <w:rPr/>
        <w:t xml:space="preserve"> (including the implementation margin of 2 dB).</w:t>
      </w:r>
    </w:p>
    <w:p>
      <w:pPr>
        <w:pStyle w:val="Normal"/>
        <w:rPr/>
      </w:pPr>
      <w:r>
        <w:rPr/>
        <w:t>These results are aligned with the results presented by Lucent, CSELT and Ericsson. Simulations were also ran without the co-channel interferer considering white noise as the perturbation. These simulations were ran to find the sensitivity level at the reference performance (BLER = 10</w:t>
      </w:r>
      <w:r>
        <w:rPr>
          <w:vertAlign w:val="superscript"/>
        </w:rPr>
        <w:t>-1</w:t>
      </w:r>
      <w:r>
        <w:rPr/>
        <w:t>).</w:t>
      </w:r>
    </w:p>
    <w:p>
      <w:pPr>
        <w:pStyle w:val="Normal"/>
        <w:rPr/>
      </w:pPr>
      <w:r>
        <w:rPr/>
        <w:t>Sensitivity level (for normal BTS) at reference performance.</w:t>
      </w:r>
    </w:p>
    <w:p>
      <w:pPr>
        <w:pStyle w:val="TH"/>
        <w:rPr/>
      </w:pPr>
      <w:r>
        <w:rPr/>
      </w:r>
    </w:p>
    <w:tbl>
      <w:tblPr>
        <w:tblW w:w="4536" w:type="dxa"/>
        <w:jc w:val="center"/>
        <w:tblInd w:w="0" w:type="dxa"/>
        <w:tblLayout w:type="fixed"/>
        <w:tblCellMar>
          <w:top w:w="0" w:type="dxa"/>
          <w:left w:w="70" w:type="dxa"/>
          <w:bottom w:w="0" w:type="dxa"/>
          <w:right w:w="70" w:type="dxa"/>
        </w:tblCellMar>
      </w:tblPr>
      <w:tblGrid>
        <w:gridCol w:w="2012"/>
        <w:gridCol w:w="2524"/>
      </w:tblGrid>
      <w:tr>
        <w:trPr/>
        <w:tc>
          <w:tcPr>
            <w:tcW w:w="201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 of channel</w:t>
            </w:r>
          </w:p>
        </w:tc>
        <w:tc>
          <w:tcPr>
            <w:tcW w:w="2524"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lang w:val="fr-FR" w:eastAsia="en-US"/>
              </w:rPr>
              <w:t>Tu50 (no FH)</w:t>
            </w:r>
          </w:p>
        </w:tc>
      </w:tr>
      <w:tr>
        <w:trPr/>
        <w:tc>
          <w:tcPr>
            <w:tcW w:w="201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CS1</w:t>
            </w:r>
          </w:p>
        </w:tc>
        <w:tc>
          <w:tcPr>
            <w:tcW w:w="252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-103 dBm</w:t>
            </w:r>
          </w:p>
        </w:tc>
      </w:tr>
      <w:tr>
        <w:trPr/>
        <w:tc>
          <w:tcPr>
            <w:tcW w:w="201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CS2</w:t>
            </w:r>
          </w:p>
        </w:tc>
        <w:tc>
          <w:tcPr>
            <w:tcW w:w="252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-100,5 dBm</w:t>
            </w:r>
          </w:p>
        </w:tc>
      </w:tr>
      <w:tr>
        <w:trPr/>
        <w:tc>
          <w:tcPr>
            <w:tcW w:w="201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CS3</w:t>
            </w:r>
          </w:p>
        </w:tc>
        <w:tc>
          <w:tcPr>
            <w:tcW w:w="252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-98 dBm</w:t>
            </w:r>
          </w:p>
        </w:tc>
      </w:tr>
      <w:tr>
        <w:trPr/>
        <w:tc>
          <w:tcPr>
            <w:tcW w:w="201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CS4</w:t>
            </w:r>
          </w:p>
        </w:tc>
        <w:tc>
          <w:tcPr>
            <w:tcW w:w="252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-90,7 dBm</w:t>
            </w:r>
          </w:p>
        </w:tc>
      </w:tr>
    </w:tbl>
    <w:p>
      <w:pPr>
        <w:pStyle w:val="FP"/>
        <w:rPr/>
      </w:pPr>
      <w:r>
        <w:rPr/>
      </w:r>
    </w:p>
    <w:p>
      <w:pPr>
        <w:pStyle w:val="B1"/>
        <w:rPr>
          <w:vertAlign w:val="superscript"/>
        </w:rPr>
      </w:pPr>
      <w:r>
        <w:rPr/>
        <w:t>-</w:t>
        <w:tab/>
        <w:t>signal strength needed for a BLER = 10</w:t>
      </w:r>
      <w:r>
        <w:rPr>
          <w:vertAlign w:val="superscript"/>
        </w:rPr>
        <w:t>-1</w:t>
      </w:r>
      <w:r>
        <w:rPr/>
        <w:t>.</w:t>
      </w:r>
    </w:p>
    <w:p>
      <w:pPr>
        <w:pStyle w:val="Normal"/>
        <w:rPr/>
      </w:pPr>
      <w:r>
        <w:rPr/>
        <w:t>Performances in TU 3 with a co-channel interferer</w:t>
      </w:r>
    </w:p>
    <w:p>
      <w:pPr>
        <w:pStyle w:val="TH"/>
        <w:rPr/>
      </w:pPr>
      <w:r>
        <w:rPr/>
        <w:drawing>
          <wp:inline distT="0" distB="0" distL="0" distR="0">
            <wp:extent cx="5238115" cy="3253105"/>
            <wp:effectExtent l="0" t="0" r="0" b="0"/>
            <wp:docPr id="78"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2" descr=""/>
                    <pic:cNvPicPr>
                      <a:picLocks noChangeAspect="1" noChangeArrowheads="1"/>
                    </pic:cNvPicPr>
                  </pic:nvPicPr>
                  <pic:blipFill>
                    <a:blip r:embed="rId74"/>
                    <a:srcRect l="-4" t="-6" r="-4" b="-6"/>
                    <a:stretch>
                      <a:fillRect/>
                    </a:stretch>
                  </pic:blipFill>
                  <pic:spPr bwMode="auto">
                    <a:xfrm>
                      <a:off x="0" y="0"/>
                      <a:ext cx="5238115" cy="3253105"/>
                    </a:xfrm>
                    <a:prstGeom prst="rect">
                      <a:avLst/>
                    </a:prstGeom>
                  </pic:spPr>
                </pic:pic>
              </a:graphicData>
            </a:graphic>
          </wp:inline>
        </w:drawing>
      </w:r>
    </w:p>
    <w:p>
      <w:pPr>
        <w:pStyle w:val="FP"/>
        <w:rPr/>
      </w:pPr>
      <w:r>
        <w:rPr/>
      </w:r>
    </w:p>
    <w:p>
      <w:pPr>
        <w:pStyle w:val="Normal"/>
        <w:rPr/>
      </w:pPr>
      <w:r>
        <w:rPr/>
        <w:t>Performances in TU 50 with a co-channel interferer</w:t>
      </w:r>
    </w:p>
    <w:p>
      <w:pPr>
        <w:pStyle w:val="TH"/>
        <w:rPr/>
      </w:pPr>
      <w:r>
        <w:rPr/>
        <w:drawing>
          <wp:inline distT="0" distB="0" distL="0" distR="0">
            <wp:extent cx="5247005" cy="3138170"/>
            <wp:effectExtent l="0" t="0" r="0" b="0"/>
            <wp:docPr id="79"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03" descr=""/>
                    <pic:cNvPicPr>
                      <a:picLocks noChangeAspect="1" noChangeArrowheads="1"/>
                    </pic:cNvPicPr>
                  </pic:nvPicPr>
                  <pic:blipFill>
                    <a:blip r:embed="rId75"/>
                    <a:srcRect l="-4" t="-6" r="-4" b="-6"/>
                    <a:stretch>
                      <a:fillRect/>
                    </a:stretch>
                  </pic:blipFill>
                  <pic:spPr bwMode="auto">
                    <a:xfrm>
                      <a:off x="0" y="0"/>
                      <a:ext cx="5247005" cy="3138170"/>
                    </a:xfrm>
                    <a:prstGeom prst="rect">
                      <a:avLst/>
                    </a:prstGeom>
                  </pic:spPr>
                </pic:pic>
              </a:graphicData>
            </a:graphic>
          </wp:inline>
        </w:drawing>
      </w:r>
    </w:p>
    <w:p>
      <w:pPr>
        <w:pStyle w:val="FP"/>
        <w:rPr/>
      </w:pPr>
      <w:r>
        <w:rPr/>
      </w:r>
    </w:p>
    <w:p>
      <w:pPr>
        <w:pStyle w:val="Heading1"/>
        <w:ind w:left="1134" w:hanging="1134"/>
        <w:rPr/>
      </w:pPr>
      <w:bookmarkStart w:id="378" w:name="__RefHeading___Toc518035812"/>
      <w:bookmarkEnd w:id="378"/>
      <w:r>
        <w:rPr/>
        <w:t>M.3</w:t>
        <w:tab/>
        <w:t>Maximum GPRS throughput</w:t>
      </w:r>
    </w:p>
    <w:p>
      <w:pPr>
        <w:pStyle w:val="Normal"/>
        <w:rPr/>
      </w:pPr>
      <w:r>
        <w:rPr/>
        <w:t>In this section, the methodology used to measure the throughput is presented. The GPRS MAC/RLC protocol was implemented according to GSM 03.64 [1] and Tdoc 175/97 [3]. The maximum throughput achievable at a given C/I is measured for each coding scheme. Therefore the traffic load is not considered in the simulations. Furthermore PRACH and PAGCH are always considered correctly decoded.</w:t>
      </w:r>
    </w:p>
    <w:p>
      <w:pPr>
        <w:pStyle w:val="B1"/>
        <w:rPr/>
      </w:pPr>
      <w:r>
        <w:rPr/>
        <w:t>-</w:t>
        <w:tab/>
        <w:t>the MS is always sending RLC blocks and there is always enough free radio resources to initiate the transfer (the intracell traffic is not considered).</w:t>
      </w:r>
    </w:p>
    <w:p>
      <w:pPr>
        <w:pStyle w:val="Normal"/>
        <w:rPr/>
      </w:pPr>
      <w:r>
        <w:rPr/>
        <w:t>Same C/I on uplink and downlink:</w:t>
      </w:r>
    </w:p>
    <w:p>
      <w:pPr>
        <w:pStyle w:val="B1"/>
        <w:rPr/>
      </w:pPr>
      <w:r>
        <w:rPr/>
        <w:t>-</w:t>
        <w:tab/>
        <w:t>the response time between the MS - BSS is 2 TDMA frames.</w:t>
      </w:r>
    </w:p>
    <w:p>
      <w:pPr>
        <w:pStyle w:val="Normal"/>
        <w:rPr/>
      </w:pPr>
      <w:r>
        <w:rPr/>
        <w:t>The timer T11 (Wait for Acknowledgement) is set to 100 ms as in [2]:</w:t>
      </w:r>
    </w:p>
    <w:p>
      <w:pPr>
        <w:pStyle w:val="B1"/>
        <w:rPr/>
      </w:pPr>
      <w:r>
        <w:rPr/>
        <w:t>-</w:t>
        <w:tab/>
        <w:t>when T11 is reset, the MS releases the connection then initiates a new procedure for random access. The time elapsed from the release of the resource and reception of the new Ack/Nack is set to 180 ms including.</w:t>
      </w:r>
    </w:p>
    <w:p>
      <w:pPr>
        <w:pStyle w:val="B1"/>
        <w:rPr/>
      </w:pPr>
      <w:r>
        <w:rPr/>
        <w:t>-</w:t>
        <w:tab/>
        <w:t>transmission of PRACH.</w:t>
      </w:r>
    </w:p>
    <w:p>
      <w:pPr>
        <w:pStyle w:val="B1"/>
        <w:rPr/>
      </w:pPr>
      <w:r>
        <w:rPr/>
        <w:t>-</w:t>
        <w:tab/>
        <w:t>reception of PAGCH from the network.</w:t>
      </w:r>
    </w:p>
    <w:p>
      <w:pPr>
        <w:pStyle w:val="B1"/>
        <w:rPr/>
      </w:pPr>
      <w:r>
        <w:rPr/>
        <w:t>-</w:t>
        <w:tab/>
        <w:t>transmission of a RLC block with the old TFI.</w:t>
      </w:r>
    </w:p>
    <w:p>
      <w:pPr>
        <w:pStyle w:val="B1"/>
        <w:rPr/>
      </w:pPr>
      <w:r>
        <w:rPr/>
        <w:t>-</w:t>
        <w:tab/>
        <w:t>reception of the missing Ack/Nack from the network.</w:t>
      </w:r>
    </w:p>
    <w:p>
      <w:pPr>
        <w:pStyle w:val="Normal"/>
        <w:rPr/>
      </w:pPr>
      <w:r>
        <w:rPr/>
        <w:t>Performances in TU 3 with a co-channel interferer.</w:t>
      </w:r>
    </w:p>
    <w:p>
      <w:pPr>
        <w:pStyle w:val="TH"/>
        <w:rPr/>
      </w:pPr>
      <w:r>
        <w:rPr/>
        <w:drawing>
          <wp:inline distT="0" distB="0" distL="0" distR="0">
            <wp:extent cx="5311775" cy="3109595"/>
            <wp:effectExtent l="0" t="0" r="0" b="0"/>
            <wp:docPr id="80"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4" descr=""/>
                    <pic:cNvPicPr>
                      <a:picLocks noChangeAspect="1" noChangeArrowheads="1"/>
                    </pic:cNvPicPr>
                  </pic:nvPicPr>
                  <pic:blipFill>
                    <a:blip r:embed="rId76"/>
                    <a:srcRect l="-4" t="-6" r="-4" b="-6"/>
                    <a:stretch>
                      <a:fillRect/>
                    </a:stretch>
                  </pic:blipFill>
                  <pic:spPr bwMode="auto">
                    <a:xfrm>
                      <a:off x="0" y="0"/>
                      <a:ext cx="5311775" cy="3109595"/>
                    </a:xfrm>
                    <a:prstGeom prst="rect">
                      <a:avLst/>
                    </a:prstGeom>
                  </pic:spPr>
                </pic:pic>
              </a:graphicData>
            </a:graphic>
          </wp:inline>
        </w:drawing>
      </w:r>
    </w:p>
    <w:p>
      <w:pPr>
        <w:pStyle w:val="FP"/>
        <w:rPr/>
      </w:pPr>
      <w:r>
        <w:rPr/>
      </w:r>
    </w:p>
    <w:p>
      <w:pPr>
        <w:pStyle w:val="Normal"/>
        <w:rPr/>
      </w:pPr>
      <w:r>
        <w:rPr/>
        <w:t>Performances in TU 50 with a co-channel interferer.</w:t>
      </w:r>
    </w:p>
    <w:p>
      <w:pPr>
        <w:pStyle w:val="TH"/>
        <w:rPr/>
      </w:pPr>
      <w:r>
        <w:rPr/>
        <w:drawing>
          <wp:inline distT="0" distB="0" distL="0" distR="0">
            <wp:extent cx="5293360" cy="3081020"/>
            <wp:effectExtent l="0" t="0" r="0" b="0"/>
            <wp:docPr id="81"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05" descr=""/>
                    <pic:cNvPicPr>
                      <a:picLocks noChangeAspect="1" noChangeArrowheads="1"/>
                    </pic:cNvPicPr>
                  </pic:nvPicPr>
                  <pic:blipFill>
                    <a:blip r:embed="rId77"/>
                    <a:srcRect l="-4" t="-6" r="-4" b="-6"/>
                    <a:stretch>
                      <a:fillRect/>
                    </a:stretch>
                  </pic:blipFill>
                  <pic:spPr bwMode="auto">
                    <a:xfrm>
                      <a:off x="0" y="0"/>
                      <a:ext cx="5293360" cy="3081020"/>
                    </a:xfrm>
                    <a:prstGeom prst="rect">
                      <a:avLst/>
                    </a:prstGeom>
                  </pic:spPr>
                </pic:pic>
              </a:graphicData>
            </a:graphic>
          </wp:inline>
        </w:drawing>
      </w:r>
    </w:p>
    <w:p>
      <w:pPr>
        <w:pStyle w:val="FP"/>
        <w:rPr/>
      </w:pPr>
      <w:r>
        <w:rPr/>
      </w:r>
    </w:p>
    <w:p>
      <w:pPr>
        <w:pStyle w:val="Heading1"/>
        <w:ind w:left="1134" w:hanging="1134"/>
        <w:rPr/>
      </w:pPr>
      <w:bookmarkStart w:id="379" w:name="__RefHeading___Toc518035813"/>
      <w:bookmarkEnd w:id="379"/>
      <w:r>
        <w:rPr/>
        <w:t>M.4</w:t>
        <w:tab/>
        <w:t>Conclusion</w:t>
      </w:r>
    </w:p>
    <w:p>
      <w:pPr>
        <w:pStyle w:val="Normal"/>
        <w:rPr/>
      </w:pPr>
      <w:r>
        <w:rPr/>
        <w:t>BLER and throughput performances are analysed in the present document for TU3 and TU50 environments (no FH). The throughput curves give the upper bound of each coding scheme at a given C/I.</w:t>
      </w:r>
    </w:p>
    <w:p>
      <w:pPr>
        <w:pStyle w:val="Heading1"/>
        <w:ind w:left="1134" w:hanging="1134"/>
        <w:rPr/>
      </w:pPr>
      <w:bookmarkStart w:id="380" w:name="__RefHeading___Toc518035814"/>
      <w:bookmarkEnd w:id="380"/>
      <w:r>
        <w:rPr/>
        <w:t>M.5</w:t>
        <w:tab/>
        <w:t>References</w:t>
      </w:r>
    </w:p>
    <w:p>
      <w:pPr>
        <w:pStyle w:val="EX"/>
        <w:rPr/>
      </w:pPr>
      <w:r>
        <w:rPr/>
        <w:t>[1]</w:t>
        <w:tab/>
        <w:t>SMG2 GPRS Tdoc 175/97 (January 1997): "GPRS RLC/MAC Temporary Block Flow Procedures", Ericsson.</w:t>
      </w:r>
    </w:p>
    <w:p>
      <w:pPr>
        <w:pStyle w:val="EX"/>
        <w:rPr/>
      </w:pPr>
      <w:r>
        <w:rPr/>
        <w:t>[2]</w:t>
        <w:tab/>
        <w:t>SMG2 GPRS Tdoc 218/97 (February 1997): "Evaluation of Channel Coding Schemes CS2 and CS4", CSELT.</w:t>
      </w:r>
    </w:p>
    <w:p>
      <w:pPr>
        <w:pStyle w:val="EX"/>
        <w:rPr/>
      </w:pPr>
      <w:r>
        <w:rPr/>
        <w:t>[3]</w:t>
        <w:tab/>
        <w:t>GSM 03.64 (1997): "General Packet Radio Service (GPRS); Overall description of the GPRS radio interface; Stage 2".</w:t>
      </w:r>
      <w:r>
        <w:br w:type="page"/>
      </w:r>
    </w:p>
    <w:p>
      <w:pPr>
        <w:pStyle w:val="Heading9"/>
        <w:rPr/>
      </w:pPr>
      <w:bookmarkStart w:id="381" w:name="__RefHeading___Toc518035815"/>
      <w:bookmarkEnd w:id="381"/>
      <w:r>
        <w:rPr/>
        <w:t>Annex N:</w:t>
        <w:br/>
        <w:t>C/I</w:t>
      </w:r>
      <w:r>
        <w:rPr>
          <w:vertAlign w:val="subscript"/>
        </w:rPr>
        <w:t>c</w:t>
      </w:r>
      <w:r>
        <w:rPr/>
        <w:t xml:space="preserve"> and E</w:t>
      </w:r>
      <w:r>
        <w:rPr>
          <w:vertAlign w:val="subscript"/>
        </w:rPr>
        <w:t>b</w:t>
      </w:r>
      <w:r>
        <w:rPr/>
        <w:t>/N</w:t>
      </w:r>
      <w:r>
        <w:rPr>
          <w:vertAlign w:val="subscript"/>
        </w:rPr>
        <w:t>o</w:t>
      </w:r>
      <w:r>
        <w:rPr/>
        <w:t xml:space="preserve"> Radio Performance for the GPRS Coding Schemes</w:t>
      </w:r>
    </w:p>
    <w:p>
      <w:pPr>
        <w:pStyle w:val="Normal"/>
        <w:tabs>
          <w:tab w:val="clear" w:pos="284"/>
          <w:tab w:val="right" w:pos="9639" w:leader="none"/>
        </w:tabs>
        <w:rPr/>
      </w:pPr>
      <w:r>
        <w:rPr/>
        <w:t>ETSI STC SMG2 WPB</w:t>
        <w:tab/>
        <w:t>TDoc SMG2 WPB 100/97</w:t>
      </w:r>
    </w:p>
    <w:p>
      <w:pPr>
        <w:pStyle w:val="Normal"/>
        <w:tabs>
          <w:tab w:val="clear" w:pos="284"/>
          <w:tab w:val="right" w:pos="9639" w:leader="none"/>
        </w:tabs>
        <w:rPr/>
      </w:pPr>
      <w:r>
        <w:rPr/>
        <w:t>Meeting no 2</w:t>
        <w:tab/>
        <w:t>Agenda Item 6.1</w:t>
        <w:br/>
        <w:t>Bonn, Germany</w:t>
        <w:br/>
        <w:t>3 - 7 November 1997</w:t>
      </w:r>
    </w:p>
    <w:p>
      <w:pPr>
        <w:pStyle w:val="Normal"/>
        <w:rPr/>
      </w:pPr>
      <w:r>
        <w:rPr>
          <w:b/>
        </w:rPr>
        <w:t>Title: C/I</w:t>
      </w:r>
      <w:r>
        <w:rPr>
          <w:b/>
          <w:vertAlign w:val="subscript"/>
        </w:rPr>
        <w:t>c</w:t>
      </w:r>
      <w:r>
        <w:rPr>
          <w:b/>
        </w:rPr>
        <w:t xml:space="preserve"> and E</w:t>
      </w:r>
      <w:r>
        <w:rPr>
          <w:b/>
          <w:vertAlign w:val="subscript"/>
        </w:rPr>
        <w:t>b</w:t>
      </w:r>
      <w:r>
        <w:rPr>
          <w:b/>
        </w:rPr>
        <w:t>/N</w:t>
      </w:r>
      <w:r>
        <w:rPr>
          <w:b/>
          <w:vertAlign w:val="subscript"/>
        </w:rPr>
        <w:t>o</w:t>
      </w:r>
      <w:r>
        <w:rPr>
          <w:b/>
        </w:rPr>
        <w:t xml:space="preserve"> Radio Performance for the GPRS Coding Schemes</w:t>
      </w:r>
    </w:p>
    <w:p>
      <w:pPr>
        <w:pStyle w:val="Normal"/>
        <w:rPr/>
      </w:pPr>
      <w:r>
        <w:rPr/>
        <w:t>Source: CSELT</w:t>
      </w:r>
    </w:p>
    <w:p>
      <w:pPr>
        <w:pStyle w:val="Heading1"/>
        <w:ind w:left="1134" w:hanging="1134"/>
        <w:rPr/>
      </w:pPr>
      <w:bookmarkStart w:id="382" w:name="__RefHeading___Toc518035816"/>
      <w:bookmarkEnd w:id="382"/>
      <w:r>
        <w:rPr/>
        <w:t>N.1</w:t>
        <w:tab/>
        <w:t>Introduction</w:t>
      </w:r>
    </w:p>
    <w:p>
      <w:pPr>
        <w:pStyle w:val="Normal"/>
        <w:rPr/>
      </w:pPr>
      <w:r>
        <w:rPr/>
        <w:t>The present document reports C/I</w:t>
      </w:r>
      <w:r>
        <w:rPr>
          <w:vertAlign w:val="subscript"/>
        </w:rPr>
        <w:t>c</w:t>
      </w:r>
      <w:r>
        <w:rPr/>
        <w:t xml:space="preserve"> radio performance for the GPRS coding schemes in  propagation models for both GSM900 (TU50 no FH, RA250 no FH) and DCS1800 (TU50 no FH, TU50 ideal FH), in order to provide reference performance in GSM 05.05. Moreover, E</w:t>
      </w:r>
      <w:r>
        <w:rPr>
          <w:vertAlign w:val="subscript"/>
        </w:rPr>
        <w:t>b</w:t>
      </w:r>
      <w:r>
        <w:rPr/>
        <w:t>/N</w:t>
      </w:r>
      <w:r>
        <w:rPr>
          <w:vertAlign w:val="subscript"/>
        </w:rPr>
        <w:t>0</w:t>
      </w:r>
      <w:r>
        <w:rPr/>
        <w:t xml:space="preserve"> performance are reported, in the range around 10% for BLER.</w:t>
      </w:r>
    </w:p>
    <w:p>
      <w:pPr>
        <w:pStyle w:val="Heading1"/>
        <w:ind w:left="1134" w:hanging="1134"/>
        <w:rPr/>
      </w:pPr>
      <w:bookmarkStart w:id="383" w:name="__RefHeading___Toc518035817"/>
      <w:bookmarkEnd w:id="383"/>
      <w:r>
        <w:rPr/>
        <w:t>N.2</w:t>
        <w:tab/>
        <w:t>C/I simulation results</w:t>
      </w:r>
    </w:p>
    <w:p>
      <w:pPr>
        <w:pStyle w:val="Normal"/>
        <w:rPr/>
      </w:pPr>
      <w:r>
        <w:rPr/>
        <w:t>The following figures show BLER vs. C/I</w:t>
      </w:r>
      <w:r>
        <w:rPr>
          <w:vertAlign w:val="subscript"/>
        </w:rPr>
        <w:t>c</w:t>
      </w:r>
      <w:r>
        <w:rPr/>
        <w:t xml:space="preserve"> performance for CS-1 to CS-4 in different propagation models. These curves have been obtained with the same assumptions reported in [1, 2, 3].</w:t>
      </w:r>
    </w:p>
    <w:p>
      <w:pPr>
        <w:pStyle w:val="TH"/>
        <w:rPr/>
      </w:pPr>
      <w:r>
        <w:rPr/>
        <w:drawing>
          <wp:inline distT="0" distB="0" distL="0" distR="0">
            <wp:extent cx="4002405" cy="2428875"/>
            <wp:effectExtent l="0" t="0" r="0" b="0"/>
            <wp:docPr id="82"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6" descr=""/>
                    <pic:cNvPicPr>
                      <a:picLocks noChangeAspect="1" noChangeArrowheads="1"/>
                    </pic:cNvPicPr>
                  </pic:nvPicPr>
                  <pic:blipFill>
                    <a:blip r:embed="rId78"/>
                    <a:srcRect l="-4" t="-6" r="-4" b="-6"/>
                    <a:stretch>
                      <a:fillRect/>
                    </a:stretch>
                  </pic:blipFill>
                  <pic:spPr bwMode="auto">
                    <a:xfrm>
                      <a:off x="0" y="0"/>
                      <a:ext cx="4002405" cy="2428875"/>
                    </a:xfrm>
                    <a:prstGeom prst="rect">
                      <a:avLst/>
                    </a:prstGeom>
                  </pic:spPr>
                </pic:pic>
              </a:graphicData>
            </a:graphic>
          </wp:inline>
        </w:drawing>
      </w:r>
    </w:p>
    <w:p>
      <w:pPr>
        <w:pStyle w:val="TF"/>
        <w:rPr/>
      </w:pPr>
      <w:r>
        <w:rPr>
          <w:lang w:val="fr-FR"/>
        </w:rPr>
        <w:t>Figure 1: BLER vs. C/I</w:t>
      </w:r>
      <w:r>
        <w:rPr>
          <w:vertAlign w:val="subscript"/>
          <w:lang w:val="fr-FR"/>
        </w:rPr>
        <w:t>c</w:t>
      </w:r>
      <w:r>
        <w:rPr>
          <w:lang w:val="fr-FR"/>
        </w:rPr>
        <w:t>, TU50 no FH, GSM900</w:t>
      </w:r>
    </w:p>
    <w:p>
      <w:pPr>
        <w:pStyle w:val="TH"/>
        <w:rPr/>
      </w:pPr>
      <w:r>
        <w:rPr/>
        <w:drawing>
          <wp:inline distT="0" distB="0" distL="0" distR="0">
            <wp:extent cx="4002405" cy="2428875"/>
            <wp:effectExtent l="0" t="0" r="0" b="0"/>
            <wp:docPr id="83"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07" descr=""/>
                    <pic:cNvPicPr>
                      <a:picLocks noChangeAspect="1" noChangeArrowheads="1"/>
                    </pic:cNvPicPr>
                  </pic:nvPicPr>
                  <pic:blipFill>
                    <a:blip r:embed="rId79"/>
                    <a:srcRect l="-4" t="-6" r="-4" b="-6"/>
                    <a:stretch>
                      <a:fillRect/>
                    </a:stretch>
                  </pic:blipFill>
                  <pic:spPr bwMode="auto">
                    <a:xfrm>
                      <a:off x="0" y="0"/>
                      <a:ext cx="4002405" cy="2428875"/>
                    </a:xfrm>
                    <a:prstGeom prst="rect">
                      <a:avLst/>
                    </a:prstGeom>
                  </pic:spPr>
                </pic:pic>
              </a:graphicData>
            </a:graphic>
          </wp:inline>
        </w:drawing>
      </w:r>
    </w:p>
    <w:p>
      <w:pPr>
        <w:pStyle w:val="TF"/>
        <w:rPr/>
      </w:pPr>
      <w:r>
        <w:rPr>
          <w:lang w:val="fr-FR"/>
        </w:rPr>
        <w:t>Figure 2: BLER vs. C/I</w:t>
      </w:r>
      <w:r>
        <w:rPr>
          <w:vertAlign w:val="subscript"/>
          <w:lang w:val="fr-FR"/>
        </w:rPr>
        <w:t>c</w:t>
      </w:r>
      <w:r>
        <w:rPr>
          <w:lang w:val="fr-FR"/>
        </w:rPr>
        <w:t>, TU50 ideal FH, DCS1800</w:t>
      </w:r>
    </w:p>
    <w:p>
      <w:pPr>
        <w:pStyle w:val="TH"/>
        <w:rPr/>
      </w:pPr>
      <w:r>
        <w:rPr/>
        <w:drawing>
          <wp:inline distT="0" distB="0" distL="0" distR="0">
            <wp:extent cx="4002405" cy="2428875"/>
            <wp:effectExtent l="0" t="0" r="0" b="0"/>
            <wp:docPr id="84"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08" descr=""/>
                    <pic:cNvPicPr>
                      <a:picLocks noChangeAspect="1" noChangeArrowheads="1"/>
                    </pic:cNvPicPr>
                  </pic:nvPicPr>
                  <pic:blipFill>
                    <a:blip r:embed="rId80"/>
                    <a:srcRect l="-4" t="-6" r="-4" b="-6"/>
                    <a:stretch>
                      <a:fillRect/>
                    </a:stretch>
                  </pic:blipFill>
                  <pic:spPr bwMode="auto">
                    <a:xfrm>
                      <a:off x="0" y="0"/>
                      <a:ext cx="4002405" cy="2428875"/>
                    </a:xfrm>
                    <a:prstGeom prst="rect">
                      <a:avLst/>
                    </a:prstGeom>
                  </pic:spPr>
                </pic:pic>
              </a:graphicData>
            </a:graphic>
          </wp:inline>
        </w:drawing>
      </w:r>
    </w:p>
    <w:p>
      <w:pPr>
        <w:pStyle w:val="TF"/>
        <w:rPr/>
      </w:pPr>
      <w:r>
        <w:rPr>
          <w:lang w:val="fr-FR"/>
        </w:rPr>
        <w:t>Figure 3: BLER vs. C/I</w:t>
      </w:r>
      <w:r>
        <w:rPr>
          <w:vertAlign w:val="subscript"/>
          <w:lang w:val="fr-FR"/>
        </w:rPr>
        <w:t>c</w:t>
      </w:r>
      <w:r>
        <w:rPr>
          <w:lang w:val="fr-FR"/>
        </w:rPr>
        <w:t>, TU50 no FH, DCS1800</w:t>
      </w:r>
    </w:p>
    <w:p>
      <w:pPr>
        <w:pStyle w:val="TH"/>
        <w:rPr/>
      </w:pPr>
      <w:r>
        <w:rPr/>
        <w:drawing>
          <wp:inline distT="0" distB="0" distL="0" distR="0">
            <wp:extent cx="4002405" cy="2428875"/>
            <wp:effectExtent l="0" t="0" r="0" b="0"/>
            <wp:docPr id="85"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09" descr=""/>
                    <pic:cNvPicPr>
                      <a:picLocks noChangeAspect="1" noChangeArrowheads="1"/>
                    </pic:cNvPicPr>
                  </pic:nvPicPr>
                  <pic:blipFill>
                    <a:blip r:embed="rId81"/>
                    <a:srcRect l="-4" t="-6" r="-4" b="-6"/>
                    <a:stretch>
                      <a:fillRect/>
                    </a:stretch>
                  </pic:blipFill>
                  <pic:spPr bwMode="auto">
                    <a:xfrm>
                      <a:off x="0" y="0"/>
                      <a:ext cx="4002405" cy="2428875"/>
                    </a:xfrm>
                    <a:prstGeom prst="rect">
                      <a:avLst/>
                    </a:prstGeom>
                  </pic:spPr>
                </pic:pic>
              </a:graphicData>
            </a:graphic>
          </wp:inline>
        </w:drawing>
      </w:r>
    </w:p>
    <w:p>
      <w:pPr>
        <w:pStyle w:val="TF"/>
        <w:rPr/>
      </w:pPr>
      <w:r>
        <w:rPr/>
        <w:t>Figure 4: BLER vs. C/I</w:t>
      </w:r>
      <w:r>
        <w:rPr>
          <w:vertAlign w:val="subscript"/>
        </w:rPr>
        <w:t>c</w:t>
      </w:r>
      <w:r>
        <w:rPr/>
        <w:t>, RA250 no FH, GSM900</w:t>
      </w:r>
    </w:p>
    <w:p>
      <w:pPr>
        <w:pStyle w:val="FP"/>
        <w:rPr/>
      </w:pPr>
      <w:r>
        <w:rPr/>
      </w:r>
    </w:p>
    <w:p>
      <w:pPr>
        <w:pStyle w:val="Heading1"/>
        <w:ind w:left="1134" w:hanging="1134"/>
        <w:rPr/>
      </w:pPr>
      <w:bookmarkStart w:id="384" w:name="__RefHeading___Toc518035818"/>
      <w:bookmarkEnd w:id="384"/>
      <w:r>
        <w:rPr/>
        <w:t>N.3</w:t>
        <w:tab/>
        <w:t>E</w:t>
      </w:r>
      <w:r>
        <w:rPr>
          <w:vertAlign w:val="subscript"/>
        </w:rPr>
        <w:t>b</w:t>
      </w:r>
      <w:r>
        <w:rPr/>
        <w:t>/N</w:t>
      </w:r>
      <w:r>
        <w:rPr>
          <w:vertAlign w:val="subscript"/>
        </w:rPr>
        <w:t>0</w:t>
      </w:r>
      <w:r>
        <w:rPr/>
        <w:t xml:space="preserve"> performance</w:t>
      </w:r>
    </w:p>
    <w:p>
      <w:pPr>
        <w:pStyle w:val="Normal"/>
        <w:rPr/>
      </w:pPr>
      <w:r>
        <w:rPr/>
        <w:t>The following figures show BLER vs. E</w:t>
      </w:r>
      <w:r>
        <w:rPr>
          <w:vertAlign w:val="subscript"/>
        </w:rPr>
        <w:t>b</w:t>
      </w:r>
      <w:r>
        <w:rPr/>
        <w:t>/N</w:t>
      </w:r>
      <w:r>
        <w:rPr>
          <w:vertAlign w:val="subscript"/>
        </w:rPr>
        <w:t>0</w:t>
      </w:r>
      <w:r>
        <w:rPr/>
        <w:t xml:space="preserve"> performance for CS-1 to CS-4 in different propagation models.</w:t>
      </w:r>
    </w:p>
    <w:p>
      <w:pPr>
        <w:pStyle w:val="TH"/>
        <w:rPr/>
      </w:pPr>
      <w:r>
        <w:rPr/>
        <w:drawing>
          <wp:inline distT="0" distB="0" distL="0" distR="0">
            <wp:extent cx="4190365" cy="2555875"/>
            <wp:effectExtent l="0" t="0" r="0" b="0"/>
            <wp:docPr id="86"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0" descr=""/>
                    <pic:cNvPicPr>
                      <a:picLocks noChangeAspect="1" noChangeArrowheads="1"/>
                    </pic:cNvPicPr>
                  </pic:nvPicPr>
                  <pic:blipFill>
                    <a:blip r:embed="rId82"/>
                    <a:srcRect l="-13" t="-22" r="-13" b="-22"/>
                    <a:stretch>
                      <a:fillRect/>
                    </a:stretch>
                  </pic:blipFill>
                  <pic:spPr bwMode="auto">
                    <a:xfrm>
                      <a:off x="0" y="0"/>
                      <a:ext cx="4190365" cy="2555875"/>
                    </a:xfrm>
                    <a:prstGeom prst="rect">
                      <a:avLst/>
                    </a:prstGeom>
                  </pic:spPr>
                </pic:pic>
              </a:graphicData>
            </a:graphic>
          </wp:inline>
        </w:drawing>
      </w:r>
    </w:p>
    <w:p>
      <w:pPr>
        <w:pStyle w:val="TF"/>
        <w:rPr/>
      </w:pPr>
      <w:r>
        <w:rPr>
          <w:lang w:val="pt-BR"/>
        </w:rPr>
        <w:t>Figure 5: BLER vs. E</w:t>
      </w:r>
      <w:r>
        <w:rPr>
          <w:vertAlign w:val="subscript"/>
          <w:lang w:val="pt-BR"/>
        </w:rPr>
        <w:t>b</w:t>
      </w:r>
      <w:r>
        <w:rPr>
          <w:lang w:val="pt-BR"/>
        </w:rPr>
        <w:t>/N</w:t>
      </w:r>
      <w:r>
        <w:rPr>
          <w:vertAlign w:val="subscript"/>
          <w:lang w:val="pt-BR"/>
        </w:rPr>
        <w:t>0</w:t>
      </w:r>
      <w:r>
        <w:rPr>
          <w:lang w:val="pt-BR"/>
        </w:rPr>
        <w:t>, TU50 no FH, GSM900</w:t>
      </w:r>
    </w:p>
    <w:p>
      <w:pPr>
        <w:pStyle w:val="TH"/>
        <w:rPr/>
      </w:pPr>
      <w:r>
        <w:rPr/>
        <w:drawing>
          <wp:inline distT="0" distB="0" distL="0" distR="0">
            <wp:extent cx="4177030" cy="2558415"/>
            <wp:effectExtent l="0" t="0" r="0" b="0"/>
            <wp:docPr id="87"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1" descr=""/>
                    <pic:cNvPicPr>
                      <a:picLocks noChangeAspect="1" noChangeArrowheads="1"/>
                    </pic:cNvPicPr>
                  </pic:nvPicPr>
                  <pic:blipFill>
                    <a:blip r:embed="rId83"/>
                    <a:srcRect l="-13" t="-21" r="-13" b="-21"/>
                    <a:stretch>
                      <a:fillRect/>
                    </a:stretch>
                  </pic:blipFill>
                  <pic:spPr bwMode="auto">
                    <a:xfrm>
                      <a:off x="0" y="0"/>
                      <a:ext cx="4177030" cy="2558415"/>
                    </a:xfrm>
                    <a:prstGeom prst="rect">
                      <a:avLst/>
                    </a:prstGeom>
                  </pic:spPr>
                </pic:pic>
              </a:graphicData>
            </a:graphic>
          </wp:inline>
        </w:drawing>
      </w:r>
    </w:p>
    <w:p>
      <w:pPr>
        <w:pStyle w:val="TF"/>
        <w:rPr/>
      </w:pPr>
      <w:r>
        <w:rPr>
          <w:lang w:val="pt-BR"/>
        </w:rPr>
        <w:t>Figure 6: BLER vs. E</w:t>
      </w:r>
      <w:r>
        <w:rPr>
          <w:vertAlign w:val="subscript"/>
          <w:lang w:val="pt-BR"/>
        </w:rPr>
        <w:t>b</w:t>
      </w:r>
      <w:r>
        <w:rPr>
          <w:lang w:val="pt-BR"/>
        </w:rPr>
        <w:t>/N</w:t>
      </w:r>
      <w:r>
        <w:rPr>
          <w:vertAlign w:val="subscript"/>
          <w:lang w:val="pt-BR"/>
        </w:rPr>
        <w:t>0</w:t>
      </w:r>
      <w:r>
        <w:rPr>
          <w:lang w:val="pt-BR"/>
        </w:rPr>
        <w:t>, RA250 no FH, GSM900</w:t>
      </w:r>
    </w:p>
    <w:p>
      <w:pPr>
        <w:pStyle w:val="TH"/>
        <w:rPr/>
      </w:pPr>
      <w:r>
        <w:rPr/>
        <w:drawing>
          <wp:inline distT="0" distB="0" distL="0" distR="0">
            <wp:extent cx="4267200" cy="2614930"/>
            <wp:effectExtent l="0" t="0" r="0" b="0"/>
            <wp:docPr id="88"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2" descr=""/>
                    <pic:cNvPicPr>
                      <a:picLocks noChangeAspect="1" noChangeArrowheads="1"/>
                    </pic:cNvPicPr>
                  </pic:nvPicPr>
                  <pic:blipFill>
                    <a:blip r:embed="rId84"/>
                    <a:srcRect l="-13" t="-21" r="-13" b="-21"/>
                    <a:stretch>
                      <a:fillRect/>
                    </a:stretch>
                  </pic:blipFill>
                  <pic:spPr bwMode="auto">
                    <a:xfrm>
                      <a:off x="0" y="0"/>
                      <a:ext cx="4267200" cy="2614930"/>
                    </a:xfrm>
                    <a:prstGeom prst="rect">
                      <a:avLst/>
                    </a:prstGeom>
                  </pic:spPr>
                </pic:pic>
              </a:graphicData>
            </a:graphic>
          </wp:inline>
        </w:drawing>
      </w:r>
    </w:p>
    <w:p>
      <w:pPr>
        <w:pStyle w:val="TF"/>
        <w:rPr/>
      </w:pPr>
      <w:r>
        <w:rPr>
          <w:lang w:val="fr-FR"/>
        </w:rPr>
        <w:t>Figure 7: BLER vs. E</w:t>
      </w:r>
      <w:r>
        <w:rPr>
          <w:vertAlign w:val="subscript"/>
          <w:lang w:val="fr-FR"/>
        </w:rPr>
        <w:t>b</w:t>
      </w:r>
      <w:r>
        <w:rPr>
          <w:lang w:val="fr-FR"/>
        </w:rPr>
        <w:t>/N</w:t>
      </w:r>
      <w:r>
        <w:rPr>
          <w:vertAlign w:val="subscript"/>
          <w:lang w:val="fr-FR"/>
        </w:rPr>
        <w:t>0</w:t>
      </w:r>
      <w:r>
        <w:rPr>
          <w:lang w:val="fr-FR"/>
        </w:rPr>
        <w:t>, TU50 ideal FH, DCS1800</w:t>
      </w:r>
    </w:p>
    <w:p>
      <w:pPr>
        <w:pStyle w:val="TH"/>
        <w:rPr/>
      </w:pPr>
      <w:r>
        <w:rPr/>
        <w:drawing>
          <wp:inline distT="0" distB="0" distL="0" distR="0">
            <wp:extent cx="4091940" cy="2507615"/>
            <wp:effectExtent l="0" t="0" r="0" b="0"/>
            <wp:docPr id="89"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13" descr=""/>
                    <pic:cNvPicPr>
                      <a:picLocks noChangeAspect="1" noChangeArrowheads="1"/>
                    </pic:cNvPicPr>
                  </pic:nvPicPr>
                  <pic:blipFill>
                    <a:blip r:embed="rId85"/>
                    <a:srcRect l="-13" t="-21" r="-13" b="-21"/>
                    <a:stretch>
                      <a:fillRect/>
                    </a:stretch>
                  </pic:blipFill>
                  <pic:spPr bwMode="auto">
                    <a:xfrm>
                      <a:off x="0" y="0"/>
                      <a:ext cx="4091940" cy="2507615"/>
                    </a:xfrm>
                    <a:prstGeom prst="rect">
                      <a:avLst/>
                    </a:prstGeom>
                  </pic:spPr>
                </pic:pic>
              </a:graphicData>
            </a:graphic>
          </wp:inline>
        </w:drawing>
      </w:r>
    </w:p>
    <w:p>
      <w:pPr>
        <w:pStyle w:val="TH"/>
        <w:rPr/>
      </w:pPr>
      <w:r>
        <w:rPr>
          <w:lang w:val="fr-FR"/>
        </w:rPr>
        <w:t>Figure 8: BLER vs. E</w:t>
      </w:r>
      <w:r>
        <w:rPr>
          <w:vertAlign w:val="subscript"/>
          <w:lang w:val="fr-FR"/>
        </w:rPr>
        <w:t>b</w:t>
      </w:r>
      <w:r>
        <w:rPr>
          <w:lang w:val="fr-FR"/>
        </w:rPr>
        <w:t>/N</w:t>
      </w:r>
      <w:r>
        <w:rPr>
          <w:vertAlign w:val="subscript"/>
          <w:lang w:val="fr-FR"/>
        </w:rPr>
        <w:t>0</w:t>
      </w:r>
      <w:r>
        <w:rPr>
          <w:lang w:val="fr-FR"/>
        </w:rPr>
        <w:t>, TU50 no FH, DCS1800</w:t>
      </w:r>
    </w:p>
    <w:p>
      <w:pPr>
        <w:pStyle w:val="TH"/>
        <w:rPr/>
      </w:pPr>
      <w:r>
        <w:rPr/>
        <w:drawing>
          <wp:inline distT="0" distB="0" distL="0" distR="0">
            <wp:extent cx="4070350" cy="2459990"/>
            <wp:effectExtent l="0" t="0" r="0" b="0"/>
            <wp:docPr id="90"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14" descr=""/>
                    <pic:cNvPicPr>
                      <a:picLocks noChangeAspect="1" noChangeArrowheads="1"/>
                    </pic:cNvPicPr>
                  </pic:nvPicPr>
                  <pic:blipFill>
                    <a:blip r:embed="rId86"/>
                    <a:srcRect l="-13" t="-22" r="-13" b="-22"/>
                    <a:stretch>
                      <a:fillRect/>
                    </a:stretch>
                  </pic:blipFill>
                  <pic:spPr bwMode="auto">
                    <a:xfrm>
                      <a:off x="0" y="0"/>
                      <a:ext cx="4070350" cy="2459990"/>
                    </a:xfrm>
                    <a:prstGeom prst="rect">
                      <a:avLst/>
                    </a:prstGeom>
                  </pic:spPr>
                </pic:pic>
              </a:graphicData>
            </a:graphic>
          </wp:inline>
        </w:drawing>
      </w:r>
    </w:p>
    <w:p>
      <w:pPr>
        <w:pStyle w:val="TF"/>
        <w:keepLines w:val="false"/>
        <w:rPr/>
      </w:pPr>
      <w:r>
        <w:rPr/>
        <w:t>Figure 9: BLER vs. E</w:t>
      </w:r>
      <w:r>
        <w:rPr>
          <w:vertAlign w:val="subscript"/>
        </w:rPr>
        <w:t>b</w:t>
      </w:r>
      <w:r>
        <w:rPr/>
        <w:t>/N</w:t>
      </w:r>
      <w:r>
        <w:rPr>
          <w:vertAlign w:val="subscript"/>
        </w:rPr>
        <w:t>0</w:t>
      </w:r>
      <w:r>
        <w:rPr/>
        <w:t>, static</w:t>
      </w:r>
    </w:p>
    <w:p>
      <w:pPr>
        <w:pStyle w:val="Heading1"/>
        <w:ind w:left="1134" w:hanging="1134"/>
        <w:rPr/>
      </w:pPr>
      <w:bookmarkStart w:id="385" w:name="__RefHeading___Toc518035819"/>
      <w:bookmarkEnd w:id="385"/>
      <w:r>
        <w:rPr/>
        <w:t>N.4</w:t>
        <w:tab/>
        <w:t>Conclusions</w:t>
      </w:r>
    </w:p>
    <w:p>
      <w:pPr>
        <w:pStyle w:val="Normal"/>
        <w:keepNext w:val="true"/>
        <w:keepLines/>
        <w:rPr/>
      </w:pPr>
      <w:r>
        <w:rPr/>
        <w:t>Based on the reported simulations results, the input signal level and the interference ratio can be derived at the reference BLER performance of 10% and they are included in [4] by adding a 2 dB implementation margin. At the specified reference performance our results do not allow for a specification of the input level in the case of CS-4 in GSM900 RA250 no FH (and as a consequence in DCS1800 RA130 no FH). The same applies for the interference ratio in GSM900 RA250 no FH (and DCS1800 RA130 no FH). Before taking a decision on how to deal with that, we encourage other companies to provide simulation results in the same conditions in order to check if the same problem occurs.</w:t>
      </w:r>
    </w:p>
    <w:p>
      <w:pPr>
        <w:pStyle w:val="Heading1"/>
        <w:ind w:left="1134" w:hanging="1134"/>
        <w:rPr/>
      </w:pPr>
      <w:bookmarkStart w:id="386" w:name="__RefHeading___Toc518035820"/>
      <w:bookmarkEnd w:id="386"/>
      <w:r>
        <w:rPr/>
        <w:t>N.5</w:t>
        <w:tab/>
        <w:t>References</w:t>
      </w:r>
    </w:p>
    <w:p>
      <w:pPr>
        <w:pStyle w:val="EX"/>
        <w:keepNext w:val="true"/>
        <w:rPr/>
      </w:pPr>
      <w:r>
        <w:rPr/>
        <w:t>[1]</w:t>
        <w:tab/>
        <w:t>TDoc SMG2 WPB 42/97: "Block Error Rate and USF Error Rate for GPRS"; Ericsson, 22-26 September, 1997- Edinburgh, Scotland.</w:t>
      </w:r>
    </w:p>
    <w:p>
      <w:pPr>
        <w:pStyle w:val="EX"/>
        <w:keepNext w:val="true"/>
        <w:rPr/>
      </w:pPr>
      <w:r>
        <w:rPr/>
        <w:t>[2]</w:t>
        <w:tab/>
        <w:t>TDoc SMG2 WPB 47/97: "Block Erasure Rate Performance for GPRS/CS-1, CS-2, CS-3 and CS-4 in TU50 ideal FH and TU3 no FH, in the presence of co-channel interference"; CSELT-Ericsson, 22-26 September, 1997- Edinburgh, Scotland.</w:t>
      </w:r>
    </w:p>
    <w:p>
      <w:pPr>
        <w:pStyle w:val="EX"/>
        <w:keepNext w:val="true"/>
        <w:rPr/>
      </w:pPr>
      <w:r>
        <w:rPr/>
        <w:t>[3]</w:t>
        <w:tab/>
        <w:t>TDoc SMG2 WPB 48/97: "Proposal on how to report GPRS performance into GSM 05.05"; CSELT, 22-26 September, 1997- Edinburgh, Scotland.</w:t>
      </w:r>
    </w:p>
    <w:p>
      <w:pPr>
        <w:pStyle w:val="EX"/>
        <w:keepNext w:val="true"/>
        <w:rPr/>
      </w:pPr>
      <w:r>
        <w:rPr/>
        <w:t>[4]</w:t>
        <w:tab/>
        <w:t>TDoc SMG2 WPB 101/97: "CR 05.05- A062 for input signal level and interference ratio at reference performance"; CSELT, 3-7 November, 1997- Bonn, Germany.</w:t>
      </w:r>
      <w:r>
        <w:br w:type="page"/>
      </w:r>
    </w:p>
    <w:p>
      <w:pPr>
        <w:pStyle w:val="Heading9"/>
        <w:rPr/>
      </w:pPr>
      <w:bookmarkStart w:id="387" w:name="__RefHeading___Toc518035821"/>
      <w:bookmarkEnd w:id="387"/>
      <w:r>
        <w:rPr/>
        <w:t>Annex O:</w:t>
        <w:br/>
        <w:t>Void</w:t>
      </w:r>
      <w:r>
        <w:br w:type="page"/>
      </w:r>
    </w:p>
    <w:p>
      <w:pPr>
        <w:pStyle w:val="Heading9"/>
        <w:rPr/>
      </w:pPr>
      <w:bookmarkStart w:id="388" w:name="__RefHeading___Toc518035822"/>
      <w:bookmarkEnd w:id="388"/>
      <w:r>
        <w:rPr/>
        <w:t>Annex P:</w:t>
        <w:br/>
        <w:t>Block Error Rate and USF Error Rate for GPRS</w:t>
      </w:r>
    </w:p>
    <w:p>
      <w:pPr>
        <w:pStyle w:val="Normal"/>
        <w:tabs>
          <w:tab w:val="clear" w:pos="284"/>
          <w:tab w:val="right" w:pos="9639" w:leader="none"/>
        </w:tabs>
        <w:rPr/>
      </w:pPr>
      <w:r>
        <w:rPr/>
        <w:t>ETSI STC SMG2 WPB</w:t>
        <w:tab/>
        <w:t>TDoc SMG2 WPB 127/97</w:t>
      </w:r>
    </w:p>
    <w:p>
      <w:pPr>
        <w:pStyle w:val="Normal"/>
        <w:rPr/>
      </w:pPr>
      <w:r>
        <w:rPr/>
        <w:t>November 3-7, 1997</w:t>
      </w:r>
    </w:p>
    <w:p>
      <w:pPr>
        <w:pStyle w:val="Normal"/>
        <w:rPr/>
      </w:pPr>
      <w:r>
        <w:rPr/>
        <w:t>Bonn, Germany</w:t>
      </w:r>
    </w:p>
    <w:p>
      <w:pPr>
        <w:pStyle w:val="Normal"/>
        <w:rPr/>
      </w:pPr>
      <w:r>
        <w:rPr>
          <w:b/>
        </w:rPr>
        <w:t>Title: Block Error Rate and USF Error Rate for GPRS</w:t>
      </w:r>
    </w:p>
    <w:p>
      <w:pPr>
        <w:pStyle w:val="Normal"/>
        <w:rPr/>
      </w:pPr>
      <w:r>
        <w:rPr/>
        <w:t>Source: Ericsson</w:t>
      </w:r>
    </w:p>
    <w:p>
      <w:pPr>
        <w:pStyle w:val="Heading1"/>
        <w:ind w:left="1134" w:hanging="1134"/>
        <w:rPr/>
      </w:pPr>
      <w:bookmarkStart w:id="389" w:name="__RefHeading___Toc518035823"/>
      <w:bookmarkEnd w:id="389"/>
      <w:r>
        <w:rPr/>
        <w:t>P.1</w:t>
        <w:tab/>
        <w:t>Introduction</w:t>
      </w:r>
    </w:p>
    <w:p>
      <w:pPr>
        <w:pStyle w:val="Normal"/>
        <w:rPr/>
      </w:pPr>
      <w:r>
        <w:rPr/>
        <w:t>BLER (Block Error Rate) and USF (Uplink State Flag) error rate for GPRS are presented for different channel assumptions. Simulations have been performed for all reference environments defined in GSM 05.05 at 900 MHz..</w:t>
      </w:r>
    </w:p>
    <w:p>
      <w:pPr>
        <w:pStyle w:val="Heading1"/>
        <w:ind w:left="1134" w:hanging="1134"/>
        <w:rPr/>
      </w:pPr>
      <w:bookmarkStart w:id="390" w:name="__RefHeading___Toc518035824"/>
      <w:bookmarkEnd w:id="390"/>
      <w:r>
        <w:rPr/>
        <w:t>P.2</w:t>
        <w:tab/>
        <w:t>Simulation Assumptions</w:t>
      </w:r>
    </w:p>
    <w:p>
      <w:pPr>
        <w:pStyle w:val="Normal"/>
        <w:rPr/>
      </w:pPr>
      <w:r>
        <w:rPr/>
        <w:t>Assumptions used in the simulations are:</w:t>
      </w:r>
    </w:p>
    <w:p>
      <w:pPr>
        <w:pStyle w:val="B1"/>
        <w:rPr/>
      </w:pPr>
      <w:r>
        <w:rPr/>
        <w:t>-</w:t>
        <w:tab/>
        <w:t>Varying channel during each burst according to the velocity.</w:t>
      </w:r>
    </w:p>
    <w:p>
      <w:pPr>
        <w:pStyle w:val="Normal"/>
        <w:rPr/>
      </w:pPr>
      <w:r>
        <w:rPr/>
        <w:t>Interference simulations: Interference from one single interferer, E</w:t>
      </w:r>
      <w:r>
        <w:rPr>
          <w:vertAlign w:val="subscript"/>
        </w:rPr>
        <w:t>b</w:t>
      </w:r>
      <w:r>
        <w:rPr/>
        <w:t>/ N</w:t>
      </w:r>
      <w:r>
        <w:rPr>
          <w:vertAlign w:val="subscript"/>
        </w:rPr>
        <w:t>0</w:t>
      </w:r>
      <w:r>
        <w:rPr/>
        <w:t>=28 dB:</w:t>
      </w:r>
    </w:p>
    <w:p>
      <w:pPr>
        <w:pStyle w:val="B1"/>
        <w:rPr/>
      </w:pPr>
      <w:r>
        <w:rPr/>
        <w:t>-</w:t>
        <w:tab/>
        <w:t>No antenna diversity.</w:t>
      </w:r>
    </w:p>
    <w:p>
      <w:pPr>
        <w:pStyle w:val="B1"/>
        <w:rPr/>
      </w:pPr>
      <w:r>
        <w:rPr/>
        <w:t>-</w:t>
        <w:tab/>
        <w:t>Synchronization on burst basis.</w:t>
      </w:r>
    </w:p>
    <w:p>
      <w:pPr>
        <w:pStyle w:val="B1"/>
        <w:rPr/>
      </w:pPr>
      <w:r>
        <w:rPr/>
        <w:t>-</w:t>
        <w:tab/>
        <w:t>16-state soft output MLSE-equalizer.</w:t>
      </w:r>
    </w:p>
    <w:p>
      <w:pPr>
        <w:pStyle w:val="B1"/>
        <w:rPr/>
      </w:pPr>
      <w:r>
        <w:rPr/>
        <w:t>-</w:t>
        <w:tab/>
        <w:t>Channel coding according to GSM 03.64.</w:t>
      </w:r>
    </w:p>
    <w:p>
      <w:pPr>
        <w:pStyle w:val="Normal"/>
        <w:rPr/>
      </w:pPr>
      <w:r>
        <w:rPr/>
        <w:t>For CS-2, CS-3 and CS-4, decoding of USF is performed by soft correlation with the eight possible 12-bit codewords. For CS-1, USF error is detected after normal decoding of the convolutional code. This means that the performance for the USF is equal for CS-2, CS-3 and CS-4. For CS-1 a slightly worse performance is achieved but it is still significantly better than the corresponding BLER.</w:t>
      </w:r>
    </w:p>
    <w:p>
      <w:pPr>
        <w:pStyle w:val="Heading1"/>
        <w:ind w:left="1134" w:hanging="1134"/>
        <w:rPr/>
      </w:pPr>
      <w:bookmarkStart w:id="391" w:name="__RefHeading___Toc518035825"/>
      <w:bookmarkEnd w:id="391"/>
      <w:r>
        <w:rPr/>
        <w:t>P.3</w:t>
        <w:tab/>
        <w:t>Simulation Results</w:t>
      </w:r>
    </w:p>
    <w:p>
      <w:pPr>
        <w:pStyle w:val="Heading2"/>
        <w:rPr/>
      </w:pPr>
      <w:bookmarkStart w:id="392" w:name="__RefHeading___Toc518035826"/>
      <w:bookmarkEnd w:id="392"/>
      <w:r>
        <w:rPr/>
        <w:t>P.3.1</w:t>
        <w:tab/>
        <w:t>Interference Simulations</w:t>
      </w:r>
    </w:p>
    <w:p>
      <w:pPr>
        <w:pStyle w:val="Heading3"/>
        <w:rPr/>
      </w:pPr>
      <w:bookmarkStart w:id="393" w:name="__RefHeading___Toc518035827"/>
      <w:bookmarkEnd w:id="393"/>
      <w:r>
        <w:rPr/>
        <w:t>P.3.1.1</w:t>
        <w:tab/>
        <w:t>TU50 Ideal Frequency Hopping</w:t>
      </w:r>
    </w:p>
    <w:p>
      <w:pPr>
        <w:pStyle w:val="TH"/>
        <w:rPr/>
      </w:pPr>
      <w:r>
        <w:rPr/>
        <w:drawing>
          <wp:inline distT="0" distB="0" distL="0" distR="0">
            <wp:extent cx="3961130" cy="3241040"/>
            <wp:effectExtent l="0" t="0" r="0" b="0"/>
            <wp:docPr id="91"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15" descr=""/>
                    <pic:cNvPicPr>
                      <a:picLocks noChangeAspect="1" noChangeArrowheads="1"/>
                    </pic:cNvPicPr>
                  </pic:nvPicPr>
                  <pic:blipFill>
                    <a:blip r:embed="rId87"/>
                    <a:srcRect l="-6" t="-7" r="-6" b="-7"/>
                    <a:stretch>
                      <a:fillRect/>
                    </a:stretch>
                  </pic:blipFill>
                  <pic:spPr bwMode="auto">
                    <a:xfrm>
                      <a:off x="0" y="0"/>
                      <a:ext cx="3961130" cy="3241040"/>
                    </a:xfrm>
                    <a:prstGeom prst="rect">
                      <a:avLst/>
                    </a:prstGeom>
                  </pic:spPr>
                </pic:pic>
              </a:graphicData>
            </a:graphic>
          </wp:inline>
        </w:drawing>
      </w:r>
    </w:p>
    <w:p>
      <w:pPr>
        <w:pStyle w:val="TF"/>
        <w:rPr/>
      </w:pPr>
      <w:r>
        <w:rPr/>
        <w:t xml:space="preserve">Figure </w:t>
      </w:r>
      <w:r>
        <w:rPr>
          <w:lang w:val="en-US" w:eastAsia="en-US"/>
        </w:rPr>
        <w:t>1</w:t>
      </w:r>
      <w:r>
        <w:rPr/>
        <w:t>: BLER for TU50 ideal frequency hopping</w:t>
      </w:r>
    </w:p>
    <w:p>
      <w:pPr>
        <w:pStyle w:val="NF"/>
        <w:rPr/>
      </w:pPr>
      <w:r>
        <w:rPr/>
      </w:r>
    </w:p>
    <w:p>
      <w:pPr>
        <w:pStyle w:val="TH"/>
        <w:rPr/>
      </w:pPr>
      <w:r>
        <w:rPr/>
        <w:drawing>
          <wp:inline distT="0" distB="0" distL="0" distR="0">
            <wp:extent cx="3962400" cy="3238500"/>
            <wp:effectExtent l="0" t="0" r="0" b="0"/>
            <wp:docPr id="92"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16" descr=""/>
                    <pic:cNvPicPr>
                      <a:picLocks noChangeAspect="1" noChangeArrowheads="1"/>
                    </pic:cNvPicPr>
                  </pic:nvPicPr>
                  <pic:blipFill>
                    <a:blip r:embed="rId88"/>
                    <a:srcRect l="-6" t="-7" r="-6" b="-7"/>
                    <a:stretch>
                      <a:fillRect/>
                    </a:stretch>
                  </pic:blipFill>
                  <pic:spPr bwMode="auto">
                    <a:xfrm>
                      <a:off x="0" y="0"/>
                      <a:ext cx="3962400" cy="3238500"/>
                    </a:xfrm>
                    <a:prstGeom prst="rect">
                      <a:avLst/>
                    </a:prstGeom>
                  </pic:spPr>
                </pic:pic>
              </a:graphicData>
            </a:graphic>
          </wp:inline>
        </w:drawing>
      </w:r>
    </w:p>
    <w:p>
      <w:pPr>
        <w:pStyle w:val="TF"/>
        <w:rPr/>
      </w:pPr>
      <w:r>
        <w:rPr/>
        <w:t xml:space="preserve">Figure </w:t>
      </w:r>
      <w:r>
        <w:rPr>
          <w:lang w:val="en-US" w:eastAsia="en-US"/>
        </w:rPr>
        <w:t>2</w:t>
      </w:r>
      <w:r>
        <w:rPr/>
        <w:t>: USF performance for TU50 ideal frequency hopping</w:t>
      </w:r>
    </w:p>
    <w:p>
      <w:pPr>
        <w:pStyle w:val="Heading3"/>
        <w:rPr/>
      </w:pPr>
      <w:bookmarkStart w:id="394" w:name="__RefHeading___Toc518035828"/>
      <w:bookmarkEnd w:id="394"/>
      <w:r>
        <w:rPr/>
        <w:t>P.3.1.2</w:t>
        <w:tab/>
        <w:t>TU50 No Frequency Hopping</w:t>
      </w:r>
    </w:p>
    <w:p>
      <w:pPr>
        <w:pStyle w:val="TH"/>
        <w:rPr/>
      </w:pPr>
      <w:r>
        <w:rPr/>
        <w:drawing>
          <wp:inline distT="0" distB="0" distL="0" distR="0">
            <wp:extent cx="3961130" cy="3241040"/>
            <wp:effectExtent l="0" t="0" r="0" b="0"/>
            <wp:docPr id="93"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17" descr=""/>
                    <pic:cNvPicPr>
                      <a:picLocks noChangeAspect="1" noChangeArrowheads="1"/>
                    </pic:cNvPicPr>
                  </pic:nvPicPr>
                  <pic:blipFill>
                    <a:blip r:embed="rId89"/>
                    <a:srcRect l="-6" t="-7" r="-6" b="-7"/>
                    <a:stretch>
                      <a:fillRect/>
                    </a:stretch>
                  </pic:blipFill>
                  <pic:spPr bwMode="auto">
                    <a:xfrm>
                      <a:off x="0" y="0"/>
                      <a:ext cx="3961130" cy="3241040"/>
                    </a:xfrm>
                    <a:prstGeom prst="rect">
                      <a:avLst/>
                    </a:prstGeom>
                  </pic:spPr>
                </pic:pic>
              </a:graphicData>
            </a:graphic>
          </wp:inline>
        </w:drawing>
      </w:r>
    </w:p>
    <w:p>
      <w:pPr>
        <w:pStyle w:val="TF"/>
        <w:rPr/>
      </w:pPr>
      <w:r>
        <w:rPr/>
        <w:t xml:space="preserve">Figure </w:t>
      </w:r>
      <w:r>
        <w:rPr>
          <w:lang w:val="en-US" w:eastAsia="en-US"/>
        </w:rPr>
        <w:t>3</w:t>
      </w:r>
      <w:r>
        <w:rPr/>
        <w:t>: BLER for TU50 no frequency hopping</w:t>
      </w:r>
    </w:p>
    <w:p>
      <w:pPr>
        <w:pStyle w:val="NF"/>
        <w:rPr/>
      </w:pPr>
      <w:r>
        <w:rPr/>
      </w:r>
    </w:p>
    <w:p>
      <w:pPr>
        <w:pStyle w:val="TH"/>
        <w:rPr/>
      </w:pPr>
      <w:r>
        <w:rPr/>
        <w:drawing>
          <wp:inline distT="0" distB="0" distL="0" distR="0">
            <wp:extent cx="3962400" cy="3238500"/>
            <wp:effectExtent l="0" t="0" r="0" b="0"/>
            <wp:docPr id="94"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18" descr=""/>
                    <pic:cNvPicPr>
                      <a:picLocks noChangeAspect="1" noChangeArrowheads="1"/>
                    </pic:cNvPicPr>
                  </pic:nvPicPr>
                  <pic:blipFill>
                    <a:blip r:embed="rId90"/>
                    <a:srcRect l="-6" t="-7" r="-6" b="-7"/>
                    <a:stretch>
                      <a:fillRect/>
                    </a:stretch>
                  </pic:blipFill>
                  <pic:spPr bwMode="auto">
                    <a:xfrm>
                      <a:off x="0" y="0"/>
                      <a:ext cx="3962400" cy="3238500"/>
                    </a:xfrm>
                    <a:prstGeom prst="rect">
                      <a:avLst/>
                    </a:prstGeom>
                  </pic:spPr>
                </pic:pic>
              </a:graphicData>
            </a:graphic>
          </wp:inline>
        </w:drawing>
      </w:r>
    </w:p>
    <w:p>
      <w:pPr>
        <w:pStyle w:val="TF"/>
        <w:rPr/>
      </w:pPr>
      <w:r>
        <w:rPr/>
        <w:t xml:space="preserve">Figure </w:t>
      </w:r>
      <w:r>
        <w:rPr>
          <w:lang w:val="en-US" w:eastAsia="en-US"/>
        </w:rPr>
        <w:t>4</w:t>
      </w:r>
      <w:r>
        <w:rPr/>
        <w:t>: USF performance for TU50 no frequency hopping</w:t>
      </w:r>
    </w:p>
    <w:p>
      <w:pPr>
        <w:pStyle w:val="Heading3"/>
        <w:rPr/>
      </w:pPr>
      <w:bookmarkStart w:id="395" w:name="__RefHeading___Toc518035829"/>
      <w:bookmarkEnd w:id="395"/>
      <w:r>
        <w:rPr/>
        <w:t>P.3.1.3</w:t>
        <w:tab/>
        <w:t>TU3 Ideal Frequency Hopping</w:t>
      </w:r>
    </w:p>
    <w:p>
      <w:pPr>
        <w:pStyle w:val="TH"/>
        <w:rPr/>
      </w:pPr>
      <w:r>
        <w:rPr/>
        <w:drawing>
          <wp:inline distT="0" distB="0" distL="0" distR="0">
            <wp:extent cx="3961130" cy="3241040"/>
            <wp:effectExtent l="0" t="0" r="0" b="0"/>
            <wp:docPr id="95"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9" descr=""/>
                    <pic:cNvPicPr>
                      <a:picLocks noChangeAspect="1" noChangeArrowheads="1"/>
                    </pic:cNvPicPr>
                  </pic:nvPicPr>
                  <pic:blipFill>
                    <a:blip r:embed="rId91"/>
                    <a:srcRect l="-6" t="-7" r="-6" b="-7"/>
                    <a:stretch>
                      <a:fillRect/>
                    </a:stretch>
                  </pic:blipFill>
                  <pic:spPr bwMode="auto">
                    <a:xfrm>
                      <a:off x="0" y="0"/>
                      <a:ext cx="3961130" cy="3241040"/>
                    </a:xfrm>
                    <a:prstGeom prst="rect">
                      <a:avLst/>
                    </a:prstGeom>
                  </pic:spPr>
                </pic:pic>
              </a:graphicData>
            </a:graphic>
          </wp:inline>
        </w:drawing>
      </w:r>
    </w:p>
    <w:p>
      <w:pPr>
        <w:pStyle w:val="TF"/>
        <w:rPr/>
      </w:pPr>
      <w:r>
        <w:rPr/>
        <w:t xml:space="preserve">Figure </w:t>
      </w:r>
      <w:r>
        <w:rPr>
          <w:lang w:val="en-US" w:eastAsia="en-US"/>
        </w:rPr>
        <w:t>5</w:t>
      </w:r>
      <w:r>
        <w:rPr/>
        <w:t>: BLER for TU3 ideal frequency hopping</w:t>
      </w:r>
    </w:p>
    <w:p>
      <w:pPr>
        <w:pStyle w:val="NF"/>
        <w:rPr/>
      </w:pPr>
      <w:r>
        <w:rPr/>
      </w:r>
    </w:p>
    <w:p>
      <w:pPr>
        <w:pStyle w:val="TH"/>
        <w:rPr/>
      </w:pPr>
      <w:r>
        <w:rPr/>
        <w:drawing>
          <wp:inline distT="0" distB="0" distL="0" distR="0">
            <wp:extent cx="3962400" cy="3238500"/>
            <wp:effectExtent l="0" t="0" r="0" b="0"/>
            <wp:docPr id="96"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20" descr=""/>
                    <pic:cNvPicPr>
                      <a:picLocks noChangeAspect="1" noChangeArrowheads="1"/>
                    </pic:cNvPicPr>
                  </pic:nvPicPr>
                  <pic:blipFill>
                    <a:blip r:embed="rId92"/>
                    <a:srcRect l="-6" t="-7" r="-6" b="-7"/>
                    <a:stretch>
                      <a:fillRect/>
                    </a:stretch>
                  </pic:blipFill>
                  <pic:spPr bwMode="auto">
                    <a:xfrm>
                      <a:off x="0" y="0"/>
                      <a:ext cx="3962400" cy="3238500"/>
                    </a:xfrm>
                    <a:prstGeom prst="rect">
                      <a:avLst/>
                    </a:prstGeom>
                  </pic:spPr>
                </pic:pic>
              </a:graphicData>
            </a:graphic>
          </wp:inline>
        </w:drawing>
      </w:r>
    </w:p>
    <w:p>
      <w:pPr>
        <w:pStyle w:val="TF"/>
        <w:rPr/>
      </w:pPr>
      <w:r>
        <w:rPr/>
        <w:t xml:space="preserve">Figure </w:t>
      </w:r>
      <w:r>
        <w:rPr>
          <w:lang w:val="en-US" w:eastAsia="en-US"/>
        </w:rPr>
        <w:t>6</w:t>
      </w:r>
      <w:r>
        <w:rPr/>
        <w:t>: USF performance for TU3 ideal frequency hopping</w:t>
      </w:r>
    </w:p>
    <w:p>
      <w:pPr>
        <w:pStyle w:val="Heading3"/>
        <w:rPr/>
      </w:pPr>
      <w:bookmarkStart w:id="396" w:name="__RefHeading___Toc518035830"/>
      <w:bookmarkEnd w:id="396"/>
      <w:r>
        <w:rPr/>
        <w:t>P.3.1.4</w:t>
        <w:tab/>
        <w:t>TU3 No Frequency Hopping</w:t>
      </w:r>
    </w:p>
    <w:p>
      <w:pPr>
        <w:pStyle w:val="TH"/>
        <w:rPr/>
      </w:pPr>
      <w:r>
        <w:rPr/>
        <w:drawing>
          <wp:inline distT="0" distB="0" distL="0" distR="0">
            <wp:extent cx="3961130" cy="3238500"/>
            <wp:effectExtent l="0" t="0" r="0" b="0"/>
            <wp:docPr id="97"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21" descr=""/>
                    <pic:cNvPicPr>
                      <a:picLocks noChangeAspect="1" noChangeArrowheads="1"/>
                    </pic:cNvPicPr>
                  </pic:nvPicPr>
                  <pic:blipFill>
                    <a:blip r:embed="rId93"/>
                    <a:srcRect l="-6" t="-7" r="-6" b="-7"/>
                    <a:stretch>
                      <a:fillRect/>
                    </a:stretch>
                  </pic:blipFill>
                  <pic:spPr bwMode="auto">
                    <a:xfrm>
                      <a:off x="0" y="0"/>
                      <a:ext cx="3961130" cy="3238500"/>
                    </a:xfrm>
                    <a:prstGeom prst="rect">
                      <a:avLst/>
                    </a:prstGeom>
                  </pic:spPr>
                </pic:pic>
              </a:graphicData>
            </a:graphic>
          </wp:inline>
        </w:drawing>
      </w:r>
    </w:p>
    <w:p>
      <w:pPr>
        <w:pStyle w:val="TF"/>
        <w:rPr/>
      </w:pPr>
      <w:r>
        <w:rPr/>
        <w:t xml:space="preserve">Figure </w:t>
      </w:r>
      <w:r>
        <w:rPr>
          <w:lang w:val="en-US" w:eastAsia="en-US"/>
        </w:rPr>
        <w:t>7</w:t>
      </w:r>
      <w:r>
        <w:rPr/>
        <w:t>: BLER for TU3 no frequency hopping</w:t>
      </w:r>
    </w:p>
    <w:p>
      <w:pPr>
        <w:pStyle w:val="NF"/>
        <w:rPr/>
      </w:pPr>
      <w:r>
        <w:rPr/>
      </w:r>
    </w:p>
    <w:p>
      <w:pPr>
        <w:pStyle w:val="TH"/>
        <w:rPr/>
      </w:pPr>
      <w:r>
        <w:rPr/>
        <w:drawing>
          <wp:inline distT="0" distB="0" distL="0" distR="0">
            <wp:extent cx="3962400" cy="3238500"/>
            <wp:effectExtent l="0" t="0" r="0" b="0"/>
            <wp:docPr id="98"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22" descr=""/>
                    <pic:cNvPicPr>
                      <a:picLocks noChangeAspect="1" noChangeArrowheads="1"/>
                    </pic:cNvPicPr>
                  </pic:nvPicPr>
                  <pic:blipFill>
                    <a:blip r:embed="rId94"/>
                    <a:srcRect l="-6" t="-7" r="-6" b="-7"/>
                    <a:stretch>
                      <a:fillRect/>
                    </a:stretch>
                  </pic:blipFill>
                  <pic:spPr bwMode="auto">
                    <a:xfrm>
                      <a:off x="0" y="0"/>
                      <a:ext cx="3962400" cy="3238500"/>
                    </a:xfrm>
                    <a:prstGeom prst="rect">
                      <a:avLst/>
                    </a:prstGeom>
                  </pic:spPr>
                </pic:pic>
              </a:graphicData>
            </a:graphic>
          </wp:inline>
        </w:drawing>
      </w:r>
    </w:p>
    <w:p>
      <w:pPr>
        <w:pStyle w:val="TF"/>
        <w:rPr/>
      </w:pPr>
      <w:r>
        <w:rPr/>
        <w:t xml:space="preserve">Figure </w:t>
      </w:r>
      <w:r>
        <w:rPr>
          <w:lang w:val="en-US" w:eastAsia="en-US"/>
        </w:rPr>
        <w:t>8</w:t>
      </w:r>
      <w:r>
        <w:rPr/>
        <w:t>: USF performance for TU3 no frequency hopping</w:t>
      </w:r>
    </w:p>
    <w:p>
      <w:pPr>
        <w:pStyle w:val="Heading3"/>
        <w:rPr/>
      </w:pPr>
      <w:bookmarkStart w:id="397" w:name="__RefHeading___Toc518035831"/>
      <w:bookmarkEnd w:id="397"/>
      <w:r>
        <w:rPr/>
        <w:t>P.3.1.5</w:t>
        <w:tab/>
        <w:t>RA250 No Frequency Hopping</w:t>
      </w:r>
    </w:p>
    <w:p>
      <w:pPr>
        <w:pStyle w:val="TH"/>
        <w:rPr/>
      </w:pPr>
      <w:r>
        <w:rPr/>
        <w:drawing>
          <wp:inline distT="0" distB="0" distL="0" distR="0">
            <wp:extent cx="3961130" cy="3241040"/>
            <wp:effectExtent l="0" t="0" r="0" b="0"/>
            <wp:docPr id="99"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3" descr=""/>
                    <pic:cNvPicPr>
                      <a:picLocks noChangeAspect="1" noChangeArrowheads="1"/>
                    </pic:cNvPicPr>
                  </pic:nvPicPr>
                  <pic:blipFill>
                    <a:blip r:embed="rId95"/>
                    <a:srcRect l="-6" t="-7" r="-6" b="-7"/>
                    <a:stretch>
                      <a:fillRect/>
                    </a:stretch>
                  </pic:blipFill>
                  <pic:spPr bwMode="auto">
                    <a:xfrm>
                      <a:off x="0" y="0"/>
                      <a:ext cx="3961130" cy="3241040"/>
                    </a:xfrm>
                    <a:prstGeom prst="rect">
                      <a:avLst/>
                    </a:prstGeom>
                  </pic:spPr>
                </pic:pic>
              </a:graphicData>
            </a:graphic>
          </wp:inline>
        </w:drawing>
      </w:r>
    </w:p>
    <w:p>
      <w:pPr>
        <w:pStyle w:val="TF"/>
        <w:rPr/>
      </w:pPr>
      <w:r>
        <w:rPr/>
        <w:t xml:space="preserve">Figure </w:t>
      </w:r>
      <w:r>
        <w:rPr>
          <w:lang w:val="en-US" w:eastAsia="en-US"/>
        </w:rPr>
        <w:t>9</w:t>
      </w:r>
      <w:r>
        <w:rPr/>
        <w:t>: BLER for RA250 no frequency hopping</w:t>
      </w:r>
    </w:p>
    <w:p>
      <w:pPr>
        <w:pStyle w:val="NF"/>
        <w:rPr/>
      </w:pPr>
      <w:r>
        <w:rPr/>
      </w:r>
    </w:p>
    <w:p>
      <w:pPr>
        <w:pStyle w:val="TH"/>
        <w:rPr/>
      </w:pPr>
      <w:r>
        <w:rPr/>
        <w:drawing>
          <wp:inline distT="0" distB="0" distL="0" distR="0">
            <wp:extent cx="3962400" cy="3238500"/>
            <wp:effectExtent l="0" t="0" r="0" b="0"/>
            <wp:docPr id="100"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24" descr=""/>
                    <pic:cNvPicPr>
                      <a:picLocks noChangeAspect="1" noChangeArrowheads="1"/>
                    </pic:cNvPicPr>
                  </pic:nvPicPr>
                  <pic:blipFill>
                    <a:blip r:embed="rId96"/>
                    <a:srcRect l="-6" t="-7" r="-6" b="-7"/>
                    <a:stretch>
                      <a:fillRect/>
                    </a:stretch>
                  </pic:blipFill>
                  <pic:spPr bwMode="auto">
                    <a:xfrm>
                      <a:off x="0" y="0"/>
                      <a:ext cx="3962400" cy="3238500"/>
                    </a:xfrm>
                    <a:prstGeom prst="rect">
                      <a:avLst/>
                    </a:prstGeom>
                  </pic:spPr>
                </pic:pic>
              </a:graphicData>
            </a:graphic>
          </wp:inline>
        </w:drawing>
      </w:r>
    </w:p>
    <w:p>
      <w:pPr>
        <w:pStyle w:val="TF"/>
        <w:rPr/>
      </w:pPr>
      <w:r>
        <w:rPr/>
        <w:t xml:space="preserve">Figure </w:t>
      </w:r>
      <w:r>
        <w:rPr>
          <w:lang w:val="en-US" w:eastAsia="en-US"/>
        </w:rPr>
        <w:t>10</w:t>
      </w:r>
      <w:r>
        <w:rPr/>
        <w:t>: USF performance for RA250 no frequency hopping</w:t>
      </w:r>
    </w:p>
    <w:p>
      <w:pPr>
        <w:pStyle w:val="Heading2"/>
        <w:rPr/>
      </w:pPr>
      <w:bookmarkStart w:id="398" w:name="__RefHeading___Toc518035832"/>
      <w:bookmarkEnd w:id="398"/>
      <w:r>
        <w:rPr/>
        <w:t>P.3.2</w:t>
        <w:tab/>
        <w:t>Sensitivity Simulations</w:t>
      </w:r>
    </w:p>
    <w:p>
      <w:pPr>
        <w:pStyle w:val="Heading3"/>
        <w:rPr/>
      </w:pPr>
      <w:bookmarkStart w:id="399" w:name="__RefHeading___Toc518035833"/>
      <w:bookmarkEnd w:id="399"/>
      <w:r>
        <w:rPr/>
        <w:t>P.3.2.1</w:t>
        <w:tab/>
        <w:t>TU50 Ideal Frequency Hopping</w:t>
      </w:r>
    </w:p>
    <w:p>
      <w:pPr>
        <w:pStyle w:val="TH"/>
        <w:rPr/>
      </w:pPr>
      <w:r>
        <w:rPr/>
        <w:drawing>
          <wp:inline distT="0" distB="0" distL="0" distR="0">
            <wp:extent cx="3961130" cy="3242310"/>
            <wp:effectExtent l="0" t="0" r="0" b="0"/>
            <wp:docPr id="101"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25" descr=""/>
                    <pic:cNvPicPr>
                      <a:picLocks noChangeAspect="1" noChangeArrowheads="1"/>
                    </pic:cNvPicPr>
                  </pic:nvPicPr>
                  <pic:blipFill>
                    <a:blip r:embed="rId97"/>
                    <a:srcRect l="-6" t="-7" r="-6" b="-7"/>
                    <a:stretch>
                      <a:fillRect/>
                    </a:stretch>
                  </pic:blipFill>
                  <pic:spPr bwMode="auto">
                    <a:xfrm>
                      <a:off x="0" y="0"/>
                      <a:ext cx="3961130" cy="3242310"/>
                    </a:xfrm>
                    <a:prstGeom prst="rect">
                      <a:avLst/>
                    </a:prstGeom>
                  </pic:spPr>
                </pic:pic>
              </a:graphicData>
            </a:graphic>
          </wp:inline>
        </w:drawing>
      </w:r>
    </w:p>
    <w:p>
      <w:pPr>
        <w:pStyle w:val="TF"/>
        <w:rPr/>
      </w:pPr>
      <w:r>
        <w:rPr/>
        <w:t xml:space="preserve">Figure </w:t>
      </w:r>
      <w:r>
        <w:rPr>
          <w:lang w:val="en-US" w:eastAsia="en-US"/>
        </w:rPr>
        <w:t>11</w:t>
      </w:r>
      <w:r>
        <w:rPr/>
        <w:t>: BLER for TU50 ideal frequency hopping</w:t>
      </w:r>
    </w:p>
    <w:p>
      <w:pPr>
        <w:pStyle w:val="NF"/>
        <w:rPr/>
      </w:pPr>
      <w:r>
        <w:rPr/>
      </w:r>
    </w:p>
    <w:p>
      <w:pPr>
        <w:pStyle w:val="TH"/>
        <w:rPr/>
      </w:pPr>
      <w:r>
        <w:rPr/>
        <w:drawing>
          <wp:inline distT="0" distB="0" distL="0" distR="0">
            <wp:extent cx="3962400" cy="3242945"/>
            <wp:effectExtent l="0" t="0" r="0" b="0"/>
            <wp:docPr id="102"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26" descr=""/>
                    <pic:cNvPicPr>
                      <a:picLocks noChangeAspect="1" noChangeArrowheads="1"/>
                    </pic:cNvPicPr>
                  </pic:nvPicPr>
                  <pic:blipFill>
                    <a:blip r:embed="rId98"/>
                    <a:srcRect l="-6" t="-7" r="-6" b="-7"/>
                    <a:stretch>
                      <a:fillRect/>
                    </a:stretch>
                  </pic:blipFill>
                  <pic:spPr bwMode="auto">
                    <a:xfrm>
                      <a:off x="0" y="0"/>
                      <a:ext cx="3962400" cy="3242945"/>
                    </a:xfrm>
                    <a:prstGeom prst="rect">
                      <a:avLst/>
                    </a:prstGeom>
                  </pic:spPr>
                </pic:pic>
              </a:graphicData>
            </a:graphic>
          </wp:inline>
        </w:drawing>
      </w:r>
    </w:p>
    <w:p>
      <w:pPr>
        <w:pStyle w:val="TF"/>
        <w:rPr/>
      </w:pPr>
      <w:r>
        <w:rPr/>
        <w:t xml:space="preserve">Figure </w:t>
      </w:r>
      <w:r>
        <w:rPr>
          <w:lang w:val="en-US" w:eastAsia="en-US"/>
        </w:rPr>
        <w:t>12</w:t>
      </w:r>
      <w:r>
        <w:rPr/>
        <w:t>: USF performance for TU50 ideal frequency hopping</w:t>
      </w:r>
    </w:p>
    <w:p>
      <w:pPr>
        <w:pStyle w:val="Heading3"/>
        <w:rPr/>
      </w:pPr>
      <w:bookmarkStart w:id="400" w:name="__RefHeading___Toc518035834"/>
      <w:bookmarkEnd w:id="400"/>
      <w:r>
        <w:rPr/>
        <w:t>P.3.2.2</w:t>
        <w:tab/>
        <w:t>TU50 No Frequency Hopping</w:t>
      </w:r>
    </w:p>
    <w:p>
      <w:pPr>
        <w:pStyle w:val="TH"/>
        <w:rPr/>
      </w:pPr>
      <w:r>
        <w:rPr/>
        <w:drawing>
          <wp:inline distT="0" distB="0" distL="0" distR="0">
            <wp:extent cx="3961130" cy="3242310"/>
            <wp:effectExtent l="0" t="0" r="0" b="0"/>
            <wp:docPr id="103"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27" descr=""/>
                    <pic:cNvPicPr>
                      <a:picLocks noChangeAspect="1" noChangeArrowheads="1"/>
                    </pic:cNvPicPr>
                  </pic:nvPicPr>
                  <pic:blipFill>
                    <a:blip r:embed="rId99"/>
                    <a:srcRect l="-6" t="-7" r="-6" b="-7"/>
                    <a:stretch>
                      <a:fillRect/>
                    </a:stretch>
                  </pic:blipFill>
                  <pic:spPr bwMode="auto">
                    <a:xfrm>
                      <a:off x="0" y="0"/>
                      <a:ext cx="3961130" cy="3242310"/>
                    </a:xfrm>
                    <a:prstGeom prst="rect">
                      <a:avLst/>
                    </a:prstGeom>
                  </pic:spPr>
                </pic:pic>
              </a:graphicData>
            </a:graphic>
          </wp:inline>
        </w:drawing>
      </w:r>
    </w:p>
    <w:p>
      <w:pPr>
        <w:pStyle w:val="TF"/>
        <w:rPr/>
      </w:pPr>
      <w:r>
        <w:rPr/>
        <w:t xml:space="preserve">Figure </w:t>
      </w:r>
      <w:r>
        <w:rPr>
          <w:lang w:val="en-US" w:eastAsia="en-US"/>
        </w:rPr>
        <w:t>13</w:t>
      </w:r>
      <w:r>
        <w:rPr/>
        <w:t>: BLER for TU50 no frequency hopping</w:t>
      </w:r>
    </w:p>
    <w:p>
      <w:pPr>
        <w:pStyle w:val="NF"/>
        <w:rPr/>
      </w:pPr>
      <w:r>
        <w:rPr/>
      </w:r>
    </w:p>
    <w:p>
      <w:pPr>
        <w:pStyle w:val="TH"/>
        <w:rPr/>
      </w:pPr>
      <w:r>
        <w:rPr/>
        <w:drawing>
          <wp:inline distT="0" distB="0" distL="0" distR="0">
            <wp:extent cx="3962400" cy="3242945"/>
            <wp:effectExtent l="0" t="0" r="0" b="0"/>
            <wp:docPr id="104"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28" descr=""/>
                    <pic:cNvPicPr>
                      <a:picLocks noChangeAspect="1" noChangeArrowheads="1"/>
                    </pic:cNvPicPr>
                  </pic:nvPicPr>
                  <pic:blipFill>
                    <a:blip r:embed="rId100"/>
                    <a:srcRect l="-6" t="-7" r="-6" b="-7"/>
                    <a:stretch>
                      <a:fillRect/>
                    </a:stretch>
                  </pic:blipFill>
                  <pic:spPr bwMode="auto">
                    <a:xfrm>
                      <a:off x="0" y="0"/>
                      <a:ext cx="3962400" cy="3242945"/>
                    </a:xfrm>
                    <a:prstGeom prst="rect">
                      <a:avLst/>
                    </a:prstGeom>
                  </pic:spPr>
                </pic:pic>
              </a:graphicData>
            </a:graphic>
          </wp:inline>
        </w:drawing>
      </w:r>
    </w:p>
    <w:p>
      <w:pPr>
        <w:pStyle w:val="TF"/>
        <w:rPr/>
      </w:pPr>
      <w:r>
        <w:rPr/>
        <w:t xml:space="preserve">Figure </w:t>
      </w:r>
      <w:r>
        <w:rPr>
          <w:lang w:val="en-US" w:eastAsia="en-US"/>
        </w:rPr>
        <w:t>14</w:t>
      </w:r>
      <w:r>
        <w:rPr/>
        <w:t>: USF performance for TU50 no frequency hopping</w:t>
      </w:r>
    </w:p>
    <w:p>
      <w:pPr>
        <w:pStyle w:val="Heading3"/>
        <w:rPr/>
      </w:pPr>
      <w:bookmarkStart w:id="401" w:name="__RefHeading___Toc518035835"/>
      <w:bookmarkEnd w:id="401"/>
      <w:r>
        <w:rPr/>
        <w:t>P.3.2.3</w:t>
        <w:tab/>
        <w:t>HT100 No Frequency Hopping</w:t>
      </w:r>
    </w:p>
    <w:p>
      <w:pPr>
        <w:pStyle w:val="TH"/>
        <w:rPr/>
      </w:pPr>
      <w:r>
        <w:rPr/>
        <w:drawing>
          <wp:inline distT="0" distB="0" distL="0" distR="0">
            <wp:extent cx="3961130" cy="3242310"/>
            <wp:effectExtent l="0" t="0" r="0" b="0"/>
            <wp:docPr id="105"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29" descr=""/>
                    <pic:cNvPicPr>
                      <a:picLocks noChangeAspect="1" noChangeArrowheads="1"/>
                    </pic:cNvPicPr>
                  </pic:nvPicPr>
                  <pic:blipFill>
                    <a:blip r:embed="rId101"/>
                    <a:srcRect l="-6" t="-7" r="-6" b="-7"/>
                    <a:stretch>
                      <a:fillRect/>
                    </a:stretch>
                  </pic:blipFill>
                  <pic:spPr bwMode="auto">
                    <a:xfrm>
                      <a:off x="0" y="0"/>
                      <a:ext cx="3961130" cy="3242310"/>
                    </a:xfrm>
                    <a:prstGeom prst="rect">
                      <a:avLst/>
                    </a:prstGeom>
                  </pic:spPr>
                </pic:pic>
              </a:graphicData>
            </a:graphic>
          </wp:inline>
        </w:drawing>
      </w:r>
    </w:p>
    <w:p>
      <w:pPr>
        <w:pStyle w:val="TF"/>
        <w:rPr/>
      </w:pPr>
      <w:r>
        <w:rPr/>
        <w:t xml:space="preserve">Figure </w:t>
      </w:r>
      <w:r>
        <w:rPr>
          <w:lang w:val="en-US" w:eastAsia="en-US"/>
        </w:rPr>
        <w:t>15</w:t>
      </w:r>
      <w:r>
        <w:rPr/>
        <w:t>: BLER for HT100 no frequency hopping</w:t>
      </w:r>
    </w:p>
    <w:p>
      <w:pPr>
        <w:pStyle w:val="NF"/>
        <w:rPr/>
      </w:pPr>
      <w:r>
        <w:rPr/>
      </w:r>
    </w:p>
    <w:p>
      <w:pPr>
        <w:pStyle w:val="TH"/>
        <w:rPr/>
      </w:pPr>
      <w:r>
        <w:rPr/>
        <w:drawing>
          <wp:inline distT="0" distB="0" distL="0" distR="0">
            <wp:extent cx="3962400" cy="3242945"/>
            <wp:effectExtent l="0" t="0" r="0" b="0"/>
            <wp:docPr id="106"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0" descr=""/>
                    <pic:cNvPicPr>
                      <a:picLocks noChangeAspect="1" noChangeArrowheads="1"/>
                    </pic:cNvPicPr>
                  </pic:nvPicPr>
                  <pic:blipFill>
                    <a:blip r:embed="rId102"/>
                    <a:srcRect l="-6" t="-7" r="-6" b="-7"/>
                    <a:stretch>
                      <a:fillRect/>
                    </a:stretch>
                  </pic:blipFill>
                  <pic:spPr bwMode="auto">
                    <a:xfrm>
                      <a:off x="0" y="0"/>
                      <a:ext cx="3962400" cy="3242945"/>
                    </a:xfrm>
                    <a:prstGeom prst="rect">
                      <a:avLst/>
                    </a:prstGeom>
                  </pic:spPr>
                </pic:pic>
              </a:graphicData>
            </a:graphic>
          </wp:inline>
        </w:drawing>
      </w:r>
    </w:p>
    <w:p>
      <w:pPr>
        <w:pStyle w:val="TF"/>
        <w:rPr/>
      </w:pPr>
      <w:r>
        <w:rPr/>
        <w:t xml:space="preserve">Figure </w:t>
      </w:r>
      <w:r>
        <w:rPr>
          <w:lang w:val="en-US" w:eastAsia="en-US"/>
        </w:rPr>
        <w:t>16</w:t>
      </w:r>
      <w:r>
        <w:rPr/>
        <w:t>: USF performance for HT100 no frequency hopping</w:t>
      </w:r>
    </w:p>
    <w:p>
      <w:pPr>
        <w:pStyle w:val="Heading3"/>
        <w:rPr/>
      </w:pPr>
      <w:bookmarkStart w:id="402" w:name="__RefHeading___Toc518035836"/>
      <w:bookmarkEnd w:id="402"/>
      <w:r>
        <w:rPr/>
        <w:t>P.3.2.4</w:t>
        <w:tab/>
        <w:t>RA250 No Frequency Hopping</w:t>
      </w:r>
    </w:p>
    <w:p>
      <w:pPr>
        <w:pStyle w:val="TH"/>
        <w:rPr/>
      </w:pPr>
      <w:r>
        <w:rPr/>
        <w:drawing>
          <wp:inline distT="0" distB="0" distL="0" distR="0">
            <wp:extent cx="3961130" cy="3242310"/>
            <wp:effectExtent l="0" t="0" r="0" b="0"/>
            <wp:docPr id="107"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31" descr=""/>
                    <pic:cNvPicPr>
                      <a:picLocks noChangeAspect="1" noChangeArrowheads="1"/>
                    </pic:cNvPicPr>
                  </pic:nvPicPr>
                  <pic:blipFill>
                    <a:blip r:embed="rId103"/>
                    <a:srcRect l="-6" t="-7" r="-6" b="-7"/>
                    <a:stretch>
                      <a:fillRect/>
                    </a:stretch>
                  </pic:blipFill>
                  <pic:spPr bwMode="auto">
                    <a:xfrm>
                      <a:off x="0" y="0"/>
                      <a:ext cx="3961130" cy="3242310"/>
                    </a:xfrm>
                    <a:prstGeom prst="rect">
                      <a:avLst/>
                    </a:prstGeom>
                  </pic:spPr>
                </pic:pic>
              </a:graphicData>
            </a:graphic>
          </wp:inline>
        </w:drawing>
      </w:r>
    </w:p>
    <w:p>
      <w:pPr>
        <w:pStyle w:val="TF"/>
        <w:rPr/>
      </w:pPr>
      <w:r>
        <w:rPr/>
        <w:t xml:space="preserve">Figure </w:t>
      </w:r>
      <w:r>
        <w:rPr>
          <w:lang w:val="en-US" w:eastAsia="en-US"/>
        </w:rPr>
        <w:t>17</w:t>
      </w:r>
      <w:r>
        <w:rPr/>
        <w:t>: BLER for RA250 no frequency hopping</w:t>
      </w:r>
    </w:p>
    <w:p>
      <w:pPr>
        <w:pStyle w:val="NF"/>
        <w:rPr/>
      </w:pPr>
      <w:r>
        <w:rPr/>
      </w:r>
    </w:p>
    <w:p>
      <w:pPr>
        <w:pStyle w:val="TH"/>
        <w:rPr/>
      </w:pPr>
      <w:r>
        <w:rPr/>
        <w:drawing>
          <wp:inline distT="0" distB="0" distL="0" distR="0">
            <wp:extent cx="3962400" cy="3242945"/>
            <wp:effectExtent l="0" t="0" r="0" b="0"/>
            <wp:docPr id="108"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2" descr=""/>
                    <pic:cNvPicPr>
                      <a:picLocks noChangeAspect="1" noChangeArrowheads="1"/>
                    </pic:cNvPicPr>
                  </pic:nvPicPr>
                  <pic:blipFill>
                    <a:blip r:embed="rId104"/>
                    <a:srcRect l="-6" t="-7" r="-6" b="-7"/>
                    <a:stretch>
                      <a:fillRect/>
                    </a:stretch>
                  </pic:blipFill>
                  <pic:spPr bwMode="auto">
                    <a:xfrm>
                      <a:off x="0" y="0"/>
                      <a:ext cx="3962400" cy="3242945"/>
                    </a:xfrm>
                    <a:prstGeom prst="rect">
                      <a:avLst/>
                    </a:prstGeom>
                  </pic:spPr>
                </pic:pic>
              </a:graphicData>
            </a:graphic>
          </wp:inline>
        </w:drawing>
      </w:r>
    </w:p>
    <w:p>
      <w:pPr>
        <w:pStyle w:val="TF"/>
        <w:rPr/>
      </w:pPr>
      <w:r>
        <w:rPr/>
        <w:t xml:space="preserve">Figure </w:t>
      </w:r>
      <w:r>
        <w:rPr>
          <w:lang w:val="en-US" w:eastAsia="en-US"/>
        </w:rPr>
        <w:t>18</w:t>
      </w:r>
      <w:r>
        <w:rPr/>
        <w:t>: USF performance for RA250 no frequency hopping</w:t>
      </w:r>
    </w:p>
    <w:p>
      <w:pPr>
        <w:pStyle w:val="Heading3"/>
        <w:rPr/>
      </w:pPr>
      <w:bookmarkStart w:id="403" w:name="__RefHeading___Toc518035837"/>
      <w:bookmarkEnd w:id="403"/>
      <w:r>
        <w:rPr/>
        <w:t>P.3.2.5</w:t>
        <w:tab/>
        <w:t>Static Channel</w:t>
      </w:r>
    </w:p>
    <w:p>
      <w:pPr>
        <w:pStyle w:val="TH"/>
        <w:rPr/>
      </w:pPr>
      <w:r>
        <w:rPr/>
        <w:drawing>
          <wp:inline distT="0" distB="0" distL="0" distR="0">
            <wp:extent cx="3961130" cy="3242945"/>
            <wp:effectExtent l="0" t="0" r="0" b="0"/>
            <wp:docPr id="109"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33" descr=""/>
                    <pic:cNvPicPr>
                      <a:picLocks noChangeAspect="1" noChangeArrowheads="1"/>
                    </pic:cNvPicPr>
                  </pic:nvPicPr>
                  <pic:blipFill>
                    <a:blip r:embed="rId105"/>
                    <a:srcRect l="-6" t="-7" r="-6" b="-7"/>
                    <a:stretch>
                      <a:fillRect/>
                    </a:stretch>
                  </pic:blipFill>
                  <pic:spPr bwMode="auto">
                    <a:xfrm>
                      <a:off x="0" y="0"/>
                      <a:ext cx="3961130" cy="3242945"/>
                    </a:xfrm>
                    <a:prstGeom prst="rect">
                      <a:avLst/>
                    </a:prstGeom>
                  </pic:spPr>
                </pic:pic>
              </a:graphicData>
            </a:graphic>
          </wp:inline>
        </w:drawing>
      </w:r>
    </w:p>
    <w:p>
      <w:pPr>
        <w:pStyle w:val="TF"/>
        <w:rPr/>
      </w:pPr>
      <w:r>
        <w:rPr/>
        <w:t xml:space="preserve">Figure </w:t>
      </w:r>
      <w:r>
        <w:rPr>
          <w:lang w:val="en-US" w:eastAsia="en-US"/>
        </w:rPr>
        <w:t>19</w:t>
      </w:r>
      <w:r>
        <w:rPr/>
        <w:t>: BLER for static channel</w:t>
      </w:r>
    </w:p>
    <w:p>
      <w:pPr>
        <w:pStyle w:val="NF"/>
        <w:rPr/>
      </w:pPr>
      <w:r>
        <w:rPr/>
      </w:r>
    </w:p>
    <w:p>
      <w:pPr>
        <w:pStyle w:val="TH"/>
        <w:rPr/>
      </w:pPr>
      <w:r>
        <w:rPr/>
        <w:drawing>
          <wp:inline distT="0" distB="0" distL="0" distR="0">
            <wp:extent cx="3962400" cy="3242945"/>
            <wp:effectExtent l="0" t="0" r="0" b="0"/>
            <wp:docPr id="110"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34" descr=""/>
                    <pic:cNvPicPr>
                      <a:picLocks noChangeAspect="1" noChangeArrowheads="1"/>
                    </pic:cNvPicPr>
                  </pic:nvPicPr>
                  <pic:blipFill>
                    <a:blip r:embed="rId106"/>
                    <a:srcRect l="-6" t="-7" r="-6" b="-7"/>
                    <a:stretch>
                      <a:fillRect/>
                    </a:stretch>
                  </pic:blipFill>
                  <pic:spPr bwMode="auto">
                    <a:xfrm>
                      <a:off x="0" y="0"/>
                      <a:ext cx="3962400" cy="3242945"/>
                    </a:xfrm>
                    <a:prstGeom prst="rect">
                      <a:avLst/>
                    </a:prstGeom>
                  </pic:spPr>
                </pic:pic>
              </a:graphicData>
            </a:graphic>
          </wp:inline>
        </w:drawing>
      </w:r>
    </w:p>
    <w:p>
      <w:pPr>
        <w:pStyle w:val="TF"/>
        <w:rPr/>
      </w:pPr>
      <w:r>
        <w:rPr/>
        <w:t xml:space="preserve">Figure </w:t>
      </w:r>
      <w:r>
        <w:rPr>
          <w:lang w:val="en-US" w:eastAsia="en-US"/>
        </w:rPr>
        <w:t>20</w:t>
      </w:r>
      <w:r>
        <w:rPr/>
        <w:t>: USF performance for static channel</w:t>
      </w:r>
      <w:r>
        <w:br w:type="page"/>
      </w:r>
    </w:p>
    <w:p>
      <w:pPr>
        <w:pStyle w:val="Heading9"/>
        <w:rPr/>
      </w:pPr>
      <w:bookmarkStart w:id="404" w:name="__RefHeading___Toc518035838"/>
      <w:bookmarkEnd w:id="404"/>
      <w:r>
        <w:rPr/>
        <w:t>Annex Q:</w:t>
        <w:br/>
        <w:t>Block Error Rate and USF Error Rate for GPRS, 1800 MHz</w:t>
      </w:r>
    </w:p>
    <w:p>
      <w:pPr>
        <w:pStyle w:val="Normal"/>
        <w:tabs>
          <w:tab w:val="clear" w:pos="284"/>
          <w:tab w:val="right" w:pos="9639" w:leader="none"/>
        </w:tabs>
        <w:rPr/>
      </w:pPr>
      <w:r>
        <w:rPr/>
        <w:t>ETSI STC SMG2</w:t>
        <w:tab/>
        <w:t>TDoc SMG2  374/97</w:t>
        <w:br/>
        <w:t>Meeting no 24</w:t>
        <w:br/>
        <w:t>Cork, Ireland</w:t>
        <w:tab/>
        <w:t>Agenda item 5.2.3</w:t>
      </w:r>
    </w:p>
    <w:p>
      <w:pPr>
        <w:pStyle w:val="Normal"/>
        <w:rPr/>
      </w:pPr>
      <w:r>
        <w:rPr/>
        <w:t>1 - 5 December 1997</w:t>
      </w:r>
    </w:p>
    <w:p>
      <w:pPr>
        <w:pStyle w:val="Normal"/>
        <w:rPr>
          <w:b/>
          <w:b/>
        </w:rPr>
      </w:pPr>
      <w:r>
        <w:rPr>
          <w:b/>
        </w:rPr>
        <w:t>Title: Block Error Rate and USF Error Rate for GPRS, 1 800 MHz</w:t>
      </w:r>
    </w:p>
    <w:p>
      <w:pPr>
        <w:pStyle w:val="Normal"/>
        <w:rPr/>
      </w:pPr>
      <w:r>
        <w:rPr/>
        <w:t>Source: Ericsson</w:t>
      </w:r>
    </w:p>
    <w:p>
      <w:pPr>
        <w:pStyle w:val="Heading1"/>
        <w:ind w:left="1134" w:hanging="1134"/>
        <w:rPr/>
      </w:pPr>
      <w:bookmarkStart w:id="405" w:name="__RefHeading___Toc518035839"/>
      <w:bookmarkEnd w:id="405"/>
      <w:r>
        <w:rPr/>
        <w:t>Q.1</w:t>
        <w:tab/>
        <w:t>Introduction</w:t>
      </w:r>
    </w:p>
    <w:p>
      <w:pPr>
        <w:pStyle w:val="Normal"/>
        <w:rPr/>
      </w:pPr>
      <w:r>
        <w:rPr/>
        <w:t>BLER (Block Error Rate) and USF (Uplink State Flag) error rate for GPRS are presented for different channel assumptions. Simulations have been performed for 1 800 MHz for those reference environments defined in GSM 05.05 that can not be derived from the 900 MHz simulations.</w:t>
      </w:r>
    </w:p>
    <w:p>
      <w:pPr>
        <w:pStyle w:val="Heading1"/>
        <w:ind w:left="1134" w:hanging="1134"/>
        <w:rPr/>
      </w:pPr>
      <w:bookmarkStart w:id="406" w:name="__RefHeading___Toc518035840"/>
      <w:bookmarkEnd w:id="406"/>
      <w:r>
        <w:rPr/>
        <w:t>Q.2</w:t>
        <w:tab/>
        <w:t>Simulation Assumptions</w:t>
      </w:r>
    </w:p>
    <w:p>
      <w:pPr>
        <w:pStyle w:val="Normal"/>
        <w:rPr/>
      </w:pPr>
      <w:r>
        <w:rPr/>
        <w:t>Assumptions used in the simulations are (the same as for 900 MHz):</w:t>
      </w:r>
    </w:p>
    <w:p>
      <w:pPr>
        <w:pStyle w:val="B1"/>
        <w:rPr/>
      </w:pPr>
      <w:r>
        <w:rPr/>
        <w:t>-</w:t>
        <w:tab/>
        <w:t>Varying channel during each burst according to the velocity.</w:t>
      </w:r>
    </w:p>
    <w:p>
      <w:pPr>
        <w:pStyle w:val="Normal"/>
        <w:rPr/>
      </w:pPr>
      <w:r>
        <w:rPr/>
        <w:t>Interference simulations: Interference from one single interferer, E</w:t>
      </w:r>
      <w:r>
        <w:rPr>
          <w:vertAlign w:val="subscript"/>
        </w:rPr>
        <w:t>b</w:t>
      </w:r>
      <w:r>
        <w:rPr/>
        <w:t>/ N</w:t>
      </w:r>
      <w:r>
        <w:rPr>
          <w:vertAlign w:val="subscript"/>
        </w:rPr>
        <w:t>0</w:t>
      </w:r>
      <w:r>
        <w:rPr/>
        <w:t>=28 dB</w:t>
      </w:r>
    </w:p>
    <w:p>
      <w:pPr>
        <w:pStyle w:val="B1"/>
        <w:rPr/>
      </w:pPr>
      <w:r>
        <w:rPr/>
        <w:t>-</w:t>
        <w:tab/>
        <w:t>No antenna diversity.</w:t>
      </w:r>
    </w:p>
    <w:p>
      <w:pPr>
        <w:pStyle w:val="B1"/>
        <w:rPr/>
      </w:pPr>
      <w:r>
        <w:rPr/>
        <w:t>-</w:t>
        <w:tab/>
        <w:t>Synchronization on burst basis.</w:t>
      </w:r>
    </w:p>
    <w:p>
      <w:pPr>
        <w:pStyle w:val="B1"/>
        <w:rPr/>
      </w:pPr>
      <w:r>
        <w:rPr/>
        <w:t>-</w:t>
        <w:tab/>
        <w:t>16-state soft output MLSE-equalizer.</w:t>
      </w:r>
    </w:p>
    <w:p>
      <w:pPr>
        <w:pStyle w:val="B1"/>
        <w:rPr/>
      </w:pPr>
      <w:r>
        <w:rPr/>
        <w:t>-</w:t>
        <w:tab/>
        <w:t>Channel coding according to GSM 03.64.</w:t>
      </w:r>
    </w:p>
    <w:p>
      <w:pPr>
        <w:pStyle w:val="Normal"/>
        <w:rPr/>
      </w:pPr>
      <w:r>
        <w:rPr/>
        <w:t>For CS-2, CS-3 and CS-4, decoding of USF is performed by soft correlation with the eight possible 12-bit codewords. For CS-1, USF error is detected after normal decoding of the convolutional code. This means that the performance for the USF is equal for CS-2, CS-3 and CS-4. For CS-1 a slightly worse performance is achieved but it is still significantly better than the corresponding BLER.</w:t>
      </w:r>
    </w:p>
    <w:p>
      <w:pPr>
        <w:pStyle w:val="Heading1"/>
        <w:ind w:left="1134" w:hanging="1134"/>
        <w:rPr/>
      </w:pPr>
      <w:bookmarkStart w:id="407" w:name="__RefHeading___Toc518035841"/>
      <w:bookmarkEnd w:id="407"/>
      <w:r>
        <w:rPr/>
        <w:t>Q.3</w:t>
        <w:tab/>
        <w:t>Simulation Results</w:t>
      </w:r>
    </w:p>
    <w:p>
      <w:pPr>
        <w:pStyle w:val="Heading2"/>
        <w:rPr/>
      </w:pPr>
      <w:bookmarkStart w:id="408" w:name="__RefHeading___Toc518035842"/>
      <w:bookmarkEnd w:id="408"/>
      <w:r>
        <w:rPr/>
        <w:t>Q.3.1</w:t>
        <w:tab/>
        <w:t>Interference Simulations, 1 800 MHz</w:t>
      </w:r>
    </w:p>
    <w:p>
      <w:pPr>
        <w:pStyle w:val="Heading3"/>
        <w:rPr/>
      </w:pPr>
      <w:bookmarkStart w:id="409" w:name="__RefHeading___Toc518035843"/>
      <w:bookmarkEnd w:id="409"/>
      <w:r>
        <w:rPr/>
        <w:t>Q.3.1.2</w:t>
        <w:tab/>
        <w:t>TU50, Ideal Frequency Hopping</w:t>
      </w:r>
    </w:p>
    <w:p>
      <w:pPr>
        <w:pStyle w:val="TH"/>
        <w:rPr/>
      </w:pPr>
      <w:r>
        <w:rPr/>
        <w:drawing>
          <wp:inline distT="0" distB="0" distL="0" distR="0">
            <wp:extent cx="3961130" cy="3241040"/>
            <wp:effectExtent l="0" t="0" r="0" b="0"/>
            <wp:docPr id="111"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35" descr=""/>
                    <pic:cNvPicPr>
                      <a:picLocks noChangeAspect="1" noChangeArrowheads="1"/>
                    </pic:cNvPicPr>
                  </pic:nvPicPr>
                  <pic:blipFill>
                    <a:blip r:embed="rId107"/>
                    <a:srcRect l="-6" t="-7" r="-6" b="-7"/>
                    <a:stretch>
                      <a:fillRect/>
                    </a:stretch>
                  </pic:blipFill>
                  <pic:spPr bwMode="auto">
                    <a:xfrm>
                      <a:off x="0" y="0"/>
                      <a:ext cx="3961130" cy="3241040"/>
                    </a:xfrm>
                    <a:prstGeom prst="rect">
                      <a:avLst/>
                    </a:prstGeom>
                  </pic:spPr>
                </pic:pic>
              </a:graphicData>
            </a:graphic>
          </wp:inline>
        </w:drawing>
      </w:r>
    </w:p>
    <w:p>
      <w:pPr>
        <w:pStyle w:val="TF"/>
        <w:rPr/>
      </w:pPr>
      <w:r>
        <w:rPr/>
        <w:t xml:space="preserve">Figure </w:t>
      </w:r>
      <w:r>
        <w:rPr>
          <w:lang w:val="en-US" w:eastAsia="en-US"/>
        </w:rPr>
        <w:t>21</w:t>
      </w:r>
      <w:r>
        <w:rPr/>
        <w:t>: BLER for TU50 ideal frequency hopping, 1 800 MHz</w:t>
      </w:r>
    </w:p>
    <w:p>
      <w:pPr>
        <w:pStyle w:val="NF"/>
        <w:rPr/>
      </w:pPr>
      <w:r>
        <w:rPr/>
      </w:r>
    </w:p>
    <w:p>
      <w:pPr>
        <w:pStyle w:val="TH"/>
        <w:rPr/>
      </w:pPr>
      <w:r>
        <w:rPr/>
        <w:drawing>
          <wp:inline distT="0" distB="0" distL="0" distR="0">
            <wp:extent cx="3962400" cy="3238500"/>
            <wp:effectExtent l="0" t="0" r="0" b="0"/>
            <wp:docPr id="112"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6" descr=""/>
                    <pic:cNvPicPr>
                      <a:picLocks noChangeAspect="1" noChangeArrowheads="1"/>
                    </pic:cNvPicPr>
                  </pic:nvPicPr>
                  <pic:blipFill>
                    <a:blip r:embed="rId108"/>
                    <a:srcRect l="-6" t="-7" r="-6" b="-7"/>
                    <a:stretch>
                      <a:fillRect/>
                    </a:stretch>
                  </pic:blipFill>
                  <pic:spPr bwMode="auto">
                    <a:xfrm>
                      <a:off x="0" y="0"/>
                      <a:ext cx="3962400" cy="3238500"/>
                    </a:xfrm>
                    <a:prstGeom prst="rect">
                      <a:avLst/>
                    </a:prstGeom>
                  </pic:spPr>
                </pic:pic>
              </a:graphicData>
            </a:graphic>
          </wp:inline>
        </w:drawing>
      </w:r>
    </w:p>
    <w:p>
      <w:pPr>
        <w:pStyle w:val="TF"/>
        <w:rPr/>
      </w:pPr>
      <w:r>
        <w:rPr/>
        <w:t xml:space="preserve">Figure </w:t>
      </w:r>
      <w:r>
        <w:rPr>
          <w:lang w:val="en-US" w:eastAsia="en-US"/>
        </w:rPr>
        <w:t>22</w:t>
      </w:r>
      <w:r>
        <w:rPr/>
        <w:t>: USF performance for TU50 ideal frequency hopping, 1 800 MHz</w:t>
      </w:r>
    </w:p>
    <w:p>
      <w:pPr>
        <w:pStyle w:val="Heading3"/>
        <w:rPr/>
      </w:pPr>
      <w:bookmarkStart w:id="410" w:name="__RefHeading___Toc518035844"/>
      <w:bookmarkEnd w:id="410"/>
      <w:r>
        <w:rPr/>
        <w:t>Q.3.1.3</w:t>
        <w:tab/>
        <w:t>TU50 No Frequency Hopping</w:t>
      </w:r>
    </w:p>
    <w:p>
      <w:pPr>
        <w:pStyle w:val="TH"/>
        <w:rPr/>
      </w:pPr>
      <w:r>
        <w:rPr/>
        <w:drawing>
          <wp:inline distT="0" distB="0" distL="0" distR="0">
            <wp:extent cx="3961130" cy="3241040"/>
            <wp:effectExtent l="0" t="0" r="0" b="0"/>
            <wp:docPr id="113"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37" descr=""/>
                    <pic:cNvPicPr>
                      <a:picLocks noChangeAspect="1" noChangeArrowheads="1"/>
                    </pic:cNvPicPr>
                  </pic:nvPicPr>
                  <pic:blipFill>
                    <a:blip r:embed="rId109"/>
                    <a:srcRect l="-6" t="-7" r="-6" b="-7"/>
                    <a:stretch>
                      <a:fillRect/>
                    </a:stretch>
                  </pic:blipFill>
                  <pic:spPr bwMode="auto">
                    <a:xfrm>
                      <a:off x="0" y="0"/>
                      <a:ext cx="3961130" cy="3241040"/>
                    </a:xfrm>
                    <a:prstGeom prst="rect">
                      <a:avLst/>
                    </a:prstGeom>
                  </pic:spPr>
                </pic:pic>
              </a:graphicData>
            </a:graphic>
          </wp:inline>
        </w:drawing>
      </w:r>
    </w:p>
    <w:p>
      <w:pPr>
        <w:pStyle w:val="TF"/>
        <w:rPr/>
      </w:pPr>
      <w:r>
        <w:rPr/>
        <w:t xml:space="preserve">Figure </w:t>
      </w:r>
      <w:r>
        <w:rPr>
          <w:lang w:val="en-US" w:eastAsia="en-US"/>
        </w:rPr>
        <w:t>23</w:t>
      </w:r>
      <w:r>
        <w:rPr/>
        <w:t>: BLER for TU50, no frequency hopping, 1 800 MHz</w:t>
      </w:r>
    </w:p>
    <w:p>
      <w:pPr>
        <w:pStyle w:val="NF"/>
        <w:rPr/>
      </w:pPr>
      <w:r>
        <w:rPr/>
      </w:r>
    </w:p>
    <w:p>
      <w:pPr>
        <w:pStyle w:val="TH"/>
        <w:rPr/>
      </w:pPr>
      <w:r>
        <w:rPr/>
        <w:drawing>
          <wp:inline distT="0" distB="0" distL="0" distR="0">
            <wp:extent cx="3962400" cy="3238500"/>
            <wp:effectExtent l="0" t="0" r="0" b="0"/>
            <wp:docPr id="114"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38" descr=""/>
                    <pic:cNvPicPr>
                      <a:picLocks noChangeAspect="1" noChangeArrowheads="1"/>
                    </pic:cNvPicPr>
                  </pic:nvPicPr>
                  <pic:blipFill>
                    <a:blip r:embed="rId110"/>
                    <a:srcRect l="-6" t="-7" r="-6" b="-7"/>
                    <a:stretch>
                      <a:fillRect/>
                    </a:stretch>
                  </pic:blipFill>
                  <pic:spPr bwMode="auto">
                    <a:xfrm>
                      <a:off x="0" y="0"/>
                      <a:ext cx="3962400" cy="3238500"/>
                    </a:xfrm>
                    <a:prstGeom prst="rect">
                      <a:avLst/>
                    </a:prstGeom>
                  </pic:spPr>
                </pic:pic>
              </a:graphicData>
            </a:graphic>
          </wp:inline>
        </w:drawing>
      </w:r>
    </w:p>
    <w:p>
      <w:pPr>
        <w:pStyle w:val="TF"/>
        <w:rPr/>
      </w:pPr>
      <w:r>
        <w:rPr/>
        <w:t xml:space="preserve">Figure </w:t>
      </w:r>
      <w:r>
        <w:rPr>
          <w:lang w:val="en-US" w:eastAsia="en-US"/>
        </w:rPr>
        <w:t>24</w:t>
      </w:r>
      <w:r>
        <w:rPr/>
        <w:t>: USF performance for TU50, no frequency hopping, 1 800 MHz</w:t>
      </w:r>
    </w:p>
    <w:p>
      <w:pPr>
        <w:pStyle w:val="Heading2"/>
        <w:rPr/>
      </w:pPr>
      <w:bookmarkStart w:id="411" w:name="__RefHeading___Toc518035845"/>
      <w:bookmarkEnd w:id="411"/>
      <w:r>
        <w:rPr/>
        <w:t>Q.3.2</w:t>
        <w:tab/>
        <w:t>Sensitivity Simulations, 1800 MHz</w:t>
      </w:r>
    </w:p>
    <w:p>
      <w:pPr>
        <w:pStyle w:val="Heading3"/>
        <w:rPr/>
      </w:pPr>
      <w:bookmarkStart w:id="412" w:name="__RefHeading___Toc518035846"/>
      <w:bookmarkEnd w:id="412"/>
      <w:r>
        <w:rPr/>
        <w:t>Q.3.2.1</w:t>
        <w:tab/>
        <w:t>TU50 Ideal Frequency Hopping</w:t>
      </w:r>
    </w:p>
    <w:p>
      <w:pPr>
        <w:pStyle w:val="TH"/>
        <w:rPr/>
      </w:pPr>
      <w:r>
        <w:rPr/>
        <w:drawing>
          <wp:inline distT="0" distB="0" distL="0" distR="0">
            <wp:extent cx="3961130" cy="3242310"/>
            <wp:effectExtent l="0" t="0" r="0" b="0"/>
            <wp:docPr id="115"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39" descr=""/>
                    <pic:cNvPicPr>
                      <a:picLocks noChangeAspect="1" noChangeArrowheads="1"/>
                    </pic:cNvPicPr>
                  </pic:nvPicPr>
                  <pic:blipFill>
                    <a:blip r:embed="rId111"/>
                    <a:srcRect l="-6" t="-7" r="-6" b="-7"/>
                    <a:stretch>
                      <a:fillRect/>
                    </a:stretch>
                  </pic:blipFill>
                  <pic:spPr bwMode="auto">
                    <a:xfrm>
                      <a:off x="0" y="0"/>
                      <a:ext cx="3961130" cy="3242310"/>
                    </a:xfrm>
                    <a:prstGeom prst="rect">
                      <a:avLst/>
                    </a:prstGeom>
                  </pic:spPr>
                </pic:pic>
              </a:graphicData>
            </a:graphic>
          </wp:inline>
        </w:drawing>
      </w:r>
    </w:p>
    <w:p>
      <w:pPr>
        <w:pStyle w:val="TF"/>
        <w:rPr/>
      </w:pPr>
      <w:r>
        <w:rPr/>
        <w:t xml:space="preserve">Figure </w:t>
      </w:r>
      <w:r>
        <w:rPr>
          <w:lang w:val="en-US" w:eastAsia="en-US"/>
        </w:rPr>
        <w:t>25</w:t>
      </w:r>
      <w:r>
        <w:rPr/>
        <w:t>: BLER for TU50 ideal frequency hopping, 1 800 MHz</w:t>
      </w:r>
    </w:p>
    <w:p>
      <w:pPr>
        <w:pStyle w:val="TH"/>
        <w:rPr/>
      </w:pPr>
      <w:r>
        <w:rPr/>
        <w:drawing>
          <wp:inline distT="0" distB="0" distL="0" distR="0">
            <wp:extent cx="3962400" cy="3242945"/>
            <wp:effectExtent l="0" t="0" r="0" b="0"/>
            <wp:docPr id="116"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40" descr=""/>
                    <pic:cNvPicPr>
                      <a:picLocks noChangeAspect="1" noChangeArrowheads="1"/>
                    </pic:cNvPicPr>
                  </pic:nvPicPr>
                  <pic:blipFill>
                    <a:blip r:embed="rId112"/>
                    <a:srcRect l="-6" t="-7" r="-6" b="-7"/>
                    <a:stretch>
                      <a:fillRect/>
                    </a:stretch>
                  </pic:blipFill>
                  <pic:spPr bwMode="auto">
                    <a:xfrm>
                      <a:off x="0" y="0"/>
                      <a:ext cx="3962400" cy="3242945"/>
                    </a:xfrm>
                    <a:prstGeom prst="rect">
                      <a:avLst/>
                    </a:prstGeom>
                  </pic:spPr>
                </pic:pic>
              </a:graphicData>
            </a:graphic>
          </wp:inline>
        </w:drawing>
      </w:r>
    </w:p>
    <w:p>
      <w:pPr>
        <w:pStyle w:val="TF"/>
        <w:rPr/>
      </w:pPr>
      <w:r>
        <w:rPr/>
        <w:t xml:space="preserve">Figure </w:t>
      </w:r>
      <w:r>
        <w:rPr>
          <w:lang w:val="en-US" w:eastAsia="en-US"/>
        </w:rPr>
        <w:t>26</w:t>
      </w:r>
      <w:r>
        <w:rPr/>
        <w:t>: USF performance for TU50 ideal frequency hopping, 1 800 MHz</w:t>
      </w:r>
    </w:p>
    <w:p>
      <w:pPr>
        <w:pStyle w:val="Heading3"/>
        <w:rPr/>
      </w:pPr>
      <w:bookmarkStart w:id="413" w:name="__RefHeading___Toc518035847"/>
      <w:bookmarkEnd w:id="413"/>
      <w:r>
        <w:rPr/>
        <w:t>Q.3.2.2</w:t>
        <w:tab/>
        <w:t>TU50 No Frequency Hopping</w:t>
      </w:r>
    </w:p>
    <w:p>
      <w:pPr>
        <w:pStyle w:val="TH"/>
        <w:rPr/>
      </w:pPr>
      <w:r>
        <w:rPr/>
        <w:drawing>
          <wp:inline distT="0" distB="0" distL="0" distR="0">
            <wp:extent cx="3961130" cy="3242310"/>
            <wp:effectExtent l="0" t="0" r="0" b="0"/>
            <wp:docPr id="117"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41" descr=""/>
                    <pic:cNvPicPr>
                      <a:picLocks noChangeAspect="1" noChangeArrowheads="1"/>
                    </pic:cNvPicPr>
                  </pic:nvPicPr>
                  <pic:blipFill>
                    <a:blip r:embed="rId113"/>
                    <a:srcRect l="-6" t="-7" r="-6" b="-7"/>
                    <a:stretch>
                      <a:fillRect/>
                    </a:stretch>
                  </pic:blipFill>
                  <pic:spPr bwMode="auto">
                    <a:xfrm>
                      <a:off x="0" y="0"/>
                      <a:ext cx="3961130" cy="3242310"/>
                    </a:xfrm>
                    <a:prstGeom prst="rect">
                      <a:avLst/>
                    </a:prstGeom>
                  </pic:spPr>
                </pic:pic>
              </a:graphicData>
            </a:graphic>
          </wp:inline>
        </w:drawing>
      </w:r>
    </w:p>
    <w:p>
      <w:pPr>
        <w:pStyle w:val="TF"/>
        <w:rPr/>
      </w:pPr>
      <w:r>
        <w:rPr/>
        <w:t xml:space="preserve">Figure </w:t>
      </w:r>
      <w:r>
        <w:rPr>
          <w:lang w:val="en-US" w:eastAsia="en-US"/>
        </w:rPr>
        <w:t>27</w:t>
      </w:r>
      <w:r>
        <w:rPr/>
        <w:t>: BLER for TU50 no frequency hopping, 1 800 MHz</w:t>
      </w:r>
    </w:p>
    <w:p>
      <w:pPr>
        <w:pStyle w:val="TH"/>
        <w:rPr/>
      </w:pPr>
      <w:r>
        <w:rPr/>
        <w:drawing>
          <wp:inline distT="0" distB="0" distL="0" distR="0">
            <wp:extent cx="3962400" cy="3242945"/>
            <wp:effectExtent l="0" t="0" r="0" b="0"/>
            <wp:docPr id="118"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42" descr=""/>
                    <pic:cNvPicPr>
                      <a:picLocks noChangeAspect="1" noChangeArrowheads="1"/>
                    </pic:cNvPicPr>
                  </pic:nvPicPr>
                  <pic:blipFill>
                    <a:blip r:embed="rId114"/>
                    <a:srcRect l="-6" t="-7" r="-6" b="-7"/>
                    <a:stretch>
                      <a:fillRect/>
                    </a:stretch>
                  </pic:blipFill>
                  <pic:spPr bwMode="auto">
                    <a:xfrm>
                      <a:off x="0" y="0"/>
                      <a:ext cx="3962400" cy="3242945"/>
                    </a:xfrm>
                    <a:prstGeom prst="rect">
                      <a:avLst/>
                    </a:prstGeom>
                  </pic:spPr>
                </pic:pic>
              </a:graphicData>
            </a:graphic>
          </wp:inline>
        </w:drawing>
      </w:r>
    </w:p>
    <w:p>
      <w:pPr>
        <w:pStyle w:val="TF"/>
        <w:rPr/>
      </w:pPr>
      <w:r>
        <w:rPr/>
        <w:t xml:space="preserve">Figure </w:t>
      </w:r>
      <w:r>
        <w:rPr>
          <w:lang w:val="en-US" w:eastAsia="en-US"/>
        </w:rPr>
        <w:t>28</w:t>
      </w:r>
      <w:r>
        <w:rPr/>
        <w:t>: USF performance for TU50 no frequency hopping, 1 800 MHz</w:t>
      </w:r>
    </w:p>
    <w:p>
      <w:pPr>
        <w:pStyle w:val="Heading3"/>
        <w:rPr/>
      </w:pPr>
      <w:bookmarkStart w:id="414" w:name="__RefHeading___Toc518035848"/>
      <w:bookmarkEnd w:id="414"/>
      <w:r>
        <w:rPr/>
        <w:t>Q.3.2.3</w:t>
        <w:tab/>
        <w:t>HT100 No Frequency Hopping</w:t>
      </w:r>
    </w:p>
    <w:p>
      <w:pPr>
        <w:pStyle w:val="TH"/>
        <w:rPr/>
      </w:pPr>
      <w:r>
        <w:rPr/>
        <w:drawing>
          <wp:inline distT="0" distB="0" distL="0" distR="0">
            <wp:extent cx="3961130" cy="3242310"/>
            <wp:effectExtent l="0" t="0" r="0" b="0"/>
            <wp:docPr id="119"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43" descr=""/>
                    <pic:cNvPicPr>
                      <a:picLocks noChangeAspect="1" noChangeArrowheads="1"/>
                    </pic:cNvPicPr>
                  </pic:nvPicPr>
                  <pic:blipFill>
                    <a:blip r:embed="rId115"/>
                    <a:srcRect l="-6" t="-7" r="-6" b="-7"/>
                    <a:stretch>
                      <a:fillRect/>
                    </a:stretch>
                  </pic:blipFill>
                  <pic:spPr bwMode="auto">
                    <a:xfrm>
                      <a:off x="0" y="0"/>
                      <a:ext cx="3961130" cy="3242310"/>
                    </a:xfrm>
                    <a:prstGeom prst="rect">
                      <a:avLst/>
                    </a:prstGeom>
                  </pic:spPr>
                </pic:pic>
              </a:graphicData>
            </a:graphic>
          </wp:inline>
        </w:drawing>
      </w:r>
    </w:p>
    <w:p>
      <w:pPr>
        <w:pStyle w:val="TF"/>
        <w:rPr/>
      </w:pPr>
      <w:r>
        <w:rPr/>
        <w:t xml:space="preserve">Figure </w:t>
      </w:r>
      <w:r>
        <w:rPr>
          <w:lang w:val="en-US" w:eastAsia="en-US"/>
        </w:rPr>
        <w:t>29</w:t>
      </w:r>
      <w:r>
        <w:rPr/>
        <w:t>: BLER for HT100 no frequency hopping, 1 800 MHz</w:t>
      </w:r>
    </w:p>
    <w:p>
      <w:pPr>
        <w:pStyle w:val="TH"/>
        <w:rPr/>
      </w:pPr>
      <w:r>
        <w:rPr/>
        <w:drawing>
          <wp:inline distT="0" distB="0" distL="0" distR="0">
            <wp:extent cx="3962400" cy="3242945"/>
            <wp:effectExtent l="0" t="0" r="0" b="0"/>
            <wp:docPr id="120"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44" descr=""/>
                    <pic:cNvPicPr>
                      <a:picLocks noChangeAspect="1" noChangeArrowheads="1"/>
                    </pic:cNvPicPr>
                  </pic:nvPicPr>
                  <pic:blipFill>
                    <a:blip r:embed="rId116"/>
                    <a:srcRect l="-6" t="-7" r="-6" b="-7"/>
                    <a:stretch>
                      <a:fillRect/>
                    </a:stretch>
                  </pic:blipFill>
                  <pic:spPr bwMode="auto">
                    <a:xfrm>
                      <a:off x="0" y="0"/>
                      <a:ext cx="3962400" cy="3242945"/>
                    </a:xfrm>
                    <a:prstGeom prst="rect">
                      <a:avLst/>
                    </a:prstGeom>
                  </pic:spPr>
                </pic:pic>
              </a:graphicData>
            </a:graphic>
          </wp:inline>
        </w:drawing>
      </w:r>
    </w:p>
    <w:p>
      <w:pPr>
        <w:pStyle w:val="TF"/>
        <w:rPr/>
      </w:pPr>
      <w:r>
        <w:rPr/>
        <w:t xml:space="preserve">Figure </w:t>
      </w:r>
      <w:r>
        <w:rPr>
          <w:lang w:val="en-US" w:eastAsia="en-US"/>
        </w:rPr>
        <w:t>30</w:t>
      </w:r>
      <w:r>
        <w:rPr/>
        <w:t>: USF performance for HT100 no frequency hopping, 1800 MHz</w:t>
      </w:r>
      <w:r>
        <w:br w:type="page"/>
      </w:r>
    </w:p>
    <w:p>
      <w:pPr>
        <w:pStyle w:val="Heading9"/>
        <w:rPr>
          <w:lang w:val="pt-BR"/>
        </w:rPr>
      </w:pPr>
      <w:bookmarkStart w:id="415" w:name="__RefHeading___Toc518035849"/>
      <w:bookmarkEnd w:id="415"/>
      <w:r>
        <w:rPr>
          <w:lang w:val="pt-BR"/>
        </w:rPr>
        <w:t>Annex R:</w:t>
        <w:br/>
        <w:t>Pico BTS RF Scenarios</w:t>
      </w:r>
    </w:p>
    <w:p>
      <w:pPr>
        <w:pStyle w:val="Normal"/>
        <w:rPr/>
      </w:pPr>
      <w:r>
        <w:rPr/>
        <w:t>SMG2 Tdoc 177/98</w:t>
      </w:r>
    </w:p>
    <w:p>
      <w:pPr>
        <w:pStyle w:val="Normal"/>
        <w:rPr/>
      </w:pPr>
      <w:r>
        <w:rPr/>
        <w:t>Source: SMG2</w:t>
      </w:r>
    </w:p>
    <w:p>
      <w:pPr>
        <w:pStyle w:val="Normal"/>
        <w:rPr/>
      </w:pPr>
      <w:r>
        <w:rPr/>
        <w:t>(update SMG2 33/97, 113/97, 155/98, WPB188/98 including 153/98, 154/98, 179/98)</w:t>
      </w:r>
    </w:p>
    <w:p>
      <w:pPr>
        <w:pStyle w:val="Normal"/>
        <w:rPr/>
      </w:pPr>
      <w:r>
        <w:rPr/>
        <w:t>Pico BTS RF Scenarios</w:t>
      </w:r>
    </w:p>
    <w:p>
      <w:pPr>
        <w:pStyle w:val="Heading1"/>
        <w:ind w:left="1134" w:hanging="1134"/>
        <w:rPr/>
      </w:pPr>
      <w:bookmarkStart w:id="416" w:name="__RefHeading___Toc518035850"/>
      <w:bookmarkEnd w:id="416"/>
      <w:r>
        <w:rPr/>
        <w:t>R.1</w:t>
        <w:tab/>
        <w:t>Introduction</w:t>
      </w:r>
    </w:p>
    <w:p>
      <w:pPr>
        <w:pStyle w:val="Normal"/>
        <w:rPr/>
      </w:pPr>
      <w:r>
        <w:rPr/>
        <w:t>When radios are mounted on a wall within a building the mobile users can get a lot closer to the antenna than in a conventional cell site. This changes a number of the basic radio parameters, such as receiver blocking, transmit wideband noise, and frequency accuracy.</w:t>
      </w:r>
    </w:p>
    <w:p>
      <w:pPr>
        <w:pStyle w:val="Normal"/>
        <w:rPr/>
      </w:pPr>
      <w:r>
        <w:rPr/>
        <w:t>The calculations in the present document are based on the Scenarios and calculations in annex A of GSM 05.50 that specify the scenarios for DCS1800 systems.</w:t>
      </w:r>
    </w:p>
    <w:p>
      <w:pPr>
        <w:pStyle w:val="Heading1"/>
        <w:ind w:left="1134" w:hanging="1134"/>
        <w:rPr/>
      </w:pPr>
      <w:bookmarkStart w:id="417" w:name="__RefHeading___Toc518035851"/>
      <w:bookmarkEnd w:id="417"/>
      <w:r>
        <w:rPr/>
        <w:t>R.2</w:t>
        <w:tab/>
        <w:t>Fixed parameters</w:t>
      </w:r>
    </w:p>
    <w:p>
      <w:pPr>
        <w:pStyle w:val="Normal"/>
        <w:rPr/>
      </w:pPr>
      <w:r>
        <w:rPr/>
        <w:t>This clause reviews the parameters that will be used later in the document to define the scenarios.</w:t>
      </w:r>
    </w:p>
    <w:p>
      <w:pPr>
        <w:pStyle w:val="Normal"/>
        <w:rPr>
          <w:i/>
          <w:i/>
        </w:rPr>
      </w:pPr>
      <w:r>
        <w:rPr>
          <w:i/>
        </w:rPr>
        <w:t>From GSM 05.05</w:t>
      </w:r>
    </w:p>
    <w:p>
      <w:pPr>
        <w:pStyle w:val="Normal"/>
        <w:rPr/>
      </w:pPr>
      <w:r>
        <w:rPr/>
        <w:t>For 900 MHz</w:t>
      </w:r>
    </w:p>
    <w:p>
      <w:pPr>
        <w:pStyle w:val="B1"/>
        <w:rPr/>
      </w:pPr>
      <w:r>
        <w:rPr/>
        <w:t>MS output power class = 4 (only handhelds within the building)</w:t>
      </w:r>
    </w:p>
    <w:p>
      <w:pPr>
        <w:pStyle w:val="B1"/>
        <w:rPr/>
      </w:pPr>
      <w:r>
        <w:rPr/>
        <w:t>MS output power = +33 dBm</w:t>
      </w:r>
    </w:p>
    <w:p>
      <w:pPr>
        <w:pStyle w:val="B1"/>
        <w:rPr/>
      </w:pPr>
      <w:r>
        <w:rPr/>
        <w:t>MS output power in 30 kHz for wideband noise calculations = +25 dBm</w:t>
      </w:r>
    </w:p>
    <w:p>
      <w:pPr>
        <w:pStyle w:val="Normal"/>
        <w:rPr/>
      </w:pPr>
      <w:r>
        <w:rPr/>
        <w:t>For 1800 MHz</w:t>
      </w:r>
    </w:p>
    <w:p>
      <w:pPr>
        <w:pStyle w:val="B1"/>
        <w:rPr/>
      </w:pPr>
      <w:r>
        <w:rPr/>
        <w:t>MS output power class = 1</w:t>
      </w:r>
    </w:p>
    <w:p>
      <w:pPr>
        <w:pStyle w:val="B1"/>
        <w:rPr/>
      </w:pPr>
      <w:r>
        <w:rPr/>
        <w:t>MS output power = +30 dBm</w:t>
      </w:r>
    </w:p>
    <w:p>
      <w:pPr>
        <w:pStyle w:val="B1"/>
        <w:rPr/>
      </w:pPr>
      <w:r>
        <w:rPr/>
        <w:t>MS output power in 30 kHz for wideband noise calculations = +22 dBm</w:t>
      </w:r>
    </w:p>
    <w:p>
      <w:pPr>
        <w:pStyle w:val="B1"/>
        <w:rPr/>
      </w:pPr>
      <w:r>
        <w:rPr/>
        <w:t>MS transmit spectrum due modulation and wideband noise (dBc)</w:t>
      </w:r>
    </w:p>
    <w:p>
      <w:pPr>
        <w:pStyle w:val="TH"/>
        <w:rPr/>
      </w:pPr>
      <w:r>
        <w:rPr/>
      </w:r>
    </w:p>
    <w:tbl>
      <w:tblPr>
        <w:tblW w:w="8824" w:type="dxa"/>
        <w:jc w:val="center"/>
        <w:tblInd w:w="0" w:type="dxa"/>
        <w:tblLayout w:type="fixed"/>
        <w:tblCellMar>
          <w:top w:w="0" w:type="dxa"/>
          <w:left w:w="28" w:type="dxa"/>
          <w:bottom w:w="0" w:type="dxa"/>
          <w:right w:w="28" w:type="dxa"/>
        </w:tblCellMar>
      </w:tblPr>
      <w:tblGrid>
        <w:gridCol w:w="1080"/>
        <w:gridCol w:w="857"/>
        <w:gridCol w:w="792"/>
        <w:gridCol w:w="792"/>
        <w:gridCol w:w="1368"/>
        <w:gridCol w:w="1460"/>
        <w:gridCol w:w="1460"/>
        <w:gridCol w:w="283"/>
        <w:gridCol w:w="732"/>
      </w:tblGrid>
      <w:tr>
        <w:trPr/>
        <w:tc>
          <w:tcPr>
            <w:tcW w:w="1080" w:type="dxa"/>
            <w:tcBorders>
              <w:top w:val="single" w:sz="6" w:space="0" w:color="000000"/>
              <w:left w:val="single" w:sz="6" w:space="0" w:color="000000"/>
              <w:right w:val="single" w:sz="6" w:space="0" w:color="000000"/>
            </w:tcBorders>
          </w:tcPr>
          <w:p>
            <w:pPr>
              <w:pStyle w:val="TAH"/>
              <w:rPr>
                <w:lang w:eastAsia="en-US"/>
              </w:rPr>
            </w:pPr>
            <w:r>
              <w:rPr>
                <w:lang w:eastAsia="en-US"/>
              </w:rPr>
              <w:t>Mobile</w:t>
            </w:r>
          </w:p>
        </w:tc>
        <w:tc>
          <w:tcPr>
            <w:tcW w:w="3809" w:type="dxa"/>
            <w:gridSpan w:val="4"/>
            <w:tcBorders>
              <w:top w:val="single" w:sz="6" w:space="0" w:color="000000"/>
            </w:tcBorders>
          </w:tcPr>
          <w:p>
            <w:pPr>
              <w:pStyle w:val="TAH"/>
              <w:rPr>
                <w:lang w:eastAsia="en-US"/>
              </w:rPr>
            </w:pPr>
            <w:r>
              <w:rPr>
                <w:lang w:eastAsia="en-US"/>
              </w:rPr>
              <w:t>Bandwidth 30 kHz</w:t>
            </w:r>
          </w:p>
        </w:tc>
        <w:tc>
          <w:tcPr>
            <w:tcW w:w="3203" w:type="dxa"/>
            <w:gridSpan w:val="3"/>
            <w:tcBorders>
              <w:top w:val="single" w:sz="6" w:space="0" w:color="000000"/>
              <w:left w:val="single" w:sz="6" w:space="0" w:color="000000"/>
            </w:tcBorders>
          </w:tcPr>
          <w:p>
            <w:pPr>
              <w:pStyle w:val="TAH"/>
              <w:rPr/>
            </w:pPr>
            <w:r>
              <w:rPr>
                <w:lang w:eastAsia="en-US"/>
              </w:rPr>
              <w:t>100 kHz</w:t>
            </w:r>
          </w:p>
        </w:tc>
        <w:tc>
          <w:tcPr>
            <w:tcW w:w="732" w:type="dxa"/>
            <w:tcBorders>
              <w:top w:val="single" w:sz="6" w:space="0" w:color="000000"/>
              <w:right w:val="single" w:sz="6" w:space="0" w:color="000000"/>
            </w:tcBorders>
          </w:tcPr>
          <w:p>
            <w:pPr>
              <w:pStyle w:val="TAH"/>
              <w:snapToGrid w:val="false"/>
              <w:rPr>
                <w:lang w:eastAsia="en-US"/>
              </w:rPr>
            </w:pPr>
            <w:r>
              <w:rPr>
                <w:lang w:eastAsia="en-US"/>
              </w:rPr>
            </w:r>
          </w:p>
        </w:tc>
      </w:tr>
      <w:tr>
        <w:trPr/>
        <w:tc>
          <w:tcPr>
            <w:tcW w:w="1080" w:type="dxa"/>
            <w:tcBorders>
              <w:top w:val="single" w:sz="6" w:space="0" w:color="000000"/>
              <w:left w:val="single" w:sz="6" w:space="0" w:color="000000"/>
              <w:right w:val="single" w:sz="6" w:space="0" w:color="000000"/>
            </w:tcBorders>
          </w:tcPr>
          <w:p>
            <w:pPr>
              <w:pStyle w:val="TAL"/>
              <w:rPr>
                <w:lang w:val="en-GB"/>
              </w:rPr>
            </w:pPr>
            <w:r>
              <w:rPr>
                <w:lang w:val="en-GB"/>
              </w:rPr>
              <w:t>MHz</w:t>
            </w:r>
          </w:p>
        </w:tc>
        <w:tc>
          <w:tcPr>
            <w:tcW w:w="857" w:type="dxa"/>
            <w:tcBorders>
              <w:top w:val="single" w:sz="6" w:space="0" w:color="000000"/>
              <w:right w:val="single" w:sz="6" w:space="0" w:color="000000"/>
            </w:tcBorders>
          </w:tcPr>
          <w:p>
            <w:pPr>
              <w:pStyle w:val="TAC"/>
              <w:rPr>
                <w:lang w:val="en-GB"/>
              </w:rPr>
            </w:pPr>
            <w:r>
              <w:rPr>
                <w:lang w:val="en-GB"/>
              </w:rPr>
              <w:t>100</w:t>
            </w:r>
          </w:p>
        </w:tc>
        <w:tc>
          <w:tcPr>
            <w:tcW w:w="792" w:type="dxa"/>
            <w:tcBorders>
              <w:top w:val="single" w:sz="6" w:space="0" w:color="000000"/>
              <w:right w:val="single" w:sz="6" w:space="0" w:color="000000"/>
            </w:tcBorders>
          </w:tcPr>
          <w:p>
            <w:pPr>
              <w:pStyle w:val="TAC"/>
              <w:rPr>
                <w:lang w:val="en-GB"/>
              </w:rPr>
            </w:pPr>
            <w:r>
              <w:rPr>
                <w:lang w:val="en-GB"/>
              </w:rPr>
              <w:t>200</w:t>
            </w:r>
          </w:p>
        </w:tc>
        <w:tc>
          <w:tcPr>
            <w:tcW w:w="792" w:type="dxa"/>
            <w:tcBorders>
              <w:top w:val="single" w:sz="6" w:space="0" w:color="000000"/>
              <w:right w:val="single" w:sz="6" w:space="0" w:color="000000"/>
            </w:tcBorders>
          </w:tcPr>
          <w:p>
            <w:pPr>
              <w:pStyle w:val="TAC"/>
              <w:rPr>
                <w:lang w:val="en-GB"/>
              </w:rPr>
            </w:pPr>
            <w:r>
              <w:rPr>
                <w:lang w:val="en-GB"/>
              </w:rPr>
              <w:t>250</w:t>
            </w:r>
          </w:p>
        </w:tc>
        <w:tc>
          <w:tcPr>
            <w:tcW w:w="1368" w:type="dxa"/>
            <w:tcBorders>
              <w:top w:val="single" w:sz="6" w:space="0" w:color="000000"/>
              <w:right w:val="single" w:sz="6" w:space="0" w:color="000000"/>
            </w:tcBorders>
          </w:tcPr>
          <w:p>
            <w:pPr>
              <w:pStyle w:val="TAC"/>
              <w:rPr>
                <w:lang w:val="en-GB"/>
              </w:rPr>
            </w:pPr>
            <w:r>
              <w:rPr>
                <w:lang w:val="en-GB"/>
              </w:rPr>
              <w:t>400 &gt; 1 800</w:t>
            </w:r>
          </w:p>
        </w:tc>
        <w:tc>
          <w:tcPr>
            <w:tcW w:w="1460" w:type="dxa"/>
            <w:tcBorders>
              <w:top w:val="single" w:sz="6" w:space="0" w:color="000000"/>
              <w:right w:val="single" w:sz="6" w:space="0" w:color="000000"/>
            </w:tcBorders>
          </w:tcPr>
          <w:p>
            <w:pPr>
              <w:pStyle w:val="TAC"/>
              <w:rPr>
                <w:lang w:val="en-GB"/>
              </w:rPr>
            </w:pPr>
            <w:r>
              <w:rPr>
                <w:lang w:val="en-GB"/>
              </w:rPr>
              <w:t>1 800 &lt; 3 000</w:t>
            </w:r>
          </w:p>
        </w:tc>
        <w:tc>
          <w:tcPr>
            <w:tcW w:w="1460" w:type="dxa"/>
            <w:tcBorders>
              <w:top w:val="single" w:sz="6" w:space="0" w:color="000000"/>
              <w:right w:val="single" w:sz="6" w:space="0" w:color="000000"/>
            </w:tcBorders>
          </w:tcPr>
          <w:p>
            <w:pPr>
              <w:pStyle w:val="TAC"/>
              <w:rPr>
                <w:lang w:val="en-GB"/>
              </w:rPr>
            </w:pPr>
            <w:r>
              <w:rPr>
                <w:lang w:val="en-GB"/>
              </w:rPr>
              <w:t>3 000 &lt; 6 000</w:t>
            </w:r>
          </w:p>
        </w:tc>
        <w:tc>
          <w:tcPr>
            <w:tcW w:w="1015" w:type="dxa"/>
            <w:gridSpan w:val="2"/>
            <w:tcBorders>
              <w:top w:val="single" w:sz="6" w:space="0" w:color="000000"/>
              <w:right w:val="single" w:sz="6" w:space="0" w:color="000000"/>
            </w:tcBorders>
          </w:tcPr>
          <w:p>
            <w:pPr>
              <w:pStyle w:val="TAC"/>
              <w:rPr>
                <w:lang w:val="en-GB"/>
              </w:rPr>
            </w:pPr>
            <w:r>
              <w:rPr>
                <w:lang w:val="en-GB"/>
              </w:rPr>
              <w:t>&gt; 6 000</w:t>
            </w:r>
          </w:p>
        </w:tc>
      </w:tr>
      <w:tr>
        <w:trPr/>
        <w:tc>
          <w:tcPr>
            <w:tcW w:w="1080" w:type="dxa"/>
            <w:tcBorders>
              <w:top w:val="single" w:sz="6" w:space="0" w:color="000000"/>
              <w:left w:val="single" w:sz="6" w:space="0" w:color="000000"/>
              <w:right w:val="single" w:sz="6" w:space="0" w:color="000000"/>
            </w:tcBorders>
          </w:tcPr>
          <w:p>
            <w:pPr>
              <w:pStyle w:val="TAL"/>
              <w:rPr>
                <w:lang w:val="en-GB"/>
              </w:rPr>
            </w:pPr>
            <w:r>
              <w:rPr>
                <w:lang w:val="en-GB"/>
              </w:rPr>
              <w:t>900</w:t>
            </w:r>
          </w:p>
        </w:tc>
        <w:tc>
          <w:tcPr>
            <w:tcW w:w="857" w:type="dxa"/>
            <w:tcBorders>
              <w:top w:val="single" w:sz="6" w:space="0" w:color="000000"/>
              <w:right w:val="single" w:sz="6" w:space="0" w:color="000000"/>
            </w:tcBorders>
          </w:tcPr>
          <w:p>
            <w:pPr>
              <w:pStyle w:val="TAC"/>
              <w:rPr>
                <w:lang w:val="en-GB"/>
              </w:rPr>
            </w:pPr>
            <w:r>
              <w:rPr>
                <w:lang w:val="en-GB"/>
              </w:rPr>
              <w:t>+0,5</w:t>
            </w:r>
          </w:p>
        </w:tc>
        <w:tc>
          <w:tcPr>
            <w:tcW w:w="792" w:type="dxa"/>
            <w:tcBorders>
              <w:top w:val="single" w:sz="6" w:space="0" w:color="000000"/>
              <w:right w:val="single" w:sz="6" w:space="0" w:color="000000"/>
            </w:tcBorders>
          </w:tcPr>
          <w:p>
            <w:pPr>
              <w:pStyle w:val="TAC"/>
              <w:rPr>
                <w:lang w:val="en-GB"/>
              </w:rPr>
            </w:pPr>
            <w:r>
              <w:rPr>
                <w:lang w:val="en-GB"/>
              </w:rPr>
              <w:t>-30</w:t>
            </w:r>
          </w:p>
        </w:tc>
        <w:tc>
          <w:tcPr>
            <w:tcW w:w="792" w:type="dxa"/>
            <w:tcBorders>
              <w:top w:val="single" w:sz="6" w:space="0" w:color="000000"/>
              <w:right w:val="single" w:sz="6" w:space="0" w:color="000000"/>
            </w:tcBorders>
          </w:tcPr>
          <w:p>
            <w:pPr>
              <w:pStyle w:val="TAC"/>
              <w:rPr>
                <w:lang w:val="en-GB"/>
              </w:rPr>
            </w:pPr>
            <w:r>
              <w:rPr>
                <w:lang w:val="en-GB"/>
              </w:rPr>
              <w:t>-33</w:t>
            </w:r>
          </w:p>
        </w:tc>
        <w:tc>
          <w:tcPr>
            <w:tcW w:w="1368" w:type="dxa"/>
            <w:tcBorders>
              <w:top w:val="single" w:sz="6" w:space="0" w:color="000000"/>
              <w:right w:val="single" w:sz="6" w:space="0" w:color="000000"/>
            </w:tcBorders>
          </w:tcPr>
          <w:p>
            <w:pPr>
              <w:pStyle w:val="TAC"/>
              <w:rPr>
                <w:lang w:val="en-GB"/>
              </w:rPr>
            </w:pPr>
            <w:r>
              <w:rPr>
                <w:lang w:val="en-GB"/>
              </w:rPr>
              <w:t>-60</w:t>
            </w:r>
          </w:p>
        </w:tc>
        <w:tc>
          <w:tcPr>
            <w:tcW w:w="1460" w:type="dxa"/>
            <w:tcBorders>
              <w:top w:val="single" w:sz="6" w:space="0" w:color="000000"/>
              <w:right w:val="single" w:sz="6" w:space="0" w:color="000000"/>
            </w:tcBorders>
          </w:tcPr>
          <w:p>
            <w:pPr>
              <w:pStyle w:val="TAC"/>
              <w:rPr>
                <w:lang w:val="en-GB"/>
              </w:rPr>
            </w:pPr>
            <w:r>
              <w:rPr>
                <w:lang w:val="en-GB"/>
              </w:rPr>
              <w:t>-63</w:t>
            </w:r>
          </w:p>
        </w:tc>
        <w:tc>
          <w:tcPr>
            <w:tcW w:w="1460" w:type="dxa"/>
            <w:tcBorders>
              <w:top w:val="single" w:sz="6" w:space="0" w:color="000000"/>
              <w:right w:val="single" w:sz="6" w:space="0" w:color="000000"/>
            </w:tcBorders>
          </w:tcPr>
          <w:p>
            <w:pPr>
              <w:pStyle w:val="TAC"/>
              <w:rPr>
                <w:lang w:val="en-GB"/>
              </w:rPr>
            </w:pPr>
            <w:r>
              <w:rPr>
                <w:lang w:val="en-GB"/>
              </w:rPr>
              <w:t>-65</w:t>
            </w:r>
          </w:p>
        </w:tc>
        <w:tc>
          <w:tcPr>
            <w:tcW w:w="1015" w:type="dxa"/>
            <w:gridSpan w:val="2"/>
            <w:tcBorders>
              <w:top w:val="single" w:sz="6" w:space="0" w:color="000000"/>
              <w:right w:val="single" w:sz="6" w:space="0" w:color="000000"/>
            </w:tcBorders>
          </w:tcPr>
          <w:p>
            <w:pPr>
              <w:pStyle w:val="TAC"/>
              <w:rPr>
                <w:lang w:val="en-GB"/>
              </w:rPr>
            </w:pPr>
            <w:r>
              <w:rPr>
                <w:lang w:val="en-GB"/>
              </w:rPr>
              <w:t>-71</w:t>
            </w:r>
          </w:p>
        </w:tc>
      </w:tr>
      <w:tr>
        <w:trPr/>
        <w:tc>
          <w:tcPr>
            <w:tcW w:w="108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1 800</w:t>
            </w:r>
          </w:p>
        </w:tc>
        <w:tc>
          <w:tcPr>
            <w:tcW w:w="857" w:type="dxa"/>
            <w:tcBorders>
              <w:top w:val="single" w:sz="6" w:space="0" w:color="000000"/>
              <w:bottom w:val="single" w:sz="6" w:space="0" w:color="000000"/>
              <w:right w:val="single" w:sz="6" w:space="0" w:color="000000"/>
            </w:tcBorders>
          </w:tcPr>
          <w:p>
            <w:pPr>
              <w:pStyle w:val="TAC"/>
              <w:rPr>
                <w:lang w:val="en-GB"/>
              </w:rPr>
            </w:pPr>
            <w:r>
              <w:rPr>
                <w:lang w:val="en-GB"/>
              </w:rPr>
              <w:t>+0,5</w:t>
            </w:r>
          </w:p>
        </w:tc>
        <w:tc>
          <w:tcPr>
            <w:tcW w:w="792" w:type="dxa"/>
            <w:tcBorders>
              <w:top w:val="single" w:sz="6" w:space="0" w:color="000000"/>
              <w:bottom w:val="single" w:sz="6" w:space="0" w:color="000000"/>
              <w:right w:val="single" w:sz="6" w:space="0" w:color="000000"/>
            </w:tcBorders>
          </w:tcPr>
          <w:p>
            <w:pPr>
              <w:pStyle w:val="TAC"/>
              <w:rPr>
                <w:lang w:val="en-GB"/>
              </w:rPr>
            </w:pPr>
            <w:r>
              <w:rPr>
                <w:lang w:val="en-GB"/>
              </w:rPr>
              <w:t>-30</w:t>
            </w:r>
          </w:p>
        </w:tc>
        <w:tc>
          <w:tcPr>
            <w:tcW w:w="792" w:type="dxa"/>
            <w:tcBorders>
              <w:top w:val="single" w:sz="6" w:space="0" w:color="000000"/>
              <w:bottom w:val="single" w:sz="6" w:space="0" w:color="000000"/>
              <w:right w:val="single" w:sz="6" w:space="0" w:color="000000"/>
            </w:tcBorders>
          </w:tcPr>
          <w:p>
            <w:pPr>
              <w:pStyle w:val="TAC"/>
              <w:rPr>
                <w:lang w:val="en-GB"/>
              </w:rPr>
            </w:pPr>
            <w:r>
              <w:rPr>
                <w:lang w:val="en-GB"/>
              </w:rPr>
              <w:t>-33</w:t>
            </w:r>
          </w:p>
        </w:tc>
        <w:tc>
          <w:tcPr>
            <w:tcW w:w="1368" w:type="dxa"/>
            <w:tcBorders>
              <w:top w:val="single" w:sz="6" w:space="0" w:color="000000"/>
              <w:bottom w:val="single" w:sz="6" w:space="0" w:color="000000"/>
              <w:right w:val="single" w:sz="6" w:space="0" w:color="000000"/>
            </w:tcBorders>
          </w:tcPr>
          <w:p>
            <w:pPr>
              <w:pStyle w:val="TAC"/>
              <w:rPr>
                <w:lang w:val="en-GB"/>
              </w:rPr>
            </w:pPr>
            <w:r>
              <w:rPr>
                <w:lang w:val="en-GB"/>
              </w:rPr>
              <w:t>-60</w:t>
            </w:r>
          </w:p>
        </w:tc>
        <w:tc>
          <w:tcPr>
            <w:tcW w:w="1460" w:type="dxa"/>
            <w:tcBorders>
              <w:top w:val="single" w:sz="6" w:space="0" w:color="000000"/>
              <w:bottom w:val="single" w:sz="6" w:space="0" w:color="000000"/>
              <w:right w:val="single" w:sz="6" w:space="0" w:color="000000"/>
            </w:tcBorders>
          </w:tcPr>
          <w:p>
            <w:pPr>
              <w:pStyle w:val="TAC"/>
              <w:rPr>
                <w:lang w:val="en-GB"/>
              </w:rPr>
            </w:pPr>
            <w:r>
              <w:rPr>
                <w:lang w:val="en-GB"/>
              </w:rPr>
              <w:t>-65</w:t>
            </w:r>
          </w:p>
        </w:tc>
        <w:tc>
          <w:tcPr>
            <w:tcW w:w="1460" w:type="dxa"/>
            <w:tcBorders>
              <w:top w:val="single" w:sz="6" w:space="0" w:color="000000"/>
              <w:bottom w:val="single" w:sz="6" w:space="0" w:color="000000"/>
              <w:right w:val="single" w:sz="6" w:space="0" w:color="000000"/>
            </w:tcBorders>
          </w:tcPr>
          <w:p>
            <w:pPr>
              <w:pStyle w:val="TAC"/>
              <w:rPr>
                <w:lang w:val="en-GB"/>
              </w:rPr>
            </w:pPr>
            <w:r>
              <w:rPr>
                <w:lang w:val="en-GB"/>
              </w:rPr>
              <w:t>-65</w:t>
            </w:r>
          </w:p>
        </w:tc>
        <w:tc>
          <w:tcPr>
            <w:tcW w:w="1015" w:type="dxa"/>
            <w:gridSpan w:val="2"/>
            <w:tcBorders>
              <w:top w:val="single" w:sz="6" w:space="0" w:color="000000"/>
              <w:bottom w:val="single" w:sz="6" w:space="0" w:color="000000"/>
              <w:right w:val="single" w:sz="6" w:space="0" w:color="000000"/>
            </w:tcBorders>
          </w:tcPr>
          <w:p>
            <w:pPr>
              <w:pStyle w:val="TAC"/>
              <w:rPr>
                <w:lang w:val="en-GB"/>
              </w:rPr>
            </w:pPr>
            <w:r>
              <w:rPr>
                <w:lang w:val="en-GB"/>
              </w:rPr>
              <w:t>-73</w:t>
            </w:r>
          </w:p>
        </w:tc>
      </w:tr>
    </w:tbl>
    <w:p>
      <w:pPr>
        <w:pStyle w:val="FP"/>
        <w:rPr/>
      </w:pPr>
      <w:r>
        <w:rPr/>
      </w:r>
    </w:p>
    <w:p>
      <w:pPr>
        <w:pStyle w:val="Normal"/>
        <w:keepNext w:val="true"/>
        <w:keepLines/>
        <w:rPr/>
      </w:pPr>
      <w:r>
        <w:rPr/>
        <w:t>MS receiver reference sensitivity:</w:t>
      </w:r>
    </w:p>
    <w:p>
      <w:pPr>
        <w:pStyle w:val="B1"/>
        <w:keepNext w:val="true"/>
        <w:keepLines/>
        <w:rPr/>
      </w:pPr>
      <w:r>
        <w:rPr/>
        <w:t>900 MHz = -102 dBm</w:t>
      </w:r>
    </w:p>
    <w:p>
      <w:pPr>
        <w:pStyle w:val="B1"/>
        <w:keepNext w:val="true"/>
        <w:keepLines/>
        <w:rPr/>
      </w:pPr>
      <w:r>
        <w:rPr/>
        <w:t>1800 MHz = -102 dBm</w:t>
      </w:r>
    </w:p>
    <w:p>
      <w:pPr>
        <w:pStyle w:val="B1"/>
        <w:keepNext w:val="true"/>
        <w:keepLines/>
        <w:rPr/>
      </w:pPr>
      <w:r>
        <w:rPr/>
        <w:t>MS blocking level &lt; 3 MHz</w:t>
      </w:r>
    </w:p>
    <w:p>
      <w:pPr>
        <w:pStyle w:val="B1"/>
        <w:keepNext w:val="true"/>
        <w:keepLines/>
        <w:rPr/>
      </w:pPr>
      <w:r>
        <w:rPr/>
        <w:t>900 MHz = -23 dBm</w:t>
      </w:r>
    </w:p>
    <w:p>
      <w:pPr>
        <w:pStyle w:val="B1"/>
        <w:keepNext w:val="true"/>
        <w:keepLines/>
        <w:rPr/>
      </w:pPr>
      <w:r>
        <w:rPr/>
        <w:t>1 800 MHz = -26 dBm</w:t>
      </w:r>
    </w:p>
    <w:p>
      <w:pPr>
        <w:pStyle w:val="Normal"/>
        <w:rPr/>
      </w:pPr>
      <w:r>
        <w:rPr/>
        <w:t>From Previous papers SMG2 Tdoc 32/97.</w:t>
      </w:r>
    </w:p>
    <w:p>
      <w:pPr>
        <w:pStyle w:val="Normal"/>
        <w:rPr/>
      </w:pPr>
      <w:r>
        <w:rPr/>
        <w:t>Minimum coupling loss (MCL):</w:t>
      </w:r>
    </w:p>
    <w:p>
      <w:pPr>
        <w:pStyle w:val="B1"/>
        <w:rPr/>
      </w:pPr>
      <w:r>
        <w:rPr/>
        <w:t>900 MHz = 34 dB</w:t>
      </w:r>
    </w:p>
    <w:p>
      <w:pPr>
        <w:pStyle w:val="B1"/>
        <w:rPr/>
      </w:pPr>
      <w:r>
        <w:rPr/>
        <w:t>1 800 MHz = 40 dB</w:t>
      </w:r>
    </w:p>
    <w:p>
      <w:pPr>
        <w:pStyle w:val="B1"/>
        <w:rPr/>
      </w:pPr>
      <w:r>
        <w:rPr/>
        <w:t>C/(I + N) = 9 dB for reference sensitivity performance</w:t>
      </w:r>
    </w:p>
    <w:p>
      <w:pPr>
        <w:pStyle w:val="Normal"/>
        <w:rPr/>
      </w:pPr>
      <w:r>
        <w:rPr/>
        <w:t>Conversion from peak power in 200 kHz to average power in 30 kHz = 8 dB</w:t>
      </w:r>
    </w:p>
    <w:p>
      <w:pPr>
        <w:pStyle w:val="Normal"/>
        <w:rPr/>
      </w:pPr>
      <w:r>
        <w:rPr/>
        <w:t>Conversion from noise power in 100 kHz to 200 kHz = 3 dB</w:t>
      </w:r>
    </w:p>
    <w:p>
      <w:pPr>
        <w:pStyle w:val="Normal"/>
        <w:rPr/>
      </w:pPr>
      <w:r>
        <w:rPr/>
        <w:t>Multiple interference margin 2 carriers case (MIM) = - 3dB</w:t>
      </w:r>
    </w:p>
    <w:p>
      <w:pPr>
        <w:pStyle w:val="Normal"/>
        <w:rPr/>
      </w:pPr>
      <w:r>
        <w:rPr/>
        <w:t>Multiple interference margin 4 carriers case (MIM) = -6dB</w:t>
      </w:r>
    </w:p>
    <w:p>
      <w:pPr>
        <w:pStyle w:val="Normal"/>
        <w:rPr/>
      </w:pPr>
      <w:r>
        <w:rPr/>
        <w:t>MS margin (MSM) - 10 dB</w:t>
      </w:r>
    </w:p>
    <w:p>
      <w:pPr>
        <w:pStyle w:val="Normal"/>
        <w:rPr/>
      </w:pPr>
      <w:r>
        <w:rPr/>
        <w:t>MS margin for 10% affected mobiles (MSM) -15dB (Tdoc SMG2 32/97)</w:t>
      </w:r>
    </w:p>
    <w:p>
      <w:pPr>
        <w:pStyle w:val="Normal"/>
        <w:rPr>
          <w:i/>
          <w:i/>
        </w:rPr>
      </w:pPr>
      <w:r>
        <w:rPr>
          <w:i/>
        </w:rPr>
        <w:t>Others</w:t>
      </w:r>
    </w:p>
    <w:p>
      <w:pPr>
        <w:pStyle w:val="Normal"/>
        <w:rPr/>
      </w:pPr>
      <w:r>
        <w:rPr/>
        <w:t>Antenna gain of the mobile and BTS is incorporated into the MCL; therefore all measurements are referenced to the antenna ports.</w:t>
      </w:r>
    </w:p>
    <w:p>
      <w:pPr>
        <w:pStyle w:val="Normal"/>
        <w:rPr/>
      </w:pPr>
      <w:r>
        <w:rPr/>
        <w:t>MS transmit spectrum due modulation and wideband noise (dBm) when mobile is transmitting at full power.</w:t>
      </w:r>
    </w:p>
    <w:p>
      <w:pPr>
        <w:pStyle w:val="TH"/>
        <w:rPr/>
      </w:pPr>
      <w:r>
        <w:rPr/>
      </w:r>
    </w:p>
    <w:tbl>
      <w:tblPr>
        <w:tblW w:w="9241" w:type="dxa"/>
        <w:jc w:val="center"/>
        <w:tblInd w:w="0" w:type="dxa"/>
        <w:tblLayout w:type="fixed"/>
        <w:tblCellMar>
          <w:top w:w="0" w:type="dxa"/>
          <w:left w:w="28" w:type="dxa"/>
          <w:bottom w:w="0" w:type="dxa"/>
          <w:right w:w="28" w:type="dxa"/>
        </w:tblCellMar>
      </w:tblPr>
      <w:tblGrid>
        <w:gridCol w:w="1062"/>
        <w:gridCol w:w="957"/>
        <w:gridCol w:w="944"/>
        <w:gridCol w:w="944"/>
        <w:gridCol w:w="1415"/>
        <w:gridCol w:w="1468"/>
        <w:gridCol w:w="1468"/>
        <w:gridCol w:w="983"/>
      </w:tblGrid>
      <w:tr>
        <w:trPr/>
        <w:tc>
          <w:tcPr>
            <w:tcW w:w="1062" w:type="dxa"/>
            <w:tcBorders>
              <w:top w:val="single" w:sz="6" w:space="0" w:color="000000"/>
              <w:left w:val="single" w:sz="6" w:space="0" w:color="000000"/>
              <w:right w:val="single" w:sz="6" w:space="0" w:color="000000"/>
            </w:tcBorders>
          </w:tcPr>
          <w:p>
            <w:pPr>
              <w:pStyle w:val="TAH"/>
              <w:rPr>
                <w:lang w:eastAsia="en-US"/>
              </w:rPr>
            </w:pPr>
            <w:r>
              <w:rPr>
                <w:lang w:eastAsia="en-US"/>
              </w:rPr>
              <w:t>Mobile</w:t>
            </w:r>
          </w:p>
        </w:tc>
        <w:tc>
          <w:tcPr>
            <w:tcW w:w="4260" w:type="dxa"/>
            <w:gridSpan w:val="4"/>
            <w:tcBorders>
              <w:top w:val="single" w:sz="6" w:space="0" w:color="000000"/>
            </w:tcBorders>
          </w:tcPr>
          <w:p>
            <w:pPr>
              <w:pStyle w:val="TAH"/>
              <w:rPr/>
            </w:pPr>
            <w:r>
              <w:rPr>
                <w:lang w:eastAsia="en-US"/>
              </w:rPr>
              <w:t>Bandwidth 30 kHz</w:t>
            </w:r>
          </w:p>
        </w:tc>
        <w:tc>
          <w:tcPr>
            <w:tcW w:w="2936" w:type="dxa"/>
            <w:gridSpan w:val="2"/>
            <w:tcBorders>
              <w:top w:val="single" w:sz="6" w:space="0" w:color="000000"/>
              <w:left w:val="single" w:sz="6" w:space="0" w:color="000000"/>
            </w:tcBorders>
          </w:tcPr>
          <w:p>
            <w:pPr>
              <w:pStyle w:val="TAH"/>
              <w:rPr>
                <w:lang w:eastAsia="en-US"/>
              </w:rPr>
            </w:pPr>
            <w:r>
              <w:rPr>
                <w:lang w:eastAsia="en-US"/>
              </w:rPr>
              <w:t>100 kHz</w:t>
            </w:r>
          </w:p>
        </w:tc>
        <w:tc>
          <w:tcPr>
            <w:tcW w:w="983" w:type="dxa"/>
            <w:tcBorders>
              <w:top w:val="single" w:sz="6" w:space="0" w:color="000000"/>
              <w:right w:val="single" w:sz="6" w:space="0" w:color="000000"/>
            </w:tcBorders>
          </w:tcPr>
          <w:p>
            <w:pPr>
              <w:pStyle w:val="TAH"/>
              <w:snapToGrid w:val="false"/>
              <w:rPr>
                <w:lang w:eastAsia="en-US"/>
              </w:rPr>
            </w:pPr>
            <w:r>
              <w:rPr>
                <w:lang w:eastAsia="en-US"/>
              </w:rPr>
            </w:r>
          </w:p>
        </w:tc>
      </w:tr>
      <w:tr>
        <w:trPr/>
        <w:tc>
          <w:tcPr>
            <w:tcW w:w="1062" w:type="dxa"/>
            <w:tcBorders>
              <w:top w:val="single" w:sz="6" w:space="0" w:color="000000"/>
              <w:left w:val="single" w:sz="6" w:space="0" w:color="000000"/>
              <w:right w:val="single" w:sz="6" w:space="0" w:color="000000"/>
            </w:tcBorders>
          </w:tcPr>
          <w:p>
            <w:pPr>
              <w:pStyle w:val="TAL"/>
              <w:rPr>
                <w:lang w:val="en-GB"/>
              </w:rPr>
            </w:pPr>
            <w:r>
              <w:rPr>
                <w:lang w:val="en-GB"/>
              </w:rPr>
              <w:t>MHz</w:t>
            </w:r>
          </w:p>
        </w:tc>
        <w:tc>
          <w:tcPr>
            <w:tcW w:w="957" w:type="dxa"/>
            <w:tcBorders>
              <w:top w:val="single" w:sz="6" w:space="0" w:color="000000"/>
              <w:right w:val="single" w:sz="6" w:space="0" w:color="000000"/>
            </w:tcBorders>
          </w:tcPr>
          <w:p>
            <w:pPr>
              <w:pStyle w:val="TAC"/>
              <w:rPr>
                <w:lang w:val="en-GB"/>
              </w:rPr>
            </w:pPr>
            <w:r>
              <w:rPr>
                <w:lang w:val="en-GB"/>
              </w:rPr>
              <w:t>100</w:t>
            </w:r>
          </w:p>
        </w:tc>
        <w:tc>
          <w:tcPr>
            <w:tcW w:w="944" w:type="dxa"/>
            <w:tcBorders>
              <w:top w:val="single" w:sz="6" w:space="0" w:color="000000"/>
              <w:right w:val="single" w:sz="6" w:space="0" w:color="000000"/>
            </w:tcBorders>
          </w:tcPr>
          <w:p>
            <w:pPr>
              <w:pStyle w:val="TAC"/>
              <w:rPr>
                <w:lang w:val="en-GB"/>
              </w:rPr>
            </w:pPr>
            <w:r>
              <w:rPr>
                <w:lang w:val="en-GB"/>
              </w:rPr>
              <w:t>200</w:t>
            </w:r>
          </w:p>
        </w:tc>
        <w:tc>
          <w:tcPr>
            <w:tcW w:w="944" w:type="dxa"/>
            <w:tcBorders>
              <w:top w:val="single" w:sz="6" w:space="0" w:color="000000"/>
              <w:right w:val="single" w:sz="6" w:space="0" w:color="000000"/>
            </w:tcBorders>
          </w:tcPr>
          <w:p>
            <w:pPr>
              <w:pStyle w:val="TAC"/>
              <w:rPr>
                <w:lang w:val="en-GB"/>
              </w:rPr>
            </w:pPr>
            <w:r>
              <w:rPr>
                <w:lang w:val="en-GB"/>
              </w:rPr>
              <w:t>250</w:t>
            </w:r>
          </w:p>
        </w:tc>
        <w:tc>
          <w:tcPr>
            <w:tcW w:w="1415" w:type="dxa"/>
            <w:tcBorders>
              <w:top w:val="single" w:sz="6" w:space="0" w:color="000000"/>
              <w:right w:val="single" w:sz="6" w:space="0" w:color="000000"/>
            </w:tcBorders>
          </w:tcPr>
          <w:p>
            <w:pPr>
              <w:pStyle w:val="TAC"/>
              <w:rPr>
                <w:lang w:val="en-GB"/>
              </w:rPr>
            </w:pPr>
            <w:r>
              <w:rPr>
                <w:lang w:val="en-GB"/>
              </w:rPr>
              <w:t>400 &gt; 1 800</w:t>
            </w:r>
          </w:p>
        </w:tc>
        <w:tc>
          <w:tcPr>
            <w:tcW w:w="1468" w:type="dxa"/>
            <w:tcBorders>
              <w:top w:val="single" w:sz="6" w:space="0" w:color="000000"/>
              <w:right w:val="single" w:sz="6" w:space="0" w:color="000000"/>
            </w:tcBorders>
          </w:tcPr>
          <w:p>
            <w:pPr>
              <w:pStyle w:val="TAC"/>
              <w:rPr>
                <w:lang w:val="en-GB"/>
              </w:rPr>
            </w:pPr>
            <w:r>
              <w:rPr>
                <w:lang w:val="en-GB"/>
              </w:rPr>
              <w:t>1 800 &lt; 3 000</w:t>
            </w:r>
          </w:p>
        </w:tc>
        <w:tc>
          <w:tcPr>
            <w:tcW w:w="1468" w:type="dxa"/>
            <w:tcBorders>
              <w:top w:val="single" w:sz="6" w:space="0" w:color="000000"/>
              <w:right w:val="single" w:sz="6" w:space="0" w:color="000000"/>
            </w:tcBorders>
          </w:tcPr>
          <w:p>
            <w:pPr>
              <w:pStyle w:val="TAC"/>
              <w:rPr>
                <w:lang w:val="en-GB"/>
              </w:rPr>
            </w:pPr>
            <w:r>
              <w:rPr>
                <w:lang w:val="en-GB"/>
              </w:rPr>
              <w:t>3 000 &lt; 6 000</w:t>
            </w:r>
          </w:p>
        </w:tc>
        <w:tc>
          <w:tcPr>
            <w:tcW w:w="983" w:type="dxa"/>
            <w:tcBorders>
              <w:top w:val="single" w:sz="6" w:space="0" w:color="000000"/>
              <w:right w:val="single" w:sz="6" w:space="0" w:color="000000"/>
            </w:tcBorders>
          </w:tcPr>
          <w:p>
            <w:pPr>
              <w:pStyle w:val="TAC"/>
              <w:rPr>
                <w:lang w:val="en-GB"/>
              </w:rPr>
            </w:pPr>
            <w:r>
              <w:rPr>
                <w:lang w:val="en-GB"/>
              </w:rPr>
              <w:t>&gt; 6 000</w:t>
            </w:r>
          </w:p>
        </w:tc>
      </w:tr>
      <w:tr>
        <w:trPr/>
        <w:tc>
          <w:tcPr>
            <w:tcW w:w="1062" w:type="dxa"/>
            <w:tcBorders>
              <w:top w:val="single" w:sz="6" w:space="0" w:color="000000"/>
              <w:left w:val="single" w:sz="6" w:space="0" w:color="000000"/>
              <w:right w:val="single" w:sz="6" w:space="0" w:color="000000"/>
            </w:tcBorders>
          </w:tcPr>
          <w:p>
            <w:pPr>
              <w:pStyle w:val="TAL"/>
              <w:rPr>
                <w:lang w:val="en-GB"/>
              </w:rPr>
            </w:pPr>
            <w:r>
              <w:rPr>
                <w:lang w:val="en-GB"/>
              </w:rPr>
              <w:t>900</w:t>
            </w:r>
          </w:p>
        </w:tc>
        <w:tc>
          <w:tcPr>
            <w:tcW w:w="957" w:type="dxa"/>
            <w:tcBorders>
              <w:top w:val="single" w:sz="6" w:space="0" w:color="000000"/>
              <w:right w:val="single" w:sz="6" w:space="0" w:color="000000"/>
            </w:tcBorders>
          </w:tcPr>
          <w:p>
            <w:pPr>
              <w:pStyle w:val="TAC"/>
              <w:rPr>
                <w:lang w:val="en-GB"/>
              </w:rPr>
            </w:pPr>
            <w:r>
              <w:rPr>
                <w:lang w:val="en-GB"/>
              </w:rPr>
              <w:t>+25</w:t>
            </w:r>
          </w:p>
        </w:tc>
        <w:tc>
          <w:tcPr>
            <w:tcW w:w="944" w:type="dxa"/>
            <w:tcBorders>
              <w:top w:val="single" w:sz="6" w:space="0" w:color="000000"/>
              <w:right w:val="single" w:sz="6" w:space="0" w:color="000000"/>
            </w:tcBorders>
          </w:tcPr>
          <w:p>
            <w:pPr>
              <w:pStyle w:val="TAC"/>
              <w:rPr>
                <w:lang w:val="en-GB"/>
              </w:rPr>
            </w:pPr>
            <w:r>
              <w:rPr>
                <w:lang w:val="en-GB"/>
              </w:rPr>
              <w:t>-5</w:t>
            </w:r>
          </w:p>
        </w:tc>
        <w:tc>
          <w:tcPr>
            <w:tcW w:w="944" w:type="dxa"/>
            <w:tcBorders>
              <w:top w:val="single" w:sz="6" w:space="0" w:color="000000"/>
              <w:right w:val="single" w:sz="6" w:space="0" w:color="000000"/>
            </w:tcBorders>
          </w:tcPr>
          <w:p>
            <w:pPr>
              <w:pStyle w:val="TAC"/>
              <w:rPr>
                <w:lang w:val="en-GB"/>
              </w:rPr>
            </w:pPr>
            <w:r>
              <w:rPr>
                <w:lang w:val="en-GB"/>
              </w:rPr>
              <w:t>-8</w:t>
            </w:r>
          </w:p>
        </w:tc>
        <w:tc>
          <w:tcPr>
            <w:tcW w:w="1415" w:type="dxa"/>
            <w:tcBorders>
              <w:top w:val="single" w:sz="6" w:space="0" w:color="000000"/>
              <w:right w:val="single" w:sz="6" w:space="0" w:color="000000"/>
            </w:tcBorders>
          </w:tcPr>
          <w:p>
            <w:pPr>
              <w:pStyle w:val="TAC"/>
              <w:rPr>
                <w:lang w:val="en-GB"/>
              </w:rPr>
            </w:pPr>
            <w:r>
              <w:rPr>
                <w:lang w:val="en-GB"/>
              </w:rPr>
              <w:t>-35</w:t>
            </w:r>
          </w:p>
        </w:tc>
        <w:tc>
          <w:tcPr>
            <w:tcW w:w="1468" w:type="dxa"/>
            <w:tcBorders>
              <w:top w:val="single" w:sz="6" w:space="0" w:color="000000"/>
              <w:right w:val="single" w:sz="6" w:space="0" w:color="000000"/>
            </w:tcBorders>
          </w:tcPr>
          <w:p>
            <w:pPr>
              <w:pStyle w:val="TAC"/>
              <w:rPr>
                <w:lang w:val="en-GB"/>
              </w:rPr>
            </w:pPr>
            <w:r>
              <w:rPr>
                <w:lang w:val="en-GB"/>
              </w:rPr>
              <w:t>-38</w:t>
            </w:r>
          </w:p>
        </w:tc>
        <w:tc>
          <w:tcPr>
            <w:tcW w:w="1468" w:type="dxa"/>
            <w:tcBorders>
              <w:top w:val="single" w:sz="6" w:space="0" w:color="000000"/>
              <w:right w:val="single" w:sz="6" w:space="0" w:color="000000"/>
            </w:tcBorders>
          </w:tcPr>
          <w:p>
            <w:pPr>
              <w:pStyle w:val="TAC"/>
              <w:rPr>
                <w:lang w:val="en-GB"/>
              </w:rPr>
            </w:pPr>
            <w:r>
              <w:rPr>
                <w:lang w:val="en-GB"/>
              </w:rPr>
              <w:t>-40</w:t>
            </w:r>
          </w:p>
        </w:tc>
        <w:tc>
          <w:tcPr>
            <w:tcW w:w="983" w:type="dxa"/>
            <w:tcBorders>
              <w:top w:val="single" w:sz="6" w:space="0" w:color="000000"/>
              <w:right w:val="single" w:sz="6" w:space="0" w:color="000000"/>
            </w:tcBorders>
          </w:tcPr>
          <w:p>
            <w:pPr>
              <w:pStyle w:val="TAC"/>
              <w:rPr>
                <w:lang w:val="en-GB"/>
              </w:rPr>
            </w:pPr>
            <w:r>
              <w:rPr>
                <w:lang w:val="en-GB"/>
              </w:rPr>
              <w:t>-46</w:t>
            </w:r>
          </w:p>
        </w:tc>
      </w:tr>
      <w:tr>
        <w:trPr/>
        <w:tc>
          <w:tcPr>
            <w:tcW w:w="1062" w:type="dxa"/>
            <w:tcBorders>
              <w:left w:val="single" w:sz="6" w:space="0" w:color="000000"/>
              <w:bottom w:val="single" w:sz="6" w:space="0" w:color="000000"/>
              <w:right w:val="single" w:sz="6" w:space="0" w:color="000000"/>
            </w:tcBorders>
          </w:tcPr>
          <w:p>
            <w:pPr>
              <w:pStyle w:val="TAL"/>
              <w:rPr>
                <w:lang w:val="en-GB"/>
              </w:rPr>
            </w:pPr>
            <w:r>
              <w:rPr>
                <w:lang w:val="en-GB"/>
              </w:rPr>
              <w:t>1 800</w:t>
            </w:r>
          </w:p>
        </w:tc>
        <w:tc>
          <w:tcPr>
            <w:tcW w:w="957" w:type="dxa"/>
            <w:tcBorders>
              <w:bottom w:val="single" w:sz="6" w:space="0" w:color="000000"/>
              <w:right w:val="single" w:sz="6" w:space="0" w:color="000000"/>
            </w:tcBorders>
          </w:tcPr>
          <w:p>
            <w:pPr>
              <w:pStyle w:val="TAC"/>
              <w:rPr>
                <w:lang w:val="en-GB"/>
              </w:rPr>
            </w:pPr>
            <w:r>
              <w:rPr>
                <w:lang w:val="en-GB"/>
              </w:rPr>
              <w:t>+22</w:t>
            </w:r>
          </w:p>
        </w:tc>
        <w:tc>
          <w:tcPr>
            <w:tcW w:w="944" w:type="dxa"/>
            <w:tcBorders>
              <w:bottom w:val="single" w:sz="6" w:space="0" w:color="000000"/>
              <w:right w:val="single" w:sz="6" w:space="0" w:color="000000"/>
            </w:tcBorders>
          </w:tcPr>
          <w:p>
            <w:pPr>
              <w:pStyle w:val="TAC"/>
              <w:rPr>
                <w:lang w:val="en-GB"/>
              </w:rPr>
            </w:pPr>
            <w:r>
              <w:rPr>
                <w:lang w:val="en-GB"/>
              </w:rPr>
              <w:t>-8</w:t>
            </w:r>
          </w:p>
        </w:tc>
        <w:tc>
          <w:tcPr>
            <w:tcW w:w="944" w:type="dxa"/>
            <w:tcBorders>
              <w:bottom w:val="single" w:sz="6" w:space="0" w:color="000000"/>
              <w:right w:val="single" w:sz="6" w:space="0" w:color="000000"/>
            </w:tcBorders>
          </w:tcPr>
          <w:p>
            <w:pPr>
              <w:pStyle w:val="TAC"/>
              <w:rPr>
                <w:lang w:val="en-GB"/>
              </w:rPr>
            </w:pPr>
            <w:r>
              <w:rPr>
                <w:lang w:val="en-GB"/>
              </w:rPr>
              <w:t>-11</w:t>
            </w:r>
          </w:p>
        </w:tc>
        <w:tc>
          <w:tcPr>
            <w:tcW w:w="1415" w:type="dxa"/>
            <w:tcBorders>
              <w:bottom w:val="single" w:sz="6" w:space="0" w:color="000000"/>
              <w:right w:val="single" w:sz="6" w:space="0" w:color="000000"/>
            </w:tcBorders>
          </w:tcPr>
          <w:p>
            <w:pPr>
              <w:pStyle w:val="TAC"/>
              <w:rPr>
                <w:lang w:val="en-GB"/>
              </w:rPr>
            </w:pPr>
            <w:r>
              <w:rPr>
                <w:lang w:val="en-GB"/>
              </w:rPr>
              <w:t>-38</w:t>
            </w:r>
          </w:p>
        </w:tc>
        <w:tc>
          <w:tcPr>
            <w:tcW w:w="1468" w:type="dxa"/>
            <w:tcBorders>
              <w:bottom w:val="single" w:sz="6" w:space="0" w:color="000000"/>
              <w:right w:val="single" w:sz="6" w:space="0" w:color="000000"/>
            </w:tcBorders>
          </w:tcPr>
          <w:p>
            <w:pPr>
              <w:pStyle w:val="TAC"/>
              <w:rPr>
                <w:lang w:val="en-GB"/>
              </w:rPr>
            </w:pPr>
            <w:r>
              <w:rPr>
                <w:lang w:val="en-GB"/>
              </w:rPr>
              <w:t>-43</w:t>
            </w:r>
          </w:p>
        </w:tc>
        <w:tc>
          <w:tcPr>
            <w:tcW w:w="1468" w:type="dxa"/>
            <w:tcBorders>
              <w:bottom w:val="single" w:sz="6" w:space="0" w:color="000000"/>
              <w:right w:val="single" w:sz="6" w:space="0" w:color="000000"/>
            </w:tcBorders>
          </w:tcPr>
          <w:p>
            <w:pPr>
              <w:pStyle w:val="TAC"/>
              <w:rPr>
                <w:lang w:val="en-GB"/>
              </w:rPr>
            </w:pPr>
            <w:r>
              <w:rPr>
                <w:lang w:val="en-GB"/>
              </w:rPr>
              <w:t>-43</w:t>
            </w:r>
          </w:p>
        </w:tc>
        <w:tc>
          <w:tcPr>
            <w:tcW w:w="983" w:type="dxa"/>
            <w:tcBorders>
              <w:bottom w:val="single" w:sz="6" w:space="0" w:color="000000"/>
              <w:right w:val="single" w:sz="6" w:space="0" w:color="000000"/>
            </w:tcBorders>
          </w:tcPr>
          <w:p>
            <w:pPr>
              <w:pStyle w:val="TAC"/>
              <w:rPr>
                <w:lang w:val="en-GB"/>
              </w:rPr>
            </w:pPr>
            <w:r>
              <w:rPr>
                <w:lang w:val="en-GB"/>
              </w:rPr>
              <w:t>-51</w:t>
            </w:r>
          </w:p>
        </w:tc>
      </w:tr>
    </w:tbl>
    <w:p>
      <w:pPr>
        <w:pStyle w:val="FP"/>
        <w:rPr/>
      </w:pPr>
      <w:r>
        <w:rPr/>
      </w:r>
      <w:bookmarkStart w:id="418" w:name="_Ref387609824"/>
      <w:bookmarkStart w:id="419" w:name="_Ref387609824"/>
    </w:p>
    <w:p>
      <w:pPr>
        <w:pStyle w:val="Normal"/>
        <w:rPr>
          <w:b/>
          <w:b/>
        </w:rPr>
      </w:pPr>
      <w:r>
        <w:rPr>
          <w:b/>
        </w:rPr>
        <w:t>TRANSMITTER CHARACTERISTICS</w:t>
      </w:r>
    </w:p>
    <w:p>
      <w:pPr>
        <w:pStyle w:val="Heading1"/>
        <w:ind w:left="1134" w:hanging="1134"/>
        <w:rPr/>
      </w:pPr>
      <w:bookmarkStart w:id="420" w:name="_Ref387609824"/>
      <w:bookmarkStart w:id="421" w:name="__RefHeading___Toc518035852"/>
      <w:bookmarkEnd w:id="421"/>
      <w:r>
        <w:rPr/>
        <w:t>R.3</w:t>
        <w:tab/>
        <w:t>Maximum BTS Output Power</w:t>
      </w:r>
      <w:bookmarkEnd w:id="420"/>
    </w:p>
    <w:p>
      <w:pPr>
        <w:pStyle w:val="Normal"/>
        <w:rPr/>
      </w:pPr>
      <w:r>
        <w:rPr/>
        <w:t>Based upon the calculations in SMG 2 TDoc 144/92 the maximum output power from an in-building cell is:</w:t>
      </w:r>
    </w:p>
    <w:p>
      <w:pPr>
        <w:pStyle w:val="B1"/>
        <w:rPr/>
      </w:pPr>
      <w:r>
        <w:rPr/>
        <w:t>P = MS blocking level + MCL - MIM + MSM</w:t>
      </w:r>
    </w:p>
    <w:p>
      <w:pPr>
        <w:pStyle w:val="Normal"/>
        <w:rPr>
          <w:lang w:val="da-DK"/>
        </w:rPr>
      </w:pPr>
      <w:r>
        <w:rPr>
          <w:lang w:val="da-DK"/>
        </w:rPr>
        <w:t>At 900 MHz:</w:t>
      </w:r>
    </w:p>
    <w:p>
      <w:pPr>
        <w:pStyle w:val="B1"/>
        <w:rPr>
          <w:lang w:val="da-DK"/>
        </w:rPr>
      </w:pPr>
      <w:r>
        <w:rPr>
          <w:lang w:val="da-DK"/>
        </w:rPr>
        <w:t>P = -23 + 34 - 3 + 10 = +18 dBm</w:t>
      </w:r>
    </w:p>
    <w:p>
      <w:pPr>
        <w:pStyle w:val="Normal"/>
        <w:rPr>
          <w:lang w:val="da-DK"/>
        </w:rPr>
      </w:pPr>
      <w:r>
        <w:rPr>
          <w:lang w:val="da-DK"/>
        </w:rPr>
        <w:t>At 1 800 MHz:</w:t>
      </w:r>
    </w:p>
    <w:p>
      <w:pPr>
        <w:pStyle w:val="B1"/>
        <w:rPr/>
      </w:pPr>
      <w:r>
        <w:rPr/>
        <w:t>P = -26 + 40 - 3 + 10 = +21 dBm</w:t>
      </w:r>
    </w:p>
    <w:p>
      <w:pPr>
        <w:pStyle w:val="Normal"/>
        <w:rPr/>
      </w:pPr>
      <w:r>
        <w:rPr/>
        <w:t>Based upon calculations in SMG2 Tdoc 144/92, an MSM margin corresponding to 10% of affected mobiles can be tolerated according to measurements presented in SMG2 Tdoc 32/97 this corresponds to an MSM value of 15 dB in a picocell.</w:t>
      </w:r>
    </w:p>
    <w:p>
      <w:pPr>
        <w:pStyle w:val="Normal"/>
        <w:rPr>
          <w:lang w:val="da-DK"/>
        </w:rPr>
      </w:pPr>
      <w:r>
        <w:rPr>
          <w:lang w:val="da-DK"/>
        </w:rPr>
        <w:t>At 900 MHz:</w:t>
      </w:r>
    </w:p>
    <w:p>
      <w:pPr>
        <w:pStyle w:val="B1"/>
        <w:rPr>
          <w:lang w:val="da-DK"/>
        </w:rPr>
      </w:pPr>
      <w:r>
        <w:rPr>
          <w:lang w:val="da-DK"/>
        </w:rPr>
        <w:t>P = -23 + 34 - 3 + 15 = +23 dBm</w:t>
      </w:r>
    </w:p>
    <w:p>
      <w:pPr>
        <w:pStyle w:val="Normal"/>
        <w:rPr>
          <w:lang w:val="da-DK"/>
        </w:rPr>
      </w:pPr>
      <w:r>
        <w:rPr>
          <w:lang w:val="da-DK"/>
        </w:rPr>
        <w:t>At 1 800 MHz:</w:t>
      </w:r>
    </w:p>
    <w:p>
      <w:pPr>
        <w:pStyle w:val="B1"/>
        <w:rPr/>
      </w:pPr>
      <w:r>
        <w:rPr/>
        <w:t>P = -26 + 40 - 3 + 15 = +26 dBm</w:t>
      </w:r>
    </w:p>
    <w:p>
      <w:pPr>
        <w:pStyle w:val="Normal"/>
        <w:rPr/>
      </w:pPr>
      <w:r>
        <w:rPr/>
        <w:t>It was suggested during SMG2 #21 that picocells should not necessarily be restricted to 2 carriers particularly for DCS1800. Correspondingly, values of multiple interferer margin for 4-carrier scenarios should be considered. That is MIM = 6 dB. Using these values in the calculations above gives.</w:t>
      </w:r>
    </w:p>
    <w:p>
      <w:pPr>
        <w:pStyle w:val="Normal"/>
        <w:rPr>
          <w:lang w:val="da-DK"/>
        </w:rPr>
      </w:pPr>
      <w:r>
        <w:rPr>
          <w:lang w:val="da-DK"/>
        </w:rPr>
        <w:t>At 900 MHz:</w:t>
      </w:r>
    </w:p>
    <w:p>
      <w:pPr>
        <w:pStyle w:val="B1"/>
        <w:rPr>
          <w:lang w:val="da-DK"/>
        </w:rPr>
      </w:pPr>
      <w:r>
        <w:rPr>
          <w:lang w:val="da-DK"/>
        </w:rPr>
        <w:t>P = -23 + 34 - 6 + 15 = +20dBm</w:t>
      </w:r>
    </w:p>
    <w:p>
      <w:pPr>
        <w:pStyle w:val="Normal"/>
        <w:rPr>
          <w:lang w:val="da-DK"/>
        </w:rPr>
      </w:pPr>
      <w:r>
        <w:rPr>
          <w:lang w:val="da-DK"/>
        </w:rPr>
        <w:t>At 1 800 MHz:</w:t>
      </w:r>
    </w:p>
    <w:p>
      <w:pPr>
        <w:pStyle w:val="B1"/>
        <w:rPr/>
      </w:pPr>
      <w:r>
        <w:rPr/>
        <w:t>P = -26 + 40 - 6 + 15 = +23dBm</w:t>
      </w:r>
    </w:p>
    <w:p>
      <w:pPr>
        <w:pStyle w:val="Normal"/>
        <w:rPr/>
      </w:pPr>
      <w:r>
        <w:rPr/>
        <w:t xml:space="preserve">It is suggested that the values nominal maximum output power levels of 20 dBm (13 - 20 dBm </w:t>
      </w:r>
      <w:r>
        <w:rPr>
          <w:rFonts w:eastAsia="Symbol" w:cs="Symbol" w:ascii="Symbol" w:hAnsi="Symbol"/>
        </w:rPr>
        <w:t></w:t>
      </w:r>
      <w:r>
        <w:rPr/>
        <w:t xml:space="preserve"> 2 dB) and 23 dBm (16 - 23 dBm </w:t>
      </w:r>
      <w:r>
        <w:rPr>
          <w:rFonts w:eastAsia="Symbol" w:cs="Symbol" w:ascii="Symbol" w:hAnsi="Symbol"/>
        </w:rPr>
        <w:t></w:t>
      </w:r>
      <w:r>
        <w:rPr/>
        <w:t xml:space="preserve"> 2 dB) are chosen as this yields greatest flexibility of deployment and manufacture for the proposed pico-BTS class.</w:t>
      </w:r>
    </w:p>
    <w:p>
      <w:pPr>
        <w:pStyle w:val="Normal"/>
        <w:rPr/>
      </w:pPr>
      <w:r>
        <w:rPr/>
        <w:t>The lower value of power for 900 MHz is derived from (18 dBm - 5 dB) and that for 1 800 MHz from (21 dBm - 5 dB) following the first scenario calculation, the higher value is derived from the last scenario calculation above.</w:t>
      </w:r>
    </w:p>
    <w:p>
      <w:pPr>
        <w:pStyle w:val="Heading1"/>
        <w:ind w:left="1134" w:hanging="1134"/>
        <w:rPr/>
      </w:pPr>
      <w:bookmarkStart w:id="422" w:name="__RefHeading___Toc518035853"/>
      <w:bookmarkEnd w:id="422"/>
      <w:r>
        <w:rPr/>
        <w:t>R.4</w:t>
        <w:tab/>
        <w:t>BTS Receiver Sensitivity</w:t>
      </w:r>
    </w:p>
    <w:p>
      <w:pPr>
        <w:pStyle w:val="Heading2"/>
        <w:rPr/>
      </w:pPr>
      <w:bookmarkStart w:id="423" w:name="__RefHeading___Toc518035854"/>
      <w:bookmarkStart w:id="424" w:name="_Ref387611984"/>
      <w:bookmarkEnd w:id="423"/>
      <w:r>
        <w:rPr/>
        <w:t>R.4.1</w:t>
        <w:tab/>
        <w:t>Balanced link (zero interference scenario)</w:t>
      </w:r>
      <w:bookmarkEnd w:id="424"/>
    </w:p>
    <w:p>
      <w:pPr>
        <w:pStyle w:val="Normal"/>
        <w:rPr/>
      </w:pPr>
      <w:r>
        <w:rPr/>
        <w:t>To match the up and down links the maximum receiver reference sensitivity at the BTS, BTS sens BL, is:</w:t>
      </w:r>
    </w:p>
    <w:p>
      <w:pPr>
        <w:pStyle w:val="B1"/>
        <w:rPr/>
      </w:pPr>
      <w:r>
        <w:rPr/>
        <w:t>BTS sens BL = MS output power - max. path loss.</w:t>
      </w:r>
    </w:p>
    <w:p>
      <w:pPr>
        <w:pStyle w:val="B1"/>
        <w:rPr/>
      </w:pPr>
      <w:r>
        <w:rPr/>
        <w:t>max. path loss = BTS output power - MS ref. sens.</w:t>
      </w:r>
    </w:p>
    <w:p>
      <w:pPr>
        <w:pStyle w:val="Normal"/>
        <w:rPr>
          <w:lang w:val="da-DK"/>
        </w:rPr>
      </w:pPr>
      <w:r>
        <w:rPr>
          <w:lang w:val="da-DK"/>
        </w:rPr>
        <w:t>At 900 MHz:</w:t>
      </w:r>
    </w:p>
    <w:p>
      <w:pPr>
        <w:pStyle w:val="B1"/>
        <w:rPr>
          <w:lang w:val="da-DK"/>
        </w:rPr>
      </w:pPr>
      <w:r>
        <w:rPr>
          <w:lang w:val="da-DK"/>
        </w:rPr>
        <w:t>BTS sens BL = 33 - (+ 20 - 102) = -89 dBm</w:t>
      </w:r>
    </w:p>
    <w:p>
      <w:pPr>
        <w:pStyle w:val="Normal"/>
        <w:rPr>
          <w:lang w:val="da-DK"/>
        </w:rPr>
      </w:pPr>
      <w:r>
        <w:rPr>
          <w:lang w:val="da-DK"/>
        </w:rPr>
        <w:t>At 1 800 MHz:</w:t>
      </w:r>
    </w:p>
    <w:p>
      <w:pPr>
        <w:pStyle w:val="B1"/>
        <w:rPr/>
      </w:pPr>
      <w:r>
        <w:rPr/>
        <w:t>BTS ref. sens. = 30 - (+23 - 102) = -95 dBm</w:t>
      </w:r>
    </w:p>
    <w:p>
      <w:pPr>
        <w:pStyle w:val="Heading2"/>
        <w:rPr/>
      </w:pPr>
      <w:bookmarkStart w:id="425" w:name="__RefHeading___Toc518035855"/>
      <w:bookmarkStart w:id="426" w:name="_Ref387633448"/>
      <w:bookmarkEnd w:id="425"/>
      <w:r>
        <w:rPr/>
        <w:t>R.4.2</w:t>
        <w:tab/>
        <w:t>Interferer at MCL scenario</w:t>
      </w:r>
      <w:bookmarkEnd w:id="426"/>
    </w:p>
    <w:p>
      <w:pPr>
        <w:pStyle w:val="Normal"/>
        <w:rPr/>
      </w:pPr>
      <w:r>
        <w:rPr/>
        <w:t>However, using an other argument from SMG 2 TDoc 144/92 that the BTS receiver noise floor will be dominated by another mobile's wideband noise when it is at MCL, the sensitivity in this scenario, BTS sens MCL, is:</w:t>
      </w:r>
    </w:p>
    <w:p>
      <w:pPr>
        <w:pStyle w:val="B1"/>
        <w:rPr/>
      </w:pPr>
      <w:r>
        <w:rPr/>
        <w:t>BTS sens MCL = MS wideband noise (in 200 kHz) - MCL + C/N</w:t>
      </w:r>
    </w:p>
    <w:p>
      <w:pPr>
        <w:pStyle w:val="Normal"/>
        <w:rPr/>
      </w:pPr>
      <w:r>
        <w:rPr/>
        <w:t>MS wideband noise (in 200 kHz) = MS output power in 30 kHz - noise (dBc/100 kHz) + conversion factor (100 kHz -&gt; 200 kHz).</w:t>
      </w:r>
    </w:p>
    <w:p>
      <w:pPr>
        <w:pStyle w:val="Normal"/>
        <w:rPr/>
      </w:pPr>
      <w:r>
        <w:rPr/>
        <w:t>At 900 MHz:</w:t>
      </w:r>
    </w:p>
    <w:p>
      <w:pPr>
        <w:pStyle w:val="B1"/>
        <w:rPr/>
      </w:pPr>
      <w:r>
        <w:rPr/>
        <w:t>BTS sens MCL = (25 - 71 + 3) - 34 + 9 = -68 dBm</w:t>
      </w:r>
    </w:p>
    <w:p>
      <w:pPr>
        <w:pStyle w:val="Normal"/>
        <w:rPr/>
      </w:pPr>
      <w:r>
        <w:rPr/>
        <w:t>At 1 800 MHz:</w:t>
      </w:r>
    </w:p>
    <w:p>
      <w:pPr>
        <w:pStyle w:val="B1"/>
        <w:rPr/>
      </w:pPr>
      <w:r>
        <w:rPr>
          <w:lang w:val="en-US"/>
        </w:rPr>
        <w:t xml:space="preserve">BTS ref. sens. </w:t>
      </w:r>
      <w:r>
        <w:rPr/>
        <w:t>= (22 - 73 + 3) - 40 + 9 = -79 dBm</w:t>
      </w:r>
    </w:p>
    <w:p>
      <w:pPr>
        <w:pStyle w:val="Heading2"/>
        <w:rPr/>
      </w:pPr>
      <w:bookmarkStart w:id="427" w:name="__RefHeading___Toc518035856"/>
      <w:bookmarkStart w:id="428" w:name="_Ref387631376"/>
      <w:bookmarkEnd w:id="427"/>
      <w:r>
        <w:rPr>
          <w:lang w:val="it-IT"/>
        </w:rPr>
        <w:t>R.4.3</w:t>
        <w:tab/>
        <w:t>Power control (zero interference scenario)</w:t>
      </w:r>
      <w:bookmarkEnd w:id="428"/>
    </w:p>
    <w:p>
      <w:pPr>
        <w:pStyle w:val="Normal"/>
        <w:rPr/>
      </w:pPr>
      <w:r>
        <w:rPr/>
        <w:t>So we have a choice of receiver sensitivities based upon a balanced link budget with maximum cell radius or on one of the possible scenarios (an uncoordinated mobile at MCL). To choose between them we can assume that an operator will want the cell radius to stay constant under all conditions, but that the mobile should be operating at minimum output power. Here we have to use the second set of figures but increase the sensitivity by the amount of power control required. For a phase 1 mobile the power control range is 20 dB. Therefore the maximum required sensitivity when power control is employed, BTS sens PC, is:</w:t>
      </w:r>
    </w:p>
    <w:p>
      <w:pPr>
        <w:pStyle w:val="Normal"/>
        <w:rPr/>
      </w:pPr>
      <w:r>
        <w:rPr/>
        <w:t>At 900 MHz:</w:t>
      </w:r>
    </w:p>
    <w:p>
      <w:pPr>
        <w:pStyle w:val="B1"/>
        <w:rPr/>
      </w:pPr>
      <w:r>
        <w:rPr/>
        <w:t>BTS sens PC = -68 - 20 = -88 dBm (-89dBm, subclause R.4.1)</w:t>
      </w:r>
    </w:p>
    <w:p>
      <w:pPr>
        <w:pStyle w:val="Normal"/>
        <w:rPr/>
      </w:pPr>
      <w:r>
        <w:rPr/>
        <w:t>At 1800 MHz</w:t>
      </w:r>
    </w:p>
    <w:p>
      <w:pPr>
        <w:pStyle w:val="B1"/>
        <w:rPr/>
      </w:pPr>
      <w:r>
        <w:rPr/>
        <w:t>BTS sens PC = -79 - 20 = -99 dBm</w:t>
        <w:tab/>
        <w:t>(-95dBm, subclause R.4.1)</w:t>
      </w:r>
    </w:p>
    <w:p>
      <w:pPr>
        <w:pStyle w:val="Heading2"/>
        <w:rPr/>
      </w:pPr>
      <w:bookmarkStart w:id="429" w:name="__RefHeading___Toc518035857"/>
      <w:r>
        <w:rPr/>
        <w:t>R.4.4</w:t>
        <w:tab/>
        <w:t>Sensitivity overview</w:t>
      </w:r>
      <w:bookmarkEnd w:id="429"/>
      <w:r>
        <w:rPr/>
        <w:t xml:space="preserve"> </w:t>
      </w:r>
    </w:p>
    <w:p>
      <w:pPr>
        <w:pStyle w:val="Normal"/>
        <w:rPr/>
      </w:pPr>
      <w:r>
        <w:rPr/>
        <w:t>At 900 MHz the value in subclause 2.2.3 above is 1 dB lower than that calculated in subclause R.4.1 for an MCL of 34 dB so we choose -88 dBm sensitivity.</w:t>
      </w:r>
    </w:p>
    <w:p>
      <w:pPr>
        <w:pStyle w:val="Normal"/>
        <w:rPr/>
      </w:pPr>
      <w:r>
        <w:rPr/>
        <w:t>At 1800MHz the value in 2.2.3 above is 4dB higher than that calculated in subclause R.4.1 for an MCL of 34dB so we choose -95dBm sensitivity.</w:t>
      </w:r>
    </w:p>
    <w:p>
      <w:pPr>
        <w:pStyle w:val="Normal"/>
        <w:rPr/>
      </w:pPr>
      <w:r>
        <w:rPr/>
        <w:t>Subclause R.4.3 shows that a pico-BTS with a high sensitivity will be able to make use of MS power control when in-band noise from an uncoordinated interferer at MCL is not the limiting scenario.</w:t>
      </w:r>
    </w:p>
    <w:p>
      <w:pPr>
        <w:pStyle w:val="Heading1"/>
        <w:ind w:left="1134" w:hanging="1134"/>
        <w:rPr/>
      </w:pPr>
      <w:bookmarkStart w:id="430" w:name="__RefHeading___Toc518035858"/>
      <w:bookmarkEnd w:id="430"/>
      <w:r>
        <w:rPr/>
        <w:t>R.5</w:t>
        <w:tab/>
        <w:t>BTS Power Control Range</w:t>
      </w:r>
    </w:p>
    <w:p>
      <w:pPr>
        <w:pStyle w:val="Normal"/>
        <w:rPr/>
      </w:pPr>
      <w:r>
        <w:rPr/>
        <w:t>The minimum BTS output power is derived from balancing the link budget for the maximum permitted path loss. The appropriate value of sensitivity to use calculating the maximum path loss is for the case when an uncoordinated MS is close to the BTS. Choice of any other value would imply a cell area that would vary depending on the presence of close in interferers.</w:t>
      </w:r>
    </w:p>
    <w:p>
      <w:pPr>
        <w:pStyle w:val="B1"/>
        <w:rPr/>
      </w:pPr>
      <w:r>
        <w:rPr/>
        <w:t>Min. BTS power = MS ref. sens. + max. path loss</w:t>
      </w:r>
    </w:p>
    <w:p>
      <w:pPr>
        <w:pStyle w:val="B1"/>
        <w:rPr/>
      </w:pPr>
      <w:r>
        <w:rPr/>
        <w:t>max. path loss = MS output power - BTS sens MCL</w:t>
      </w:r>
    </w:p>
    <w:p>
      <w:pPr>
        <w:pStyle w:val="Normal"/>
        <w:rPr/>
      </w:pPr>
      <w:r>
        <w:rPr/>
        <w:t>At 900 MHz:</w:t>
      </w:r>
    </w:p>
    <w:p>
      <w:pPr>
        <w:pStyle w:val="B1"/>
        <w:tabs>
          <w:tab w:val="clear" w:pos="284"/>
          <w:tab w:val="left" w:pos="4536" w:leader="none"/>
        </w:tabs>
        <w:rPr/>
      </w:pPr>
      <w:r>
        <w:rPr/>
        <w:t>Min BTS power = -102 + (33 - 68) = -1 dBm</w:t>
        <w:tab/>
        <w:t>(range 20-1 = 21 dB)</w:t>
      </w:r>
    </w:p>
    <w:p>
      <w:pPr>
        <w:pStyle w:val="Normal"/>
        <w:tabs>
          <w:tab w:val="clear" w:pos="284"/>
          <w:tab w:val="left" w:pos="4536" w:leader="none"/>
        </w:tabs>
        <w:rPr/>
      </w:pPr>
      <w:r>
        <w:rPr/>
        <w:t>At 1 800 MHz:</w:t>
      </w:r>
    </w:p>
    <w:p>
      <w:pPr>
        <w:pStyle w:val="B1"/>
        <w:tabs>
          <w:tab w:val="clear" w:pos="284"/>
          <w:tab w:val="left" w:pos="4536" w:leader="none"/>
        </w:tabs>
        <w:rPr/>
      </w:pPr>
      <w:r>
        <w:rPr/>
        <w:t>Min BTS power = -102 + (30 - 79) = 7 dBm</w:t>
        <w:tab/>
        <w:t>(range 23-9 = 16 dBm)</w:t>
      </w:r>
    </w:p>
    <w:p>
      <w:pPr>
        <w:pStyle w:val="Heading1"/>
        <w:ind w:left="1134" w:hanging="1134"/>
        <w:rPr/>
      </w:pPr>
      <w:bookmarkStart w:id="431" w:name="__RefHeading___Toc518035859"/>
      <w:bookmarkEnd w:id="431"/>
      <w:r>
        <w:rPr/>
        <w:t>R.6</w:t>
        <w:tab/>
        <w:t>BTS Spectrum due to modulation and wideband noise</w:t>
      </w:r>
    </w:p>
    <w:p>
      <w:pPr>
        <w:pStyle w:val="Normal"/>
        <w:rPr/>
      </w:pPr>
      <w:r>
        <w:rPr/>
        <w:t>The BTS wideband noise has to be reduced to a level, which will not degrade receiver performance of an uncoordinated mobile at MCL. Using the formula for the small cell environments (SMG2 TDoc 63/92) with MSM given in SMG2 TDoc 144/92.</w:t>
      </w:r>
    </w:p>
    <w:p>
      <w:pPr>
        <w:pStyle w:val="Normal"/>
        <w:rPr/>
      </w:pPr>
      <w:r>
        <w:rPr>
          <w:lang w:val="fr-FR"/>
        </w:rPr>
        <w:t xml:space="preserve">Wideband noise &gt;= 1,8 MHz = MS ref. sens. </w:t>
      </w:r>
      <w:r>
        <w:rPr/>
        <w:t>+ MSM + C/N + MIM + MCL + conversion factor (200 kHz -&gt; 100 kHz)</w:t>
      </w:r>
    </w:p>
    <w:p>
      <w:pPr>
        <w:pStyle w:val="Normal"/>
        <w:rPr/>
      </w:pPr>
      <w:r>
        <w:rPr/>
        <w:t>At 900 MHz:</w:t>
      </w:r>
    </w:p>
    <w:p>
      <w:pPr>
        <w:pStyle w:val="B1"/>
        <w:rPr/>
      </w:pPr>
      <w:r>
        <w:rPr/>
        <w:t>Wideband noise = -102 + 15 - 9 - 3 + 34 + -3 = -68 dBm</w:t>
      </w:r>
    </w:p>
    <w:p>
      <w:pPr>
        <w:pStyle w:val="Normal"/>
        <w:keepNext w:val="true"/>
        <w:keepLines/>
        <w:rPr/>
      </w:pPr>
      <w:r>
        <w:rPr/>
        <w:t>At 1 800 MHz:</w:t>
      </w:r>
    </w:p>
    <w:p>
      <w:pPr>
        <w:pStyle w:val="B1"/>
        <w:keepNext w:val="true"/>
        <w:keepLines/>
        <w:rPr/>
      </w:pPr>
      <w:r>
        <w:rPr/>
        <w:t>Wideband noise = -102 + 15 - 9 - 6 + 40 + -3 = -65dBm</w:t>
      </w:r>
    </w:p>
    <w:p>
      <w:pPr>
        <w:pStyle w:val="Normal"/>
        <w:keepNext w:val="true"/>
        <w:keepLines/>
        <w:rPr/>
      </w:pPr>
      <w:r>
        <w:rPr/>
        <w:t>At 900 MHz it is suggested we choose -68 dBm and at 1800MHz -65 dBm. These values correspond to spectrum due to modulation with respect to 30 kHz on carrier of:</w:t>
      </w:r>
    </w:p>
    <w:p>
      <w:pPr>
        <w:pStyle w:val="B1"/>
        <w:rPr/>
      </w:pPr>
      <w:r>
        <w:rPr/>
        <w:t>Spectrum due to modn = - [max BTS power] + [200 - 30 kHz conversion] + [max wideband noise in dBm]</w:t>
      </w:r>
    </w:p>
    <w:p>
      <w:pPr>
        <w:pStyle w:val="Normal"/>
        <w:rPr/>
      </w:pPr>
      <w:r>
        <w:rPr/>
        <w:t>At 900 MHz:</w:t>
      </w:r>
    </w:p>
    <w:p>
      <w:pPr>
        <w:pStyle w:val="B1"/>
        <w:rPr/>
      </w:pPr>
      <w:r>
        <w:rPr/>
        <w:t>Spectrum due to modn = -20 + 8 - 68 = -80 dB</w:t>
      </w:r>
    </w:p>
    <w:p>
      <w:pPr>
        <w:pStyle w:val="Normal"/>
        <w:rPr/>
      </w:pPr>
      <w:r>
        <w:rPr/>
        <w:t>At 1 800MHz:</w:t>
      </w:r>
    </w:p>
    <w:p>
      <w:pPr>
        <w:pStyle w:val="B1"/>
        <w:rPr/>
      </w:pPr>
      <w:r>
        <w:rPr/>
        <w:t>Spectrum due to modn = -23 + 8 - 65 = -80 dB</w:t>
      </w:r>
    </w:p>
    <w:p>
      <w:pPr>
        <w:pStyle w:val="Normal"/>
        <w:rPr/>
      </w:pPr>
      <w:r>
        <w:rPr/>
        <w:t>These values represent a tightening of the values in GSM 05.05, subclause 4.2.1, in comparison with other BTS classes. It is suggested that a compromise between the values suggested by the scenario and equipment complexity considerations be adopted.</w:t>
      </w:r>
    </w:p>
    <w:p>
      <w:pPr>
        <w:pStyle w:val="Normal"/>
        <w:rPr/>
      </w:pPr>
      <w:r>
        <w:rPr/>
        <w:t xml:space="preserve">The pico-BTS noise specifications should be tightened with respect to the micro BTS classes for offsets beyond 6 000 kHz up to the limits for the normal BTS.  For offsets </w:t>
      </w:r>
      <w:r>
        <w:rPr>
          <w:rFonts w:eastAsia="Symbol" w:cs="Symbol" w:ascii="Symbol" w:hAnsi="Symbol"/>
        </w:rPr>
        <w:t></w:t>
      </w:r>
      <w:r>
        <w:rPr/>
        <w:t xml:space="preserve"> 1 800 </w:t>
      </w:r>
      <w:r>
        <w:rPr>
          <w:rFonts w:eastAsia="Symbol" w:cs="Symbol" w:ascii="Symbol" w:hAnsi="Symbol"/>
        </w:rPr>
        <w:t></w:t>
      </w:r>
      <w:r>
        <w:rPr/>
        <w:t xml:space="preserve"> 6 000 the existing tightening of the micro BTS noise spec with respect to the normal BTS should not be exceeded.</w:t>
      </w:r>
    </w:p>
    <w:p>
      <w:pPr>
        <w:pStyle w:val="TH"/>
        <w:rPr/>
      </w:pPr>
      <w:r>
        <w:rPr/>
      </w:r>
    </w:p>
    <w:tbl>
      <w:tblPr>
        <w:tblW w:w="8568" w:type="dxa"/>
        <w:jc w:val="center"/>
        <w:tblInd w:w="0" w:type="dxa"/>
        <w:tblLayout w:type="fixed"/>
        <w:tblCellMar>
          <w:top w:w="0" w:type="dxa"/>
          <w:left w:w="28" w:type="dxa"/>
          <w:bottom w:w="0" w:type="dxa"/>
          <w:right w:w="28" w:type="dxa"/>
        </w:tblCellMar>
      </w:tblPr>
      <w:tblGrid>
        <w:gridCol w:w="1119"/>
        <w:gridCol w:w="1931"/>
        <w:gridCol w:w="897"/>
        <w:gridCol w:w="3188"/>
        <w:gridCol w:w="1433"/>
      </w:tblGrid>
      <w:tr>
        <w:trPr/>
        <w:tc>
          <w:tcPr>
            <w:tcW w:w="1119"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2828" w:type="dxa"/>
            <w:gridSpan w:val="2"/>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lang w:eastAsia="en-US"/>
              </w:rPr>
              <w:t></w:t>
            </w:r>
            <w:r>
              <w:rPr>
                <w:rFonts w:eastAsia="Arial"/>
                <w:lang w:eastAsia="en-US"/>
              </w:rPr>
              <w:t xml:space="preserve"> </w:t>
            </w:r>
            <w:r>
              <w:rPr>
                <w:lang w:eastAsia="en-US"/>
              </w:rPr>
              <w:t xml:space="preserve">1800 </w:t>
            </w:r>
            <w:r>
              <w:rPr>
                <w:rFonts w:eastAsia="Symbol" w:cs="Symbol" w:ascii="Symbol" w:hAnsi="Symbol"/>
                <w:lang w:eastAsia="en-US"/>
              </w:rPr>
              <w:t></w:t>
            </w:r>
            <w:r>
              <w:rPr>
                <w:lang w:eastAsia="en-US"/>
              </w:rPr>
              <w:t xml:space="preserve"> 6000</w:t>
            </w:r>
          </w:p>
        </w:tc>
        <w:tc>
          <w:tcPr>
            <w:tcW w:w="4621" w:type="dxa"/>
            <w:gridSpan w:val="2"/>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lang w:eastAsia="en-US"/>
              </w:rPr>
              <w:t></w:t>
            </w:r>
            <w:r>
              <w:rPr>
                <w:rFonts w:eastAsia="Arial"/>
                <w:lang w:eastAsia="en-US"/>
              </w:rPr>
              <w:t xml:space="preserve"> </w:t>
            </w:r>
            <w:r>
              <w:rPr>
                <w:lang w:eastAsia="en-US"/>
              </w:rPr>
              <w:t>6000</w:t>
            </w:r>
          </w:p>
        </w:tc>
      </w:tr>
      <w:tr>
        <w:trPr/>
        <w:tc>
          <w:tcPr>
            <w:tcW w:w="111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9 00 MHz</w:t>
            </w:r>
          </w:p>
        </w:tc>
        <w:tc>
          <w:tcPr>
            <w:tcW w:w="19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-65 dBm .... -58 dBm</w:t>
            </w:r>
          </w:p>
        </w:tc>
        <w:tc>
          <w:tcPr>
            <w:tcW w:w="89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-70 dBc</w:t>
            </w:r>
          </w:p>
        </w:tc>
        <w:tc>
          <w:tcPr>
            <w:tcW w:w="318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-75 dBm .... -68 dBm</w:t>
            </w:r>
          </w:p>
        </w:tc>
        <w:tc>
          <w:tcPr>
            <w:tcW w:w="143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-80 dBc</w:t>
            </w:r>
          </w:p>
        </w:tc>
      </w:tr>
      <w:tr>
        <w:trPr/>
        <w:tc>
          <w:tcPr>
            <w:tcW w:w="1119"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1 800 MHz</w:t>
            </w:r>
          </w:p>
        </w:tc>
        <w:tc>
          <w:tcPr>
            <w:tcW w:w="193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-68 dBm .... -61 dBm</w:t>
            </w:r>
          </w:p>
        </w:tc>
        <w:tc>
          <w:tcPr>
            <w:tcW w:w="89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-76 dBc</w:t>
            </w:r>
          </w:p>
        </w:tc>
        <w:tc>
          <w:tcPr>
            <w:tcW w:w="318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-72 dBm .... -65 dBm</w:t>
            </w:r>
          </w:p>
        </w:tc>
        <w:tc>
          <w:tcPr>
            <w:tcW w:w="143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-80 dBc</w:t>
            </w:r>
          </w:p>
        </w:tc>
      </w:tr>
    </w:tbl>
    <w:p>
      <w:pPr>
        <w:pStyle w:val="FP"/>
        <w:rPr/>
      </w:pPr>
      <w:r>
        <w:rPr/>
      </w:r>
    </w:p>
    <w:p>
      <w:pPr>
        <w:pStyle w:val="Heading1"/>
        <w:ind w:left="1134" w:hanging="1134"/>
        <w:rPr/>
      </w:pPr>
      <w:bookmarkStart w:id="432" w:name="__RefHeading___Toc518035860"/>
      <w:bookmarkEnd w:id="432"/>
      <w:r>
        <w:rPr/>
        <w:t>R.7</w:t>
        <w:tab/>
        <w:t>Spurious Emissions</w:t>
      </w:r>
    </w:p>
    <w:p>
      <w:pPr>
        <w:pStyle w:val="Normal"/>
        <w:rPr/>
      </w:pPr>
      <w:r>
        <w:rPr/>
        <w:t>Spurious emissions should remain the same at -36 dBm. The only exception is the transmit noise in the receive band. The scenario used in GSM 05.05 assumes 30 dB isolation between Tx and Rx. This scenario represents self-interference and so the higher sensitivity values from subclause R.4.3 is used.</w:t>
      </w:r>
    </w:p>
    <w:p>
      <w:pPr>
        <w:pStyle w:val="B1"/>
        <w:rPr/>
      </w:pPr>
      <w:r>
        <w:rPr/>
        <w:t>Noise in receive band = [BTS  Sens BL]. - C/N - MIM + [coupling loss]</w:t>
      </w:r>
    </w:p>
    <w:p>
      <w:pPr>
        <w:pStyle w:val="Normal"/>
        <w:rPr/>
      </w:pPr>
      <w:r>
        <w:rPr/>
        <w:t>At 900 MHz:</w:t>
      </w:r>
    </w:p>
    <w:p>
      <w:pPr>
        <w:pStyle w:val="B1"/>
        <w:rPr/>
      </w:pPr>
      <w:r>
        <w:rPr/>
        <w:t>Noise in receive band = -88 - 9 - 3 + 30 = -70 dBm</w:t>
      </w:r>
    </w:p>
    <w:p>
      <w:pPr>
        <w:pStyle w:val="Normal"/>
        <w:rPr/>
      </w:pPr>
      <w:r>
        <w:rPr/>
        <w:t>At 1 800 MHz:</w:t>
      </w:r>
    </w:p>
    <w:p>
      <w:pPr>
        <w:pStyle w:val="B1"/>
        <w:rPr/>
      </w:pPr>
      <w:r>
        <w:rPr/>
        <w:t>Noise in receive band = -95 - 9 - 6 + 30 = -80 dBm</w:t>
      </w:r>
    </w:p>
    <w:p>
      <w:pPr>
        <w:pStyle w:val="Normal"/>
        <w:rPr/>
      </w:pPr>
      <w:r>
        <w:rPr/>
        <w:t>At 900 MHz it is suggested we choose -70 dBm and at 1 800 MHz that we choose -80 dBm.</w:t>
      </w:r>
    </w:p>
    <w:p>
      <w:pPr>
        <w:pStyle w:val="Heading1"/>
        <w:ind w:left="1134" w:hanging="1134"/>
        <w:rPr/>
      </w:pPr>
      <w:bookmarkStart w:id="433" w:name="__RefHeading___Toc518035861"/>
      <w:bookmarkEnd w:id="433"/>
      <w:r>
        <w:rPr/>
        <w:t>R.8</w:t>
        <w:tab/>
        <w:t>Radio Frequency Tolerance</w:t>
      </w:r>
    </w:p>
    <w:p>
      <w:pPr>
        <w:pStyle w:val="Normal"/>
        <w:rPr/>
      </w:pPr>
      <w:r>
        <w:rPr/>
        <w:t>In the present system the mobile has to be designed to work with a Doppler shift caused by speeds up to 250 km/h at 900 MHz, and 130 km/h at 1800 MHz. This corresponds to a frequency offset of around 250 Hz in both cases.</w:t>
      </w:r>
    </w:p>
    <w:p>
      <w:pPr>
        <w:pStyle w:val="Normal"/>
        <w:rPr/>
      </w:pPr>
      <w:r>
        <w:rPr/>
        <w:t>Within a building the fastest a mobile would be expected to move at would be 10 km/m, corresponding to an offset of 10 Hz at 900 MHz, or 20 Hz at 1800 MHz. Therefore the absolute frequency tolerance can be reduced for the BTS.</w:t>
      </w:r>
    </w:p>
    <w:p>
      <w:pPr>
        <w:pStyle w:val="Normal"/>
        <w:rPr/>
      </w:pPr>
      <w:r>
        <w:rPr/>
        <w:t>At present the limit is 0,05 ppm, 45 Hz at 900 MHz, 90 Hz at 1 800 MHz. Taking the 1800 MHz case, the mobile can successfully decode signals with a 250 + 90 Hz offset at present = 340 Hz. The new requirement is (20 + frequency error) hence the new maximum frequency error is:</w:t>
      </w:r>
    </w:p>
    <w:p>
      <w:pPr>
        <w:pStyle w:val="B1"/>
        <w:rPr/>
      </w:pPr>
      <w:r>
        <w:rPr/>
        <w:t>frequency error = present decode offset - new max. Doppler</w:t>
      </w:r>
    </w:p>
    <w:p>
      <w:pPr>
        <w:pStyle w:val="Normal"/>
        <w:rPr/>
      </w:pPr>
      <w:r>
        <w:rPr/>
        <w:t>At 900 MHz:</w:t>
      </w:r>
    </w:p>
    <w:p>
      <w:pPr>
        <w:pStyle w:val="B1"/>
        <w:rPr/>
      </w:pPr>
      <w:r>
        <w:rPr/>
        <w:t>frequency error = 295 - 10 = 285 Hz = 0,32 ppm</w:t>
      </w:r>
    </w:p>
    <w:p>
      <w:pPr>
        <w:pStyle w:val="Normal"/>
        <w:rPr/>
      </w:pPr>
      <w:r>
        <w:rPr/>
        <w:t>At 1 800 MHz:</w:t>
      </w:r>
    </w:p>
    <w:p>
      <w:pPr>
        <w:pStyle w:val="B1"/>
        <w:rPr/>
      </w:pPr>
      <w:r>
        <w:rPr/>
        <w:t>frequency error = 340 - 20 = 320 Hz = 0,18 ppm</w:t>
      </w:r>
    </w:p>
    <w:p>
      <w:pPr>
        <w:pStyle w:val="Normal"/>
        <w:rPr/>
      </w:pPr>
      <w:r>
        <w:rPr/>
        <w:t>The discussion at SMG2 #21 on relaxation of the radio frequency tolerance criterion suggested that the above relaxation may cause some problems with mobiles.  A compromise value was suggested:</w:t>
      </w:r>
    </w:p>
    <w:p>
      <w:pPr>
        <w:pStyle w:val="B1"/>
        <w:rPr/>
      </w:pPr>
      <w:r>
        <w:rPr/>
        <w:t>At 900 MHz and 1 800 MHz frequency error = 0,1 ppm</w:t>
      </w:r>
    </w:p>
    <w:p>
      <w:pPr>
        <w:pStyle w:val="Normal"/>
        <w:rPr/>
      </w:pPr>
      <w:r>
        <w:rPr>
          <w:b/>
        </w:rPr>
        <w:t>RECEIVER CHARACTERISTICS</w:t>
      </w:r>
    </w:p>
    <w:p>
      <w:pPr>
        <w:pStyle w:val="Heading1"/>
        <w:ind w:left="1134" w:hanging="1134"/>
        <w:rPr/>
      </w:pPr>
      <w:bookmarkStart w:id="434" w:name="__RefHeading___Toc518035862"/>
      <w:bookmarkEnd w:id="434"/>
      <w:r>
        <w:rPr/>
        <w:t>R.9</w:t>
        <w:tab/>
        <w:t>Blocking Characteristics</w:t>
      </w:r>
    </w:p>
    <w:p>
      <w:pPr>
        <w:pStyle w:val="Normal"/>
        <w:rPr/>
      </w:pPr>
      <w:r>
        <w:rPr/>
        <w:t>The fundamental property of the radio being tested is the dynamic range. The upper limit is defined by the maximum power received from a mobile operating at MCL and the lower limit is the minimum signal level that must be received from a wanted mobile to meet the reference sensitivity requirement. In this scenario it is the wideband noise from the uncoordinated mobile that defines that lower limit.</w:t>
      </w:r>
    </w:p>
    <w:p>
      <w:pPr>
        <w:pStyle w:val="Normal"/>
        <w:rPr/>
      </w:pPr>
      <w:r>
        <w:rPr/>
        <w:t>From SMG2 TDoc 104/92 the highest level expected at the BTS receiver from an uncoordinated mobile will be:</w:t>
      </w:r>
    </w:p>
    <w:p>
      <w:pPr>
        <w:pStyle w:val="B1"/>
        <w:rPr/>
      </w:pPr>
      <w:r>
        <w:rPr/>
        <w:t>BTS blocking level = MS power - MCL</w:t>
      </w:r>
    </w:p>
    <w:p>
      <w:pPr>
        <w:pStyle w:val="Normal"/>
        <w:rPr/>
      </w:pPr>
      <w:r>
        <w:rPr/>
        <w:t>At 900 MHz:</w:t>
      </w:r>
    </w:p>
    <w:p>
      <w:pPr>
        <w:pStyle w:val="B1"/>
        <w:rPr/>
      </w:pPr>
      <w:r>
        <w:rPr/>
        <w:t>BTS blocking level = 33 - 34 = -1 dBm</w:t>
      </w:r>
    </w:p>
    <w:p>
      <w:pPr>
        <w:pStyle w:val="Normal"/>
        <w:rPr/>
      </w:pPr>
      <w:r>
        <w:rPr/>
        <w:t>At 1 800 MHz:</w:t>
      </w:r>
    </w:p>
    <w:p>
      <w:pPr>
        <w:pStyle w:val="B1"/>
        <w:rPr/>
      </w:pPr>
      <w:r>
        <w:rPr/>
        <w:t>BTS blocking level = 30 - 40 = -10 dBm</w:t>
      </w:r>
    </w:p>
    <w:p>
      <w:pPr>
        <w:pStyle w:val="Normal"/>
        <w:rPr/>
      </w:pPr>
      <w:r>
        <w:rPr/>
        <w:t>From SMG2 TDoc 63/92 the lower level is calculated to be:</w:t>
      </w:r>
    </w:p>
    <w:p>
      <w:pPr>
        <w:pStyle w:val="B1"/>
        <w:rPr/>
      </w:pPr>
      <w:r>
        <w:rPr/>
        <w:t>[BTS on channel wanted signal during blocking] = [MS wideband noise in 200 kHz] - MCL + C/N</w:t>
      </w:r>
    </w:p>
    <w:p>
      <w:pPr>
        <w:pStyle w:val="Normal"/>
        <w:rPr/>
      </w:pPr>
      <w:r>
        <w:rPr/>
        <w:t>Where fo = wanted signal and f = interfering signal.</w:t>
      </w:r>
    </w:p>
    <w:p>
      <w:pPr>
        <w:pStyle w:val="Normal"/>
        <w:rPr/>
      </w:pPr>
      <w:r>
        <w:rPr/>
        <w:t>At 900 MHz, BTS on channel wanted signal during blocking:</w:t>
      </w:r>
    </w:p>
    <w:p>
      <w:pPr>
        <w:pStyle w:val="B1"/>
        <w:tabs>
          <w:tab w:val="clear" w:pos="284"/>
          <w:tab w:val="left" w:pos="2977" w:leader="none"/>
          <w:tab w:val="left" w:pos="3402" w:leader="none"/>
        </w:tabs>
        <w:rPr/>
      </w:pPr>
      <w:r>
        <w:rPr/>
        <w:t xml:space="preserve">(0,6 MHz </w:t>
      </w:r>
      <w:r>
        <w:rPr>
          <w:rFonts w:eastAsia="Symbol" w:cs="Symbol" w:ascii="Symbol" w:hAnsi="Symbol"/>
        </w:rPr>
        <w:t></w:t>
      </w:r>
      <w:r>
        <w:rPr/>
        <w:t xml:space="preserve"> |f-fo| &lt; 0,8 MHz)</w:t>
        <w:tab/>
        <w:t>=</w:t>
        <w:tab/>
        <w:t>(-35 + 8) - 34 + 9 = -52 dBm</w:t>
      </w:r>
    </w:p>
    <w:p>
      <w:pPr>
        <w:pStyle w:val="B1"/>
        <w:tabs>
          <w:tab w:val="clear" w:pos="284"/>
          <w:tab w:val="left" w:pos="2977" w:leader="none"/>
          <w:tab w:val="left" w:pos="3402" w:leader="none"/>
        </w:tabs>
        <w:rPr/>
      </w:pPr>
      <w:r>
        <w:rPr/>
        <w:t xml:space="preserve">(0,8 MHz </w:t>
      </w:r>
      <w:r>
        <w:rPr>
          <w:rFonts w:eastAsia="Symbol" w:cs="Symbol" w:ascii="Symbol" w:hAnsi="Symbol"/>
        </w:rPr>
        <w:t></w:t>
      </w:r>
      <w:r>
        <w:rPr/>
        <w:t xml:space="preserve"> |f-fo| &lt; 1,6 MHz)</w:t>
        <w:tab/>
        <w:t>=</w:t>
        <w:tab/>
        <w:t>(-35 + 8) - 34 + 9 = -52 dBm</w:t>
      </w:r>
    </w:p>
    <w:p>
      <w:pPr>
        <w:pStyle w:val="B1"/>
        <w:tabs>
          <w:tab w:val="clear" w:pos="284"/>
          <w:tab w:val="left" w:pos="2977" w:leader="none"/>
          <w:tab w:val="left" w:pos="3402" w:leader="none"/>
        </w:tabs>
        <w:rPr/>
      </w:pPr>
      <w:r>
        <w:rPr/>
        <w:t xml:space="preserve">(1,6 MHz </w:t>
      </w:r>
      <w:r>
        <w:rPr>
          <w:rFonts w:eastAsia="Symbol" w:cs="Symbol" w:ascii="Symbol" w:hAnsi="Symbol"/>
        </w:rPr>
        <w:t></w:t>
      </w:r>
      <w:r>
        <w:rPr/>
        <w:t xml:space="preserve"> |f-fo| &lt; 3 MHz)</w:t>
        <w:tab/>
        <w:t>=</w:t>
        <w:tab/>
        <w:t>(-38 + 3) - 34 + 9 = -60 dBm</w:t>
      </w:r>
    </w:p>
    <w:p>
      <w:pPr>
        <w:pStyle w:val="B1"/>
        <w:tabs>
          <w:tab w:val="clear" w:pos="284"/>
          <w:tab w:val="left" w:pos="2977" w:leader="none"/>
          <w:tab w:val="left" w:pos="3402" w:leader="none"/>
        </w:tabs>
        <w:rPr/>
      </w:pPr>
      <w:r>
        <w:rPr/>
        <w:t xml:space="preserve">(3 MHz </w:t>
      </w:r>
      <w:r>
        <w:rPr>
          <w:rFonts w:eastAsia="Symbol" w:cs="Symbol" w:ascii="Symbol" w:hAnsi="Symbol"/>
        </w:rPr>
        <w:t></w:t>
      </w:r>
      <w:r>
        <w:rPr/>
        <w:t xml:space="preserve"> |f-fo|)</w:t>
        <w:tab/>
        <w:t>=</w:t>
        <w:tab/>
        <w:t>(-46 + 3) - 34 + 9 = -68 dBm</w:t>
      </w:r>
    </w:p>
    <w:p>
      <w:pPr>
        <w:pStyle w:val="Normal"/>
        <w:rPr/>
      </w:pPr>
      <w:r>
        <w:rPr/>
        <w:t>At 1 800 MHz, BTS on channel wanted signal during blocking:</w:t>
      </w:r>
    </w:p>
    <w:p>
      <w:pPr>
        <w:pStyle w:val="B1"/>
        <w:tabs>
          <w:tab w:val="clear" w:pos="284"/>
          <w:tab w:val="left" w:pos="2977" w:leader="none"/>
          <w:tab w:val="left" w:pos="3402" w:leader="none"/>
        </w:tabs>
        <w:rPr/>
      </w:pPr>
      <w:r>
        <w:rPr/>
        <w:t xml:space="preserve">(0,6 MHz </w:t>
      </w:r>
      <w:r>
        <w:rPr>
          <w:rFonts w:eastAsia="Symbol" w:cs="Symbol" w:ascii="Symbol" w:hAnsi="Symbol"/>
        </w:rPr>
        <w:t></w:t>
      </w:r>
      <w:r>
        <w:rPr/>
        <w:t xml:space="preserve"> |f-fo| &lt; 0,8 MHz)</w:t>
        <w:tab/>
        <w:t>=</w:t>
        <w:tab/>
        <w:t>(-38 + 8) - 40 + 9 = -61 dBm</w:t>
      </w:r>
    </w:p>
    <w:p>
      <w:pPr>
        <w:pStyle w:val="B1"/>
        <w:tabs>
          <w:tab w:val="clear" w:pos="284"/>
          <w:tab w:val="left" w:pos="2977" w:leader="none"/>
          <w:tab w:val="left" w:pos="3402" w:leader="none"/>
        </w:tabs>
        <w:rPr/>
      </w:pPr>
      <w:r>
        <w:rPr/>
        <w:t xml:space="preserve">(0,8 MHz </w:t>
      </w:r>
      <w:r>
        <w:rPr>
          <w:rFonts w:eastAsia="Symbol" w:cs="Symbol" w:ascii="Symbol" w:hAnsi="Symbol"/>
        </w:rPr>
        <w:t></w:t>
      </w:r>
      <w:r>
        <w:rPr/>
        <w:t xml:space="preserve"> |f-fo| &lt; 1,6 MHz)</w:t>
        <w:tab/>
        <w:t>=</w:t>
        <w:tab/>
        <w:t>(-38 + 8 ) - 40 + 9 = -61 dBm</w:t>
      </w:r>
    </w:p>
    <w:p>
      <w:pPr>
        <w:pStyle w:val="B1"/>
        <w:tabs>
          <w:tab w:val="clear" w:pos="284"/>
          <w:tab w:val="left" w:pos="2977" w:leader="none"/>
          <w:tab w:val="left" w:pos="3402" w:leader="none"/>
        </w:tabs>
        <w:rPr/>
      </w:pPr>
      <w:r>
        <w:rPr/>
        <w:t xml:space="preserve">(1,6 MHz </w:t>
      </w:r>
      <w:r>
        <w:rPr>
          <w:rFonts w:eastAsia="Symbol" w:cs="Symbol" w:ascii="Symbol" w:hAnsi="Symbol"/>
        </w:rPr>
        <w:t></w:t>
      </w:r>
      <w:r>
        <w:rPr/>
        <w:t xml:space="preserve"> |f-fo| &lt; 3 MHz)</w:t>
        <w:tab/>
        <w:t>=</w:t>
        <w:tab/>
        <w:t>(-43 + 3) - 40 + 9 = -71 dBm</w:t>
      </w:r>
    </w:p>
    <w:p>
      <w:pPr>
        <w:pStyle w:val="B1"/>
        <w:tabs>
          <w:tab w:val="clear" w:pos="284"/>
          <w:tab w:val="left" w:pos="2977" w:leader="none"/>
          <w:tab w:val="left" w:pos="3402" w:leader="none"/>
        </w:tabs>
        <w:rPr/>
      </w:pPr>
      <w:r>
        <w:rPr/>
        <w:t xml:space="preserve">(3 MHz </w:t>
      </w:r>
      <w:r>
        <w:rPr>
          <w:rFonts w:eastAsia="Symbol" w:cs="Symbol" w:ascii="Symbol" w:hAnsi="Symbol"/>
        </w:rPr>
        <w:t></w:t>
      </w:r>
      <w:r>
        <w:rPr/>
        <w:t xml:space="preserve"> |f-fo|)</w:t>
        <w:tab/>
        <w:t>=</w:t>
        <w:tab/>
        <w:t>(-51 + 3) - 40 + 9 = -79 dBm</w:t>
      </w:r>
    </w:p>
    <w:p>
      <w:pPr>
        <w:pStyle w:val="Normal"/>
        <w:rPr/>
      </w:pPr>
      <w:r>
        <w:rPr/>
        <w:t>Hence the dynamic range requirements are:</w:t>
      </w:r>
    </w:p>
    <w:p>
      <w:pPr>
        <w:pStyle w:val="B1"/>
        <w:rPr/>
      </w:pPr>
      <w:r>
        <w:rPr/>
        <w:t>dynamic range = (max. power from uncord. MS) - (BTS wanted signal during blocking)</w:t>
      </w:r>
    </w:p>
    <w:p>
      <w:pPr>
        <w:pStyle w:val="Normal"/>
        <w:rPr/>
      </w:pPr>
      <w:r>
        <w:rPr/>
        <w:t>The use of dynamic range is taken from the microcell scenarios in annex C of GSM 05.05, Tdoc 144/92.</w:t>
      </w:r>
    </w:p>
    <w:p>
      <w:pPr>
        <w:pStyle w:val="TH"/>
        <w:rPr/>
      </w:pPr>
      <w:r>
        <w:rPr/>
      </w:r>
    </w:p>
    <w:tbl>
      <w:tblPr>
        <w:tblW w:w="7849" w:type="dxa"/>
        <w:jc w:val="center"/>
        <w:tblInd w:w="0" w:type="dxa"/>
        <w:tblLayout w:type="fixed"/>
        <w:tblCellMar>
          <w:top w:w="0" w:type="dxa"/>
          <w:left w:w="28" w:type="dxa"/>
          <w:bottom w:w="0" w:type="dxa"/>
          <w:right w:w="28" w:type="dxa"/>
        </w:tblCellMar>
      </w:tblPr>
      <w:tblGrid>
        <w:gridCol w:w="1643"/>
        <w:gridCol w:w="1630"/>
        <w:gridCol w:w="1630"/>
        <w:gridCol w:w="1473"/>
        <w:gridCol w:w="1473"/>
      </w:tblGrid>
      <w:tr>
        <w:trPr/>
        <w:tc>
          <w:tcPr>
            <w:tcW w:w="1643"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Dynamic range</w:t>
            </w:r>
          </w:p>
        </w:tc>
        <w:tc>
          <w:tcPr>
            <w:tcW w:w="1630" w:type="dxa"/>
            <w:tcBorders>
              <w:top w:val="single" w:sz="4" w:space="0" w:color="000000"/>
              <w:left w:val="single" w:sz="6" w:space="0" w:color="000000"/>
              <w:bottom w:val="single" w:sz="6" w:space="0" w:color="000000"/>
              <w:right w:val="single" w:sz="6" w:space="0" w:color="000000"/>
            </w:tcBorders>
          </w:tcPr>
          <w:p>
            <w:pPr>
              <w:pStyle w:val="TAH"/>
              <w:rPr/>
            </w:pPr>
            <w:r>
              <w:rPr>
                <w:lang w:eastAsia="en-US"/>
              </w:rPr>
              <w:t xml:space="preserve">0.6 </w:t>
            </w:r>
            <w:r>
              <w:rPr>
                <w:rFonts w:eastAsia="Symbol" w:cs="Symbol" w:ascii="Symbol" w:hAnsi="Symbol"/>
                <w:lang w:eastAsia="en-US"/>
              </w:rPr>
              <w:t></w:t>
            </w:r>
            <w:r>
              <w:rPr>
                <w:lang w:eastAsia="en-US"/>
              </w:rPr>
              <w:t xml:space="preserve"> |f-fo| &lt; 0.8</w:t>
            </w:r>
          </w:p>
        </w:tc>
        <w:tc>
          <w:tcPr>
            <w:tcW w:w="1630" w:type="dxa"/>
            <w:tcBorders>
              <w:top w:val="single" w:sz="4" w:space="0" w:color="000000"/>
              <w:left w:val="single" w:sz="6" w:space="0" w:color="000000"/>
              <w:bottom w:val="single" w:sz="6" w:space="0" w:color="000000"/>
              <w:right w:val="single" w:sz="6" w:space="0" w:color="000000"/>
            </w:tcBorders>
          </w:tcPr>
          <w:p>
            <w:pPr>
              <w:pStyle w:val="TAH"/>
              <w:rPr/>
            </w:pPr>
            <w:r>
              <w:rPr>
                <w:lang w:eastAsia="en-US"/>
              </w:rPr>
              <w:t xml:space="preserve">0.6 </w:t>
            </w:r>
            <w:r>
              <w:rPr>
                <w:rFonts w:eastAsia="Symbol" w:cs="Symbol" w:ascii="Symbol" w:hAnsi="Symbol"/>
                <w:lang w:eastAsia="en-US"/>
              </w:rPr>
              <w:t></w:t>
            </w:r>
            <w:r>
              <w:rPr>
                <w:lang w:eastAsia="en-US"/>
              </w:rPr>
              <w:t xml:space="preserve"> |f-fo| &lt; 1.6</w:t>
            </w:r>
          </w:p>
        </w:tc>
        <w:tc>
          <w:tcPr>
            <w:tcW w:w="1473" w:type="dxa"/>
            <w:tcBorders>
              <w:top w:val="single" w:sz="4" w:space="0" w:color="000000"/>
              <w:left w:val="single" w:sz="6" w:space="0" w:color="000000"/>
              <w:bottom w:val="single" w:sz="6" w:space="0" w:color="000000"/>
              <w:right w:val="single" w:sz="6" w:space="0" w:color="000000"/>
            </w:tcBorders>
          </w:tcPr>
          <w:p>
            <w:pPr>
              <w:pStyle w:val="TAH"/>
              <w:rPr/>
            </w:pPr>
            <w:r>
              <w:rPr>
                <w:lang w:eastAsia="en-US"/>
              </w:rPr>
              <w:t xml:space="preserve">1.6 </w:t>
            </w:r>
            <w:r>
              <w:rPr>
                <w:rFonts w:eastAsia="Symbol" w:cs="Symbol" w:ascii="Symbol" w:hAnsi="Symbol"/>
                <w:lang w:eastAsia="en-US"/>
              </w:rPr>
              <w:t></w:t>
            </w:r>
            <w:r>
              <w:rPr>
                <w:lang w:eastAsia="en-US"/>
              </w:rPr>
              <w:t xml:space="preserve"> |f-fo| &lt; 3</w:t>
            </w:r>
          </w:p>
        </w:tc>
        <w:tc>
          <w:tcPr>
            <w:tcW w:w="1473" w:type="dxa"/>
            <w:tcBorders>
              <w:top w:val="single" w:sz="4" w:space="0" w:color="000000"/>
              <w:left w:val="single" w:sz="6" w:space="0" w:color="000000"/>
              <w:bottom w:val="single" w:sz="6" w:space="0" w:color="000000"/>
              <w:right w:val="single" w:sz="4" w:space="0" w:color="000000"/>
            </w:tcBorders>
          </w:tcPr>
          <w:p>
            <w:pPr>
              <w:pStyle w:val="TAH"/>
              <w:rPr/>
            </w:pPr>
            <w:r>
              <w:rPr>
                <w:lang w:eastAsia="en-US"/>
              </w:rPr>
              <w:t xml:space="preserve">3 MHz </w:t>
            </w:r>
            <w:r>
              <w:rPr>
                <w:rFonts w:eastAsia="Symbol" w:cs="Symbol" w:ascii="Symbol" w:hAnsi="Symbol"/>
                <w:lang w:eastAsia="en-US"/>
              </w:rPr>
              <w:t></w:t>
            </w:r>
            <w:r>
              <w:rPr>
                <w:lang w:eastAsia="en-US"/>
              </w:rPr>
              <w:t xml:space="preserve"> |f-fo|</w:t>
            </w:r>
          </w:p>
        </w:tc>
      </w:tr>
      <w:tr>
        <w:trPr/>
        <w:tc>
          <w:tcPr>
            <w:tcW w:w="1643"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900 MHz</w:t>
            </w:r>
          </w:p>
        </w:tc>
        <w:tc>
          <w:tcPr>
            <w:tcW w:w="1630" w:type="dxa"/>
            <w:tcBorders>
              <w:top w:val="single" w:sz="6" w:space="0" w:color="000000"/>
              <w:left w:val="single" w:sz="6" w:space="0" w:color="000000"/>
              <w:bottom w:val="single" w:sz="6" w:space="0" w:color="000000"/>
              <w:right w:val="single" w:sz="6" w:space="0" w:color="000000"/>
            </w:tcBorders>
          </w:tcPr>
          <w:p>
            <w:pPr>
              <w:pStyle w:val="TAC"/>
              <w:rPr/>
            </w:pPr>
            <w:r>
              <w:rPr>
                <w:lang w:val="en-GB"/>
              </w:rPr>
              <w:t>51</w:t>
            </w:r>
          </w:p>
        </w:tc>
        <w:tc>
          <w:tcPr>
            <w:tcW w:w="16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51</w:t>
            </w:r>
          </w:p>
        </w:tc>
        <w:tc>
          <w:tcPr>
            <w:tcW w:w="147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59</w:t>
            </w:r>
          </w:p>
        </w:tc>
        <w:tc>
          <w:tcPr>
            <w:tcW w:w="147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67</w:t>
            </w:r>
          </w:p>
        </w:tc>
      </w:tr>
      <w:tr>
        <w:trPr/>
        <w:tc>
          <w:tcPr>
            <w:tcW w:w="1643" w:type="dxa"/>
            <w:tcBorders>
              <w:top w:val="single" w:sz="6" w:space="0" w:color="000000"/>
              <w:left w:val="single" w:sz="4" w:space="0" w:color="000000"/>
              <w:bottom w:val="single" w:sz="4" w:space="0" w:color="000000"/>
              <w:right w:val="single" w:sz="6" w:space="0" w:color="000000"/>
            </w:tcBorders>
          </w:tcPr>
          <w:p>
            <w:pPr>
              <w:pStyle w:val="TAL"/>
              <w:rPr>
                <w:lang w:val="en-GB"/>
              </w:rPr>
            </w:pPr>
            <w:r>
              <w:rPr>
                <w:lang w:val="en-GB"/>
              </w:rPr>
              <w:t>1 800 MHz</w:t>
            </w:r>
          </w:p>
        </w:tc>
        <w:tc>
          <w:tcPr>
            <w:tcW w:w="1630"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51</w:t>
            </w:r>
          </w:p>
        </w:tc>
        <w:tc>
          <w:tcPr>
            <w:tcW w:w="1630"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51</w:t>
            </w:r>
          </w:p>
        </w:tc>
        <w:tc>
          <w:tcPr>
            <w:tcW w:w="1473"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61</w:t>
            </w:r>
          </w:p>
        </w:tc>
        <w:tc>
          <w:tcPr>
            <w:tcW w:w="1473"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69</w:t>
            </w:r>
          </w:p>
        </w:tc>
      </w:tr>
    </w:tbl>
    <w:p>
      <w:pPr>
        <w:pStyle w:val="FP"/>
        <w:rPr/>
      </w:pPr>
      <w:r>
        <w:rPr/>
      </w:r>
    </w:p>
    <w:p>
      <w:pPr>
        <w:pStyle w:val="Normal"/>
        <w:rPr/>
      </w:pPr>
      <w:r>
        <w:rPr/>
        <w:t>GSM 05.05 specifies the blocking in a different manner. Instead of leaving the blocker at the same level and changing the level of the wanted signal, it leaves the wanted signal at a fixed point (3 dB above sensitivity) and changes the level of the blocker. Maintaining the same dynamic range, a translation can be performed to present the figures in a similar format.</w:t>
      </w:r>
    </w:p>
    <w:p>
      <w:pPr>
        <w:pStyle w:val="B1"/>
        <w:rPr/>
      </w:pPr>
      <w:r>
        <w:rPr/>
        <w:t>GSM 05.05 defined BTS blocking level = (ref. sens. + 3 dB) + dynamic range</w:t>
      </w:r>
    </w:p>
    <w:p>
      <w:pPr>
        <w:pStyle w:val="Normal"/>
        <w:rPr/>
      </w:pPr>
      <w:r>
        <w:rPr/>
        <w:t>For a fixed wanted signal at 3 dB above reference sensitivity.</w:t>
      </w:r>
    </w:p>
    <w:p>
      <w:pPr>
        <w:pStyle w:val="Normal"/>
        <w:rPr/>
      </w:pPr>
      <w:r>
        <w:rPr/>
        <w:t>At 900 MHz:</w:t>
      </w:r>
    </w:p>
    <w:p>
      <w:pPr>
        <w:pStyle w:val="B1"/>
        <w:rPr/>
      </w:pPr>
      <w:r>
        <w:rPr/>
        <w:t>wanted signal = -88 + 3 = -85 dBm</w:t>
      </w:r>
    </w:p>
    <w:p>
      <w:pPr>
        <w:pStyle w:val="B2"/>
        <w:tabs>
          <w:tab w:val="clear" w:pos="284"/>
          <w:tab w:val="left" w:pos="4962" w:leader="none"/>
          <w:tab w:val="left" w:pos="5387" w:leader="none"/>
        </w:tabs>
        <w:rPr/>
      </w:pPr>
      <w:r>
        <w:rPr/>
        <w:t xml:space="preserve">BTS blocking level (0,6 MHz </w:t>
      </w:r>
      <w:r>
        <w:rPr>
          <w:rFonts w:eastAsia="Symbol" w:cs="Symbol" w:ascii="Symbol" w:hAnsi="Symbol"/>
        </w:rPr>
        <w:t></w:t>
      </w:r>
      <w:r>
        <w:rPr/>
        <w:t xml:space="preserve"> |f-fo| &lt; -0,8 MHz)</w:t>
        <w:tab/>
        <w:t>=</w:t>
        <w:tab/>
        <w:t>-85 + 51 = -34 dBm</w:t>
      </w:r>
    </w:p>
    <w:p>
      <w:pPr>
        <w:pStyle w:val="B2"/>
        <w:tabs>
          <w:tab w:val="clear" w:pos="284"/>
          <w:tab w:val="left" w:pos="4962" w:leader="none"/>
          <w:tab w:val="left" w:pos="5387" w:leader="none"/>
        </w:tabs>
        <w:rPr/>
      </w:pPr>
      <w:r>
        <w:rPr/>
        <w:t xml:space="preserve">BTS blocking level (0,8 MHz </w:t>
      </w:r>
      <w:r>
        <w:rPr>
          <w:rFonts w:eastAsia="Symbol" w:cs="Symbol" w:ascii="Symbol" w:hAnsi="Symbol"/>
        </w:rPr>
        <w:t></w:t>
      </w:r>
      <w:r>
        <w:rPr/>
        <w:t xml:space="preserve"> |f-fo| &lt; -1,6 MHz)</w:t>
        <w:tab/>
        <w:t>=</w:t>
        <w:tab/>
        <w:t>-85 + 51 = -34 dBm</w:t>
      </w:r>
    </w:p>
    <w:p>
      <w:pPr>
        <w:pStyle w:val="B2"/>
        <w:tabs>
          <w:tab w:val="clear" w:pos="284"/>
          <w:tab w:val="left" w:pos="4962" w:leader="none"/>
          <w:tab w:val="left" w:pos="5387" w:leader="none"/>
        </w:tabs>
        <w:rPr/>
      </w:pPr>
      <w:r>
        <w:rPr/>
        <w:t xml:space="preserve">BTS blocking level(1,6 MHz </w:t>
      </w:r>
      <w:r>
        <w:rPr>
          <w:rFonts w:eastAsia="Symbol" w:cs="Symbol" w:ascii="Symbol" w:hAnsi="Symbol"/>
        </w:rPr>
        <w:t></w:t>
      </w:r>
      <w:r>
        <w:rPr/>
        <w:t xml:space="preserve"> |f-fo| &lt; -3 MHz)</w:t>
        <w:tab/>
        <w:t>=</w:t>
        <w:tab/>
        <w:t>-85 + 59 = -26 dBm</w:t>
      </w:r>
    </w:p>
    <w:p>
      <w:pPr>
        <w:pStyle w:val="B2"/>
        <w:tabs>
          <w:tab w:val="clear" w:pos="284"/>
          <w:tab w:val="left" w:pos="4962" w:leader="none"/>
          <w:tab w:val="left" w:pos="5387" w:leader="none"/>
        </w:tabs>
        <w:rPr/>
      </w:pPr>
      <w:r>
        <w:rPr/>
        <w:t xml:space="preserve">BTS blocking level (&lt; 3 MHz </w:t>
      </w:r>
      <w:r>
        <w:rPr>
          <w:rFonts w:eastAsia="Symbol" w:cs="Symbol" w:ascii="Symbol" w:hAnsi="Symbol"/>
        </w:rPr>
        <w:t></w:t>
      </w:r>
      <w:r>
        <w:rPr/>
        <w:t xml:space="preserve"> |f-fo| &lt;)</w:t>
        <w:tab/>
        <w:t>=</w:t>
        <w:tab/>
        <w:t>-85 + 67 = -18 dBm</w:t>
      </w:r>
    </w:p>
    <w:p>
      <w:pPr>
        <w:pStyle w:val="Normal"/>
        <w:rPr/>
      </w:pPr>
      <w:r>
        <w:rPr/>
        <w:t>At 1 800 MHz:</w:t>
      </w:r>
    </w:p>
    <w:p>
      <w:pPr>
        <w:pStyle w:val="B1"/>
        <w:rPr/>
      </w:pPr>
      <w:r>
        <w:rPr/>
        <w:t>wanted signal = -95 + 3 = -92 dBm</w:t>
      </w:r>
    </w:p>
    <w:p>
      <w:pPr>
        <w:pStyle w:val="B2"/>
        <w:tabs>
          <w:tab w:val="clear" w:pos="284"/>
          <w:tab w:val="left" w:pos="4962" w:leader="none"/>
          <w:tab w:val="left" w:pos="5387" w:leader="none"/>
        </w:tabs>
        <w:rPr/>
      </w:pPr>
      <w:r>
        <w:rPr/>
        <w:t xml:space="preserve">BTS blocking level (0,6 MHz </w:t>
      </w:r>
      <w:r>
        <w:rPr>
          <w:rFonts w:eastAsia="Symbol" w:cs="Symbol" w:ascii="Symbol" w:hAnsi="Symbol"/>
        </w:rPr>
        <w:t></w:t>
      </w:r>
      <w:r>
        <w:rPr/>
        <w:t xml:space="preserve"> |f-fo| &lt; -0,8 MHz)</w:t>
        <w:tab/>
        <w:t>=</w:t>
        <w:tab/>
        <w:t>-92 + 51 = -41 dBm</w:t>
      </w:r>
    </w:p>
    <w:p>
      <w:pPr>
        <w:pStyle w:val="B2"/>
        <w:tabs>
          <w:tab w:val="clear" w:pos="284"/>
          <w:tab w:val="left" w:pos="4962" w:leader="none"/>
          <w:tab w:val="left" w:pos="5387" w:leader="none"/>
        </w:tabs>
        <w:rPr/>
      </w:pPr>
      <w:r>
        <w:rPr/>
        <w:t xml:space="preserve">BTS blocking level (0,8 MHz </w:t>
      </w:r>
      <w:r>
        <w:rPr>
          <w:rFonts w:eastAsia="Symbol" w:cs="Symbol" w:ascii="Symbol" w:hAnsi="Symbol"/>
        </w:rPr>
        <w:t></w:t>
      </w:r>
      <w:r>
        <w:rPr/>
        <w:t xml:space="preserve"> |f-fo| &lt; -1,6 MHz)</w:t>
        <w:tab/>
        <w:t>=</w:t>
        <w:tab/>
        <w:t>-92 + 51 = -41 dBm</w:t>
      </w:r>
    </w:p>
    <w:p>
      <w:pPr>
        <w:pStyle w:val="B2"/>
        <w:tabs>
          <w:tab w:val="clear" w:pos="284"/>
          <w:tab w:val="left" w:pos="4962" w:leader="none"/>
          <w:tab w:val="left" w:pos="5387" w:leader="none"/>
        </w:tabs>
        <w:rPr/>
      </w:pPr>
      <w:r>
        <w:rPr/>
        <w:t xml:space="preserve">BTS blocking level (1,6 MHz </w:t>
      </w:r>
      <w:r>
        <w:rPr>
          <w:rFonts w:eastAsia="Symbol" w:cs="Symbol" w:ascii="Symbol" w:hAnsi="Symbol"/>
        </w:rPr>
        <w:t></w:t>
      </w:r>
      <w:r>
        <w:rPr/>
        <w:t xml:space="preserve"> |f-fo| &lt; -3 MHz)</w:t>
        <w:tab/>
        <w:t>=</w:t>
        <w:tab/>
        <w:t>-92 + 61 =-31 dBm</w:t>
      </w:r>
    </w:p>
    <w:p>
      <w:pPr>
        <w:pStyle w:val="B2"/>
        <w:tabs>
          <w:tab w:val="clear" w:pos="284"/>
          <w:tab w:val="left" w:pos="4962" w:leader="none"/>
          <w:tab w:val="left" w:pos="5387" w:leader="none"/>
        </w:tabs>
        <w:rPr/>
      </w:pPr>
      <w:r>
        <w:rPr/>
        <w:t xml:space="preserve">BTS blocking level (3 MHz  </w:t>
      </w:r>
      <w:r>
        <w:rPr>
          <w:rFonts w:eastAsia="Symbol" w:cs="Symbol" w:ascii="Symbol" w:hAnsi="Symbol"/>
        </w:rPr>
        <w:t></w:t>
      </w:r>
      <w:r>
        <w:rPr/>
        <w:t xml:space="preserve"> |f-fo|)</w:t>
        <w:tab/>
        <w:t>=</w:t>
        <w:tab/>
        <w:t>-92 + 69 = -23 dBm</w:t>
      </w:r>
    </w:p>
    <w:p>
      <w:pPr>
        <w:pStyle w:val="TH"/>
        <w:rPr/>
      </w:pPr>
      <w:r>
        <w:rPr/>
      </w:r>
    </w:p>
    <w:tbl>
      <w:tblPr>
        <w:tblW w:w="7469" w:type="dxa"/>
        <w:jc w:val="center"/>
        <w:tblInd w:w="0" w:type="dxa"/>
        <w:tblLayout w:type="fixed"/>
        <w:tblCellMar>
          <w:top w:w="0" w:type="dxa"/>
          <w:left w:w="28" w:type="dxa"/>
          <w:bottom w:w="0" w:type="dxa"/>
          <w:right w:w="28" w:type="dxa"/>
        </w:tblCellMar>
      </w:tblPr>
      <w:tblGrid>
        <w:gridCol w:w="1263"/>
        <w:gridCol w:w="1630"/>
        <w:gridCol w:w="1630"/>
        <w:gridCol w:w="1473"/>
        <w:gridCol w:w="1473"/>
      </w:tblGrid>
      <w:tr>
        <w:trPr/>
        <w:tc>
          <w:tcPr>
            <w:tcW w:w="1263"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Blocking</w:t>
            </w:r>
          </w:p>
        </w:tc>
        <w:tc>
          <w:tcPr>
            <w:tcW w:w="1630" w:type="dxa"/>
            <w:tcBorders>
              <w:top w:val="single" w:sz="4" w:space="0" w:color="000000"/>
              <w:left w:val="single" w:sz="6" w:space="0" w:color="000000"/>
              <w:bottom w:val="single" w:sz="6" w:space="0" w:color="000000"/>
              <w:right w:val="single" w:sz="6" w:space="0" w:color="000000"/>
            </w:tcBorders>
          </w:tcPr>
          <w:p>
            <w:pPr>
              <w:pStyle w:val="TAH"/>
              <w:rPr/>
            </w:pPr>
            <w:r>
              <w:rPr>
                <w:lang w:eastAsia="en-US"/>
              </w:rPr>
              <w:t xml:space="preserve">0.6 </w:t>
            </w:r>
            <w:r>
              <w:rPr>
                <w:rFonts w:eastAsia="Symbol" w:cs="Symbol" w:ascii="Symbol" w:hAnsi="Symbol"/>
                <w:lang w:eastAsia="en-US"/>
              </w:rPr>
              <w:t></w:t>
            </w:r>
            <w:r>
              <w:rPr>
                <w:lang w:eastAsia="en-US"/>
              </w:rPr>
              <w:t xml:space="preserve"> |f-fo| &lt; 0.8</w:t>
            </w:r>
          </w:p>
        </w:tc>
        <w:tc>
          <w:tcPr>
            <w:tcW w:w="1630" w:type="dxa"/>
            <w:tcBorders>
              <w:top w:val="single" w:sz="4" w:space="0" w:color="000000"/>
              <w:left w:val="single" w:sz="6" w:space="0" w:color="000000"/>
              <w:bottom w:val="single" w:sz="6" w:space="0" w:color="000000"/>
              <w:right w:val="single" w:sz="6" w:space="0" w:color="000000"/>
            </w:tcBorders>
          </w:tcPr>
          <w:p>
            <w:pPr>
              <w:pStyle w:val="TAH"/>
              <w:rPr/>
            </w:pPr>
            <w:r>
              <w:rPr>
                <w:lang w:eastAsia="en-US"/>
              </w:rPr>
              <w:t xml:space="preserve">0.6 </w:t>
            </w:r>
            <w:r>
              <w:rPr>
                <w:rFonts w:eastAsia="Symbol" w:cs="Symbol" w:ascii="Symbol" w:hAnsi="Symbol"/>
                <w:lang w:eastAsia="en-US"/>
              </w:rPr>
              <w:t></w:t>
            </w:r>
            <w:r>
              <w:rPr>
                <w:lang w:eastAsia="en-US"/>
              </w:rPr>
              <w:t xml:space="preserve"> |f-fo| &lt; 1.6</w:t>
            </w:r>
          </w:p>
        </w:tc>
        <w:tc>
          <w:tcPr>
            <w:tcW w:w="1473" w:type="dxa"/>
            <w:tcBorders>
              <w:top w:val="single" w:sz="4" w:space="0" w:color="000000"/>
              <w:left w:val="single" w:sz="6" w:space="0" w:color="000000"/>
              <w:bottom w:val="single" w:sz="6" w:space="0" w:color="000000"/>
              <w:right w:val="single" w:sz="6" w:space="0" w:color="000000"/>
            </w:tcBorders>
          </w:tcPr>
          <w:p>
            <w:pPr>
              <w:pStyle w:val="TAH"/>
              <w:rPr/>
            </w:pPr>
            <w:r>
              <w:rPr>
                <w:lang w:eastAsia="en-US"/>
              </w:rPr>
              <w:t xml:space="preserve">1.6 </w:t>
            </w:r>
            <w:r>
              <w:rPr>
                <w:rFonts w:eastAsia="Symbol" w:cs="Symbol" w:ascii="Symbol" w:hAnsi="Symbol"/>
                <w:lang w:eastAsia="en-US"/>
              </w:rPr>
              <w:t></w:t>
            </w:r>
            <w:r>
              <w:rPr>
                <w:lang w:eastAsia="en-US"/>
              </w:rPr>
              <w:t xml:space="preserve"> |f-fo| &lt; 3</w:t>
            </w:r>
          </w:p>
        </w:tc>
        <w:tc>
          <w:tcPr>
            <w:tcW w:w="1473" w:type="dxa"/>
            <w:tcBorders>
              <w:top w:val="single" w:sz="4" w:space="0" w:color="000000"/>
              <w:left w:val="single" w:sz="6" w:space="0" w:color="000000"/>
              <w:bottom w:val="single" w:sz="6" w:space="0" w:color="000000"/>
              <w:right w:val="single" w:sz="4" w:space="0" w:color="000000"/>
            </w:tcBorders>
          </w:tcPr>
          <w:p>
            <w:pPr>
              <w:pStyle w:val="TAH"/>
              <w:rPr/>
            </w:pPr>
            <w:r>
              <w:rPr>
                <w:lang w:eastAsia="en-US"/>
              </w:rPr>
              <w:t xml:space="preserve">3 MHz </w:t>
            </w:r>
            <w:r>
              <w:rPr>
                <w:rFonts w:eastAsia="Symbol" w:cs="Symbol" w:ascii="Symbol" w:hAnsi="Symbol"/>
                <w:lang w:eastAsia="en-US"/>
              </w:rPr>
              <w:t></w:t>
            </w:r>
            <w:r>
              <w:rPr>
                <w:lang w:eastAsia="en-US"/>
              </w:rPr>
              <w:t xml:space="preserve"> |f-fo|</w:t>
            </w:r>
          </w:p>
        </w:tc>
      </w:tr>
      <w:tr>
        <w:trPr/>
        <w:tc>
          <w:tcPr>
            <w:tcW w:w="1263"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900 MHz</w:t>
            </w:r>
          </w:p>
        </w:tc>
        <w:tc>
          <w:tcPr>
            <w:tcW w:w="16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w:t>
            </w:r>
          </w:p>
        </w:tc>
        <w:tc>
          <w:tcPr>
            <w:tcW w:w="16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w:t>
            </w:r>
          </w:p>
        </w:tc>
        <w:tc>
          <w:tcPr>
            <w:tcW w:w="147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-26</w:t>
            </w:r>
          </w:p>
        </w:tc>
        <w:tc>
          <w:tcPr>
            <w:tcW w:w="147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-18</w:t>
            </w:r>
          </w:p>
        </w:tc>
      </w:tr>
      <w:tr>
        <w:trPr/>
        <w:tc>
          <w:tcPr>
            <w:tcW w:w="1263" w:type="dxa"/>
            <w:tcBorders>
              <w:top w:val="single" w:sz="6" w:space="0" w:color="000000"/>
              <w:left w:val="single" w:sz="4" w:space="0" w:color="000000"/>
              <w:bottom w:val="single" w:sz="4" w:space="0" w:color="000000"/>
              <w:right w:val="single" w:sz="6" w:space="0" w:color="000000"/>
            </w:tcBorders>
          </w:tcPr>
          <w:p>
            <w:pPr>
              <w:pStyle w:val="TAL"/>
              <w:rPr/>
            </w:pPr>
            <w:r>
              <w:rPr>
                <w:lang w:val="en-GB"/>
              </w:rPr>
              <w:t>1800 MHz</w:t>
            </w:r>
          </w:p>
        </w:tc>
        <w:tc>
          <w:tcPr>
            <w:tcW w:w="1630"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-41</w:t>
            </w:r>
          </w:p>
        </w:tc>
        <w:tc>
          <w:tcPr>
            <w:tcW w:w="1630"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-41</w:t>
            </w:r>
          </w:p>
        </w:tc>
        <w:tc>
          <w:tcPr>
            <w:tcW w:w="1473"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-31</w:t>
            </w:r>
          </w:p>
        </w:tc>
        <w:tc>
          <w:tcPr>
            <w:tcW w:w="1473"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-23</w:t>
            </w:r>
          </w:p>
        </w:tc>
      </w:tr>
    </w:tbl>
    <w:p>
      <w:pPr>
        <w:pStyle w:val="FP"/>
        <w:rPr/>
      </w:pPr>
      <w:r>
        <w:rPr/>
      </w:r>
    </w:p>
    <w:p>
      <w:pPr>
        <w:pStyle w:val="Heading1"/>
        <w:ind w:left="1134" w:hanging="1134"/>
        <w:rPr/>
      </w:pPr>
      <w:bookmarkStart w:id="435" w:name="__RefHeading___Toc518035863"/>
      <w:bookmarkEnd w:id="435"/>
      <w:r>
        <w:rPr/>
        <w:t>R.10</w:t>
        <w:tab/>
        <w:t>pico- BTS AM suppression characteristics</w:t>
      </w:r>
    </w:p>
    <w:p>
      <w:pPr>
        <w:pStyle w:val="Normal"/>
        <w:rPr/>
      </w:pPr>
      <w:r>
        <w:rPr/>
        <w:t>Tdoc SMG2 246/94 from Vodafone examined in detail the test scenarios for AM suppression. These needed to be adjusted to permit a measurement to be made with out co-channel components from the test corrupting the result.  Following the logic of the Tdoc and using the values of BTS power, MCL and multiple interferer margin we can get to the following. The original argument for pico-BTS was presented in Tdoc 154/98. Negative numbers in () indicate where the scenario fails, +ve indicate where it is exceeded.</w:t>
      </w:r>
    </w:p>
    <w:p>
      <w:pPr>
        <w:pStyle w:val="Heading2"/>
        <w:rPr/>
      </w:pPr>
      <w:bookmarkStart w:id="436" w:name="__RefHeading___Toc518035864"/>
      <w:bookmarkStart w:id="437" w:name="_Ref418002526"/>
      <w:bookmarkEnd w:id="436"/>
      <w:r>
        <w:rPr/>
        <w:t>R.10.1</w:t>
        <w:tab/>
        <w:t>Modulation sidebands</w:t>
      </w:r>
      <w:bookmarkEnd w:id="437"/>
    </w:p>
    <w:p>
      <w:pPr>
        <w:pStyle w:val="Heading3"/>
        <w:rPr/>
      </w:pPr>
      <w:bookmarkStart w:id="438" w:name="__RefHeading___Toc518035865"/>
      <w:bookmarkStart w:id="439" w:name="_Ref418002463"/>
      <w:bookmarkEnd w:id="438"/>
      <w:r>
        <w:rPr/>
        <w:t>R.10.1.1</w:t>
        <w:tab/>
        <w:t>Uncoordinated BTS-&gt;MS</w:t>
      </w:r>
      <w:bookmarkEnd w:id="439"/>
    </w:p>
    <w:p>
      <w:pPr>
        <w:pStyle w:val="Normal"/>
        <w:rPr/>
      </w:pPr>
      <w:r>
        <w:rPr/>
        <w:t>Max noise level allowed in MS Rx BW for no interference, = [MS sensitivity] - [C/I margin] - [multiple interferers margin] + [coupling loss]</w:t>
      </w:r>
    </w:p>
    <w:p>
      <w:pPr>
        <w:pStyle w:val="B1"/>
        <w:tabs>
          <w:tab w:val="clear" w:pos="284"/>
          <w:tab w:val="left" w:pos="2268" w:leader="none"/>
        </w:tabs>
        <w:rPr>
          <w:lang w:val="pt-BR"/>
        </w:rPr>
      </w:pPr>
      <w:r>
        <w:rPr>
          <w:lang w:val="pt-BR"/>
        </w:rPr>
        <w:t>GSM900 pico:</w:t>
        <w:tab/>
        <w:t>-102 - 9 - 3 + 34 = -80 dBm.</w:t>
      </w:r>
    </w:p>
    <w:p>
      <w:pPr>
        <w:pStyle w:val="B1"/>
        <w:tabs>
          <w:tab w:val="clear" w:pos="284"/>
          <w:tab w:val="left" w:pos="2268" w:leader="none"/>
        </w:tabs>
        <w:rPr>
          <w:lang w:val="pt-BR"/>
        </w:rPr>
      </w:pPr>
      <w:r>
        <w:rPr>
          <w:lang w:val="pt-BR"/>
        </w:rPr>
        <w:t>DCS1800 pico:</w:t>
        <w:tab/>
        <w:t>-102 - 9 - 6 + 40 = -77 dBm.</w:t>
      </w:r>
    </w:p>
    <w:p>
      <w:pPr>
        <w:pStyle w:val="Normal"/>
        <w:rPr/>
      </w:pPr>
      <w:r>
        <w:rPr/>
        <w:t>GSM 05.05 requirement (subclause 4.2.1, picocell modifications, &gt; 6 MHz offset)</w:t>
      </w:r>
    </w:p>
    <w:p>
      <w:pPr>
        <w:pStyle w:val="Normal"/>
        <w:rPr/>
      </w:pPr>
      <w:r>
        <w:rPr/>
        <w:t>= [BTS Tx power] - [8 dB peak power to 30 kHz correction factor] - [spectrum due to modulation requirement] + [100kHz to 200kHz BW correction]</w:t>
      </w:r>
    </w:p>
    <w:p>
      <w:pPr>
        <w:pStyle w:val="B1"/>
        <w:tabs>
          <w:tab w:val="clear" w:pos="284"/>
          <w:tab w:val="left" w:pos="2268" w:leader="none"/>
        </w:tabs>
        <w:rPr/>
      </w:pPr>
      <w:r>
        <w:rPr/>
        <w:t>GSM900:</w:t>
        <w:tab/>
        <w:t>(20 - 8) - 80 + 3 = -65 dBm (-15 dB)</w:t>
      </w:r>
    </w:p>
    <w:p>
      <w:pPr>
        <w:pStyle w:val="B1"/>
        <w:tabs>
          <w:tab w:val="clear" w:pos="284"/>
          <w:tab w:val="left" w:pos="2268" w:leader="none"/>
        </w:tabs>
        <w:rPr/>
      </w:pPr>
      <w:r>
        <w:rPr/>
        <w:t>DCS1800:</w:t>
        <w:tab/>
        <w:t>(23 - 8) - 80 + 3 = -62 dBm (-15 dB)</w:t>
      </w:r>
    </w:p>
    <w:p>
      <w:pPr>
        <w:pStyle w:val="Heading3"/>
        <w:rPr/>
      </w:pPr>
      <w:bookmarkStart w:id="440" w:name="__RefHeading___Toc518035866"/>
      <w:bookmarkStart w:id="441" w:name="_Ref418002565"/>
      <w:bookmarkEnd w:id="440"/>
      <w:r>
        <w:rPr/>
        <w:t>R.10.1.2</w:t>
        <w:tab/>
        <w:t>Uncoordinated MS-&gt;BTS</w:t>
      </w:r>
      <w:bookmarkEnd w:id="441"/>
    </w:p>
    <w:p>
      <w:pPr>
        <w:pStyle w:val="Normal"/>
        <w:rPr/>
      </w:pPr>
      <w:r>
        <w:rPr/>
        <w:t>Max noise level allowed in BTS Rx BW for no interference, = [BTS sensitivity] - [C/I margin] + [coupling loss]</w:t>
      </w:r>
    </w:p>
    <w:p>
      <w:pPr>
        <w:pStyle w:val="B1"/>
        <w:tabs>
          <w:tab w:val="clear" w:pos="284"/>
          <w:tab w:val="left" w:pos="2268" w:leader="none"/>
        </w:tabs>
        <w:rPr/>
      </w:pPr>
      <w:r>
        <w:rPr/>
        <w:t>GSM900:</w:t>
        <w:tab/>
        <w:t>-88 - 9 + 34 = -63 dBm</w:t>
      </w:r>
    </w:p>
    <w:p>
      <w:pPr>
        <w:pStyle w:val="B1"/>
        <w:tabs>
          <w:tab w:val="clear" w:pos="284"/>
          <w:tab w:val="left" w:pos="2268" w:leader="none"/>
        </w:tabs>
        <w:rPr/>
      </w:pPr>
      <w:r>
        <w:rPr/>
        <w:t>DCS1800:</w:t>
        <w:tab/>
        <w:t>-95 - 9 + 40 = -64 dBm</w:t>
      </w:r>
    </w:p>
    <w:p>
      <w:pPr>
        <w:pStyle w:val="Normal"/>
        <w:rPr/>
      </w:pPr>
      <w:r>
        <w:rPr/>
        <w:t>GSM 05.05 requirement (subclause 4.2.1 &gt; 6 MHz offset)</w:t>
      </w:r>
    </w:p>
    <w:p>
      <w:pPr>
        <w:pStyle w:val="Normal"/>
        <w:rPr/>
      </w:pPr>
      <w:r>
        <w:rPr/>
        <w:t>= [MS Tx power] - [8 dB peak power to 30 kHz BW correction factor] - [spectrum due to mod. Requirement] + [100 kHz to 200 kHz BW correction]</w:t>
      </w:r>
    </w:p>
    <w:p>
      <w:pPr>
        <w:pStyle w:val="B1"/>
        <w:tabs>
          <w:tab w:val="clear" w:pos="284"/>
          <w:tab w:val="left" w:pos="2268" w:leader="none"/>
        </w:tabs>
        <w:rPr/>
      </w:pPr>
      <w:r>
        <w:rPr/>
        <w:t>GSM900:</w:t>
        <w:tab/>
        <w:t>(33 - 8) - 71 + 3 = -43 dBm (-20 dB)</w:t>
      </w:r>
    </w:p>
    <w:p>
      <w:pPr>
        <w:pStyle w:val="B1"/>
        <w:tabs>
          <w:tab w:val="clear" w:pos="284"/>
          <w:tab w:val="left" w:pos="2268" w:leader="none"/>
        </w:tabs>
        <w:rPr/>
      </w:pPr>
      <w:r>
        <w:rPr/>
        <w:t>DCS1800:</w:t>
        <w:tab/>
        <w:t>(30 - 8) - 73 + 3 = -48 dBm (-16 dB)</w:t>
      </w:r>
    </w:p>
    <w:p>
      <w:pPr>
        <w:pStyle w:val="Heading2"/>
        <w:rPr/>
      </w:pPr>
      <w:bookmarkStart w:id="442" w:name="__RefHeading___Toc518035867"/>
      <w:bookmarkEnd w:id="442"/>
      <w:r>
        <w:rPr/>
        <w:t>R.10.2</w:t>
        <w:tab/>
        <w:t>Switching transients</w:t>
      </w:r>
    </w:p>
    <w:p>
      <w:pPr>
        <w:pStyle w:val="Normal"/>
        <w:rPr/>
      </w:pPr>
      <w:r>
        <w:rPr/>
        <w:t>Following the logic of Tdoc 246/94.</w:t>
      </w:r>
    </w:p>
    <w:p>
      <w:pPr>
        <w:pStyle w:val="Heading3"/>
        <w:rPr/>
      </w:pPr>
      <w:bookmarkStart w:id="443" w:name="__RefHeading___Toc518035868"/>
      <w:bookmarkEnd w:id="443"/>
      <w:r>
        <w:rPr/>
        <w:t>R.10.2.1</w:t>
        <w:tab/>
        <w:t>Uncoordinated BTS-&gt;MS</w:t>
      </w:r>
    </w:p>
    <w:p>
      <w:pPr>
        <w:pStyle w:val="Normal"/>
        <w:rPr/>
      </w:pPr>
      <w:r>
        <w:rPr/>
        <w:t>Max peak level allowed in effective Rx BW at MS for no interference, =  [MS sensitivity] -[C/I margin] + [MCL] + [transient margin]</w:t>
      </w:r>
    </w:p>
    <w:p>
      <w:pPr>
        <w:pStyle w:val="B1"/>
        <w:tabs>
          <w:tab w:val="clear" w:pos="284"/>
          <w:tab w:val="left" w:pos="2268" w:leader="none"/>
        </w:tabs>
        <w:rPr/>
      </w:pPr>
      <w:r>
        <w:rPr/>
        <w:t>GSM900:</w:t>
        <w:tab/>
        <w:t>-102 - 9 + 34 + 20 = -57 dBm</w:t>
      </w:r>
    </w:p>
    <w:p>
      <w:pPr>
        <w:pStyle w:val="B1"/>
        <w:tabs>
          <w:tab w:val="clear" w:pos="284"/>
          <w:tab w:val="left" w:pos="2268" w:leader="none"/>
        </w:tabs>
        <w:rPr/>
      </w:pPr>
      <w:r>
        <w:rPr/>
        <w:t>DCS1800:</w:t>
        <w:tab/>
        <w:t>-102 -9 + 40 + 20 = -51 dBm</w:t>
      </w:r>
    </w:p>
    <w:p>
      <w:pPr>
        <w:pStyle w:val="Normal"/>
        <w:rPr/>
      </w:pPr>
      <w:r>
        <w:rPr/>
        <w:t>GSM 05.05 requirement (subclause 4.2.2, &gt; 1,8 MHz offset).</w:t>
      </w:r>
    </w:p>
    <w:p>
      <w:pPr>
        <w:pStyle w:val="B1"/>
        <w:tabs>
          <w:tab w:val="clear" w:pos="284"/>
          <w:tab w:val="left" w:pos="2268" w:leader="none"/>
        </w:tabs>
        <w:rPr/>
      </w:pPr>
      <w:r>
        <w:rPr/>
        <w:t>GSM900:</w:t>
        <w:tab/>
        <w:t>20 - 80 = -60 dBm (+3 dB)</w:t>
      </w:r>
    </w:p>
    <w:p>
      <w:pPr>
        <w:pStyle w:val="B1"/>
        <w:tabs>
          <w:tab w:val="clear" w:pos="284"/>
          <w:tab w:val="left" w:pos="2268" w:leader="none"/>
        </w:tabs>
        <w:rPr/>
      </w:pPr>
      <w:r>
        <w:rPr/>
        <w:t>DCS1800:</w:t>
        <w:tab/>
        <w:t>23 - 80 = -57 dBm (+6 dB)</w:t>
      </w:r>
    </w:p>
    <w:p>
      <w:pPr>
        <w:pStyle w:val="Heading3"/>
        <w:rPr/>
      </w:pPr>
      <w:bookmarkStart w:id="444" w:name="__RefHeading___Toc518035869"/>
      <w:bookmarkStart w:id="445" w:name="_Ref418002621"/>
      <w:bookmarkEnd w:id="444"/>
      <w:r>
        <w:rPr/>
        <w:t>R.10.2.2</w:t>
        <w:tab/>
        <w:t>Uncoordinated MS-&gt;BTS</w:t>
      </w:r>
      <w:bookmarkEnd w:id="445"/>
    </w:p>
    <w:p>
      <w:pPr>
        <w:pStyle w:val="Normal"/>
        <w:rPr/>
      </w:pPr>
      <w:r>
        <w:rPr/>
        <w:t>Max peak level allowed in effective Rx BW at BTS for no interference, = [BTS sensitivity] - [C/I margin] + [MCL] + [transient margin]</w:t>
      </w:r>
    </w:p>
    <w:p>
      <w:pPr>
        <w:pStyle w:val="B1"/>
        <w:tabs>
          <w:tab w:val="clear" w:pos="284"/>
          <w:tab w:val="left" w:pos="2268" w:leader="none"/>
        </w:tabs>
        <w:rPr/>
      </w:pPr>
      <w:r>
        <w:rPr/>
        <w:t>GSM900:</w:t>
        <w:tab/>
        <w:t>-88 - 9 + 34 + 20 = -43 dBm</w:t>
      </w:r>
    </w:p>
    <w:p>
      <w:pPr>
        <w:pStyle w:val="B1"/>
        <w:tabs>
          <w:tab w:val="clear" w:pos="284"/>
          <w:tab w:val="left" w:pos="2268" w:leader="none"/>
        </w:tabs>
        <w:rPr/>
      </w:pPr>
      <w:r>
        <w:rPr/>
        <w:t>DCS1800:</w:t>
        <w:tab/>
        <w:t>-95 - 9 + 40 + 20 = -44 dBm</w:t>
      </w:r>
    </w:p>
    <w:p>
      <w:pPr>
        <w:pStyle w:val="Normal"/>
        <w:rPr/>
      </w:pPr>
      <w:r>
        <w:rPr/>
        <w:t>GSM 05.05 (subclause 4.2.2, &gt; 1,8 MHz offset),</w:t>
      </w:r>
    </w:p>
    <w:p>
      <w:pPr>
        <w:pStyle w:val="B1"/>
        <w:tabs>
          <w:tab w:val="clear" w:pos="284"/>
          <w:tab w:val="left" w:pos="2268" w:leader="none"/>
        </w:tabs>
        <w:rPr/>
      </w:pPr>
      <w:r>
        <w:rPr/>
        <w:t>GSM900:</w:t>
        <w:tab/>
        <w:t>-36 dBm (-7 dB)</w:t>
      </w:r>
    </w:p>
    <w:p>
      <w:pPr>
        <w:pStyle w:val="B1"/>
        <w:tabs>
          <w:tab w:val="clear" w:pos="284"/>
          <w:tab w:val="left" w:pos="2268" w:leader="none"/>
        </w:tabs>
        <w:rPr/>
      </w:pPr>
      <w:r>
        <w:rPr/>
        <w:t>DCS1800:</w:t>
        <w:tab/>
        <w:t>-36 dBm (-8 dB)</w:t>
      </w:r>
    </w:p>
    <w:p>
      <w:pPr>
        <w:pStyle w:val="Heading2"/>
        <w:rPr/>
      </w:pPr>
      <w:bookmarkStart w:id="446" w:name="__RefHeading___Toc518035870"/>
      <w:bookmarkEnd w:id="446"/>
      <w:r>
        <w:rPr/>
        <w:t>R.10.3</w:t>
        <w:tab/>
        <w:t>Blocking</w:t>
      </w:r>
    </w:p>
    <w:p>
      <w:pPr>
        <w:pStyle w:val="Heading3"/>
        <w:rPr/>
      </w:pPr>
      <w:bookmarkStart w:id="447" w:name="__RefHeading___Toc518035871"/>
      <w:bookmarkEnd w:id="447"/>
      <w:r>
        <w:rPr/>
        <w:t>R.10.3.1</w:t>
        <w:tab/>
        <w:t>Uncoordinated BTS-&gt;MS</w:t>
      </w:r>
    </w:p>
    <w:p>
      <w:pPr>
        <w:pStyle w:val="Normal"/>
        <w:rPr/>
      </w:pPr>
      <w:r>
        <w:rPr/>
        <w:t>Max blocking signal level at MS receiver for no interference, = [BTS power] + [multiple inteferers margin] - [MCL]</w:t>
      </w:r>
    </w:p>
    <w:p>
      <w:pPr>
        <w:pStyle w:val="B1"/>
        <w:tabs>
          <w:tab w:val="clear" w:pos="284"/>
          <w:tab w:val="left" w:pos="2268" w:leader="none"/>
        </w:tabs>
        <w:rPr/>
      </w:pPr>
      <w:r>
        <w:rPr/>
        <w:t>GSM900:</w:t>
        <w:tab/>
        <w:t>20 + 3 - 34 = -11 dBm</w:t>
      </w:r>
    </w:p>
    <w:p>
      <w:pPr>
        <w:pStyle w:val="B1"/>
        <w:tabs>
          <w:tab w:val="clear" w:pos="284"/>
          <w:tab w:val="left" w:pos="2268" w:leader="none"/>
        </w:tabs>
        <w:rPr/>
      </w:pPr>
      <w:r>
        <w:rPr/>
        <w:t>DCS1800:</w:t>
        <w:tab/>
        <w:t>23 + 6 - 40 = -11 dBm</w:t>
      </w:r>
    </w:p>
    <w:p>
      <w:pPr>
        <w:pStyle w:val="Normal"/>
        <w:rPr/>
      </w:pPr>
      <w:r>
        <w:rPr/>
        <w:t>GSM 05.05 (subclause 5.1, &gt; 3 MHz offset)</w:t>
      </w:r>
    </w:p>
    <w:p>
      <w:pPr>
        <w:pStyle w:val="B1"/>
        <w:tabs>
          <w:tab w:val="clear" w:pos="284"/>
          <w:tab w:val="left" w:pos="2268" w:leader="none"/>
        </w:tabs>
        <w:rPr/>
      </w:pPr>
      <w:r>
        <w:rPr/>
        <w:t>GSM900:</w:t>
        <w:tab/>
        <w:t>-23 dBm (+12 dB)</w:t>
      </w:r>
    </w:p>
    <w:p>
      <w:pPr>
        <w:pStyle w:val="B1"/>
        <w:tabs>
          <w:tab w:val="clear" w:pos="284"/>
          <w:tab w:val="left" w:pos="2268" w:leader="none"/>
        </w:tabs>
        <w:rPr/>
      </w:pPr>
      <w:r>
        <w:rPr/>
        <w:t>DCS1800:</w:t>
        <w:tab/>
        <w:t>-26 dBm (+15 dB)</w:t>
      </w:r>
    </w:p>
    <w:p>
      <w:pPr>
        <w:pStyle w:val="Heading3"/>
        <w:rPr/>
      </w:pPr>
      <w:bookmarkStart w:id="448" w:name="__RefHeading___Toc518035872"/>
      <w:bookmarkEnd w:id="448"/>
      <w:r>
        <w:rPr/>
        <w:t>R.10.3.2</w:t>
        <w:tab/>
        <w:t>Uncoordinated MS-&gt;BTS</w:t>
      </w:r>
    </w:p>
    <w:p>
      <w:pPr>
        <w:pStyle w:val="Normal"/>
        <w:rPr/>
      </w:pPr>
      <w:r>
        <w:rPr/>
        <w:t>Max blocking signal level allowed at BTS receiver for no interference, = [MS power] - MCL</w:t>
      </w:r>
    </w:p>
    <w:p>
      <w:pPr>
        <w:pStyle w:val="B1"/>
        <w:tabs>
          <w:tab w:val="clear" w:pos="284"/>
          <w:tab w:val="left" w:pos="2268" w:leader="none"/>
        </w:tabs>
        <w:rPr/>
      </w:pPr>
      <w:r>
        <w:rPr/>
        <w:t>GSM900:</w:t>
        <w:tab/>
        <w:t>33 - 34 = -1 dBm</w:t>
      </w:r>
    </w:p>
    <w:p>
      <w:pPr>
        <w:pStyle w:val="B1"/>
        <w:tabs>
          <w:tab w:val="clear" w:pos="284"/>
          <w:tab w:val="left" w:pos="2268" w:leader="none"/>
        </w:tabs>
        <w:rPr/>
      </w:pPr>
      <w:r>
        <w:rPr/>
        <w:t>DCS1800:</w:t>
        <w:tab/>
        <w:t>30 - 40 = -10 dBm</w:t>
      </w:r>
    </w:p>
    <w:p>
      <w:pPr>
        <w:pStyle w:val="Normal"/>
        <w:rPr/>
      </w:pPr>
      <w:r>
        <w:rPr/>
        <w:t>Requirement, GSM 05.05 subclause 5.1, proposed pico-BTS, &gt; 3 MHz offset.</w:t>
      </w:r>
    </w:p>
    <w:p>
      <w:pPr>
        <w:pStyle w:val="B1"/>
        <w:tabs>
          <w:tab w:val="clear" w:pos="284"/>
          <w:tab w:val="left" w:pos="2268" w:leader="none"/>
        </w:tabs>
        <w:rPr/>
      </w:pPr>
      <w:r>
        <w:rPr/>
        <w:t>GSM900:</w:t>
        <w:tab/>
        <w:t>-18 dBm (+17 dB)</w:t>
      </w:r>
    </w:p>
    <w:p>
      <w:pPr>
        <w:pStyle w:val="B1"/>
        <w:tabs>
          <w:tab w:val="clear" w:pos="284"/>
          <w:tab w:val="left" w:pos="2268" w:leader="none"/>
        </w:tabs>
        <w:rPr/>
      </w:pPr>
      <w:r>
        <w:rPr/>
        <w:t>DCS1800:</w:t>
        <w:tab/>
        <w:t>-23 dBm(+13 dB)</w:t>
      </w:r>
    </w:p>
    <w:p>
      <w:pPr>
        <w:pStyle w:val="Heading2"/>
        <w:rPr/>
      </w:pPr>
      <w:bookmarkStart w:id="449" w:name="__RefHeading___Toc518035873"/>
      <w:bookmarkEnd w:id="449"/>
      <w:r>
        <w:rPr/>
        <w:t>R.10.4</w:t>
        <w:tab/>
        <w:t>The AM suppression requirement</w:t>
      </w:r>
    </w:p>
    <w:p>
      <w:pPr>
        <w:pStyle w:val="Heading3"/>
        <w:rPr/>
      </w:pPr>
      <w:bookmarkStart w:id="450" w:name="__RefHeading___Toc518035874"/>
      <w:bookmarkEnd w:id="450"/>
      <w:r>
        <w:rPr/>
        <w:t>R.10.4.1</w:t>
        <w:tab/>
        <w:t>Downlink, BTS-&gt;MS</w:t>
      </w:r>
    </w:p>
    <w:p>
      <w:pPr>
        <w:pStyle w:val="Normal"/>
        <w:rPr/>
      </w:pPr>
      <w:r>
        <w:rPr/>
        <w:t>With reference to the calculations in clause 1) the following scenario failures occur</w:t>
      </w:r>
    </w:p>
    <w:p>
      <w:pPr>
        <w:pStyle w:val="Normal"/>
        <w:rPr/>
      </w:pPr>
      <w:r>
        <w:rPr/>
        <w:t>(R.10.1.1) Maximum noise at MS due to BTS modulation sidebands fails the scenario requirement by 15 dB for GSM900 and by 15 dBfor DCS1800.</w:t>
      </w:r>
    </w:p>
    <w:p>
      <w:pPr>
        <w:pStyle w:val="Normal"/>
        <w:rPr/>
      </w:pPr>
      <w:r>
        <w:rPr/>
        <w:t>The most significant failures of the GSM and DCS scenarios occur for BTS modulation sidebands. If we include the MCL relaxation for interference from the BTS to its nearest MS stations of 15 dB the scenarios are passed.</w:t>
      </w:r>
    </w:p>
    <w:p>
      <w:pPr>
        <w:pStyle w:val="Heading3"/>
        <w:rPr/>
      </w:pPr>
      <w:bookmarkStart w:id="451" w:name="__RefHeading___Toc518035875"/>
      <w:bookmarkEnd w:id="451"/>
      <w:r>
        <w:rPr/>
        <w:t>R.10.4.2</w:t>
        <w:tab/>
        <w:t>Uplink, MS-&gt;BTS</w:t>
      </w:r>
    </w:p>
    <w:p>
      <w:pPr>
        <w:pStyle w:val="Normal"/>
        <w:rPr/>
      </w:pPr>
      <w:r>
        <w:rPr/>
        <w:t>With reference to the calculations in subclause R.10.1) the following scenario failures occur</w:t>
      </w:r>
    </w:p>
    <w:p>
      <w:pPr>
        <w:pStyle w:val="Normal"/>
        <w:rPr/>
      </w:pPr>
      <w:r>
        <w:rPr/>
        <w:t>(R.10.1.2) Maximum noise at BTS due to MS modulation sidebands fails the scenario requirement by 20 dB for GSM900 and by 16 dBfor DCS1800.</w:t>
      </w:r>
    </w:p>
    <w:p>
      <w:pPr>
        <w:pStyle w:val="Normal"/>
        <w:rPr/>
      </w:pPr>
      <w:r>
        <w:rPr/>
        <w:t>(R.10.2.2) Maximum noise at BTS due to MS switching transients  fails the scenario requirement by 7 dB for GSM900 and by 8 dB for DCS1800.</w:t>
      </w:r>
    </w:p>
    <w:p>
      <w:pPr>
        <w:pStyle w:val="Normal"/>
        <w:rPr/>
      </w:pPr>
      <w:r>
        <w:rPr/>
        <w:t>The most significant failures of the GSM and DCS scenarios occur for MS modulation sidebands. The failure margin is 20 dB for GSM900 and 16 dB for DCS1800.</w:t>
      </w:r>
    </w:p>
    <w:p>
      <w:pPr>
        <w:pStyle w:val="Heading3"/>
        <w:rPr/>
      </w:pPr>
      <w:bookmarkStart w:id="452" w:name="__RefHeading___Toc518035876"/>
      <w:bookmarkEnd w:id="452"/>
      <w:r>
        <w:rPr/>
        <w:t>R.10.4.3</w:t>
        <w:tab/>
        <w:t>Interference levels</w:t>
      </w:r>
    </w:p>
    <w:p>
      <w:pPr>
        <w:pStyle w:val="Normal"/>
        <w:rPr/>
      </w:pPr>
      <w:r>
        <w:rPr/>
        <w:t>Thus for an AM suppression test, the interferer co-channel components in the above scenarios based on GSM 05.05 specification limits (pico-BTS) are too high and would affect the test result. Therefore, the test signal level must be reduced to a level, which will not compromise the co-channel performance.</w:t>
      </w:r>
    </w:p>
    <w:p>
      <w:pPr>
        <w:pStyle w:val="Normal"/>
        <w:rPr/>
      </w:pPr>
      <w:r>
        <w:rPr/>
        <w:t>The maximum permissible interferer signal level to be used for an AM suppression test:</w:t>
      </w:r>
    </w:p>
    <w:p>
      <w:pPr>
        <w:pStyle w:val="B1"/>
        <w:rPr/>
      </w:pPr>
      <w:r>
        <w:rPr/>
        <w:t>= [Tx power] - MCL - [scenario failure margin]</w:t>
      </w:r>
    </w:p>
    <w:p>
      <w:pPr>
        <w:pStyle w:val="Normal"/>
        <w:rPr/>
      </w:pPr>
      <w:r>
        <w:rPr/>
        <w:t>These levels are calculated in the following table. Following the argument in Tdoc SMG2 246/94, values for BTS-&gt;MS testing do not need to be altered.</w:t>
      </w:r>
    </w:p>
    <w:p>
      <w:pPr>
        <w:pStyle w:val="TH"/>
        <w:rPr/>
      </w:pPr>
      <w:r>
        <w:rPr/>
      </w:r>
    </w:p>
    <w:tbl>
      <w:tblPr>
        <w:tblW w:w="6768" w:type="dxa"/>
        <w:jc w:val="center"/>
        <w:tblInd w:w="0" w:type="dxa"/>
        <w:tblLayout w:type="fixed"/>
        <w:tblCellMar>
          <w:top w:w="0" w:type="dxa"/>
          <w:left w:w="28" w:type="dxa"/>
          <w:bottom w:w="0" w:type="dxa"/>
          <w:right w:w="28" w:type="dxa"/>
        </w:tblCellMar>
      </w:tblPr>
      <w:tblGrid>
        <w:gridCol w:w="2061"/>
        <w:gridCol w:w="2031"/>
        <w:gridCol w:w="2676"/>
      </w:tblGrid>
      <w:tr>
        <w:trPr/>
        <w:tc>
          <w:tcPr>
            <w:tcW w:w="206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Interfering source</w:t>
            </w:r>
          </w:p>
        </w:tc>
        <w:tc>
          <w:tcPr>
            <w:tcW w:w="203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GSM900</w:t>
            </w:r>
          </w:p>
        </w:tc>
        <w:tc>
          <w:tcPr>
            <w:tcW w:w="267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DCS1800</w:t>
            </w:r>
          </w:p>
        </w:tc>
      </w:tr>
      <w:tr>
        <w:trPr/>
        <w:tc>
          <w:tcPr>
            <w:tcW w:w="20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MS</w:t>
            </w:r>
          </w:p>
        </w:tc>
        <w:tc>
          <w:tcPr>
            <w:tcW w:w="20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33 - 34 - 20 = -21</w:t>
            </w:r>
          </w:p>
        </w:tc>
        <w:tc>
          <w:tcPr>
            <w:tcW w:w="267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30 - 40 - 16 = -26</w:t>
            </w:r>
          </w:p>
        </w:tc>
      </w:tr>
    </w:tbl>
    <w:p>
      <w:pPr>
        <w:pStyle w:val="FP"/>
        <w:rPr/>
      </w:pPr>
      <w:r>
        <w:rPr/>
      </w:r>
    </w:p>
    <w:p>
      <w:pPr>
        <w:pStyle w:val="Heading1"/>
        <w:ind w:left="1134" w:hanging="1134"/>
        <w:rPr/>
      </w:pPr>
      <w:bookmarkStart w:id="453" w:name="__RefHeading___Toc518035877"/>
      <w:bookmarkEnd w:id="453"/>
      <w:r>
        <w:rPr/>
        <w:t>R.11</w:t>
        <w:tab/>
        <w:t>intermodulation</w:t>
      </w:r>
    </w:p>
    <w:p>
      <w:pPr>
        <w:pStyle w:val="Heading2"/>
        <w:rPr/>
      </w:pPr>
      <w:bookmarkStart w:id="454" w:name="__RefHeading___Toc518035878"/>
      <w:bookmarkEnd w:id="454"/>
      <w:r>
        <w:rPr/>
        <w:t>R.11.1</w:t>
        <w:tab/>
        <w:t>co-ordinated and uncoordinated BTS -&gt; MS (scenarios 2 &amp; 3, figure 3.2 middle)</w:t>
      </w:r>
    </w:p>
    <w:p>
      <w:pPr>
        <w:pStyle w:val="Normal"/>
        <w:rPr/>
      </w:pPr>
      <w:r>
        <w:rPr/>
        <w:t>[max received level at MS1] = [BTS power] - [coupling loss BTS2 -&gt; MS1] + [margin for other IMs]</w:t>
      </w:r>
    </w:p>
    <w:p>
      <w:pPr>
        <w:pStyle w:val="B1"/>
        <w:tabs>
          <w:tab w:val="clear" w:pos="284"/>
          <w:tab w:val="left" w:pos="2268" w:leader="none"/>
        </w:tabs>
        <w:rPr>
          <w:lang w:val="da-DK"/>
        </w:rPr>
      </w:pPr>
      <w:r>
        <w:rPr>
          <w:lang w:val="da-DK"/>
        </w:rPr>
        <w:t>At GSM900</w:t>
        <w:tab/>
        <w:t>= 20 - 34 + 3 = -11 dBm</w:t>
      </w:r>
    </w:p>
    <w:p>
      <w:pPr>
        <w:pStyle w:val="B1"/>
        <w:tabs>
          <w:tab w:val="clear" w:pos="284"/>
          <w:tab w:val="left" w:pos="2268" w:leader="none"/>
        </w:tabs>
        <w:rPr>
          <w:lang w:val="da-DK"/>
        </w:rPr>
      </w:pPr>
      <w:r>
        <w:rPr>
          <w:lang w:val="da-DK"/>
        </w:rPr>
        <w:t>AT DCS1800</w:t>
        <w:tab/>
        <w:t>= 23 - 40 + 6 = -11 dBm</w:t>
      </w:r>
    </w:p>
    <w:p>
      <w:pPr>
        <w:pStyle w:val="Normal"/>
        <w:rPr/>
      </w:pPr>
      <w:r>
        <w:rPr/>
        <w:t>The required IM attenuation in MS is for scenario 2 and for scenario 3. The GSM 05.05 subclause 5.3 simulates scenario 3.</w:t>
      </w:r>
    </w:p>
    <w:p>
      <w:pPr>
        <w:pStyle w:val="Heading2"/>
        <w:rPr/>
      </w:pPr>
      <w:bookmarkStart w:id="455" w:name="__RefHeading___Toc518035879"/>
      <w:bookmarkEnd w:id="455"/>
      <w:r>
        <w:rPr/>
        <w:t>R.11.2</w:t>
        <w:tab/>
        <w:t>coordinated MS&amp;MS -&gt; BTS (scenario 4)</w:t>
      </w:r>
    </w:p>
    <w:p>
      <w:pPr>
        <w:pStyle w:val="Normal"/>
        <w:rPr/>
      </w:pPr>
      <w:r>
        <w:rPr/>
        <w:t>[max received level at BTS1] = [MS power] - [MS power control range] - [coupling loss MS -&gt; BTS1] + [margin for other IMs]</w:t>
      </w:r>
    </w:p>
    <w:p>
      <w:pPr>
        <w:pStyle w:val="B1"/>
        <w:tabs>
          <w:tab w:val="clear" w:pos="284"/>
          <w:tab w:val="left" w:pos="2268" w:leader="none"/>
        </w:tabs>
        <w:rPr/>
      </w:pPr>
      <w:r>
        <w:rPr>
          <w:lang w:val="da-DK"/>
        </w:rPr>
        <w:t>At GSM900</w:t>
        <w:tab/>
        <w:t>= 33 - 20 - 34 + 3 = -18 dBm</w:t>
      </w:r>
    </w:p>
    <w:p>
      <w:pPr>
        <w:pStyle w:val="B1"/>
        <w:tabs>
          <w:tab w:val="clear" w:pos="284"/>
          <w:tab w:val="left" w:pos="2268" w:leader="none"/>
        </w:tabs>
        <w:rPr>
          <w:lang w:val="da-DK"/>
        </w:rPr>
      </w:pPr>
      <w:r>
        <w:rPr>
          <w:lang w:val="da-DK"/>
        </w:rPr>
        <w:t>At DCS1800</w:t>
        <w:tab/>
        <w:t>= 30 - 20 - 40 + 6 = -24 dBm</w:t>
      </w:r>
    </w:p>
    <w:p>
      <w:pPr>
        <w:pStyle w:val="Heading2"/>
        <w:rPr/>
      </w:pPr>
      <w:bookmarkStart w:id="456" w:name="__RefHeading___Toc518035880"/>
      <w:bookmarkEnd w:id="456"/>
      <w:r>
        <w:rPr/>
        <w:t>R.11.3</w:t>
        <w:tab/>
        <w:t>uncoordinated MS&amp;MS -&gt; BTS (scenario 4, figure 3.2 lower)</w:t>
      </w:r>
    </w:p>
    <w:p>
      <w:pPr>
        <w:pStyle w:val="Normal"/>
        <w:rPr/>
      </w:pPr>
      <w:r>
        <w:rPr/>
        <w:t>[max received level at BTS1] = [MS power] - [coupling loss MS - BTS1] + [margin for other IMs]</w:t>
      </w:r>
    </w:p>
    <w:p>
      <w:pPr>
        <w:pStyle w:val="B1"/>
        <w:tabs>
          <w:tab w:val="clear" w:pos="284"/>
          <w:tab w:val="left" w:pos="2268" w:leader="none"/>
        </w:tabs>
        <w:rPr/>
      </w:pPr>
      <w:r>
        <w:rPr>
          <w:lang w:val="da-DK"/>
        </w:rPr>
        <w:t>At GSM900</w:t>
        <w:tab/>
        <w:t>= 33 - 34 + 3 = 2 dBm</w:t>
      </w:r>
    </w:p>
    <w:p>
      <w:pPr>
        <w:pStyle w:val="B1"/>
        <w:tabs>
          <w:tab w:val="clear" w:pos="284"/>
          <w:tab w:val="left" w:pos="2268" w:leader="none"/>
        </w:tabs>
        <w:rPr>
          <w:lang w:val="da-DK"/>
        </w:rPr>
      </w:pPr>
      <w:r>
        <w:rPr>
          <w:lang w:val="da-DK"/>
        </w:rPr>
        <w:t>At DCS1800</w:t>
        <w:tab/>
        <w:t>= 30 - 40 + 6 = -4 dBm</w:t>
      </w:r>
    </w:p>
    <w:p>
      <w:pPr>
        <w:pStyle w:val="Heading2"/>
        <w:rPr/>
      </w:pPr>
      <w:bookmarkStart w:id="457" w:name="__RefHeading___Toc518035881"/>
      <w:bookmarkEnd w:id="457"/>
      <w:r>
        <w:rPr/>
        <w:t>R.11.4</w:t>
        <w:tab/>
        <w:t>MCL relaxation</w:t>
      </w:r>
    </w:p>
    <w:p>
      <w:pPr>
        <w:pStyle w:val="Normal"/>
        <w:rPr/>
      </w:pPr>
      <w:r>
        <w:rPr/>
        <w:t>The worst case for BTS receiver IMs is when two MSs approach the base, the scenario requirement is covered in subclauses 2.2.2 and 2.2.3 of GSM 05.50 annex. The argument is reproduced above.</w:t>
      </w:r>
    </w:p>
    <w:p>
      <w:pPr>
        <w:pStyle w:val="Normal"/>
        <w:rPr/>
      </w:pPr>
      <w:r>
        <w:rPr/>
        <w:t>Following the argument in GSM 05.50 annex A, If the coupling loss between both the MSs and the BTS increases by 1 dB the level of a 3</w:t>
      </w:r>
      <w:r>
        <w:rPr>
          <w:vertAlign w:val="superscript"/>
        </w:rPr>
        <w:t>rd</w:t>
      </w:r>
      <w:r>
        <w:rPr/>
        <w:t xml:space="preserve"> order IM product will reduce by 3 dB. Thus, if the coupling loss assumption between MS and BTS is increased by 15dB to 50dB, the requirements become:</w:t>
      </w:r>
    </w:p>
    <w:p>
      <w:pPr>
        <w:pStyle w:val="B1"/>
        <w:tabs>
          <w:tab w:val="clear" w:pos="284"/>
          <w:tab w:val="left" w:pos="2268" w:leader="none"/>
        </w:tabs>
        <w:rPr>
          <w:lang w:val="da-DK"/>
        </w:rPr>
      </w:pPr>
      <w:r>
        <w:rPr>
          <w:lang w:val="da-DK"/>
        </w:rPr>
        <w:t>At 900 MHz</w:t>
        <w:tab/>
        <w:t>2 - 45 = -43 dBm</w:t>
      </w:r>
    </w:p>
    <w:p>
      <w:pPr>
        <w:pStyle w:val="B1"/>
        <w:tabs>
          <w:tab w:val="clear" w:pos="284"/>
          <w:tab w:val="left" w:pos="2268" w:leader="none"/>
        </w:tabs>
        <w:rPr>
          <w:lang w:val="da-DK"/>
        </w:rPr>
      </w:pPr>
      <w:r>
        <w:rPr>
          <w:lang w:val="da-DK"/>
        </w:rPr>
        <w:t>At 1 800 MHz</w:t>
        <w:tab/>
        <w:t>-4 - 45 = -49 dB</w:t>
      </w:r>
    </w:p>
    <w:p>
      <w:pPr>
        <w:pStyle w:val="Normal"/>
        <w:rPr/>
      </w:pPr>
      <w:r>
        <w:rPr/>
        <w:t>GSM 05.05 gives a level of -43 dBm for 900MHz BTS and -49 dBm for 1 800 BTS for intermodulation performance. The values above meet the GSM 05.05 scenarios.</w:t>
      </w:r>
    </w:p>
    <w:p>
      <w:pPr>
        <w:pStyle w:val="Heading1"/>
        <w:ind w:left="1134" w:hanging="1134"/>
        <w:rPr/>
      </w:pPr>
      <w:bookmarkStart w:id="458" w:name="__RefHeading___Toc518035882"/>
      <w:bookmarkEnd w:id="458"/>
      <w:r>
        <w:rPr/>
        <w:t>R.12</w:t>
        <w:tab/>
        <w:t>Pico BTS TI1.5 performance requirements</w:t>
      </w:r>
    </w:p>
    <w:p>
      <w:pPr>
        <w:pStyle w:val="Normal"/>
        <w:rPr/>
      </w:pPr>
      <w:r>
        <w:rPr/>
        <w:t>The pico-BTS shall meet the static channel performance as specified in GSM 05.05. The only other radio propagation channel that is relevant to the performance of the pico-BTS is the TI 5 channel. At these speeds the GSM interleaving process no-longer works very well. This can be seen in the existing non-hopping performance figures for the TU3 environment which are not that useful. For the performance specified in this channel to be useful for radio planning purposes we propose to follow to some extent the approach adopted for GPRS.  To allow easy comparison we suggest the adoption of the performance figures for TU50 no FH at 900 MHz and that we specify the extra signal level and C/I margins that are required over reference levels in order to meet this performance in the TI5 channel.</w:t>
      </w:r>
    </w:p>
    <w:p>
      <w:pPr>
        <w:pStyle w:val="Normal"/>
        <w:rPr/>
      </w:pPr>
      <w:r>
        <w:rPr/>
        <w:t>Simulation shows that sensitivity performance is exceeded when the signal level is increased by 3dB above reference sensitivity.</w:t>
      </w:r>
    </w:p>
    <w:p>
      <w:pPr>
        <w:pStyle w:val="Normal"/>
        <w:rPr/>
      </w:pPr>
      <w:r>
        <w:rPr/>
        <w:t>Simulation shows that interference performance is exceeded when the carrier to interference level is increased by 4 dB above reference sensitivity.</w:t>
      </w:r>
    </w:p>
    <w:p>
      <w:pPr>
        <w:pStyle w:val="Heading2"/>
        <w:rPr/>
      </w:pPr>
      <w:bookmarkStart w:id="459" w:name="__RefHeading___Toc518035883"/>
      <w:bookmarkEnd w:id="459"/>
      <w:r>
        <w:rPr/>
        <w:t>R.12.1</w:t>
        <w:tab/>
        <w:t>Nominal Error Rates for Pico-BTS</w:t>
      </w:r>
    </w:p>
    <w:p>
      <w:pPr>
        <w:pStyle w:val="Normal"/>
        <w:rPr/>
      </w:pPr>
      <w:r>
        <w:rPr/>
        <w:t>The pico-BTS scenarios imply a greater chance that mobile stations will make high power RACH attempts.  Therefore it is necessary to update the NER requirements for pico-BTS. In the following we reproduce the MCL distribution table first presented by Motorola in SMG2 32/97 and develop a table of occurrence probability for RACH power with mobile stations making RACH attempts at 33 dBm. The table below shows the MCL loss versus the chance of occurrence.</w:t>
      </w:r>
    </w:p>
    <w:p>
      <w:pPr>
        <w:pStyle w:val="TH"/>
        <w:rPr/>
      </w:pPr>
      <w:r>
        <w:rPr/>
      </w:r>
    </w:p>
    <w:tbl>
      <w:tblPr>
        <w:tblW w:w="5221" w:type="dxa"/>
        <w:jc w:val="center"/>
        <w:tblInd w:w="0" w:type="dxa"/>
        <w:tblLayout w:type="fixed"/>
        <w:tblCellMar>
          <w:top w:w="0" w:type="dxa"/>
          <w:left w:w="28" w:type="dxa"/>
          <w:bottom w:w="0" w:type="dxa"/>
          <w:right w:w="28" w:type="dxa"/>
        </w:tblCellMar>
      </w:tblPr>
      <w:tblGrid>
        <w:gridCol w:w="1857"/>
        <w:gridCol w:w="1607"/>
        <w:gridCol w:w="1757"/>
      </w:tblGrid>
      <w:tr>
        <w:trPr/>
        <w:tc>
          <w:tcPr>
            <w:tcW w:w="18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of measurements</w:t>
            </w:r>
          </w:p>
        </w:tc>
        <w:tc>
          <w:tcPr>
            <w:tcW w:w="160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900 MHz MCL dB</w:t>
            </w:r>
          </w:p>
        </w:tc>
        <w:tc>
          <w:tcPr>
            <w:tcW w:w="1757"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lang w:val="fr-FR" w:eastAsia="en-US"/>
              </w:rPr>
              <w:t>1 800 MHz MCL dB</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0,03</w:t>
            </w:r>
          </w:p>
        </w:tc>
        <w:tc>
          <w:tcPr>
            <w:tcW w:w="16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-33</w:t>
            </w:r>
          </w:p>
        </w:tc>
        <w:tc>
          <w:tcPr>
            <w:tcW w:w="17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0,1</w:t>
            </w:r>
          </w:p>
        </w:tc>
        <w:tc>
          <w:tcPr>
            <w:tcW w:w="16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w:t>
            </w:r>
          </w:p>
        </w:tc>
        <w:tc>
          <w:tcPr>
            <w:tcW w:w="17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0,53</w:t>
            </w:r>
          </w:p>
        </w:tc>
        <w:tc>
          <w:tcPr>
            <w:tcW w:w="16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-36</w:t>
            </w:r>
          </w:p>
        </w:tc>
        <w:tc>
          <w:tcPr>
            <w:tcW w:w="17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-42</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16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-38</w:t>
            </w:r>
          </w:p>
        </w:tc>
        <w:tc>
          <w:tcPr>
            <w:tcW w:w="17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1,43</w:t>
            </w:r>
          </w:p>
        </w:tc>
        <w:tc>
          <w:tcPr>
            <w:tcW w:w="16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c>
          <w:tcPr>
            <w:tcW w:w="17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-45</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2,86</w:t>
            </w:r>
          </w:p>
        </w:tc>
        <w:tc>
          <w:tcPr>
            <w:tcW w:w="16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-42</w:t>
            </w:r>
          </w:p>
        </w:tc>
        <w:tc>
          <w:tcPr>
            <w:tcW w:w="17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4,66</w:t>
            </w:r>
          </w:p>
        </w:tc>
        <w:tc>
          <w:tcPr>
            <w:tcW w:w="16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-45</w:t>
            </w:r>
          </w:p>
        </w:tc>
        <w:tc>
          <w:tcPr>
            <w:tcW w:w="17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-51</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9,58</w:t>
            </w:r>
          </w:p>
        </w:tc>
        <w:tc>
          <w:tcPr>
            <w:tcW w:w="16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-49</w:t>
            </w:r>
          </w:p>
        </w:tc>
        <w:tc>
          <w:tcPr>
            <w:tcW w:w="17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-55</w:t>
            </w:r>
          </w:p>
        </w:tc>
      </w:tr>
    </w:tbl>
    <w:p>
      <w:pPr>
        <w:pStyle w:val="FP"/>
        <w:rPr/>
      </w:pPr>
      <w:r>
        <w:rPr/>
      </w:r>
    </w:p>
    <w:p>
      <w:pPr>
        <w:pStyle w:val="Normal"/>
        <w:rPr/>
      </w:pPr>
      <w:r>
        <w:rPr/>
        <w:t>If we now consider a mobile at MCL sending a RACH at maximum power, we can generate a table, which shows received RACH power at the BTS versus probability of occurrence.</w:t>
      </w:r>
    </w:p>
    <w:p>
      <w:pPr>
        <w:pStyle w:val="TH"/>
        <w:rPr/>
      </w:pPr>
      <w:r>
        <w:rPr/>
      </w:r>
    </w:p>
    <w:tbl>
      <w:tblPr>
        <w:tblW w:w="5801" w:type="dxa"/>
        <w:jc w:val="center"/>
        <w:tblInd w:w="0" w:type="dxa"/>
        <w:tblLayout w:type="fixed"/>
        <w:tblCellMar>
          <w:top w:w="0" w:type="dxa"/>
          <w:left w:w="28" w:type="dxa"/>
          <w:bottom w:w="0" w:type="dxa"/>
          <w:right w:w="28" w:type="dxa"/>
        </w:tblCellMar>
      </w:tblPr>
      <w:tblGrid>
        <w:gridCol w:w="1857"/>
        <w:gridCol w:w="1897"/>
        <w:gridCol w:w="2047"/>
      </w:tblGrid>
      <w:tr>
        <w:trPr/>
        <w:tc>
          <w:tcPr>
            <w:tcW w:w="18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of measurements</w:t>
            </w:r>
          </w:p>
        </w:tc>
        <w:tc>
          <w:tcPr>
            <w:tcW w:w="189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900 MHz RACH dBm</w:t>
            </w:r>
          </w:p>
        </w:tc>
        <w:tc>
          <w:tcPr>
            <w:tcW w:w="204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1 800 MHz RACH dBm</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0,03</w:t>
            </w:r>
          </w:p>
        </w:tc>
        <w:tc>
          <w:tcPr>
            <w:tcW w:w="18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204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0,1</w:t>
            </w:r>
          </w:p>
        </w:tc>
        <w:tc>
          <w:tcPr>
            <w:tcW w:w="18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204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0,53</w:t>
            </w:r>
          </w:p>
        </w:tc>
        <w:tc>
          <w:tcPr>
            <w:tcW w:w="18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204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18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204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1,43</w:t>
            </w:r>
          </w:p>
        </w:tc>
        <w:tc>
          <w:tcPr>
            <w:tcW w:w="18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w:t>
            </w:r>
          </w:p>
        </w:tc>
        <w:tc>
          <w:tcPr>
            <w:tcW w:w="204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2,86</w:t>
            </w:r>
          </w:p>
        </w:tc>
        <w:tc>
          <w:tcPr>
            <w:tcW w:w="18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w:t>
            </w:r>
          </w:p>
        </w:tc>
        <w:tc>
          <w:tcPr>
            <w:tcW w:w="204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-18</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4,66</w:t>
            </w:r>
          </w:p>
        </w:tc>
        <w:tc>
          <w:tcPr>
            <w:tcW w:w="18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w:t>
            </w:r>
          </w:p>
        </w:tc>
        <w:tc>
          <w:tcPr>
            <w:tcW w:w="204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-21</w:t>
            </w:r>
          </w:p>
        </w:tc>
      </w:tr>
      <w:tr>
        <w:trPr/>
        <w:tc>
          <w:tcPr>
            <w:tcW w:w="18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9,58</w:t>
            </w:r>
          </w:p>
        </w:tc>
        <w:tc>
          <w:tcPr>
            <w:tcW w:w="189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204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w:t>
            </w:r>
          </w:p>
        </w:tc>
      </w:tr>
    </w:tbl>
    <w:p>
      <w:pPr>
        <w:pStyle w:val="FP"/>
        <w:rPr/>
      </w:pPr>
      <w:r>
        <w:rPr/>
      </w:r>
    </w:p>
    <w:p>
      <w:pPr>
        <w:pStyle w:val="Normal"/>
        <w:rPr/>
      </w:pPr>
      <w:r>
        <w:rPr/>
        <w:t>If we take the 1% level then 99% of all full power RACH attempts by a mobile will fall below this level. We suggest that this is the level at which pico-BTS NER performance should be met. Thus, we need to maintain RACH error performance and &lt; 10</w:t>
      </w:r>
      <w:r>
        <w:rPr>
          <w:vertAlign w:val="superscript"/>
        </w:rPr>
        <w:t>-3</w:t>
      </w:r>
      <w:r>
        <w:rPr/>
        <w:t xml:space="preserve"> BER at a power level of -5 dBm at 900 MHz and at -14 dBm at 1 800 MHz.</w:t>
      </w:r>
    </w:p>
    <w:p>
      <w:pPr>
        <w:pStyle w:val="Heading1"/>
        <w:ind w:left="1134" w:hanging="1134"/>
        <w:rPr/>
      </w:pPr>
      <w:bookmarkStart w:id="460" w:name="__RefHeading___Toc518035884"/>
      <w:bookmarkEnd w:id="460"/>
      <w:r>
        <w:rPr/>
        <w:t>R.13</w:t>
        <w:tab/>
        <w:t>timing and synchronisation</w:t>
      </w:r>
    </w:p>
    <w:p>
      <w:pPr>
        <w:pStyle w:val="Normal"/>
        <w:rPr/>
      </w:pPr>
      <w:r>
        <w:rPr/>
        <w:t>GSM is designed to operate in a highly dispersive macrocell environment with cell radius up to 35 km (or twice that for extended cell) and delay spreads up to 16 microcells. The corresponding range and dispersion characteristics in a pico-cell environment are less than 500 m and less than 150 nano seconds respectively.</w:t>
      </w:r>
    </w:p>
    <w:p>
      <w:pPr>
        <w:pStyle w:val="Normal"/>
        <w:keepNext w:val="true"/>
        <w:keepLines/>
        <w:rPr/>
      </w:pPr>
      <w:r>
        <w:rPr/>
        <w:t>To achieve the performance specified in GSM 05.05, in a highly dispersive macro environment, GSM must achieve two things. First, the timing of the MS transmissions to the BSS must be adjusted so that they do not fall outside the guard period of the allocated timeslot at the BSS (this prevents MS transmission causing interference in adjacent timeslots at the BSS). Second, the GSM system must deal with significant radio frequency energy arriving at radio receiver with delays up to 16 micro seconds.</w:t>
      </w:r>
    </w:p>
    <w:p>
      <w:pPr>
        <w:pStyle w:val="Normal"/>
        <w:rPr/>
      </w:pPr>
      <w:r>
        <w:rPr/>
        <w:t>In this section we examine possible relaxation to the timing and synchronization requirements for the pico-BTS.  In the case of a pico-BTS with no dynamic timing advance process, we consider how the MS equalizer would cope with an error in the timing of the transmitted signal.</w:t>
      </w:r>
    </w:p>
    <w:p>
      <w:pPr>
        <w:pStyle w:val="Normal"/>
        <w:rPr/>
      </w:pPr>
      <w:r>
        <w:rPr/>
        <w:t>The table below summarizes the timing and synchronization requirements from GSM 05.10 (V6.10).</w:t>
      </w:r>
    </w:p>
    <w:p>
      <w:pPr>
        <w:pStyle w:val="TH"/>
        <w:rPr/>
      </w:pPr>
      <w:r>
        <w:rPr/>
      </w:r>
    </w:p>
    <w:tbl>
      <w:tblPr>
        <w:tblW w:w="7165" w:type="dxa"/>
        <w:jc w:val="center"/>
        <w:tblInd w:w="0" w:type="dxa"/>
        <w:tblLayout w:type="fixed"/>
        <w:tblCellMar>
          <w:top w:w="0" w:type="dxa"/>
          <w:left w:w="28" w:type="dxa"/>
          <w:bottom w:w="0" w:type="dxa"/>
          <w:right w:w="28" w:type="dxa"/>
        </w:tblCellMar>
      </w:tblPr>
      <w:tblGrid>
        <w:gridCol w:w="3461"/>
        <w:gridCol w:w="1776"/>
        <w:gridCol w:w="1928"/>
      </w:tblGrid>
      <w:tr>
        <w:trPr/>
        <w:tc>
          <w:tcPr>
            <w:tcW w:w="3461"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177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Value</w:t>
            </w:r>
          </w:p>
        </w:tc>
        <w:tc>
          <w:tcPr>
            <w:tcW w:w="192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GSM 05.10 reference</w:t>
            </w:r>
          </w:p>
        </w:tc>
      </w:tr>
      <w:tr>
        <w:trPr/>
        <w:tc>
          <w:tcPr>
            <w:tcW w:w="34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Synchronization between carriers</w:t>
            </w:r>
          </w:p>
        </w:tc>
        <w:tc>
          <w:tcPr>
            <w:tcW w:w="1776" w:type="dxa"/>
            <w:tcBorders>
              <w:top w:val="single" w:sz="6" w:space="0" w:color="000000"/>
              <w:left w:val="single" w:sz="6" w:space="0" w:color="000000"/>
              <w:bottom w:val="single" w:sz="6" w:space="0" w:color="000000"/>
              <w:right w:val="single" w:sz="6" w:space="0" w:color="000000"/>
            </w:tcBorders>
          </w:tcPr>
          <w:p>
            <w:pPr>
              <w:pStyle w:val="TAC"/>
              <w:rPr/>
            </w:pPr>
            <w:r>
              <w:rPr>
                <w:rFonts w:eastAsia="Symbol" w:cs="Symbol" w:ascii="Symbol" w:hAnsi="Symbol"/>
                <w:lang w:val="en-GB"/>
              </w:rPr>
              <w:t></w:t>
            </w:r>
            <w:r>
              <w:rPr>
                <w:lang w:val="en-GB"/>
              </w:rPr>
              <w:t>1/4</w:t>
            </w:r>
          </w:p>
        </w:tc>
        <w:tc>
          <w:tcPr>
            <w:tcW w:w="19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5.3</w:t>
            </w:r>
          </w:p>
        </w:tc>
      </w:tr>
      <w:tr>
        <w:trPr/>
        <w:tc>
          <w:tcPr>
            <w:tcW w:w="34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BTS signaling tolerance</w:t>
            </w:r>
          </w:p>
        </w:tc>
        <w:tc>
          <w:tcPr>
            <w:tcW w:w="1776" w:type="dxa"/>
            <w:tcBorders>
              <w:top w:val="single" w:sz="6" w:space="0" w:color="000000"/>
              <w:left w:val="single" w:sz="6" w:space="0" w:color="000000"/>
              <w:bottom w:val="single" w:sz="6" w:space="0" w:color="000000"/>
              <w:right w:val="single" w:sz="6" w:space="0" w:color="000000"/>
            </w:tcBorders>
          </w:tcPr>
          <w:p>
            <w:pPr>
              <w:pStyle w:val="TAC"/>
              <w:rPr/>
            </w:pPr>
            <w:r>
              <w:rPr>
                <w:rFonts w:eastAsia="Symbol" w:cs="Symbol" w:ascii="Symbol" w:hAnsi="Symbol"/>
                <w:lang w:val="en-GB"/>
              </w:rPr>
              <w:t></w:t>
            </w:r>
            <w:r>
              <w:rPr>
                <w:lang w:val="en-GB"/>
              </w:rPr>
              <w:t>1</w:t>
            </w:r>
          </w:p>
        </w:tc>
        <w:tc>
          <w:tcPr>
            <w:tcW w:w="19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5.6.1</w:t>
            </w:r>
          </w:p>
        </w:tc>
      </w:tr>
      <w:tr>
        <w:trPr/>
        <w:tc>
          <w:tcPr>
            <w:tcW w:w="34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BTS measurement error</w:t>
            </w:r>
          </w:p>
        </w:tc>
        <w:tc>
          <w:tcPr>
            <w:tcW w:w="1776" w:type="dxa"/>
            <w:tcBorders>
              <w:top w:val="single" w:sz="6" w:space="0" w:color="000000"/>
              <w:left w:val="single" w:sz="6" w:space="0" w:color="000000"/>
              <w:bottom w:val="single" w:sz="6" w:space="0" w:color="000000"/>
              <w:right w:val="single" w:sz="6" w:space="0" w:color="000000"/>
            </w:tcBorders>
          </w:tcPr>
          <w:p>
            <w:pPr>
              <w:pStyle w:val="TAC"/>
              <w:rPr/>
            </w:pPr>
            <w:r>
              <w:rPr>
                <w:rFonts w:eastAsia="Symbol" w:cs="Symbol" w:ascii="Symbol" w:hAnsi="Symbol"/>
                <w:lang w:val="en-GB"/>
              </w:rPr>
              <w:t></w:t>
            </w:r>
            <w:r>
              <w:rPr>
                <w:lang w:val="en-GB"/>
              </w:rPr>
              <w:t>1/2</w:t>
            </w:r>
          </w:p>
        </w:tc>
        <w:tc>
          <w:tcPr>
            <w:tcW w:w="19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5.6.3</w:t>
            </w:r>
          </w:p>
        </w:tc>
      </w:tr>
      <w:tr>
        <w:trPr/>
        <w:tc>
          <w:tcPr>
            <w:tcW w:w="34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BTS measurement error &lt; 500 kmph</w:t>
            </w:r>
          </w:p>
        </w:tc>
        <w:tc>
          <w:tcPr>
            <w:tcW w:w="1776" w:type="dxa"/>
            <w:tcBorders>
              <w:top w:val="single" w:sz="6" w:space="0" w:color="000000"/>
              <w:left w:val="single" w:sz="6" w:space="0" w:color="000000"/>
              <w:bottom w:val="single" w:sz="6" w:space="0" w:color="000000"/>
              <w:right w:val="single" w:sz="6" w:space="0" w:color="000000"/>
            </w:tcBorders>
          </w:tcPr>
          <w:p>
            <w:pPr>
              <w:pStyle w:val="TAC"/>
              <w:rPr/>
            </w:pPr>
            <w:r>
              <w:rPr>
                <w:rFonts w:eastAsia="Symbol" w:cs="Symbol" w:ascii="Symbol" w:hAnsi="Symbol"/>
                <w:lang w:val="en-GB"/>
              </w:rPr>
              <w:t></w:t>
            </w:r>
            <w:r>
              <w:rPr>
                <w:lang w:val="en-GB"/>
              </w:rPr>
              <w:t>1/4</w:t>
            </w:r>
          </w:p>
        </w:tc>
        <w:tc>
          <w:tcPr>
            <w:tcW w:w="19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5.63</w:t>
            </w:r>
          </w:p>
        </w:tc>
      </w:tr>
      <w:tr>
        <w:trPr/>
        <w:tc>
          <w:tcPr>
            <w:tcW w:w="34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MS time base error</w:t>
            </w:r>
          </w:p>
        </w:tc>
        <w:tc>
          <w:tcPr>
            <w:tcW w:w="1776" w:type="dxa"/>
            <w:tcBorders>
              <w:top w:val="single" w:sz="6" w:space="0" w:color="000000"/>
              <w:left w:val="single" w:sz="6" w:space="0" w:color="000000"/>
              <w:bottom w:val="single" w:sz="6" w:space="0" w:color="000000"/>
              <w:right w:val="single" w:sz="6" w:space="0" w:color="000000"/>
            </w:tcBorders>
          </w:tcPr>
          <w:p>
            <w:pPr>
              <w:pStyle w:val="TAC"/>
              <w:rPr/>
            </w:pPr>
            <w:r>
              <w:rPr>
                <w:rFonts w:eastAsia="Symbol" w:cs="Symbol" w:ascii="Symbol" w:hAnsi="Symbol"/>
                <w:lang w:val="en-GB"/>
              </w:rPr>
              <w:t></w:t>
            </w:r>
            <w:r>
              <w:rPr>
                <w:lang w:val="en-GB"/>
              </w:rPr>
              <w:t>1/2</w:t>
            </w:r>
          </w:p>
        </w:tc>
        <w:tc>
          <w:tcPr>
            <w:tcW w:w="19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6.2, 6.3</w:t>
            </w:r>
          </w:p>
        </w:tc>
      </w:tr>
      <w:tr>
        <w:trPr/>
        <w:tc>
          <w:tcPr>
            <w:tcW w:w="34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MS transmission tolerance</w:t>
            </w:r>
          </w:p>
        </w:tc>
        <w:tc>
          <w:tcPr>
            <w:tcW w:w="1776" w:type="dxa"/>
            <w:tcBorders>
              <w:top w:val="single" w:sz="6" w:space="0" w:color="000000"/>
              <w:left w:val="single" w:sz="6" w:space="0" w:color="000000"/>
              <w:bottom w:val="single" w:sz="6" w:space="0" w:color="000000"/>
              <w:right w:val="single" w:sz="6" w:space="0" w:color="000000"/>
            </w:tcBorders>
          </w:tcPr>
          <w:p>
            <w:pPr>
              <w:pStyle w:val="TAC"/>
              <w:rPr/>
            </w:pPr>
            <w:r>
              <w:rPr>
                <w:rFonts w:eastAsia="Symbol" w:cs="Symbol" w:ascii="Symbol" w:hAnsi="Symbol"/>
                <w:lang w:val="en-GB"/>
              </w:rPr>
              <w:t></w:t>
            </w:r>
            <w:r>
              <w:rPr>
                <w:lang w:val="en-GB"/>
              </w:rPr>
              <w:t>1</w:t>
            </w:r>
          </w:p>
        </w:tc>
        <w:tc>
          <w:tcPr>
            <w:tcW w:w="19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w:t>
            </w:r>
          </w:p>
        </w:tc>
      </w:tr>
      <w:tr>
        <w:trPr/>
        <w:tc>
          <w:tcPr>
            <w:tcW w:w="34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 xml:space="preserve">Max picocell BTS-MS range </w:t>
            </w:r>
          </w:p>
        </w:tc>
        <w:tc>
          <w:tcPr>
            <w:tcW w:w="177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 (125 m)</w:t>
            </w:r>
          </w:p>
        </w:tc>
        <w:tc>
          <w:tcPr>
            <w:tcW w:w="192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r>
        <w:trPr/>
        <w:tc>
          <w:tcPr>
            <w:tcW w:w="346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Time slot guard period</w:t>
            </w:r>
          </w:p>
        </w:tc>
        <w:tc>
          <w:tcPr>
            <w:tcW w:w="177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8,25</w:t>
            </w:r>
          </w:p>
        </w:tc>
        <w:tc>
          <w:tcPr>
            <w:tcW w:w="192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bl>
    <w:p>
      <w:pPr>
        <w:pStyle w:val="FP"/>
        <w:rPr/>
      </w:pPr>
      <w:r>
        <w:rPr/>
      </w:r>
    </w:p>
    <w:p>
      <w:pPr>
        <w:pStyle w:val="Normal"/>
        <w:rPr/>
      </w:pPr>
      <w:r>
        <w:rPr/>
        <w:t>In the following sections we need a timing advance reference point for determining the timing advance error.  For this purpose we define ideal timing alignment as that which would align the transmissions from the MS so they fall in the middle of the BTS time slot equally dividing the guard period.</w:t>
      </w:r>
    </w:p>
    <w:p>
      <w:pPr>
        <w:pStyle w:val="Heading2"/>
        <w:rPr/>
      </w:pPr>
      <w:bookmarkStart w:id="461" w:name="__RefHeading___Toc518035885"/>
      <w:bookmarkEnd w:id="461"/>
      <w:r>
        <w:rPr/>
        <w:t>R.13.1</w:t>
        <w:tab/>
        <w:t>Steady state timing advance error</w:t>
      </w:r>
    </w:p>
    <w:p>
      <w:pPr>
        <w:pStyle w:val="Normal"/>
        <w:rPr/>
      </w:pPr>
      <w:r>
        <w:rPr/>
        <w:t>In this section we examine the steady state accuracy of the standard timing advance process.</w:t>
      </w:r>
    </w:p>
    <w:p>
      <w:pPr>
        <w:pStyle w:val="Normal"/>
        <w:rPr/>
      </w:pPr>
      <w:r>
        <w:rPr/>
        <w:t>From the figures in the clause 13, it can be seen that the BTS has a tolerance to timing alignment errors. The MS timing advance can vary within this window without triggering the BTS to change the signaled timing advance. In the worst case, this timing advance tolerance window is equal to:</w:t>
      </w:r>
    </w:p>
    <w:p>
      <w:pPr>
        <w:pStyle w:val="Normal"/>
        <w:rPr/>
      </w:pPr>
      <w:r>
        <w:rPr/>
        <w:t xml:space="preserve">BTS timing tolerance = </w:t>
      </w:r>
      <w:r>
        <w:rPr>
          <w:rFonts w:eastAsia="Symbol" w:cs="Symbol" w:ascii="Symbol" w:hAnsi="Symbol"/>
        </w:rPr>
        <w:t></w:t>
      </w:r>
      <w:r>
        <w:rPr/>
        <w:t xml:space="preserve">1 (BTS signaling tolerance) </w:t>
      </w:r>
      <w:r>
        <w:rPr>
          <w:rFonts w:eastAsia="Symbol" w:cs="Symbol" w:ascii="Symbol" w:hAnsi="Symbol"/>
        </w:rPr>
        <w:t></w:t>
      </w:r>
      <w:r>
        <w:rPr/>
        <w:t xml:space="preserve">1/2 (BTS measurement error) </w:t>
      </w:r>
      <w:r>
        <w:rPr>
          <w:rFonts w:eastAsia="Symbol" w:cs="Symbol" w:ascii="Symbol" w:hAnsi="Symbol"/>
        </w:rPr>
        <w:t></w:t>
      </w:r>
      <w:r>
        <w:rPr/>
        <w:t xml:space="preserve">1/4 (BTS measurement error &lt;500kmph) = </w:t>
      </w:r>
      <w:r>
        <w:rPr>
          <w:rFonts w:eastAsia="Symbol" w:cs="Symbol" w:ascii="Symbol" w:hAnsi="Symbol"/>
        </w:rPr>
        <w:t></w:t>
      </w:r>
      <w:r>
        <w:rPr/>
        <w:t>1,75 bits</w:t>
      </w:r>
    </w:p>
    <w:p>
      <w:pPr>
        <w:pStyle w:val="Heading2"/>
        <w:rPr/>
      </w:pPr>
      <w:bookmarkStart w:id="462" w:name="__RefHeading___Toc518035886"/>
      <w:bookmarkEnd w:id="462"/>
      <w:r>
        <w:rPr/>
        <w:t>R.13.2</w:t>
        <w:tab/>
        <w:t>Conventional BTS</w:t>
      </w:r>
    </w:p>
    <w:p>
      <w:pPr>
        <w:pStyle w:val="Normal"/>
        <w:rPr/>
      </w:pPr>
      <w:r>
        <w:rPr/>
        <w:t>First, consider the timing accuracy of the MS transmissions when commanded to go to a particular value of timing advance.  From the figures in clause 13 we can estimate the worst case error as:</w:t>
      </w:r>
    </w:p>
    <w:p>
      <w:pPr>
        <w:pStyle w:val="B1"/>
        <w:rPr/>
      </w:pPr>
      <w:r>
        <w:rPr/>
        <w:tab/>
        <w:t xml:space="preserve">MS transmission timing accuracy = </w:t>
      </w:r>
      <w:r>
        <w:rPr>
          <w:rFonts w:eastAsia="Symbol" w:cs="Symbol" w:ascii="Symbol" w:hAnsi="Symbol"/>
        </w:rPr>
        <w:t></w:t>
      </w:r>
      <w:r>
        <w:rPr/>
        <w:t xml:space="preserve">1/4 (synchronization between carriers) </w:t>
      </w:r>
      <w:r>
        <w:rPr>
          <w:rFonts w:eastAsia="Symbol" w:cs="Symbol" w:ascii="Symbol" w:hAnsi="Symbol"/>
        </w:rPr>
        <w:t></w:t>
      </w:r>
      <w:r>
        <w:rPr/>
        <w:t xml:space="preserve">1/2 (MS time base error) </w:t>
      </w:r>
      <w:r>
        <w:rPr>
          <w:rFonts w:eastAsia="Symbol" w:cs="Symbol" w:ascii="Symbol" w:hAnsi="Symbol"/>
        </w:rPr>
        <w:t></w:t>
      </w:r>
      <w:r>
        <w:rPr/>
        <w:t xml:space="preserve">1 (MS transmission tolerance) = </w:t>
      </w:r>
      <w:r>
        <w:rPr>
          <w:rFonts w:eastAsia="Symbol" w:cs="Symbol" w:ascii="Symbol" w:hAnsi="Symbol"/>
        </w:rPr>
        <w:t></w:t>
      </w:r>
      <w:r>
        <w:rPr/>
        <w:t>1,75</w:t>
      </w:r>
    </w:p>
    <w:p>
      <w:pPr>
        <w:pStyle w:val="Normal"/>
        <w:rPr/>
      </w:pPr>
      <w:r>
        <w:rPr/>
        <w:t>Second, consider the BTS measurement error:</w:t>
      </w:r>
    </w:p>
    <w:p>
      <w:pPr>
        <w:pStyle w:val="B1"/>
        <w:rPr/>
      </w:pPr>
      <w:r>
        <w:rPr/>
        <w:tab/>
        <w:t xml:space="preserve">BTS measurement error = </w:t>
      </w:r>
      <w:r>
        <w:rPr>
          <w:rFonts w:eastAsia="Symbol" w:cs="Symbol" w:ascii="Symbol" w:hAnsi="Symbol"/>
        </w:rPr>
        <w:t></w:t>
      </w:r>
      <w:r>
        <w:rPr/>
        <w:t xml:space="preserve">1/2 (BTS measurement error) </w:t>
      </w:r>
      <w:r>
        <w:rPr>
          <w:rFonts w:eastAsia="Symbol" w:cs="Symbol" w:ascii="Symbol" w:hAnsi="Symbol"/>
        </w:rPr>
        <w:t></w:t>
      </w:r>
      <w:r>
        <w:rPr/>
        <w:t xml:space="preserve">1/4 (BTS measurement error &lt; 500 kmph) = </w:t>
      </w:r>
      <w:r>
        <w:rPr>
          <w:rFonts w:eastAsia="Symbol" w:cs="Symbol" w:ascii="Symbol" w:hAnsi="Symbol"/>
        </w:rPr>
        <w:t></w:t>
      </w:r>
      <w:r>
        <w:rPr/>
        <w:t>0,75.</w:t>
      </w:r>
    </w:p>
    <w:p>
      <w:pPr>
        <w:pStyle w:val="B1"/>
        <w:rPr/>
      </w:pPr>
      <w:r>
        <w:rPr/>
        <w:tab/>
        <w:t xml:space="preserve">Total error = </w:t>
      </w:r>
      <w:r>
        <w:rPr>
          <w:rFonts w:eastAsia="Symbol" w:cs="Symbol" w:ascii="Symbol" w:hAnsi="Symbol"/>
        </w:rPr>
        <w:t></w:t>
      </w:r>
      <w:r>
        <w:rPr/>
        <w:t xml:space="preserve">1.75 </w:t>
      </w:r>
      <w:r>
        <w:rPr>
          <w:rFonts w:eastAsia="Symbol" w:cs="Symbol" w:ascii="Symbol" w:hAnsi="Symbol"/>
        </w:rPr>
        <w:t></w:t>
      </w:r>
      <w:r>
        <w:rPr/>
        <w:t xml:space="preserve">0.75 = </w:t>
      </w:r>
      <w:r>
        <w:rPr>
          <w:rFonts w:eastAsia="Symbol" w:cs="Symbol" w:ascii="Symbol" w:hAnsi="Symbol"/>
        </w:rPr>
        <w:t></w:t>
      </w:r>
      <w:r>
        <w:rPr/>
        <w:t>2,5</w:t>
      </w:r>
    </w:p>
    <w:p>
      <w:pPr>
        <w:pStyle w:val="B1"/>
        <w:rPr/>
      </w:pPr>
      <w:r>
        <w:rPr/>
        <w:tab/>
        <w:t>Error range = 5</w:t>
      </w:r>
    </w:p>
    <w:p>
      <w:pPr>
        <w:pStyle w:val="Normal"/>
        <w:rPr/>
      </w:pPr>
      <w:r>
        <w:rPr/>
        <w:t>The guard period between slots is 8,25 bits which leaves a margin of 3,25 bits on initial timing advance setting.</w:t>
      </w:r>
    </w:p>
    <w:p>
      <w:pPr>
        <w:pStyle w:val="Heading2"/>
        <w:rPr/>
      </w:pPr>
      <w:bookmarkStart w:id="463" w:name="__RefHeading___Toc518035887"/>
      <w:bookmarkEnd w:id="463"/>
      <w:r>
        <w:rPr/>
        <w:t>R.13.3</w:t>
        <w:tab/>
        <w:t>Pico-BTS</w:t>
      </w:r>
    </w:p>
    <w:p>
      <w:pPr>
        <w:pStyle w:val="Normal"/>
        <w:keepNext w:val="true"/>
        <w:keepLines/>
        <w:rPr/>
      </w:pPr>
      <w:r>
        <w:rPr/>
        <w:t>First, consider the timing accuracy of the MS transmissions when commanded to go to a particular value of timing advance. From the figures above we can estimate the worst case error as:</w:t>
      </w:r>
    </w:p>
    <w:p>
      <w:pPr>
        <w:pStyle w:val="B1"/>
        <w:keepNext w:val="true"/>
        <w:keepLines/>
        <w:rPr/>
      </w:pPr>
      <w:r>
        <w:rPr/>
        <w:tab/>
        <w:t xml:space="preserve">MS transmission timing accuracy = </w:t>
      </w:r>
      <w:r>
        <w:rPr>
          <w:rFonts w:eastAsia="Symbol" w:cs="Symbol" w:ascii="Symbol" w:hAnsi="Symbol"/>
        </w:rPr>
        <w:t></w:t>
      </w:r>
      <w:r>
        <w:rPr/>
        <w:t xml:space="preserve">1/4 (synchronization between carriers) </w:t>
      </w:r>
      <w:r>
        <w:rPr>
          <w:rFonts w:eastAsia="Symbol" w:cs="Symbol" w:ascii="Symbol" w:hAnsi="Symbol"/>
        </w:rPr>
        <w:t></w:t>
      </w:r>
      <w:r>
        <w:rPr/>
        <w:t xml:space="preserve">1/2 (MS time base error) </w:t>
      </w:r>
      <w:r>
        <w:rPr>
          <w:rFonts w:eastAsia="Symbol" w:cs="Symbol" w:ascii="Symbol" w:hAnsi="Symbol"/>
        </w:rPr>
        <w:t></w:t>
      </w:r>
      <w:r>
        <w:rPr/>
        <w:t xml:space="preserve">1 (MS transmission tolerance) = </w:t>
      </w:r>
      <w:r>
        <w:rPr>
          <w:rFonts w:eastAsia="Symbol" w:cs="Symbol" w:ascii="Symbol" w:hAnsi="Symbol"/>
        </w:rPr>
        <w:t></w:t>
      </w:r>
      <w:r>
        <w:rPr/>
        <w:t>1,75.</w:t>
      </w:r>
    </w:p>
    <w:p>
      <w:pPr>
        <w:pStyle w:val="Normal"/>
        <w:rPr/>
      </w:pPr>
      <w:r>
        <w:rPr/>
        <w:t xml:space="preserve">Next, if we assume that a pico-BTS chooses not to implement dynamic timing advance.  In this case we can ignore the BTS measurement error but we have to consider the maximum BTS </w:t>
        <w:noBreakHyphen/>
        <w:t xml:space="preserve"> MS range:</w:t>
      </w:r>
    </w:p>
    <w:p>
      <w:pPr>
        <w:pStyle w:val="B1"/>
        <w:rPr/>
      </w:pPr>
      <w:r>
        <w:rPr/>
        <w:tab/>
        <w:t xml:space="preserve">pico-BTS </w:t>
        <w:noBreakHyphen/>
        <w:t xml:space="preserve"> MS maximum range = 125m = +1/4 bits</w:t>
      </w:r>
    </w:p>
    <w:p>
      <w:pPr>
        <w:pStyle w:val="B1"/>
        <w:rPr/>
      </w:pPr>
      <w:r>
        <w:rPr/>
        <w:tab/>
        <w:t xml:space="preserve">Total error = </w:t>
      </w:r>
      <w:r>
        <w:rPr>
          <w:rFonts w:eastAsia="Symbol" w:cs="Symbol" w:ascii="Symbol" w:hAnsi="Symbol"/>
        </w:rPr>
        <w:t></w:t>
      </w:r>
      <w:r>
        <w:rPr/>
        <w:t>1,75 - 0 +1/4 = -1,75 - +2</w:t>
      </w:r>
    </w:p>
    <w:p>
      <w:pPr>
        <w:pStyle w:val="B1"/>
        <w:rPr/>
      </w:pPr>
      <w:r>
        <w:rPr/>
        <w:tab/>
        <w:t>Error range = 3,75</w:t>
      </w:r>
    </w:p>
    <w:p>
      <w:pPr>
        <w:pStyle w:val="Normal"/>
        <w:rPr/>
      </w:pPr>
      <w:r>
        <w:rPr/>
        <w:t>The guard period between slots is 8,25 bits which leaves a margin of 5 bits on timing advance setting.</w:t>
      </w:r>
    </w:p>
    <w:p>
      <w:pPr>
        <w:pStyle w:val="Heading3"/>
        <w:rPr/>
      </w:pPr>
      <w:bookmarkStart w:id="464" w:name="__RefHeading___Toc518035888"/>
      <w:bookmarkEnd w:id="464"/>
      <w:r>
        <w:rPr/>
        <w:t>R.13.3.1</w:t>
        <w:tab/>
        <w:t>Pico-BTS relaxation</w:t>
      </w:r>
    </w:p>
    <w:p>
      <w:pPr>
        <w:pStyle w:val="Normal"/>
        <w:rPr/>
      </w:pPr>
      <w:r>
        <w:rPr/>
        <w:t>Present mobile tests require that mobiles maintain performance with shifts in TA of 2 bits. It is suggested that the inter-carrier synchronization be reduced to 2bit periods.</w:t>
      </w:r>
    </w:p>
    <w:p>
      <w:pPr>
        <w:pStyle w:val="Normal"/>
        <w:rPr/>
      </w:pPr>
      <w:r>
        <w:rPr/>
        <w:t xml:space="preserve">If we relax the constraint on synchronization between carriers from </w:t>
      </w:r>
      <w:r>
        <w:rPr>
          <w:rFonts w:eastAsia="Symbol" w:cs="Symbol" w:ascii="Symbol" w:hAnsi="Symbol"/>
        </w:rPr>
        <w:t></w:t>
      </w:r>
      <w:r>
        <w:rPr/>
        <w:t xml:space="preserve">1/4 to </w:t>
      </w:r>
      <w:r>
        <w:rPr>
          <w:rFonts w:eastAsia="Symbol" w:cs="Symbol" w:ascii="Symbol" w:hAnsi="Symbol"/>
        </w:rPr>
        <w:t></w:t>
      </w:r>
      <w:r>
        <w:rPr/>
        <w:t>2 bits, the error becomes:</w:t>
      </w:r>
    </w:p>
    <w:p>
      <w:pPr>
        <w:pStyle w:val="B1"/>
        <w:rPr/>
      </w:pPr>
      <w:r>
        <w:rPr/>
        <w:tab/>
        <w:t xml:space="preserve">Total error = </w:t>
      </w:r>
      <w:r>
        <w:rPr>
          <w:rFonts w:eastAsia="Symbol" w:cs="Symbol" w:ascii="Symbol" w:hAnsi="Symbol"/>
        </w:rPr>
        <w:t></w:t>
      </w:r>
      <w:r>
        <w:rPr/>
        <w:t xml:space="preserve">2 (synchronization between carriers) </w:t>
      </w:r>
      <w:r>
        <w:rPr>
          <w:rFonts w:eastAsia="Symbol" w:cs="Symbol" w:ascii="Symbol" w:hAnsi="Symbol"/>
        </w:rPr>
        <w:t></w:t>
      </w:r>
      <w:r>
        <w:rPr/>
        <w:t xml:space="preserve">1/2 (MS time base error) </w:t>
      </w:r>
      <w:r>
        <w:rPr>
          <w:rFonts w:eastAsia="Symbol" w:cs="Symbol" w:ascii="Symbol" w:hAnsi="Symbol"/>
        </w:rPr>
        <w:t></w:t>
      </w:r>
      <w:r>
        <w:rPr/>
        <w:t>1 (MS transmission tolerance) -0 +1/4 (range) = -3,5 - +3,75</w:t>
      </w:r>
    </w:p>
    <w:p>
      <w:pPr>
        <w:pStyle w:val="B1"/>
        <w:rPr/>
      </w:pPr>
      <w:r>
        <w:rPr/>
        <w:tab/>
        <w:t>Error range = 7,25</w:t>
      </w:r>
    </w:p>
    <w:p>
      <w:pPr>
        <w:pStyle w:val="Normal"/>
        <w:rPr/>
      </w:pPr>
      <w:r>
        <w:rPr/>
        <w:t>The guard period between slots is 8.25 bits which leaves a margin of 1 bit on timing advance setting.</w:t>
      </w:r>
    </w:p>
    <w:p>
      <w:pPr>
        <w:pStyle w:val="Normal"/>
        <w:rPr/>
      </w:pPr>
      <w:r>
        <w:rPr/>
        <w:t xml:space="preserve">Given this relaxation, in the worst case, the pico-BTS would have to maintain reference performance as specified in GSM 05.05 while subject to a time alignment error with respect to ideal timing alignment of -3,5 </w:t>
        <w:noBreakHyphen/>
        <w:t xml:space="preserve"> +3,75 bits.</w:t>
      </w:r>
    </w:p>
    <w:p>
      <w:pPr>
        <w:pStyle w:val="Normal"/>
        <w:rPr/>
      </w:pPr>
      <w:r>
        <w:rPr/>
        <w:t xml:space="preserve">This suggests a requirement that the pico-BTS maintain reference performance specified in GSM 05.05 with a time alignment error referenced to ideal timing on the BTS receive timeslot of less than </w:t>
      </w:r>
      <w:r>
        <w:rPr>
          <w:rFonts w:eastAsia="Symbol" w:cs="Symbol" w:ascii="Symbol" w:hAnsi="Symbol"/>
        </w:rPr>
        <w:t></w:t>
      </w:r>
      <w:r>
        <w:rPr/>
        <w:t>4 bits.</w:t>
      </w:r>
    </w:p>
    <w:p>
      <w:pPr>
        <w:pStyle w:val="Heading3"/>
        <w:rPr/>
      </w:pPr>
      <w:bookmarkStart w:id="465" w:name="__RefHeading___Toc518035889"/>
      <w:bookmarkEnd w:id="465"/>
      <w:r>
        <w:rPr/>
        <w:t>R.13.3.2</w:t>
        <w:tab/>
        <w:t>MS impact of Pico-BTS relaxation</w:t>
      </w:r>
    </w:p>
    <w:p>
      <w:pPr>
        <w:pStyle w:val="Normal"/>
        <w:rPr/>
      </w:pPr>
      <w:r>
        <w:rPr/>
        <w:t xml:space="preserve">If the synchronization between carriers is relaxed from </w:t>
      </w:r>
      <w:r>
        <w:rPr>
          <w:rFonts w:eastAsia="Symbol" w:cs="Symbol" w:ascii="Symbol" w:hAnsi="Symbol"/>
        </w:rPr>
        <w:t></w:t>
      </w:r>
      <w:r>
        <w:rPr/>
        <w:t xml:space="preserve">1/4 to </w:t>
      </w:r>
      <w:r>
        <w:rPr>
          <w:rFonts w:eastAsia="Symbol" w:cs="Symbol" w:ascii="Symbol" w:hAnsi="Symbol"/>
        </w:rPr>
        <w:t></w:t>
      </w:r>
      <w:r>
        <w:rPr/>
        <w:t xml:space="preserve">2 bits, in the worst case, the MS would have to maintain performance as specified in GSM 05.05 with </w:t>
      </w:r>
      <w:r>
        <w:rPr>
          <w:rFonts w:eastAsia="Symbol" w:cs="Symbol" w:ascii="Symbol" w:hAnsi="Symbol"/>
        </w:rPr>
        <w:t></w:t>
      </w:r>
      <w:r>
        <w:rPr/>
        <w:t>2 bits timing alignment with respect to ideal time alignment.</w:t>
      </w:r>
    </w:p>
    <w:p>
      <w:pPr>
        <w:pStyle w:val="Normal"/>
        <w:rPr/>
      </w:pPr>
      <w:r>
        <w:rPr/>
        <w:t xml:space="preserve">However, MS are designed to operate in a highly dispersive environment with significant energy at delays up to 16 micro seconds (5 bits) and with a worse case static timing alignment error of </w:t>
      </w:r>
      <w:r>
        <w:rPr>
          <w:rFonts w:eastAsia="Symbol" w:cs="Symbol" w:ascii="Symbol" w:hAnsi="Symbol"/>
        </w:rPr>
        <w:t></w:t>
      </w:r>
      <w:r>
        <w:rPr/>
        <w:t xml:space="preserve">1.75 bits (Section 13.1).  This requires a search window of at least 8,5 bits. Consequentially, in the near zero dispersion picocell environment, the </w:t>
      </w:r>
      <w:r>
        <w:rPr>
          <w:rFonts w:eastAsia="Symbol" w:cs="Symbol" w:ascii="Symbol" w:hAnsi="Symbol"/>
        </w:rPr>
        <w:t></w:t>
      </w:r>
      <w:r>
        <w:rPr/>
        <w:t>2 bits timing alignment would not be a problem.</w:t>
      </w:r>
      <w:r>
        <w:br w:type="page"/>
      </w:r>
    </w:p>
    <w:p>
      <w:pPr>
        <w:pStyle w:val="Heading9"/>
        <w:rPr/>
      </w:pPr>
      <w:bookmarkStart w:id="466" w:name="__RefHeading___Toc518035890"/>
      <w:bookmarkEnd w:id="466"/>
      <w:r>
        <w:rPr/>
        <w:t>Annex S:</w:t>
        <w:br/>
        <w:t>CTS system scenarios</w:t>
      </w:r>
    </w:p>
    <w:p>
      <w:pPr>
        <w:pStyle w:val="Normal"/>
        <w:rPr/>
      </w:pPr>
      <w:r>
        <w:rPr/>
        <w:t>TDoc SMG2 WPB 12/99</w:t>
      </w:r>
    </w:p>
    <w:p>
      <w:pPr>
        <w:pStyle w:val="Normal"/>
        <w:rPr>
          <w:b/>
          <w:b/>
        </w:rPr>
      </w:pPr>
      <w:r>
        <w:rPr>
          <w:b/>
        </w:rPr>
        <w:t>Title: System scenario calculations for GSM-CTS</w:t>
      </w:r>
    </w:p>
    <w:p>
      <w:pPr>
        <w:pStyle w:val="Heading1"/>
        <w:ind w:left="1134" w:hanging="1134"/>
        <w:rPr/>
      </w:pPr>
      <w:bookmarkStart w:id="467" w:name="__RefHeading___Toc518035891"/>
      <w:bookmarkEnd w:id="467"/>
      <w:r>
        <w:rPr/>
        <w:t>S.1</w:t>
        <w:tab/>
        <w:t>Introduction</w:t>
      </w:r>
    </w:p>
    <w:p>
      <w:pPr>
        <w:pStyle w:val="Normal"/>
        <w:rPr/>
      </w:pPr>
      <w:r>
        <w:rPr/>
        <w:t>SMG2 was asked to study system scenarios for GSM-CTS.</w:t>
      </w:r>
    </w:p>
    <w:p>
      <w:pPr>
        <w:pStyle w:val="Normal"/>
        <w:rPr/>
      </w:pPr>
      <w:r>
        <w:rPr/>
        <w:t>As for pico-BTS, CTS-FP will be operated in indoor environment, therefore indoor parameters used for pico-BTS system scenarios (see SMG2 WPB Tdoc 188/98) are applied in the CTS system scenarios.</w:t>
      </w:r>
    </w:p>
    <w:p>
      <w:pPr>
        <w:pStyle w:val="Normal"/>
        <w:rPr/>
      </w:pPr>
      <w:r>
        <w:rPr/>
        <w:t>Whatever CTS is used in licensed or license exempt band, the CTS frequency management will be under the control of the regulator and/or the operator on a time and geographical basis. Therefore, the CTS system scenarios have been computed with two objectives:</w:t>
      </w:r>
    </w:p>
    <w:p>
      <w:pPr>
        <w:pStyle w:val="B1"/>
        <w:rPr/>
      </w:pPr>
      <w:r>
        <w:rPr/>
        <w:t>-</w:t>
        <w:tab/>
        <w:t>ensure that CTS transmission offers the same guarantee of non degrading GSM receivers, including those of non-CTS operators, as other GSM transmitters do.</w:t>
      </w:r>
    </w:p>
    <w:p>
      <w:pPr>
        <w:pStyle w:val="B1"/>
        <w:rPr/>
      </w:pPr>
      <w:r>
        <w:rPr/>
        <w:t>-</w:t>
        <w:tab/>
        <w:t>minimise the implementation cost of CTS-FP in order to allow re-use of existing GSM-MS hardware.</w:t>
      </w:r>
    </w:p>
    <w:p>
      <w:pPr>
        <w:pStyle w:val="Normal"/>
        <w:rPr/>
      </w:pPr>
      <w:r>
        <w:rPr/>
        <w:t>These scenarios give a theoretical evaluation of worst case situations. It should be kept in mind that CTS principles like Total Frequency Hopping (TFH) and Beacon channel will also contribute to increase the CTS spectrum efficiency.</w:t>
      </w:r>
    </w:p>
    <w:p>
      <w:pPr>
        <w:pStyle w:val="Normal"/>
        <w:rPr/>
      </w:pPr>
      <w:r>
        <w:rPr/>
        <w:t>This goal of this study is to specify the minimum and maximum transmit power for CTS, as well as the transmission (spectrum due to modulation and wide band noise, spurious emission) and reception (blocking, AM suppression, intermodulation) characteristics of the CTS-FP. Performance requirements are also given in clause 4.</w:t>
      </w:r>
    </w:p>
    <w:p>
      <w:pPr>
        <w:pStyle w:val="Heading2"/>
        <w:rPr/>
      </w:pPr>
      <w:bookmarkStart w:id="468" w:name="__RefHeading___Toc518035892"/>
      <w:bookmarkEnd w:id="468"/>
      <w:r>
        <w:rPr/>
        <w:t>S.1.1</w:t>
        <w:tab/>
        <w:t>Parameter Set</w:t>
      </w:r>
    </w:p>
    <w:p>
      <w:pPr>
        <w:pStyle w:val="Heading3"/>
        <w:rPr/>
      </w:pPr>
      <w:bookmarkStart w:id="469" w:name="__RefHeading___Toc518035893"/>
      <w:bookmarkEnd w:id="469"/>
      <w:r>
        <w:rPr/>
        <w:t>S.1.1.1</w:t>
        <w:tab/>
        <w:t>Transmitter Parameter</w:t>
      </w:r>
    </w:p>
    <w:p>
      <w:pPr>
        <w:pStyle w:val="Normal"/>
        <w:rPr/>
      </w:pPr>
      <w:r>
        <w:rPr>
          <w:color w:val="000000"/>
        </w:rPr>
        <w:t>Requirements from GSM 05.05</w:t>
      </w:r>
      <w:r>
        <w:rPr/>
        <w:t>.</w:t>
      </w:r>
    </w:p>
    <w:p>
      <w:pPr>
        <w:pStyle w:val="TH"/>
        <w:rPr/>
      </w:pPr>
      <w:r>
        <w:rPr/>
      </w:r>
    </w:p>
    <w:tbl>
      <w:tblPr>
        <w:tblW w:w="8732" w:type="dxa"/>
        <w:jc w:val="center"/>
        <w:tblInd w:w="0" w:type="dxa"/>
        <w:tblLayout w:type="fixed"/>
        <w:tblCellMar>
          <w:top w:w="0" w:type="dxa"/>
          <w:left w:w="70" w:type="dxa"/>
          <w:bottom w:w="0" w:type="dxa"/>
          <w:right w:w="70" w:type="dxa"/>
        </w:tblCellMar>
      </w:tblPr>
      <w:tblGrid>
        <w:gridCol w:w="2778"/>
        <w:gridCol w:w="1276"/>
        <w:gridCol w:w="1276"/>
        <w:gridCol w:w="1134"/>
        <w:gridCol w:w="992"/>
        <w:gridCol w:w="1276"/>
      </w:tblGrid>
      <w:tr>
        <w:trPr/>
        <w:tc>
          <w:tcPr>
            <w:tcW w:w="2778" w:type="dxa"/>
            <w:tcBorders>
              <w:right w:val="single" w:sz="4" w:space="0" w:color="000000"/>
            </w:tcBorders>
          </w:tcPr>
          <w:p>
            <w:pPr>
              <w:pStyle w:val="TAH"/>
              <w:snapToGrid w:val="false"/>
              <w:rPr>
                <w:lang w:eastAsia="en-US"/>
              </w:rPr>
            </w:pPr>
            <w:r>
              <w:rPr>
                <w:lang w:eastAsia="en-US"/>
              </w:rPr>
            </w:r>
          </w:p>
        </w:tc>
        <w:tc>
          <w:tcPr>
            <w:tcW w:w="2552" w:type="dxa"/>
            <w:gridSpan w:val="2"/>
            <w:tcBorders>
              <w:top w:val="single" w:sz="4" w:space="0" w:color="000000"/>
              <w:left w:val="single" w:sz="4" w:space="0" w:color="000000"/>
            </w:tcBorders>
          </w:tcPr>
          <w:p>
            <w:pPr>
              <w:pStyle w:val="TAH"/>
              <w:rPr>
                <w:lang w:eastAsia="en-US"/>
              </w:rPr>
            </w:pPr>
            <w:r>
              <w:rPr>
                <w:lang w:eastAsia="en-US"/>
              </w:rPr>
              <w:t>GSM900</w:t>
            </w:r>
          </w:p>
        </w:tc>
        <w:tc>
          <w:tcPr>
            <w:tcW w:w="3402" w:type="dxa"/>
            <w:gridSpan w:val="3"/>
            <w:tcBorders>
              <w:top w:val="single" w:sz="4" w:space="0" w:color="000000"/>
              <w:left w:val="single" w:sz="6" w:space="0" w:color="000000"/>
              <w:right w:val="single" w:sz="4" w:space="0" w:color="000000"/>
            </w:tcBorders>
          </w:tcPr>
          <w:p>
            <w:pPr>
              <w:pStyle w:val="TAH"/>
              <w:rPr>
                <w:lang w:eastAsia="en-US"/>
              </w:rPr>
            </w:pPr>
            <w:r>
              <w:rPr>
                <w:lang w:eastAsia="en-US"/>
              </w:rPr>
              <w:t>DCS1800</w:t>
            </w:r>
          </w:p>
        </w:tc>
      </w:tr>
      <w:tr>
        <w:trPr/>
        <w:tc>
          <w:tcPr>
            <w:tcW w:w="2778" w:type="dxa"/>
            <w:tcBorders>
              <w:bottom w:val="single" w:sz="4" w:space="0" w:color="000000"/>
              <w:right w:val="single" w:sz="4" w:space="0" w:color="000000"/>
            </w:tcBorders>
          </w:tcPr>
          <w:p>
            <w:pPr>
              <w:pStyle w:val="TAH"/>
              <w:snapToGrid w:val="false"/>
              <w:rPr>
                <w:lang w:eastAsia="en-US"/>
              </w:rPr>
            </w:pPr>
            <w:r>
              <w:rPr>
                <w:lang w:eastAsia="en-US"/>
              </w:rPr>
            </w:r>
          </w:p>
        </w:tc>
        <w:tc>
          <w:tcPr>
            <w:tcW w:w="1276" w:type="dxa"/>
            <w:tcBorders>
              <w:top w:val="single" w:sz="6" w:space="0" w:color="000000"/>
              <w:left w:val="single" w:sz="4" w:space="0" w:color="000000"/>
              <w:bottom w:val="single" w:sz="4" w:space="0" w:color="000000"/>
            </w:tcBorders>
          </w:tcPr>
          <w:p>
            <w:pPr>
              <w:pStyle w:val="TAH"/>
              <w:rPr>
                <w:lang w:eastAsia="en-US"/>
              </w:rPr>
            </w:pPr>
            <w:r>
              <w:rPr>
                <w:lang w:eastAsia="en-US"/>
              </w:rPr>
              <w:t>GSM-MS</w:t>
            </w:r>
          </w:p>
        </w:tc>
        <w:tc>
          <w:tcPr>
            <w:tcW w:w="1276" w:type="dxa"/>
            <w:tcBorders>
              <w:top w:val="single" w:sz="6" w:space="0" w:color="000000"/>
              <w:bottom w:val="single" w:sz="4" w:space="0" w:color="000000"/>
              <w:right w:val="single" w:sz="6" w:space="0" w:color="000000"/>
            </w:tcBorders>
          </w:tcPr>
          <w:p>
            <w:pPr>
              <w:pStyle w:val="TAH"/>
              <w:rPr>
                <w:lang w:eastAsia="en-US"/>
              </w:rPr>
            </w:pPr>
            <w:r>
              <w:rPr>
                <w:lang w:eastAsia="en-US"/>
              </w:rPr>
              <w:t>CTS-MS/FP</w:t>
            </w:r>
          </w:p>
        </w:tc>
        <w:tc>
          <w:tcPr>
            <w:tcW w:w="1134" w:type="dxa"/>
            <w:tcBorders>
              <w:top w:val="single" w:sz="6" w:space="0" w:color="000000"/>
              <w:bottom w:val="single" w:sz="4" w:space="0" w:color="000000"/>
            </w:tcBorders>
          </w:tcPr>
          <w:p>
            <w:pPr>
              <w:pStyle w:val="TAH"/>
              <w:rPr>
                <w:lang w:eastAsia="en-US"/>
              </w:rPr>
            </w:pPr>
            <w:r>
              <w:rPr>
                <w:lang w:eastAsia="en-US"/>
              </w:rPr>
              <w:t>GSM-MS</w:t>
            </w:r>
          </w:p>
        </w:tc>
        <w:tc>
          <w:tcPr>
            <w:tcW w:w="992" w:type="dxa"/>
            <w:tcBorders>
              <w:top w:val="single" w:sz="6" w:space="0" w:color="000000"/>
              <w:bottom w:val="single" w:sz="4" w:space="0" w:color="000000"/>
              <w:right w:val="single" w:sz="6" w:space="0" w:color="000000"/>
            </w:tcBorders>
          </w:tcPr>
          <w:p>
            <w:pPr>
              <w:pStyle w:val="TAH"/>
              <w:rPr>
                <w:lang w:eastAsia="en-US"/>
              </w:rPr>
            </w:pPr>
            <w:r>
              <w:rPr>
                <w:lang w:eastAsia="en-US"/>
              </w:rPr>
              <w:t>GSM-MS</w:t>
            </w:r>
          </w:p>
        </w:tc>
        <w:tc>
          <w:tcPr>
            <w:tcW w:w="1276" w:type="dxa"/>
            <w:tcBorders>
              <w:top w:val="single" w:sz="6" w:space="0" w:color="000000"/>
              <w:bottom w:val="single" w:sz="4" w:space="0" w:color="000000"/>
              <w:right w:val="single" w:sz="4" w:space="0" w:color="000000"/>
            </w:tcBorders>
          </w:tcPr>
          <w:p>
            <w:pPr>
              <w:pStyle w:val="TAH"/>
              <w:rPr/>
            </w:pPr>
            <w:r>
              <w:rPr>
                <w:lang w:eastAsia="en-US"/>
              </w:rPr>
              <w:t>CTS-MS/FP</w:t>
            </w:r>
          </w:p>
        </w:tc>
      </w:tr>
      <w:tr>
        <w:trPr/>
        <w:tc>
          <w:tcPr>
            <w:tcW w:w="2778" w:type="dxa"/>
            <w:tcBorders>
              <w:top w:val="single" w:sz="4" w:space="0" w:color="000000"/>
              <w:left w:val="single" w:sz="4" w:space="0" w:color="000000"/>
              <w:bottom w:val="single" w:sz="6" w:space="0" w:color="000000"/>
            </w:tcBorders>
          </w:tcPr>
          <w:p>
            <w:pPr>
              <w:pStyle w:val="TAL"/>
              <w:rPr>
                <w:lang w:val="en-GB"/>
              </w:rPr>
            </w:pPr>
            <w:r>
              <w:rPr>
                <w:lang w:val="en-GB"/>
              </w:rPr>
              <w:t>max. TxPwr [dBm]</w:t>
            </w:r>
          </w:p>
        </w:tc>
        <w:tc>
          <w:tcPr>
            <w:tcW w:w="1276" w:type="dxa"/>
            <w:tcBorders>
              <w:top w:val="single" w:sz="4" w:space="0" w:color="000000"/>
              <w:left w:val="single" w:sz="6" w:space="0" w:color="000000"/>
              <w:bottom w:val="single" w:sz="6" w:space="0" w:color="000000"/>
            </w:tcBorders>
          </w:tcPr>
          <w:p>
            <w:pPr>
              <w:pStyle w:val="TAC"/>
              <w:rPr>
                <w:lang w:val="en-GB"/>
              </w:rPr>
            </w:pPr>
            <w:r>
              <w:rPr>
                <w:lang w:val="en-GB"/>
              </w:rPr>
              <w:t>33</w:t>
            </w:r>
          </w:p>
        </w:tc>
        <w:tc>
          <w:tcPr>
            <w:tcW w:w="1276" w:type="dxa"/>
            <w:tcBorders>
              <w:top w:val="single" w:sz="4" w:space="0" w:color="000000"/>
              <w:bottom w:val="single" w:sz="6" w:space="0" w:color="000000"/>
            </w:tcBorders>
          </w:tcPr>
          <w:p>
            <w:pPr>
              <w:pStyle w:val="TAC"/>
              <w:snapToGrid w:val="false"/>
              <w:rPr>
                <w:lang w:val="en-GB"/>
              </w:rPr>
            </w:pPr>
            <w:r>
              <w:rPr>
                <w:lang w:val="en-GB"/>
              </w:rPr>
            </w:r>
          </w:p>
        </w:tc>
        <w:tc>
          <w:tcPr>
            <w:tcW w:w="1134" w:type="dxa"/>
            <w:tcBorders>
              <w:top w:val="single" w:sz="4" w:space="0" w:color="000000"/>
              <w:left w:val="single" w:sz="6" w:space="0" w:color="000000"/>
              <w:bottom w:val="single" w:sz="6" w:space="0" w:color="000000"/>
            </w:tcBorders>
          </w:tcPr>
          <w:p>
            <w:pPr>
              <w:pStyle w:val="TAC"/>
              <w:rPr>
                <w:lang w:val="en-GB"/>
              </w:rPr>
            </w:pPr>
            <w:r>
              <w:rPr>
                <w:lang w:val="en-GB"/>
              </w:rPr>
              <w:t>30</w:t>
            </w:r>
          </w:p>
        </w:tc>
        <w:tc>
          <w:tcPr>
            <w:tcW w:w="992" w:type="dxa"/>
            <w:tcBorders>
              <w:top w:val="single" w:sz="4" w:space="0" w:color="000000"/>
              <w:bottom w:val="single" w:sz="6" w:space="0" w:color="000000"/>
              <w:right w:val="single" w:sz="6" w:space="0" w:color="000000"/>
            </w:tcBorders>
          </w:tcPr>
          <w:p>
            <w:pPr>
              <w:pStyle w:val="TAC"/>
              <w:snapToGrid w:val="false"/>
              <w:rPr>
                <w:lang w:val="en-GB"/>
              </w:rPr>
            </w:pPr>
            <w:r>
              <w:rPr>
                <w:lang w:val="en-GB"/>
              </w:rPr>
            </w:r>
          </w:p>
        </w:tc>
        <w:tc>
          <w:tcPr>
            <w:tcW w:w="1276" w:type="dxa"/>
            <w:tcBorders>
              <w:top w:val="single" w:sz="4" w:space="0" w:color="000000"/>
              <w:bottom w:val="single" w:sz="6" w:space="0" w:color="000000"/>
              <w:right w:val="single" w:sz="4" w:space="0" w:color="000000"/>
            </w:tcBorders>
          </w:tcPr>
          <w:p>
            <w:pPr>
              <w:pStyle w:val="TAC"/>
              <w:snapToGrid w:val="false"/>
              <w:rPr>
                <w:lang w:val="en-GB"/>
              </w:rPr>
            </w:pPr>
            <w:r>
              <w:rPr>
                <w:lang w:val="en-GB"/>
              </w:rPr>
            </w:r>
          </w:p>
        </w:tc>
      </w:tr>
      <w:tr>
        <w:trPr/>
        <w:tc>
          <w:tcPr>
            <w:tcW w:w="2778" w:type="dxa"/>
            <w:tcBorders>
              <w:top w:val="single" w:sz="6" w:space="0" w:color="000000"/>
              <w:left w:val="single" w:sz="4" w:space="0" w:color="000000"/>
              <w:bottom w:val="single" w:sz="6" w:space="0" w:color="000000"/>
            </w:tcBorders>
          </w:tcPr>
          <w:p>
            <w:pPr>
              <w:pStyle w:val="TAL"/>
              <w:rPr/>
            </w:pPr>
            <w:r>
              <w:rPr>
                <w:lang w:val="en-GB"/>
              </w:rPr>
              <w:t>TxPwr [dBm]</w:t>
            </w:r>
          </w:p>
        </w:tc>
        <w:tc>
          <w:tcPr>
            <w:tcW w:w="1276"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276" w:type="dxa"/>
            <w:tcBorders>
              <w:top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992" w:type="dxa"/>
            <w:tcBorders>
              <w:top w:val="single" w:sz="6" w:space="0" w:color="000000"/>
              <w:bottom w:val="single" w:sz="6" w:space="0" w:color="000000"/>
              <w:right w:val="single" w:sz="6" w:space="0" w:color="000000"/>
            </w:tcBorders>
          </w:tcPr>
          <w:p>
            <w:pPr>
              <w:pStyle w:val="TAC"/>
              <w:rPr/>
            </w:pPr>
            <w:r>
              <w:rPr>
                <w:rFonts w:cs="Arial"/>
                <w:lang w:val="en-GB"/>
              </w:rPr>
              <w:t>≤</w:t>
            </w:r>
            <w:r>
              <w:rPr>
                <w:rFonts w:eastAsia="Arial"/>
                <w:lang w:val="en-GB"/>
              </w:rPr>
              <w:t xml:space="preserve"> </w:t>
            </w:r>
            <w:r>
              <w:rPr>
                <w:lang w:val="en-GB"/>
              </w:rPr>
              <w:t>24</w:t>
            </w:r>
          </w:p>
        </w:tc>
        <w:tc>
          <w:tcPr>
            <w:tcW w:w="1276" w:type="dxa"/>
            <w:tcBorders>
              <w:top w:val="single" w:sz="6" w:space="0" w:color="000000"/>
              <w:bottom w:val="single" w:sz="6" w:space="0" w:color="000000"/>
              <w:right w:val="single" w:sz="4" w:space="0" w:color="000000"/>
            </w:tcBorders>
          </w:tcPr>
          <w:p>
            <w:pPr>
              <w:pStyle w:val="TAC"/>
              <w:snapToGrid w:val="false"/>
              <w:rPr>
                <w:lang w:val="en-GB"/>
              </w:rPr>
            </w:pPr>
            <w:r>
              <w:rPr>
                <w:lang w:val="en-GB"/>
              </w:rPr>
            </w:r>
          </w:p>
        </w:tc>
      </w:tr>
      <w:tr>
        <w:trPr/>
        <w:tc>
          <w:tcPr>
            <w:tcW w:w="2778" w:type="dxa"/>
            <w:tcBorders>
              <w:top w:val="single" w:sz="6" w:space="0" w:color="000000"/>
              <w:left w:val="single" w:sz="4" w:space="0" w:color="000000"/>
              <w:bottom w:val="single" w:sz="6" w:space="0" w:color="000000"/>
            </w:tcBorders>
          </w:tcPr>
          <w:p>
            <w:pPr>
              <w:pStyle w:val="TAL"/>
              <w:rPr>
                <w:lang w:val="en-GB"/>
              </w:rPr>
            </w:pPr>
            <w:r>
              <w:rPr>
                <w:lang w:val="en-GB"/>
              </w:rPr>
              <w:t>spectrum mask [dBc]</w:t>
              <w:br/>
              <w:t xml:space="preserve">400 kHz </w:t>
              <w:noBreakHyphen/>
              <w:t xml:space="preserve"> 1,8 MHz / 30 kHz bdw</w:t>
            </w:r>
          </w:p>
        </w:tc>
        <w:tc>
          <w:tcPr>
            <w:tcW w:w="1276" w:type="dxa"/>
            <w:tcBorders>
              <w:top w:val="single" w:sz="6" w:space="0" w:color="000000"/>
              <w:left w:val="single" w:sz="6" w:space="0" w:color="000000"/>
              <w:bottom w:val="single" w:sz="6" w:space="0" w:color="000000"/>
            </w:tcBorders>
          </w:tcPr>
          <w:p>
            <w:pPr>
              <w:pStyle w:val="TAC"/>
              <w:rPr>
                <w:lang w:val="en-GB"/>
              </w:rPr>
            </w:pPr>
            <w:r>
              <w:rPr>
                <w:lang w:val="en-GB"/>
              </w:rPr>
              <w:t>-60</w:t>
            </w:r>
          </w:p>
        </w:tc>
        <w:tc>
          <w:tcPr>
            <w:tcW w:w="1276" w:type="dxa"/>
            <w:tcBorders>
              <w:top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-60</w:t>
            </w:r>
          </w:p>
        </w:tc>
        <w:tc>
          <w:tcPr>
            <w:tcW w:w="992" w:type="dxa"/>
            <w:tcBorders>
              <w:top w:val="single" w:sz="6" w:space="0" w:color="000000"/>
              <w:bottom w:val="single" w:sz="6" w:space="0" w:color="000000"/>
              <w:right w:val="single" w:sz="6" w:space="0" w:color="000000"/>
            </w:tcBorders>
          </w:tcPr>
          <w:p>
            <w:pPr>
              <w:pStyle w:val="TAC"/>
              <w:rPr>
                <w:lang w:val="en-GB"/>
              </w:rPr>
            </w:pPr>
            <w:r>
              <w:rPr>
                <w:lang w:val="en-GB"/>
              </w:rPr>
              <w:t>-60</w:t>
            </w:r>
          </w:p>
        </w:tc>
        <w:tc>
          <w:tcPr>
            <w:tcW w:w="1276" w:type="dxa"/>
            <w:tcBorders>
              <w:top w:val="single" w:sz="6" w:space="0" w:color="000000"/>
              <w:bottom w:val="single" w:sz="6" w:space="0" w:color="000000"/>
              <w:right w:val="single" w:sz="4" w:space="0" w:color="000000"/>
            </w:tcBorders>
          </w:tcPr>
          <w:p>
            <w:pPr>
              <w:pStyle w:val="TAC"/>
              <w:snapToGrid w:val="false"/>
              <w:rPr>
                <w:lang w:val="en-GB"/>
              </w:rPr>
            </w:pPr>
            <w:r>
              <w:rPr>
                <w:lang w:val="en-GB"/>
              </w:rPr>
            </w:r>
          </w:p>
        </w:tc>
      </w:tr>
      <w:tr>
        <w:trPr/>
        <w:tc>
          <w:tcPr>
            <w:tcW w:w="2778" w:type="dxa"/>
            <w:tcBorders>
              <w:top w:val="single" w:sz="6" w:space="0" w:color="000000"/>
              <w:left w:val="single" w:sz="4" w:space="0" w:color="000000"/>
              <w:bottom w:val="single" w:sz="6" w:space="0" w:color="000000"/>
            </w:tcBorders>
          </w:tcPr>
          <w:p>
            <w:pPr>
              <w:pStyle w:val="TAL"/>
              <w:rPr>
                <w:lang w:val="en-GB"/>
              </w:rPr>
            </w:pPr>
            <w:r>
              <w:rPr>
                <w:lang w:val="en-GB"/>
              </w:rPr>
              <w:t>spectrum mask [dBc]</w:t>
              <w:br/>
              <w:t xml:space="preserve">1,8 MHz </w:t>
              <w:noBreakHyphen/>
              <w:t xml:space="preserve"> 3 MHz / 100 kHz bdw</w:t>
            </w:r>
          </w:p>
        </w:tc>
        <w:tc>
          <w:tcPr>
            <w:tcW w:w="1276" w:type="dxa"/>
            <w:tcBorders>
              <w:top w:val="single" w:sz="6" w:space="0" w:color="000000"/>
              <w:left w:val="single" w:sz="6" w:space="0" w:color="000000"/>
              <w:bottom w:val="single" w:sz="6" w:space="0" w:color="000000"/>
            </w:tcBorders>
          </w:tcPr>
          <w:p>
            <w:pPr>
              <w:pStyle w:val="TAC"/>
              <w:rPr>
                <w:lang w:val="en-GB"/>
              </w:rPr>
            </w:pPr>
            <w:r>
              <w:rPr>
                <w:lang w:val="en-GB"/>
              </w:rPr>
              <w:t>-63</w:t>
            </w:r>
          </w:p>
        </w:tc>
        <w:tc>
          <w:tcPr>
            <w:tcW w:w="1276" w:type="dxa"/>
            <w:tcBorders>
              <w:top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-60</w:t>
            </w:r>
          </w:p>
        </w:tc>
        <w:tc>
          <w:tcPr>
            <w:tcW w:w="992" w:type="dxa"/>
            <w:tcBorders>
              <w:top w:val="single" w:sz="6" w:space="0" w:color="000000"/>
              <w:bottom w:val="single" w:sz="6" w:space="0" w:color="000000"/>
              <w:right w:val="single" w:sz="6" w:space="0" w:color="000000"/>
            </w:tcBorders>
          </w:tcPr>
          <w:p>
            <w:pPr>
              <w:pStyle w:val="TAC"/>
              <w:rPr>
                <w:lang w:val="en-GB"/>
              </w:rPr>
            </w:pPr>
            <w:r>
              <w:rPr>
                <w:lang w:val="en-GB"/>
              </w:rPr>
              <w:t>-59</w:t>
            </w:r>
          </w:p>
        </w:tc>
        <w:tc>
          <w:tcPr>
            <w:tcW w:w="1276" w:type="dxa"/>
            <w:tcBorders>
              <w:top w:val="single" w:sz="6" w:space="0" w:color="000000"/>
              <w:bottom w:val="single" w:sz="6" w:space="0" w:color="000000"/>
              <w:right w:val="single" w:sz="4" w:space="0" w:color="000000"/>
            </w:tcBorders>
          </w:tcPr>
          <w:p>
            <w:pPr>
              <w:pStyle w:val="TAC"/>
              <w:snapToGrid w:val="false"/>
              <w:rPr>
                <w:lang w:val="en-GB"/>
              </w:rPr>
            </w:pPr>
            <w:r>
              <w:rPr>
                <w:lang w:val="en-GB"/>
              </w:rPr>
            </w:r>
          </w:p>
        </w:tc>
      </w:tr>
      <w:tr>
        <w:trPr/>
        <w:tc>
          <w:tcPr>
            <w:tcW w:w="2778" w:type="dxa"/>
            <w:tcBorders>
              <w:top w:val="single" w:sz="6" w:space="0" w:color="000000"/>
              <w:left w:val="single" w:sz="4" w:space="0" w:color="000000"/>
              <w:bottom w:val="single" w:sz="6" w:space="0" w:color="000000"/>
            </w:tcBorders>
          </w:tcPr>
          <w:p>
            <w:pPr>
              <w:pStyle w:val="TAL"/>
              <w:rPr>
                <w:lang w:val="en-GB"/>
              </w:rPr>
            </w:pPr>
            <w:r>
              <w:rPr>
                <w:lang w:val="en-GB"/>
              </w:rPr>
              <w:t>spectrum mask [dBc]</w:t>
              <w:br/>
              <w:t xml:space="preserve">3 MHz </w:t>
              <w:noBreakHyphen/>
              <w:t xml:space="preserve"> 6 MHz / 100 kHz bdw</w:t>
            </w:r>
          </w:p>
        </w:tc>
        <w:tc>
          <w:tcPr>
            <w:tcW w:w="1276" w:type="dxa"/>
            <w:tcBorders>
              <w:top w:val="single" w:sz="6" w:space="0" w:color="000000"/>
              <w:left w:val="single" w:sz="6" w:space="0" w:color="000000"/>
              <w:bottom w:val="single" w:sz="6" w:space="0" w:color="000000"/>
            </w:tcBorders>
          </w:tcPr>
          <w:p>
            <w:pPr>
              <w:pStyle w:val="TAC"/>
              <w:rPr>
                <w:lang w:val="en-GB"/>
              </w:rPr>
            </w:pPr>
            <w:r>
              <w:rPr>
                <w:lang w:val="en-GB"/>
              </w:rPr>
              <w:t>-65</w:t>
            </w:r>
          </w:p>
        </w:tc>
        <w:tc>
          <w:tcPr>
            <w:tcW w:w="1276" w:type="dxa"/>
            <w:tcBorders>
              <w:top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-65</w:t>
            </w:r>
          </w:p>
        </w:tc>
        <w:tc>
          <w:tcPr>
            <w:tcW w:w="992" w:type="dxa"/>
            <w:tcBorders>
              <w:top w:val="single" w:sz="6" w:space="0" w:color="000000"/>
              <w:bottom w:val="single" w:sz="6" w:space="0" w:color="000000"/>
              <w:right w:val="single" w:sz="6" w:space="0" w:color="000000"/>
            </w:tcBorders>
          </w:tcPr>
          <w:p>
            <w:pPr>
              <w:pStyle w:val="TAC"/>
              <w:rPr>
                <w:lang w:val="en-GB"/>
              </w:rPr>
            </w:pPr>
            <w:r>
              <w:rPr>
                <w:lang w:val="en-GB"/>
              </w:rPr>
              <w:t>-59</w:t>
            </w:r>
          </w:p>
        </w:tc>
        <w:tc>
          <w:tcPr>
            <w:tcW w:w="1276" w:type="dxa"/>
            <w:tcBorders>
              <w:top w:val="single" w:sz="6" w:space="0" w:color="000000"/>
              <w:bottom w:val="single" w:sz="6" w:space="0" w:color="000000"/>
              <w:right w:val="single" w:sz="4" w:space="0" w:color="000000"/>
            </w:tcBorders>
          </w:tcPr>
          <w:p>
            <w:pPr>
              <w:pStyle w:val="TAC"/>
              <w:snapToGrid w:val="false"/>
              <w:rPr>
                <w:lang w:val="en-GB"/>
              </w:rPr>
            </w:pPr>
            <w:r>
              <w:rPr>
                <w:lang w:val="en-GB"/>
              </w:rPr>
            </w:r>
          </w:p>
        </w:tc>
      </w:tr>
      <w:tr>
        <w:trPr/>
        <w:tc>
          <w:tcPr>
            <w:tcW w:w="2778" w:type="dxa"/>
            <w:tcBorders>
              <w:top w:val="single" w:sz="6" w:space="0" w:color="000000"/>
              <w:left w:val="single" w:sz="4" w:space="0" w:color="000000"/>
              <w:bottom w:val="single" w:sz="4" w:space="0" w:color="000000"/>
            </w:tcBorders>
          </w:tcPr>
          <w:p>
            <w:pPr>
              <w:pStyle w:val="TAL"/>
              <w:rPr/>
            </w:pPr>
            <w:r>
              <w:rPr>
                <w:lang w:val="en-GB"/>
              </w:rPr>
              <w:t>spectrum mask [dBc]</w:t>
            </w:r>
          </w:p>
          <w:p>
            <w:pPr>
              <w:pStyle w:val="TAL"/>
              <w:rPr>
                <w:lang w:val="en-GB"/>
              </w:rPr>
            </w:pPr>
            <w:r>
              <w:rPr>
                <w:lang w:val="en-GB"/>
              </w:rPr>
              <w:t>&gt; 6 MHz / 100 kHz bdw</w:t>
            </w:r>
          </w:p>
        </w:tc>
        <w:tc>
          <w:tcPr>
            <w:tcW w:w="1276" w:type="dxa"/>
            <w:tcBorders>
              <w:top w:val="single" w:sz="6" w:space="0" w:color="000000"/>
              <w:left w:val="single" w:sz="6" w:space="0" w:color="000000"/>
              <w:bottom w:val="single" w:sz="4" w:space="0" w:color="000000"/>
            </w:tcBorders>
          </w:tcPr>
          <w:p>
            <w:pPr>
              <w:pStyle w:val="TAC"/>
              <w:rPr/>
            </w:pPr>
            <w:r>
              <w:rPr>
                <w:lang w:val="en-GB"/>
              </w:rPr>
              <w:t>-71</w:t>
            </w:r>
          </w:p>
        </w:tc>
        <w:tc>
          <w:tcPr>
            <w:tcW w:w="1276" w:type="dxa"/>
            <w:tcBorders>
              <w:top w:val="single" w:sz="6" w:space="0" w:color="000000"/>
              <w:bottom w:val="single" w:sz="4"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4" w:space="0" w:color="000000"/>
            </w:tcBorders>
          </w:tcPr>
          <w:p>
            <w:pPr>
              <w:pStyle w:val="TAC"/>
              <w:rPr>
                <w:lang w:val="en-GB"/>
              </w:rPr>
            </w:pPr>
            <w:r>
              <w:rPr>
                <w:lang w:val="en-GB"/>
              </w:rPr>
              <w:t>-73</w:t>
            </w:r>
          </w:p>
        </w:tc>
        <w:tc>
          <w:tcPr>
            <w:tcW w:w="992" w:type="dxa"/>
            <w:tcBorders>
              <w:top w:val="single" w:sz="6" w:space="0" w:color="000000"/>
              <w:bottom w:val="single" w:sz="4" w:space="0" w:color="000000"/>
              <w:right w:val="single" w:sz="6" w:space="0" w:color="000000"/>
            </w:tcBorders>
          </w:tcPr>
          <w:p>
            <w:pPr>
              <w:pStyle w:val="TAC"/>
              <w:rPr>
                <w:lang w:val="en-GB"/>
              </w:rPr>
            </w:pPr>
            <w:r>
              <w:rPr>
                <w:lang w:val="en-GB"/>
              </w:rPr>
              <w:t>-67</w:t>
            </w:r>
          </w:p>
        </w:tc>
        <w:tc>
          <w:tcPr>
            <w:tcW w:w="1276" w:type="dxa"/>
            <w:tcBorders>
              <w:top w:val="single" w:sz="6" w:space="0" w:color="000000"/>
              <w:bottom w:val="single" w:sz="4" w:space="0" w:color="000000"/>
              <w:right w:val="single" w:sz="4" w:space="0" w:color="000000"/>
            </w:tcBorders>
          </w:tcPr>
          <w:p>
            <w:pPr>
              <w:pStyle w:val="TAC"/>
              <w:snapToGrid w:val="false"/>
              <w:rPr>
                <w:lang w:val="en-GB"/>
              </w:rPr>
            </w:pPr>
            <w:r>
              <w:rPr>
                <w:lang w:val="en-GB"/>
              </w:rPr>
            </w:r>
          </w:p>
        </w:tc>
      </w:tr>
    </w:tbl>
    <w:p>
      <w:pPr>
        <w:pStyle w:val="FP"/>
        <w:rPr/>
      </w:pPr>
      <w:r>
        <w:rPr/>
      </w:r>
    </w:p>
    <w:p>
      <w:pPr>
        <w:pStyle w:val="Normal"/>
        <w:rPr/>
      </w:pPr>
      <w:r>
        <w:rPr>
          <w:color w:val="000000"/>
        </w:rPr>
        <w:t>Preliminary assumptions for CTS: same characteristics as for a GSM-MS</w:t>
      </w:r>
      <w:r>
        <w:rPr/>
        <w:t>.</w:t>
      </w:r>
    </w:p>
    <w:p>
      <w:pPr>
        <w:pStyle w:val="TH"/>
        <w:rPr/>
      </w:pPr>
      <w:r>
        <w:rPr/>
      </w:r>
    </w:p>
    <w:tbl>
      <w:tblPr>
        <w:tblW w:w="8732" w:type="dxa"/>
        <w:jc w:val="center"/>
        <w:tblInd w:w="0" w:type="dxa"/>
        <w:tblLayout w:type="fixed"/>
        <w:tblCellMar>
          <w:top w:w="0" w:type="dxa"/>
          <w:left w:w="70" w:type="dxa"/>
          <w:bottom w:w="0" w:type="dxa"/>
          <w:right w:w="70" w:type="dxa"/>
        </w:tblCellMar>
      </w:tblPr>
      <w:tblGrid>
        <w:gridCol w:w="2778"/>
        <w:gridCol w:w="1276"/>
        <w:gridCol w:w="1276"/>
        <w:gridCol w:w="1134"/>
        <w:gridCol w:w="992"/>
        <w:gridCol w:w="1276"/>
      </w:tblGrid>
      <w:tr>
        <w:trPr/>
        <w:tc>
          <w:tcPr>
            <w:tcW w:w="2778" w:type="dxa"/>
            <w:tcBorders>
              <w:right w:val="single" w:sz="4" w:space="0" w:color="000000"/>
            </w:tcBorders>
          </w:tcPr>
          <w:p>
            <w:pPr>
              <w:pStyle w:val="TAH"/>
              <w:snapToGrid w:val="false"/>
              <w:rPr>
                <w:lang w:eastAsia="en-US"/>
              </w:rPr>
            </w:pPr>
            <w:r>
              <w:rPr>
                <w:lang w:eastAsia="en-US"/>
              </w:rPr>
            </w:r>
          </w:p>
        </w:tc>
        <w:tc>
          <w:tcPr>
            <w:tcW w:w="2552" w:type="dxa"/>
            <w:gridSpan w:val="2"/>
            <w:tcBorders>
              <w:top w:val="single" w:sz="4" w:space="0" w:color="000000"/>
              <w:left w:val="single" w:sz="4" w:space="0" w:color="000000"/>
            </w:tcBorders>
          </w:tcPr>
          <w:p>
            <w:pPr>
              <w:pStyle w:val="TAH"/>
              <w:rPr>
                <w:lang w:eastAsia="en-US"/>
              </w:rPr>
            </w:pPr>
            <w:r>
              <w:rPr>
                <w:lang w:eastAsia="en-US"/>
              </w:rPr>
              <w:t>GSM900</w:t>
            </w:r>
          </w:p>
        </w:tc>
        <w:tc>
          <w:tcPr>
            <w:tcW w:w="3402" w:type="dxa"/>
            <w:gridSpan w:val="3"/>
            <w:tcBorders>
              <w:top w:val="single" w:sz="4" w:space="0" w:color="000000"/>
              <w:left w:val="single" w:sz="6" w:space="0" w:color="000000"/>
              <w:right w:val="single" w:sz="4" w:space="0" w:color="000000"/>
            </w:tcBorders>
          </w:tcPr>
          <w:p>
            <w:pPr>
              <w:pStyle w:val="TAH"/>
              <w:rPr>
                <w:lang w:eastAsia="en-US"/>
              </w:rPr>
            </w:pPr>
            <w:r>
              <w:rPr>
                <w:lang w:eastAsia="en-US"/>
              </w:rPr>
              <w:t>DCS1800</w:t>
            </w:r>
          </w:p>
        </w:tc>
      </w:tr>
      <w:tr>
        <w:trPr/>
        <w:tc>
          <w:tcPr>
            <w:tcW w:w="2778" w:type="dxa"/>
            <w:tcBorders>
              <w:bottom w:val="single" w:sz="4" w:space="0" w:color="000000"/>
              <w:right w:val="single" w:sz="4" w:space="0" w:color="000000"/>
            </w:tcBorders>
          </w:tcPr>
          <w:p>
            <w:pPr>
              <w:pStyle w:val="TAH"/>
              <w:snapToGrid w:val="false"/>
              <w:rPr>
                <w:lang w:eastAsia="en-US"/>
              </w:rPr>
            </w:pPr>
            <w:r>
              <w:rPr>
                <w:lang w:eastAsia="en-US"/>
              </w:rPr>
            </w:r>
          </w:p>
        </w:tc>
        <w:tc>
          <w:tcPr>
            <w:tcW w:w="1276" w:type="dxa"/>
            <w:tcBorders>
              <w:top w:val="single" w:sz="6" w:space="0" w:color="000000"/>
              <w:left w:val="single" w:sz="4" w:space="0" w:color="000000"/>
              <w:bottom w:val="single" w:sz="4" w:space="0" w:color="000000"/>
            </w:tcBorders>
          </w:tcPr>
          <w:p>
            <w:pPr>
              <w:pStyle w:val="TAH"/>
              <w:rPr>
                <w:lang w:eastAsia="en-US"/>
              </w:rPr>
            </w:pPr>
            <w:r>
              <w:rPr>
                <w:lang w:eastAsia="en-US"/>
              </w:rPr>
              <w:t>GSM-MS</w:t>
            </w:r>
          </w:p>
        </w:tc>
        <w:tc>
          <w:tcPr>
            <w:tcW w:w="1276" w:type="dxa"/>
            <w:tcBorders>
              <w:top w:val="single" w:sz="6" w:space="0" w:color="000000"/>
              <w:bottom w:val="single" w:sz="4" w:space="0" w:color="000000"/>
              <w:right w:val="single" w:sz="6" w:space="0" w:color="000000"/>
            </w:tcBorders>
          </w:tcPr>
          <w:p>
            <w:pPr>
              <w:pStyle w:val="TAH"/>
              <w:rPr>
                <w:lang w:eastAsia="en-US"/>
              </w:rPr>
            </w:pPr>
            <w:r>
              <w:rPr>
                <w:lang w:eastAsia="en-US"/>
              </w:rPr>
              <w:t>CTS-MS/FP</w:t>
            </w:r>
          </w:p>
        </w:tc>
        <w:tc>
          <w:tcPr>
            <w:tcW w:w="1134" w:type="dxa"/>
            <w:tcBorders>
              <w:top w:val="single" w:sz="6" w:space="0" w:color="000000"/>
              <w:bottom w:val="single" w:sz="4" w:space="0" w:color="000000"/>
            </w:tcBorders>
          </w:tcPr>
          <w:p>
            <w:pPr>
              <w:pStyle w:val="TAH"/>
              <w:rPr>
                <w:lang w:eastAsia="en-US"/>
              </w:rPr>
            </w:pPr>
            <w:r>
              <w:rPr>
                <w:lang w:eastAsia="en-US"/>
              </w:rPr>
              <w:t>GSM-MS</w:t>
            </w:r>
          </w:p>
        </w:tc>
        <w:tc>
          <w:tcPr>
            <w:tcW w:w="992" w:type="dxa"/>
            <w:tcBorders>
              <w:top w:val="single" w:sz="6" w:space="0" w:color="000000"/>
              <w:bottom w:val="single" w:sz="4" w:space="0" w:color="000000"/>
              <w:right w:val="single" w:sz="6" w:space="0" w:color="000000"/>
            </w:tcBorders>
          </w:tcPr>
          <w:p>
            <w:pPr>
              <w:pStyle w:val="TAH"/>
              <w:rPr>
                <w:lang w:eastAsia="en-US"/>
              </w:rPr>
            </w:pPr>
            <w:r>
              <w:rPr>
                <w:lang w:eastAsia="en-US"/>
              </w:rPr>
              <w:t>GSM-MS</w:t>
            </w:r>
          </w:p>
        </w:tc>
        <w:tc>
          <w:tcPr>
            <w:tcW w:w="1276" w:type="dxa"/>
            <w:tcBorders>
              <w:top w:val="single" w:sz="6" w:space="0" w:color="000000"/>
              <w:bottom w:val="single" w:sz="4" w:space="0" w:color="000000"/>
              <w:right w:val="single" w:sz="4" w:space="0" w:color="000000"/>
            </w:tcBorders>
          </w:tcPr>
          <w:p>
            <w:pPr>
              <w:pStyle w:val="TAH"/>
              <w:rPr>
                <w:lang w:eastAsia="en-US"/>
              </w:rPr>
            </w:pPr>
            <w:r>
              <w:rPr>
                <w:lang w:eastAsia="en-US"/>
              </w:rPr>
              <w:t>CTS-MS/FP</w:t>
            </w:r>
          </w:p>
        </w:tc>
      </w:tr>
      <w:tr>
        <w:trPr/>
        <w:tc>
          <w:tcPr>
            <w:tcW w:w="2778" w:type="dxa"/>
            <w:tcBorders>
              <w:top w:val="single" w:sz="4" w:space="0" w:color="000000"/>
              <w:left w:val="single" w:sz="4" w:space="0" w:color="000000"/>
              <w:bottom w:val="single" w:sz="6" w:space="0" w:color="000000"/>
            </w:tcBorders>
          </w:tcPr>
          <w:p>
            <w:pPr>
              <w:pStyle w:val="TAL"/>
              <w:rPr>
                <w:lang w:val="en-GB"/>
              </w:rPr>
            </w:pPr>
            <w:r>
              <w:rPr>
                <w:lang w:val="en-GB"/>
              </w:rPr>
              <w:t>max. TxPwr  [dBm]</w:t>
            </w:r>
          </w:p>
        </w:tc>
        <w:tc>
          <w:tcPr>
            <w:tcW w:w="1276" w:type="dxa"/>
            <w:tcBorders>
              <w:top w:val="single" w:sz="4" w:space="0" w:color="000000"/>
              <w:left w:val="single" w:sz="6" w:space="0" w:color="000000"/>
              <w:bottom w:val="single" w:sz="6" w:space="0" w:color="000000"/>
            </w:tcBorders>
          </w:tcPr>
          <w:p>
            <w:pPr>
              <w:pStyle w:val="TAC"/>
              <w:snapToGrid w:val="false"/>
              <w:rPr>
                <w:lang w:val="en-GB"/>
              </w:rPr>
            </w:pPr>
            <w:r>
              <w:rPr>
                <w:lang w:val="en-GB"/>
              </w:rPr>
            </w:r>
          </w:p>
        </w:tc>
        <w:tc>
          <w:tcPr>
            <w:tcW w:w="1276" w:type="dxa"/>
            <w:tcBorders>
              <w:top w:val="single" w:sz="4" w:space="0" w:color="000000"/>
              <w:bottom w:val="single" w:sz="6" w:space="0" w:color="000000"/>
            </w:tcBorders>
          </w:tcPr>
          <w:p>
            <w:pPr>
              <w:pStyle w:val="TAC"/>
              <w:snapToGrid w:val="false"/>
              <w:rPr>
                <w:lang w:val="en-GB"/>
              </w:rPr>
            </w:pPr>
            <w:r>
              <w:rPr>
                <w:lang w:val="en-GB"/>
              </w:rPr>
            </w:r>
          </w:p>
        </w:tc>
        <w:tc>
          <w:tcPr>
            <w:tcW w:w="1134" w:type="dxa"/>
            <w:tcBorders>
              <w:top w:val="single" w:sz="4" w:space="0" w:color="000000"/>
              <w:left w:val="single" w:sz="6" w:space="0" w:color="000000"/>
              <w:bottom w:val="single" w:sz="6" w:space="0" w:color="000000"/>
            </w:tcBorders>
          </w:tcPr>
          <w:p>
            <w:pPr>
              <w:pStyle w:val="TAC"/>
              <w:snapToGrid w:val="false"/>
              <w:rPr>
                <w:lang w:val="en-GB"/>
              </w:rPr>
            </w:pPr>
            <w:r>
              <w:rPr>
                <w:lang w:val="en-GB"/>
              </w:rPr>
            </w:r>
          </w:p>
        </w:tc>
        <w:tc>
          <w:tcPr>
            <w:tcW w:w="992" w:type="dxa"/>
            <w:tcBorders>
              <w:top w:val="single" w:sz="4" w:space="0" w:color="000000"/>
              <w:bottom w:val="single" w:sz="6" w:space="0" w:color="000000"/>
              <w:right w:val="single" w:sz="6" w:space="0" w:color="000000"/>
            </w:tcBorders>
          </w:tcPr>
          <w:p>
            <w:pPr>
              <w:pStyle w:val="TAC"/>
              <w:snapToGrid w:val="false"/>
              <w:rPr>
                <w:lang w:val="en-GB"/>
              </w:rPr>
            </w:pPr>
            <w:r>
              <w:rPr>
                <w:lang w:val="en-GB"/>
              </w:rPr>
            </w:r>
          </w:p>
        </w:tc>
        <w:tc>
          <w:tcPr>
            <w:tcW w:w="1276" w:type="dxa"/>
            <w:tcBorders>
              <w:top w:val="single" w:sz="4" w:space="0" w:color="000000"/>
              <w:bottom w:val="single" w:sz="6" w:space="0" w:color="000000"/>
              <w:right w:val="single" w:sz="4" w:space="0" w:color="000000"/>
            </w:tcBorders>
          </w:tcPr>
          <w:p>
            <w:pPr>
              <w:pStyle w:val="TAC"/>
              <w:snapToGrid w:val="false"/>
              <w:rPr>
                <w:lang w:val="en-GB"/>
              </w:rPr>
            </w:pPr>
            <w:r>
              <w:rPr>
                <w:lang w:val="en-GB"/>
              </w:rPr>
            </w:r>
          </w:p>
        </w:tc>
      </w:tr>
      <w:tr>
        <w:trPr/>
        <w:tc>
          <w:tcPr>
            <w:tcW w:w="2778" w:type="dxa"/>
            <w:tcBorders>
              <w:top w:val="single" w:sz="6" w:space="0" w:color="000000"/>
              <w:left w:val="single" w:sz="4" w:space="0" w:color="000000"/>
              <w:bottom w:val="single" w:sz="6" w:space="0" w:color="000000"/>
            </w:tcBorders>
          </w:tcPr>
          <w:p>
            <w:pPr>
              <w:pStyle w:val="TAL"/>
              <w:rPr/>
            </w:pPr>
            <w:r>
              <w:rPr>
                <w:lang w:val="en-GB"/>
              </w:rPr>
              <w:t>spectrum mask [dBc]</w:t>
              <w:br/>
              <w:t xml:space="preserve">400 kHz </w:t>
              <w:noBreakHyphen/>
              <w:t xml:space="preserve"> 1,8 MHz / 30 kHz bdw</w:t>
            </w:r>
          </w:p>
        </w:tc>
        <w:tc>
          <w:tcPr>
            <w:tcW w:w="1276"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276" w:type="dxa"/>
            <w:tcBorders>
              <w:top w:val="single" w:sz="6" w:space="0" w:color="000000"/>
              <w:bottom w:val="single" w:sz="6" w:space="0" w:color="000000"/>
            </w:tcBorders>
          </w:tcPr>
          <w:p>
            <w:pPr>
              <w:pStyle w:val="TAC"/>
              <w:rPr>
                <w:lang w:val="en-GB"/>
              </w:rPr>
            </w:pPr>
            <w:r>
              <w:rPr>
                <w:lang w:val="en-GB"/>
              </w:rPr>
              <w:t>-60</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992" w:type="dxa"/>
            <w:tcBorders>
              <w:top w:val="single" w:sz="6" w:space="0" w:color="000000"/>
              <w:bottom w:val="single" w:sz="6" w:space="0" w:color="000000"/>
              <w:right w:val="single" w:sz="6" w:space="0" w:color="000000"/>
            </w:tcBorders>
          </w:tcPr>
          <w:p>
            <w:pPr>
              <w:pStyle w:val="TAC"/>
              <w:snapToGrid w:val="false"/>
              <w:rPr>
                <w:lang w:val="en-GB"/>
              </w:rPr>
            </w:pPr>
            <w:r>
              <w:rPr>
                <w:lang w:val="en-GB"/>
              </w:rPr>
            </w:r>
          </w:p>
        </w:tc>
        <w:tc>
          <w:tcPr>
            <w:tcW w:w="1276" w:type="dxa"/>
            <w:tcBorders>
              <w:top w:val="single" w:sz="6" w:space="0" w:color="000000"/>
              <w:bottom w:val="single" w:sz="6" w:space="0" w:color="000000"/>
              <w:right w:val="single" w:sz="4" w:space="0" w:color="000000"/>
            </w:tcBorders>
          </w:tcPr>
          <w:p>
            <w:pPr>
              <w:pStyle w:val="TAC"/>
              <w:rPr>
                <w:lang w:val="en-GB"/>
              </w:rPr>
            </w:pPr>
            <w:r>
              <w:rPr>
                <w:lang w:val="en-GB"/>
              </w:rPr>
              <w:t>-60</w:t>
            </w:r>
          </w:p>
        </w:tc>
      </w:tr>
      <w:tr>
        <w:trPr/>
        <w:tc>
          <w:tcPr>
            <w:tcW w:w="2778" w:type="dxa"/>
            <w:tcBorders>
              <w:top w:val="single" w:sz="6" w:space="0" w:color="000000"/>
              <w:left w:val="single" w:sz="4" w:space="0" w:color="000000"/>
              <w:bottom w:val="single" w:sz="6" w:space="0" w:color="000000"/>
            </w:tcBorders>
          </w:tcPr>
          <w:p>
            <w:pPr>
              <w:pStyle w:val="TAL"/>
              <w:rPr>
                <w:lang w:val="en-GB"/>
              </w:rPr>
            </w:pPr>
            <w:r>
              <w:rPr>
                <w:lang w:val="en-GB"/>
              </w:rPr>
              <w:t>spectrum mask [dBc]</w:t>
              <w:br/>
              <w:t xml:space="preserve">1,8 MHz </w:t>
              <w:noBreakHyphen/>
              <w:t xml:space="preserve"> 3 MHz / 100 kHz bdw</w:t>
            </w:r>
          </w:p>
        </w:tc>
        <w:tc>
          <w:tcPr>
            <w:tcW w:w="1276"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276" w:type="dxa"/>
            <w:tcBorders>
              <w:top w:val="single" w:sz="6" w:space="0" w:color="000000"/>
              <w:bottom w:val="single" w:sz="6" w:space="0" w:color="000000"/>
            </w:tcBorders>
          </w:tcPr>
          <w:p>
            <w:pPr>
              <w:pStyle w:val="TAC"/>
              <w:rPr>
                <w:lang w:val="en-GB"/>
              </w:rPr>
            </w:pPr>
            <w:r>
              <w:rPr>
                <w:lang w:val="en-GB"/>
              </w:rPr>
              <w:t>-63</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992" w:type="dxa"/>
            <w:tcBorders>
              <w:top w:val="single" w:sz="6" w:space="0" w:color="000000"/>
              <w:bottom w:val="single" w:sz="6" w:space="0" w:color="000000"/>
              <w:right w:val="single" w:sz="6" w:space="0" w:color="000000"/>
            </w:tcBorders>
          </w:tcPr>
          <w:p>
            <w:pPr>
              <w:pStyle w:val="TAC"/>
              <w:snapToGrid w:val="false"/>
              <w:rPr>
                <w:lang w:val="en-GB"/>
              </w:rPr>
            </w:pPr>
            <w:r>
              <w:rPr>
                <w:lang w:val="en-GB"/>
              </w:rPr>
            </w:r>
          </w:p>
        </w:tc>
        <w:tc>
          <w:tcPr>
            <w:tcW w:w="1276" w:type="dxa"/>
            <w:tcBorders>
              <w:top w:val="single" w:sz="6" w:space="0" w:color="000000"/>
              <w:bottom w:val="single" w:sz="6" w:space="0" w:color="000000"/>
              <w:right w:val="single" w:sz="4" w:space="0" w:color="000000"/>
            </w:tcBorders>
          </w:tcPr>
          <w:p>
            <w:pPr>
              <w:pStyle w:val="TAC"/>
              <w:rPr>
                <w:lang w:val="en-GB"/>
              </w:rPr>
            </w:pPr>
            <w:r>
              <w:rPr>
                <w:lang w:val="en-GB"/>
              </w:rPr>
              <w:t>-60</w:t>
            </w:r>
          </w:p>
        </w:tc>
      </w:tr>
      <w:tr>
        <w:trPr/>
        <w:tc>
          <w:tcPr>
            <w:tcW w:w="2778" w:type="dxa"/>
            <w:tcBorders>
              <w:top w:val="single" w:sz="6" w:space="0" w:color="000000"/>
              <w:left w:val="single" w:sz="4" w:space="0" w:color="000000"/>
              <w:bottom w:val="single" w:sz="6" w:space="0" w:color="000000"/>
            </w:tcBorders>
          </w:tcPr>
          <w:p>
            <w:pPr>
              <w:pStyle w:val="TAL"/>
              <w:rPr>
                <w:lang w:val="en-GB"/>
              </w:rPr>
            </w:pPr>
            <w:r>
              <w:rPr>
                <w:lang w:val="en-GB"/>
              </w:rPr>
              <w:t>spectrum mask [dBc]</w:t>
            </w:r>
          </w:p>
          <w:p>
            <w:pPr>
              <w:pStyle w:val="TAL"/>
              <w:rPr>
                <w:lang w:val="en-GB"/>
              </w:rPr>
            </w:pPr>
            <w:r>
              <w:rPr>
                <w:lang w:val="en-GB"/>
              </w:rPr>
              <w:t xml:space="preserve">3 MHz </w:t>
              <w:noBreakHyphen/>
              <w:t xml:space="preserve"> 6 MHz / 100 kHz bdw</w:t>
            </w:r>
          </w:p>
        </w:tc>
        <w:tc>
          <w:tcPr>
            <w:tcW w:w="1276"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276" w:type="dxa"/>
            <w:tcBorders>
              <w:top w:val="single" w:sz="6" w:space="0" w:color="000000"/>
              <w:bottom w:val="single" w:sz="6" w:space="0" w:color="000000"/>
            </w:tcBorders>
          </w:tcPr>
          <w:p>
            <w:pPr>
              <w:pStyle w:val="TAC"/>
              <w:rPr>
                <w:lang w:val="en-GB"/>
              </w:rPr>
            </w:pPr>
            <w:r>
              <w:rPr>
                <w:lang w:val="en-GB"/>
              </w:rPr>
              <w:t>-65</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992" w:type="dxa"/>
            <w:tcBorders>
              <w:top w:val="single" w:sz="6" w:space="0" w:color="000000"/>
              <w:bottom w:val="single" w:sz="6" w:space="0" w:color="000000"/>
              <w:right w:val="single" w:sz="6" w:space="0" w:color="000000"/>
            </w:tcBorders>
          </w:tcPr>
          <w:p>
            <w:pPr>
              <w:pStyle w:val="TAC"/>
              <w:snapToGrid w:val="false"/>
              <w:rPr>
                <w:lang w:val="en-GB"/>
              </w:rPr>
            </w:pPr>
            <w:r>
              <w:rPr>
                <w:lang w:val="en-GB"/>
              </w:rPr>
            </w:r>
          </w:p>
        </w:tc>
        <w:tc>
          <w:tcPr>
            <w:tcW w:w="1276" w:type="dxa"/>
            <w:tcBorders>
              <w:top w:val="single" w:sz="6" w:space="0" w:color="000000"/>
              <w:bottom w:val="single" w:sz="6" w:space="0" w:color="000000"/>
              <w:right w:val="single" w:sz="4" w:space="0" w:color="000000"/>
            </w:tcBorders>
          </w:tcPr>
          <w:p>
            <w:pPr>
              <w:pStyle w:val="TAC"/>
              <w:rPr>
                <w:lang w:val="en-GB"/>
              </w:rPr>
            </w:pPr>
            <w:r>
              <w:rPr>
                <w:lang w:val="en-GB"/>
              </w:rPr>
              <w:t>-65</w:t>
            </w:r>
          </w:p>
        </w:tc>
      </w:tr>
      <w:tr>
        <w:trPr/>
        <w:tc>
          <w:tcPr>
            <w:tcW w:w="2778" w:type="dxa"/>
            <w:tcBorders>
              <w:top w:val="single" w:sz="6" w:space="0" w:color="000000"/>
              <w:left w:val="single" w:sz="4" w:space="0" w:color="000000"/>
              <w:bottom w:val="single" w:sz="4" w:space="0" w:color="000000"/>
            </w:tcBorders>
          </w:tcPr>
          <w:p>
            <w:pPr>
              <w:pStyle w:val="TAL"/>
              <w:rPr>
                <w:lang w:val="en-GB"/>
              </w:rPr>
            </w:pPr>
            <w:r>
              <w:rPr>
                <w:lang w:val="en-GB"/>
              </w:rPr>
              <w:t xml:space="preserve">spectrum mask [dBc] </w:t>
            </w:r>
          </w:p>
          <w:p>
            <w:pPr>
              <w:pStyle w:val="TAL"/>
              <w:rPr>
                <w:lang w:val="en-GB"/>
              </w:rPr>
            </w:pPr>
            <w:r>
              <w:rPr>
                <w:lang w:val="en-GB"/>
              </w:rPr>
              <w:t>&gt; 6 MHz / 100 kHz bdw</w:t>
            </w:r>
          </w:p>
        </w:tc>
        <w:tc>
          <w:tcPr>
            <w:tcW w:w="1276" w:type="dxa"/>
            <w:tcBorders>
              <w:top w:val="single" w:sz="6" w:space="0" w:color="000000"/>
              <w:left w:val="single" w:sz="6" w:space="0" w:color="000000"/>
              <w:bottom w:val="single" w:sz="4" w:space="0" w:color="000000"/>
            </w:tcBorders>
          </w:tcPr>
          <w:p>
            <w:pPr>
              <w:pStyle w:val="TAC"/>
              <w:snapToGrid w:val="false"/>
              <w:rPr>
                <w:lang w:val="en-GB"/>
              </w:rPr>
            </w:pPr>
            <w:r>
              <w:rPr>
                <w:lang w:val="en-GB"/>
              </w:rPr>
            </w:r>
          </w:p>
        </w:tc>
        <w:tc>
          <w:tcPr>
            <w:tcW w:w="1276" w:type="dxa"/>
            <w:tcBorders>
              <w:top w:val="single" w:sz="6" w:space="0" w:color="000000"/>
              <w:bottom w:val="single" w:sz="4" w:space="0" w:color="000000"/>
            </w:tcBorders>
          </w:tcPr>
          <w:p>
            <w:pPr>
              <w:pStyle w:val="TAC"/>
              <w:rPr>
                <w:lang w:val="en-GB"/>
              </w:rPr>
            </w:pPr>
            <w:r>
              <w:rPr>
                <w:lang w:val="en-GB"/>
              </w:rPr>
              <w:t>-71</w:t>
            </w:r>
          </w:p>
        </w:tc>
        <w:tc>
          <w:tcPr>
            <w:tcW w:w="1134" w:type="dxa"/>
            <w:tcBorders>
              <w:top w:val="single" w:sz="6" w:space="0" w:color="000000"/>
              <w:left w:val="single" w:sz="6" w:space="0" w:color="000000"/>
              <w:bottom w:val="single" w:sz="4" w:space="0" w:color="000000"/>
            </w:tcBorders>
          </w:tcPr>
          <w:p>
            <w:pPr>
              <w:pStyle w:val="TAC"/>
              <w:snapToGrid w:val="false"/>
              <w:rPr>
                <w:lang w:val="en-GB"/>
              </w:rPr>
            </w:pPr>
            <w:r>
              <w:rPr>
                <w:lang w:val="en-GB"/>
              </w:rPr>
            </w:r>
          </w:p>
        </w:tc>
        <w:tc>
          <w:tcPr>
            <w:tcW w:w="992" w:type="dxa"/>
            <w:tcBorders>
              <w:top w:val="single" w:sz="6" w:space="0" w:color="000000"/>
              <w:bottom w:val="single" w:sz="4" w:space="0" w:color="000000"/>
              <w:right w:val="single" w:sz="6" w:space="0" w:color="000000"/>
            </w:tcBorders>
          </w:tcPr>
          <w:p>
            <w:pPr>
              <w:pStyle w:val="TAC"/>
              <w:snapToGrid w:val="false"/>
              <w:rPr>
                <w:lang w:val="en-GB"/>
              </w:rPr>
            </w:pPr>
            <w:r>
              <w:rPr>
                <w:lang w:val="en-GB"/>
              </w:rPr>
            </w:r>
          </w:p>
        </w:tc>
        <w:tc>
          <w:tcPr>
            <w:tcW w:w="1276" w:type="dxa"/>
            <w:tcBorders>
              <w:top w:val="single" w:sz="6" w:space="0" w:color="000000"/>
              <w:bottom w:val="single" w:sz="4" w:space="0" w:color="000000"/>
              <w:right w:val="single" w:sz="4" w:space="0" w:color="000000"/>
            </w:tcBorders>
          </w:tcPr>
          <w:p>
            <w:pPr>
              <w:pStyle w:val="TAC"/>
              <w:rPr>
                <w:lang w:val="en-GB"/>
              </w:rPr>
            </w:pPr>
            <w:r>
              <w:rPr>
                <w:lang w:val="en-GB"/>
              </w:rPr>
              <w:t>-73</w:t>
            </w:r>
          </w:p>
        </w:tc>
      </w:tr>
    </w:tbl>
    <w:p>
      <w:pPr>
        <w:pStyle w:val="FP"/>
        <w:rPr/>
      </w:pPr>
      <w:r>
        <w:rPr/>
      </w:r>
    </w:p>
    <w:p>
      <w:pPr>
        <w:pStyle w:val="Heading3"/>
        <w:rPr/>
      </w:pPr>
      <w:bookmarkStart w:id="470" w:name="__RefHeading___Toc518035894"/>
      <w:bookmarkEnd w:id="470"/>
      <w:r>
        <w:rPr/>
        <w:t>S.1.1.2</w:t>
        <w:tab/>
        <w:t>Receiver Parameter</w:t>
      </w:r>
    </w:p>
    <w:p>
      <w:pPr>
        <w:pStyle w:val="Normal"/>
        <w:rPr>
          <w:color w:val="000000"/>
        </w:rPr>
      </w:pPr>
      <w:r>
        <w:rPr>
          <w:color w:val="000000"/>
        </w:rPr>
        <w:t>Requirements from GSM 05.05.</w:t>
      </w:r>
    </w:p>
    <w:p>
      <w:pPr>
        <w:pStyle w:val="TH"/>
        <w:rPr>
          <w:color w:val="000000"/>
        </w:rPr>
      </w:pPr>
      <w:r>
        <w:rPr>
          <w:color w:val="000000"/>
        </w:rPr>
      </w:r>
    </w:p>
    <w:tbl>
      <w:tblPr>
        <w:tblW w:w="8505" w:type="dxa"/>
        <w:jc w:val="center"/>
        <w:tblInd w:w="0" w:type="dxa"/>
        <w:tblLayout w:type="fixed"/>
        <w:tblCellMar>
          <w:top w:w="0" w:type="dxa"/>
          <w:left w:w="70" w:type="dxa"/>
          <w:bottom w:w="0" w:type="dxa"/>
          <w:right w:w="70" w:type="dxa"/>
        </w:tblCellMar>
      </w:tblPr>
      <w:tblGrid>
        <w:gridCol w:w="3969"/>
        <w:gridCol w:w="1134"/>
        <w:gridCol w:w="1134"/>
        <w:gridCol w:w="1134"/>
        <w:gridCol w:w="1134"/>
      </w:tblGrid>
      <w:tr>
        <w:trPr/>
        <w:tc>
          <w:tcPr>
            <w:tcW w:w="3969" w:type="dxa"/>
            <w:tcBorders>
              <w:right w:val="single" w:sz="4" w:space="0" w:color="000000"/>
            </w:tcBorders>
          </w:tcPr>
          <w:p>
            <w:pPr>
              <w:pStyle w:val="TAH"/>
              <w:snapToGrid w:val="false"/>
              <w:rPr>
                <w:lang w:eastAsia="en-US"/>
              </w:rPr>
            </w:pPr>
            <w:r>
              <w:rPr>
                <w:lang w:eastAsia="en-US"/>
              </w:rPr>
            </w:r>
          </w:p>
        </w:tc>
        <w:tc>
          <w:tcPr>
            <w:tcW w:w="2268" w:type="dxa"/>
            <w:gridSpan w:val="2"/>
            <w:tcBorders>
              <w:top w:val="single" w:sz="4" w:space="0" w:color="000000"/>
              <w:left w:val="single" w:sz="4" w:space="0" w:color="000000"/>
            </w:tcBorders>
          </w:tcPr>
          <w:p>
            <w:pPr>
              <w:pStyle w:val="TAH"/>
              <w:rPr/>
            </w:pPr>
            <w:r>
              <w:rPr>
                <w:lang w:eastAsia="en-US"/>
              </w:rPr>
              <w:t>GSM900</w:t>
            </w:r>
          </w:p>
        </w:tc>
        <w:tc>
          <w:tcPr>
            <w:tcW w:w="2268" w:type="dxa"/>
            <w:gridSpan w:val="2"/>
            <w:tcBorders>
              <w:top w:val="single" w:sz="4" w:space="0" w:color="000000"/>
              <w:left w:val="single" w:sz="6" w:space="0" w:color="000000"/>
              <w:right w:val="single" w:sz="4" w:space="0" w:color="000000"/>
            </w:tcBorders>
          </w:tcPr>
          <w:p>
            <w:pPr>
              <w:pStyle w:val="TAH"/>
              <w:rPr>
                <w:lang w:eastAsia="en-US"/>
              </w:rPr>
            </w:pPr>
            <w:r>
              <w:rPr>
                <w:lang w:eastAsia="en-US"/>
              </w:rPr>
              <w:t>DCS1800</w:t>
            </w:r>
          </w:p>
        </w:tc>
      </w:tr>
      <w:tr>
        <w:trPr/>
        <w:tc>
          <w:tcPr>
            <w:tcW w:w="3969" w:type="dxa"/>
            <w:tcBorders>
              <w:bottom w:val="single" w:sz="4" w:space="0" w:color="000000"/>
              <w:right w:val="single" w:sz="4" w:space="0" w:color="000000"/>
            </w:tcBorders>
          </w:tcPr>
          <w:p>
            <w:pPr>
              <w:pStyle w:val="TAH"/>
              <w:snapToGrid w:val="false"/>
              <w:rPr>
                <w:lang w:eastAsia="en-US"/>
              </w:rPr>
            </w:pPr>
            <w:r>
              <w:rPr>
                <w:lang w:eastAsia="en-US"/>
              </w:rPr>
            </w:r>
          </w:p>
        </w:tc>
        <w:tc>
          <w:tcPr>
            <w:tcW w:w="1134" w:type="dxa"/>
            <w:tcBorders>
              <w:top w:val="single" w:sz="6" w:space="0" w:color="000000"/>
              <w:left w:val="single" w:sz="4" w:space="0" w:color="000000"/>
              <w:bottom w:val="single" w:sz="4" w:space="0" w:color="000000"/>
            </w:tcBorders>
          </w:tcPr>
          <w:p>
            <w:pPr>
              <w:pStyle w:val="TAH"/>
              <w:rPr>
                <w:lang w:eastAsia="en-US"/>
              </w:rPr>
            </w:pPr>
            <w:r>
              <w:rPr>
                <w:lang w:eastAsia="en-US"/>
              </w:rPr>
              <w:t>GSM-MS</w:t>
            </w:r>
          </w:p>
        </w:tc>
        <w:tc>
          <w:tcPr>
            <w:tcW w:w="1134" w:type="dxa"/>
            <w:tcBorders>
              <w:top w:val="single" w:sz="6" w:space="0" w:color="000000"/>
              <w:bottom w:val="single" w:sz="4" w:space="0" w:color="000000"/>
              <w:right w:val="single" w:sz="6" w:space="0" w:color="000000"/>
            </w:tcBorders>
          </w:tcPr>
          <w:p>
            <w:pPr>
              <w:pStyle w:val="TAH"/>
              <w:rPr>
                <w:lang w:eastAsia="en-US"/>
              </w:rPr>
            </w:pPr>
            <w:r>
              <w:rPr>
                <w:lang w:eastAsia="en-US"/>
              </w:rPr>
              <w:t>CTS-MS/FP</w:t>
            </w:r>
          </w:p>
        </w:tc>
        <w:tc>
          <w:tcPr>
            <w:tcW w:w="1134" w:type="dxa"/>
            <w:tcBorders>
              <w:top w:val="single" w:sz="6" w:space="0" w:color="000000"/>
              <w:bottom w:val="single" w:sz="4" w:space="0" w:color="000000"/>
            </w:tcBorders>
          </w:tcPr>
          <w:p>
            <w:pPr>
              <w:pStyle w:val="TAH"/>
              <w:rPr>
                <w:lang w:eastAsia="en-US"/>
              </w:rPr>
            </w:pPr>
            <w:r>
              <w:rPr>
                <w:lang w:eastAsia="en-US"/>
              </w:rPr>
              <w:t>GSM-MS</w:t>
            </w:r>
          </w:p>
        </w:tc>
        <w:tc>
          <w:tcPr>
            <w:tcW w:w="1134" w:type="dxa"/>
            <w:tcBorders>
              <w:top w:val="single" w:sz="6" w:space="0" w:color="000000"/>
              <w:bottom w:val="single" w:sz="4" w:space="0" w:color="000000"/>
              <w:right w:val="single" w:sz="4" w:space="0" w:color="000000"/>
            </w:tcBorders>
          </w:tcPr>
          <w:p>
            <w:pPr>
              <w:pStyle w:val="TAH"/>
              <w:rPr/>
            </w:pPr>
            <w:r>
              <w:rPr>
                <w:lang w:eastAsia="en-US"/>
              </w:rPr>
              <w:t>CTS-MS/FP</w:t>
            </w:r>
          </w:p>
        </w:tc>
      </w:tr>
      <w:tr>
        <w:trPr/>
        <w:tc>
          <w:tcPr>
            <w:tcW w:w="3969" w:type="dxa"/>
            <w:tcBorders>
              <w:top w:val="single" w:sz="4" w:space="0" w:color="000000"/>
              <w:left w:val="single" w:sz="4" w:space="0" w:color="000000"/>
              <w:bottom w:val="single" w:sz="6" w:space="0" w:color="000000"/>
            </w:tcBorders>
          </w:tcPr>
          <w:p>
            <w:pPr>
              <w:pStyle w:val="TAL"/>
              <w:rPr>
                <w:lang w:val="en-GB"/>
              </w:rPr>
            </w:pPr>
            <w:r>
              <w:rPr>
                <w:lang w:val="en-GB"/>
              </w:rPr>
              <w:t xml:space="preserve">reference sensitivity [dBm] </w:t>
            </w:r>
          </w:p>
        </w:tc>
        <w:tc>
          <w:tcPr>
            <w:tcW w:w="1134" w:type="dxa"/>
            <w:tcBorders>
              <w:top w:val="single" w:sz="4" w:space="0" w:color="000000"/>
              <w:left w:val="single" w:sz="6" w:space="0" w:color="000000"/>
              <w:bottom w:val="single" w:sz="6" w:space="0" w:color="000000"/>
            </w:tcBorders>
          </w:tcPr>
          <w:p>
            <w:pPr>
              <w:pStyle w:val="TAC"/>
              <w:rPr>
                <w:lang w:val="en-GB"/>
              </w:rPr>
            </w:pPr>
            <w:r>
              <w:rPr>
                <w:lang w:val="en-GB"/>
              </w:rPr>
              <w:t>-102</w:t>
            </w:r>
          </w:p>
        </w:tc>
        <w:tc>
          <w:tcPr>
            <w:tcW w:w="1134" w:type="dxa"/>
            <w:tcBorders>
              <w:top w:val="single" w:sz="4" w:space="0" w:color="000000"/>
              <w:bottom w:val="single" w:sz="6" w:space="0" w:color="000000"/>
            </w:tcBorders>
          </w:tcPr>
          <w:p>
            <w:pPr>
              <w:pStyle w:val="TAC"/>
              <w:snapToGrid w:val="false"/>
              <w:rPr>
                <w:lang w:val="en-GB"/>
              </w:rPr>
            </w:pPr>
            <w:r>
              <w:rPr>
                <w:lang w:val="en-GB"/>
              </w:rPr>
            </w:r>
          </w:p>
        </w:tc>
        <w:tc>
          <w:tcPr>
            <w:tcW w:w="1134" w:type="dxa"/>
            <w:tcBorders>
              <w:top w:val="single" w:sz="4" w:space="0" w:color="000000"/>
              <w:left w:val="single" w:sz="6" w:space="0" w:color="000000"/>
              <w:bottom w:val="single" w:sz="6" w:space="0" w:color="000000"/>
            </w:tcBorders>
          </w:tcPr>
          <w:p>
            <w:pPr>
              <w:pStyle w:val="TAC"/>
              <w:rPr>
                <w:lang w:val="en-GB"/>
              </w:rPr>
            </w:pPr>
            <w:r>
              <w:rPr>
                <w:lang w:val="en-GB"/>
              </w:rPr>
              <w:t>-102</w:t>
            </w:r>
          </w:p>
        </w:tc>
        <w:tc>
          <w:tcPr>
            <w:tcW w:w="1134" w:type="dxa"/>
            <w:tcBorders>
              <w:top w:val="single" w:sz="4" w:space="0" w:color="000000"/>
              <w:bottom w:val="single" w:sz="6" w:space="0" w:color="000000"/>
              <w:right w:val="single" w:sz="4" w:space="0" w:color="000000"/>
            </w:tcBorders>
          </w:tcPr>
          <w:p>
            <w:pPr>
              <w:pStyle w:val="TAC"/>
              <w:snapToGrid w:val="false"/>
              <w:rPr>
                <w:lang w:val="en-GB"/>
              </w:rPr>
            </w:pPr>
            <w:r>
              <w:rPr>
                <w:lang w:val="en-GB"/>
              </w:rPr>
            </w:r>
          </w:p>
        </w:tc>
      </w:tr>
      <w:tr>
        <w:trPr/>
        <w:tc>
          <w:tcPr>
            <w:tcW w:w="3969" w:type="dxa"/>
            <w:tcBorders>
              <w:top w:val="single" w:sz="6" w:space="0" w:color="000000"/>
              <w:left w:val="single" w:sz="4" w:space="0" w:color="000000"/>
              <w:bottom w:val="single" w:sz="6" w:space="0" w:color="000000"/>
            </w:tcBorders>
          </w:tcPr>
          <w:p>
            <w:pPr>
              <w:pStyle w:val="TAL"/>
              <w:rPr/>
            </w:pPr>
            <w:r>
              <w:rPr>
                <w:lang w:val="en-GB"/>
              </w:rPr>
              <w:t>blocking [dBm]</w:t>
              <w:br/>
              <w:t xml:space="preserve">600 kHz </w:t>
            </w:r>
            <w:r>
              <w:rPr>
                <w:rFonts w:cs="Arial"/>
                <w:lang w:val="en-GB"/>
              </w:rPr>
              <w:t>≤</w:t>
            </w:r>
            <w:r>
              <w:rPr>
                <w:lang w:val="en-GB"/>
              </w:rPr>
              <w:t xml:space="preserve"> |f-f</w:t>
            </w:r>
            <w:r>
              <w:rPr>
                <w:vertAlign w:val="subscript"/>
                <w:lang w:val="en-GB"/>
              </w:rPr>
              <w:t>0</w:t>
            </w:r>
            <w:r>
              <w:rPr>
                <w:lang w:val="en-GB"/>
              </w:rPr>
              <w:t xml:space="preserve">| &lt; 1,6 MHz </w:t>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-43</w:t>
            </w:r>
          </w:p>
        </w:tc>
        <w:tc>
          <w:tcPr>
            <w:tcW w:w="1134" w:type="dxa"/>
            <w:tcBorders>
              <w:top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-43</w:t>
            </w:r>
          </w:p>
        </w:tc>
        <w:tc>
          <w:tcPr>
            <w:tcW w:w="1134" w:type="dxa"/>
            <w:tcBorders>
              <w:top w:val="single" w:sz="6" w:space="0" w:color="000000"/>
              <w:bottom w:val="single" w:sz="6" w:space="0" w:color="000000"/>
              <w:right w:val="single" w:sz="4" w:space="0" w:color="000000"/>
            </w:tcBorders>
          </w:tcPr>
          <w:p>
            <w:pPr>
              <w:pStyle w:val="TAC"/>
              <w:snapToGrid w:val="false"/>
              <w:rPr>
                <w:lang w:val="en-GB"/>
              </w:rPr>
            </w:pPr>
            <w:r>
              <w:rPr>
                <w:lang w:val="en-GB"/>
              </w:rPr>
            </w:r>
          </w:p>
        </w:tc>
      </w:tr>
      <w:tr>
        <w:trPr/>
        <w:tc>
          <w:tcPr>
            <w:tcW w:w="3969" w:type="dxa"/>
            <w:tcBorders>
              <w:top w:val="single" w:sz="6" w:space="0" w:color="000000"/>
              <w:left w:val="single" w:sz="4" w:space="0" w:color="000000"/>
              <w:bottom w:val="single" w:sz="6" w:space="0" w:color="000000"/>
            </w:tcBorders>
          </w:tcPr>
          <w:p>
            <w:pPr>
              <w:pStyle w:val="TAL"/>
              <w:rPr/>
            </w:pPr>
            <w:r>
              <w:rPr>
                <w:lang w:val="en-GB"/>
              </w:rPr>
              <w:t>blocking [dBm]</w:t>
              <w:br/>
              <w:t xml:space="preserve">1,6 MHz </w:t>
            </w:r>
            <w:r>
              <w:rPr>
                <w:rFonts w:cs="Arial"/>
                <w:lang w:val="en-GB"/>
              </w:rPr>
              <w:t>≤</w:t>
            </w:r>
            <w:r>
              <w:rPr>
                <w:lang w:val="en-GB"/>
              </w:rPr>
              <w:t xml:space="preserve"> |f-f</w:t>
            </w:r>
            <w:r>
              <w:rPr>
                <w:vertAlign w:val="subscript"/>
                <w:lang w:val="en-GB"/>
              </w:rPr>
              <w:t>0</w:t>
            </w:r>
            <w:r>
              <w:rPr>
                <w:lang w:val="en-GB"/>
              </w:rPr>
              <w:t>| &lt; 3 MHz</w:t>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-33</w:t>
            </w:r>
          </w:p>
        </w:tc>
        <w:tc>
          <w:tcPr>
            <w:tcW w:w="1134" w:type="dxa"/>
            <w:tcBorders>
              <w:top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-33</w:t>
            </w:r>
          </w:p>
        </w:tc>
        <w:tc>
          <w:tcPr>
            <w:tcW w:w="1134" w:type="dxa"/>
            <w:tcBorders>
              <w:top w:val="single" w:sz="6" w:space="0" w:color="000000"/>
              <w:bottom w:val="single" w:sz="6" w:space="0" w:color="000000"/>
              <w:right w:val="single" w:sz="4" w:space="0" w:color="000000"/>
            </w:tcBorders>
          </w:tcPr>
          <w:p>
            <w:pPr>
              <w:pStyle w:val="TAC"/>
              <w:snapToGrid w:val="false"/>
              <w:rPr>
                <w:lang w:val="en-GB"/>
              </w:rPr>
            </w:pPr>
            <w:r>
              <w:rPr>
                <w:lang w:val="en-GB"/>
              </w:rPr>
            </w:r>
          </w:p>
        </w:tc>
      </w:tr>
      <w:tr>
        <w:trPr/>
        <w:tc>
          <w:tcPr>
            <w:tcW w:w="3969" w:type="dxa"/>
            <w:tcBorders>
              <w:top w:val="single" w:sz="6" w:space="0" w:color="000000"/>
              <w:left w:val="single" w:sz="4" w:space="0" w:color="000000"/>
              <w:bottom w:val="single" w:sz="6" w:space="0" w:color="000000"/>
            </w:tcBorders>
          </w:tcPr>
          <w:p>
            <w:pPr>
              <w:pStyle w:val="TAL"/>
              <w:rPr/>
            </w:pPr>
            <w:r>
              <w:rPr>
                <w:lang w:val="en-GB"/>
              </w:rPr>
              <w:t>blocking [dBm]</w:t>
              <w:br/>
              <w:t>|f-f</w:t>
            </w:r>
            <w:r>
              <w:rPr>
                <w:vertAlign w:val="subscript"/>
                <w:lang w:val="en-GB"/>
              </w:rPr>
              <w:t>0</w:t>
            </w:r>
            <w:r>
              <w:rPr>
                <w:lang w:val="en-GB"/>
              </w:rPr>
              <w:t xml:space="preserve">| </w:t>
            </w:r>
            <w:r>
              <w:rPr>
                <w:rFonts w:cs="Arial"/>
                <w:lang w:val="en-GB"/>
              </w:rPr>
              <w:t>≥</w:t>
            </w:r>
            <w:r>
              <w:rPr>
                <w:lang w:val="en-GB"/>
              </w:rPr>
              <w:t xml:space="preserve"> 3 MHz</w:t>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-23</w:t>
            </w:r>
          </w:p>
        </w:tc>
        <w:tc>
          <w:tcPr>
            <w:tcW w:w="1134" w:type="dxa"/>
            <w:tcBorders>
              <w:top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6" w:space="0" w:color="000000"/>
            </w:tcBorders>
          </w:tcPr>
          <w:p>
            <w:pPr>
              <w:pStyle w:val="TAC"/>
              <w:rPr>
                <w:lang w:val="en-GB"/>
              </w:rPr>
            </w:pPr>
            <w:r>
              <w:rPr>
                <w:lang w:val="en-GB"/>
              </w:rPr>
              <w:t>-26</w:t>
            </w:r>
          </w:p>
        </w:tc>
        <w:tc>
          <w:tcPr>
            <w:tcW w:w="1134" w:type="dxa"/>
            <w:tcBorders>
              <w:top w:val="single" w:sz="6" w:space="0" w:color="000000"/>
              <w:bottom w:val="single" w:sz="6" w:space="0" w:color="000000"/>
              <w:right w:val="single" w:sz="4" w:space="0" w:color="000000"/>
            </w:tcBorders>
          </w:tcPr>
          <w:p>
            <w:pPr>
              <w:pStyle w:val="TAC"/>
              <w:snapToGrid w:val="false"/>
              <w:rPr>
                <w:lang w:val="en-GB"/>
              </w:rPr>
            </w:pPr>
            <w:r>
              <w:rPr>
                <w:lang w:val="en-GB"/>
              </w:rPr>
            </w:r>
          </w:p>
        </w:tc>
      </w:tr>
      <w:tr>
        <w:trPr/>
        <w:tc>
          <w:tcPr>
            <w:tcW w:w="3969" w:type="dxa"/>
            <w:tcBorders>
              <w:top w:val="single" w:sz="6" w:space="0" w:color="000000"/>
              <w:left w:val="single" w:sz="4" w:space="0" w:color="000000"/>
              <w:bottom w:val="single" w:sz="4" w:space="0" w:color="000000"/>
            </w:tcBorders>
          </w:tcPr>
          <w:p>
            <w:pPr>
              <w:pStyle w:val="TAL"/>
              <w:rPr>
                <w:lang w:val="en-GB"/>
              </w:rPr>
            </w:pPr>
            <w:r>
              <w:rPr>
                <w:lang w:val="en-GB"/>
              </w:rPr>
              <w:t>C/I [dB]</w:t>
            </w:r>
          </w:p>
        </w:tc>
        <w:tc>
          <w:tcPr>
            <w:tcW w:w="1134" w:type="dxa"/>
            <w:tcBorders>
              <w:top w:val="single" w:sz="6" w:space="0" w:color="000000"/>
              <w:left w:val="single" w:sz="6" w:space="0" w:color="000000"/>
              <w:bottom w:val="single" w:sz="4" w:space="0" w:color="000000"/>
            </w:tcBorders>
          </w:tcPr>
          <w:p>
            <w:pPr>
              <w:pStyle w:val="TAC"/>
              <w:rPr>
                <w:lang w:val="en-GB"/>
              </w:rPr>
            </w:pPr>
            <w:r>
              <w:rPr>
                <w:lang w:val="en-GB"/>
              </w:rPr>
              <w:t>9</w:t>
            </w:r>
          </w:p>
        </w:tc>
        <w:tc>
          <w:tcPr>
            <w:tcW w:w="1134" w:type="dxa"/>
            <w:tcBorders>
              <w:top w:val="single" w:sz="6" w:space="0" w:color="000000"/>
              <w:bottom w:val="single" w:sz="4" w:space="0" w:color="000000"/>
            </w:tcBorders>
          </w:tcPr>
          <w:p>
            <w:pPr>
              <w:pStyle w:val="TAC"/>
              <w:snapToGrid w:val="false"/>
              <w:rPr>
                <w:lang w:val="en-GB"/>
              </w:rPr>
            </w:pPr>
            <w:r>
              <w:rPr>
                <w:lang w:val="en-GB"/>
              </w:rPr>
            </w:r>
          </w:p>
        </w:tc>
        <w:tc>
          <w:tcPr>
            <w:tcW w:w="1134" w:type="dxa"/>
            <w:tcBorders>
              <w:top w:val="single" w:sz="6" w:space="0" w:color="000000"/>
              <w:left w:val="single" w:sz="6" w:space="0" w:color="000000"/>
              <w:bottom w:val="single" w:sz="4" w:space="0" w:color="000000"/>
            </w:tcBorders>
          </w:tcPr>
          <w:p>
            <w:pPr>
              <w:pStyle w:val="TAC"/>
              <w:rPr>
                <w:lang w:val="en-GB"/>
              </w:rPr>
            </w:pPr>
            <w:r>
              <w:rPr>
                <w:lang w:val="en-GB"/>
              </w:rPr>
              <w:t>9</w:t>
            </w:r>
          </w:p>
        </w:tc>
        <w:tc>
          <w:tcPr>
            <w:tcW w:w="1134" w:type="dxa"/>
            <w:tcBorders>
              <w:top w:val="single" w:sz="6" w:space="0" w:color="000000"/>
              <w:bottom w:val="single" w:sz="4" w:space="0" w:color="000000"/>
              <w:right w:val="single" w:sz="4" w:space="0" w:color="000000"/>
            </w:tcBorders>
          </w:tcPr>
          <w:p>
            <w:pPr>
              <w:pStyle w:val="TAC"/>
              <w:snapToGrid w:val="false"/>
              <w:rPr>
                <w:lang w:val="en-GB"/>
              </w:rPr>
            </w:pPr>
            <w:r>
              <w:rPr>
                <w:lang w:val="en-GB"/>
              </w:rPr>
            </w:r>
          </w:p>
        </w:tc>
      </w:tr>
    </w:tbl>
    <w:p>
      <w:pPr>
        <w:pStyle w:val="FP"/>
        <w:rPr/>
      </w:pPr>
      <w:r>
        <w:rPr/>
      </w:r>
    </w:p>
    <w:p>
      <w:pPr>
        <w:pStyle w:val="Normal"/>
        <w:rPr/>
      </w:pPr>
      <w:r>
        <w:rPr>
          <w:color w:val="000000"/>
        </w:rPr>
        <w:t>Preliminary assumptions for CTS: same characteristics as for a GSM-MS</w:t>
      </w:r>
      <w:r>
        <w:rPr/>
        <w:t>.</w:t>
      </w:r>
    </w:p>
    <w:p>
      <w:pPr>
        <w:pStyle w:val="TH"/>
        <w:rPr/>
      </w:pPr>
      <w:r>
        <w:rPr/>
      </w:r>
    </w:p>
    <w:tbl>
      <w:tblPr>
        <w:tblW w:w="8505" w:type="dxa"/>
        <w:jc w:val="center"/>
        <w:tblInd w:w="0" w:type="dxa"/>
        <w:tblLayout w:type="fixed"/>
        <w:tblCellMar>
          <w:top w:w="0" w:type="dxa"/>
          <w:left w:w="70" w:type="dxa"/>
          <w:bottom w:w="0" w:type="dxa"/>
          <w:right w:w="70" w:type="dxa"/>
        </w:tblCellMar>
      </w:tblPr>
      <w:tblGrid>
        <w:gridCol w:w="3969"/>
        <w:gridCol w:w="1134"/>
        <w:gridCol w:w="1134"/>
        <w:gridCol w:w="1134"/>
        <w:gridCol w:w="1134"/>
      </w:tblGrid>
      <w:tr>
        <w:trPr/>
        <w:tc>
          <w:tcPr>
            <w:tcW w:w="3969" w:type="dxa"/>
            <w:tcBorders>
              <w:right w:val="single" w:sz="4" w:space="0" w:color="000000"/>
            </w:tcBorders>
          </w:tcPr>
          <w:p>
            <w:pPr>
              <w:pStyle w:val="TAH"/>
              <w:snapToGrid w:val="false"/>
              <w:rPr>
                <w:lang w:eastAsia="en-US"/>
              </w:rPr>
            </w:pPr>
            <w:r>
              <w:rPr>
                <w:lang w:eastAsia="en-US"/>
              </w:rPr>
            </w:r>
          </w:p>
        </w:tc>
        <w:tc>
          <w:tcPr>
            <w:tcW w:w="2268" w:type="dxa"/>
            <w:gridSpan w:val="2"/>
            <w:tcBorders>
              <w:top w:val="single" w:sz="4" w:space="0" w:color="000000"/>
              <w:left w:val="single" w:sz="4" w:space="0" w:color="000000"/>
            </w:tcBorders>
          </w:tcPr>
          <w:p>
            <w:pPr>
              <w:pStyle w:val="TAH"/>
              <w:rPr>
                <w:lang w:eastAsia="en-US"/>
              </w:rPr>
            </w:pPr>
            <w:r>
              <w:rPr>
                <w:lang w:eastAsia="en-US"/>
              </w:rPr>
              <w:t>GSM900</w:t>
            </w:r>
          </w:p>
        </w:tc>
        <w:tc>
          <w:tcPr>
            <w:tcW w:w="2268" w:type="dxa"/>
            <w:gridSpan w:val="2"/>
            <w:tcBorders>
              <w:top w:val="single" w:sz="4" w:space="0" w:color="000000"/>
              <w:left w:val="single" w:sz="6" w:space="0" w:color="000000"/>
              <w:right w:val="single" w:sz="4" w:space="0" w:color="000000"/>
            </w:tcBorders>
          </w:tcPr>
          <w:p>
            <w:pPr>
              <w:pStyle w:val="TAH"/>
              <w:rPr>
                <w:lang w:eastAsia="en-US"/>
              </w:rPr>
            </w:pPr>
            <w:r>
              <w:rPr>
                <w:lang w:eastAsia="en-US"/>
              </w:rPr>
              <w:t>DCS1800</w:t>
            </w:r>
          </w:p>
        </w:tc>
      </w:tr>
      <w:tr>
        <w:trPr/>
        <w:tc>
          <w:tcPr>
            <w:tcW w:w="3969" w:type="dxa"/>
            <w:tcBorders>
              <w:bottom w:val="single" w:sz="4" w:space="0" w:color="000000"/>
            </w:tcBorders>
          </w:tcPr>
          <w:p>
            <w:pPr>
              <w:pStyle w:val="TAH"/>
              <w:snapToGrid w:val="false"/>
              <w:rPr>
                <w:lang w:eastAsia="en-US"/>
              </w:rPr>
            </w:pPr>
            <w:r>
              <w:rPr>
                <w:lang w:eastAsia="en-US"/>
              </w:rPr>
            </w:r>
          </w:p>
        </w:tc>
        <w:tc>
          <w:tcPr>
            <w:tcW w:w="1134" w:type="dxa"/>
            <w:tcBorders>
              <w:top w:val="single" w:sz="6" w:space="0" w:color="000000"/>
              <w:left w:val="single" w:sz="6" w:space="0" w:color="000000"/>
              <w:bottom w:val="single" w:sz="4" w:space="0" w:color="000000"/>
              <w:right w:val="single" w:sz="4" w:space="0" w:color="000000"/>
            </w:tcBorders>
          </w:tcPr>
          <w:p>
            <w:pPr>
              <w:pStyle w:val="TAH"/>
              <w:rPr>
                <w:lang w:eastAsia="en-US"/>
              </w:rPr>
            </w:pPr>
            <w:r>
              <w:rPr>
                <w:lang w:eastAsia="en-US"/>
              </w:rPr>
              <w:t>GSM-MS</w:t>
            </w:r>
          </w:p>
        </w:tc>
        <w:tc>
          <w:tcPr>
            <w:tcW w:w="1134" w:type="dxa"/>
            <w:tcBorders>
              <w:top w:val="single" w:sz="6" w:space="0" w:color="000000"/>
              <w:left w:val="single" w:sz="4" w:space="0" w:color="000000"/>
              <w:bottom w:val="single" w:sz="4" w:space="0" w:color="000000"/>
              <w:right w:val="single" w:sz="6" w:space="0" w:color="000000"/>
            </w:tcBorders>
          </w:tcPr>
          <w:p>
            <w:pPr>
              <w:pStyle w:val="TAH"/>
              <w:rPr>
                <w:lang w:eastAsia="en-US"/>
              </w:rPr>
            </w:pPr>
            <w:r>
              <w:rPr>
                <w:lang w:eastAsia="en-US"/>
              </w:rPr>
              <w:t>CTS-MS/FP</w:t>
            </w:r>
          </w:p>
        </w:tc>
        <w:tc>
          <w:tcPr>
            <w:tcW w:w="1134" w:type="dxa"/>
            <w:tcBorders>
              <w:top w:val="single" w:sz="6" w:space="0" w:color="000000"/>
              <w:bottom w:val="single" w:sz="4" w:space="0" w:color="000000"/>
            </w:tcBorders>
          </w:tcPr>
          <w:p>
            <w:pPr>
              <w:pStyle w:val="TAH"/>
              <w:rPr>
                <w:lang w:eastAsia="en-US"/>
              </w:rPr>
            </w:pPr>
            <w:r>
              <w:rPr>
                <w:lang w:eastAsia="en-US"/>
              </w:rPr>
              <w:t>GSM-MS</w:t>
            </w:r>
          </w:p>
        </w:tc>
        <w:tc>
          <w:tcPr>
            <w:tcW w:w="1134" w:type="dxa"/>
            <w:tcBorders>
              <w:top w:val="single" w:sz="6" w:space="0" w:color="000000"/>
              <w:bottom w:val="single" w:sz="4" w:space="0" w:color="000000"/>
              <w:right w:val="single" w:sz="4" w:space="0" w:color="000000"/>
            </w:tcBorders>
          </w:tcPr>
          <w:p>
            <w:pPr>
              <w:pStyle w:val="TAH"/>
              <w:rPr>
                <w:lang w:eastAsia="en-US"/>
              </w:rPr>
            </w:pPr>
            <w:r>
              <w:rPr>
                <w:lang w:eastAsia="en-US"/>
              </w:rPr>
              <w:t>CTS-MS/FP</w:t>
            </w:r>
          </w:p>
        </w:tc>
      </w:tr>
      <w:tr>
        <w:trPr/>
        <w:tc>
          <w:tcPr>
            <w:tcW w:w="3969" w:type="dxa"/>
            <w:tcBorders>
              <w:top w:val="single" w:sz="4" w:space="0" w:color="000000"/>
              <w:left w:val="single" w:sz="4" w:space="0" w:color="000000"/>
              <w:bottom w:val="single" w:sz="6" w:space="0" w:color="000000"/>
            </w:tcBorders>
          </w:tcPr>
          <w:p>
            <w:pPr>
              <w:pStyle w:val="TAL"/>
              <w:rPr>
                <w:lang w:val="en-GB"/>
              </w:rPr>
            </w:pPr>
            <w:r>
              <w:rPr>
                <w:lang w:val="en-GB"/>
              </w:rPr>
              <w:t xml:space="preserve">reference sensitivity [dBm] </w:t>
            </w:r>
          </w:p>
        </w:tc>
        <w:tc>
          <w:tcPr>
            <w:tcW w:w="1134" w:type="dxa"/>
            <w:tcBorders>
              <w:top w:val="single" w:sz="4" w:space="0" w:color="000000"/>
              <w:left w:val="single" w:sz="6" w:space="0" w:color="000000"/>
              <w:bottom w:val="single" w:sz="6" w:space="0" w:color="000000"/>
            </w:tcBorders>
          </w:tcPr>
          <w:p>
            <w:pPr>
              <w:pStyle w:val="TAC"/>
              <w:snapToGrid w:val="false"/>
              <w:rPr>
                <w:lang w:val="en-GB"/>
              </w:rPr>
            </w:pPr>
            <w:r>
              <w:rPr>
                <w:lang w:val="en-GB"/>
              </w:rPr>
            </w:r>
          </w:p>
        </w:tc>
        <w:tc>
          <w:tcPr>
            <w:tcW w:w="1134" w:type="dxa"/>
            <w:tcBorders>
              <w:top w:val="single" w:sz="4" w:space="0" w:color="000000"/>
              <w:bottom w:val="single" w:sz="6" w:space="0" w:color="000000"/>
            </w:tcBorders>
          </w:tcPr>
          <w:p>
            <w:pPr>
              <w:pStyle w:val="TAC"/>
              <w:rPr>
                <w:lang w:val="en-GB"/>
              </w:rPr>
            </w:pPr>
            <w:r>
              <w:rPr>
                <w:lang w:val="en-GB"/>
              </w:rPr>
              <w:t>-102</w:t>
            </w:r>
          </w:p>
        </w:tc>
        <w:tc>
          <w:tcPr>
            <w:tcW w:w="1134" w:type="dxa"/>
            <w:tcBorders>
              <w:top w:val="single" w:sz="4" w:space="0" w:color="000000"/>
              <w:left w:val="single" w:sz="6" w:space="0" w:color="000000"/>
              <w:bottom w:val="single" w:sz="6" w:space="0" w:color="000000"/>
            </w:tcBorders>
          </w:tcPr>
          <w:p>
            <w:pPr>
              <w:pStyle w:val="TAC"/>
              <w:snapToGrid w:val="false"/>
              <w:rPr>
                <w:lang w:val="en-GB"/>
              </w:rPr>
            </w:pPr>
            <w:r>
              <w:rPr>
                <w:lang w:val="en-GB"/>
              </w:rPr>
            </w:r>
          </w:p>
        </w:tc>
        <w:tc>
          <w:tcPr>
            <w:tcW w:w="1134" w:type="dxa"/>
            <w:tcBorders>
              <w:top w:val="single" w:sz="4" w:space="0" w:color="000000"/>
              <w:bottom w:val="single" w:sz="6" w:space="0" w:color="000000"/>
              <w:right w:val="single" w:sz="4" w:space="0" w:color="000000"/>
            </w:tcBorders>
          </w:tcPr>
          <w:p>
            <w:pPr>
              <w:pStyle w:val="TAC"/>
              <w:rPr>
                <w:lang w:val="en-GB"/>
              </w:rPr>
            </w:pPr>
            <w:r>
              <w:rPr>
                <w:lang w:val="en-GB"/>
              </w:rPr>
              <w:t>-102</w:t>
            </w:r>
          </w:p>
        </w:tc>
      </w:tr>
      <w:tr>
        <w:trPr/>
        <w:tc>
          <w:tcPr>
            <w:tcW w:w="3969" w:type="dxa"/>
            <w:tcBorders>
              <w:top w:val="single" w:sz="6" w:space="0" w:color="000000"/>
              <w:left w:val="single" w:sz="4" w:space="0" w:color="000000"/>
              <w:bottom w:val="single" w:sz="6" w:space="0" w:color="000000"/>
            </w:tcBorders>
          </w:tcPr>
          <w:p>
            <w:pPr>
              <w:pStyle w:val="TAL"/>
              <w:rPr/>
            </w:pPr>
            <w:r>
              <w:rPr>
                <w:lang w:val="en-GB"/>
              </w:rPr>
              <w:t>blocking [dBm]</w:t>
              <w:br/>
              <w:t xml:space="preserve">600 kHz </w:t>
            </w:r>
            <w:r>
              <w:rPr>
                <w:rFonts w:cs="Arial"/>
                <w:lang w:val="en-GB"/>
              </w:rPr>
              <w:t>≤</w:t>
            </w:r>
            <w:r>
              <w:rPr>
                <w:lang w:val="en-GB"/>
              </w:rPr>
              <w:t xml:space="preserve"> |f-f</w:t>
            </w:r>
            <w:r>
              <w:rPr>
                <w:vertAlign w:val="subscript"/>
                <w:lang w:val="en-GB"/>
              </w:rPr>
              <w:t>0</w:t>
            </w:r>
            <w:r>
              <w:rPr>
                <w:lang w:val="en-GB"/>
              </w:rPr>
              <w:t xml:space="preserve">| &lt; 1,6 MHz </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bottom w:val="single" w:sz="6" w:space="0" w:color="000000"/>
            </w:tcBorders>
          </w:tcPr>
          <w:p>
            <w:pPr>
              <w:pStyle w:val="TAC"/>
              <w:rPr>
                <w:lang w:val="en-GB"/>
              </w:rPr>
            </w:pPr>
            <w:r>
              <w:rPr>
                <w:lang w:val="en-GB"/>
              </w:rPr>
              <w:t>-43</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bottom w:val="single" w:sz="6" w:space="0" w:color="000000"/>
              <w:right w:val="single" w:sz="4" w:space="0" w:color="000000"/>
            </w:tcBorders>
          </w:tcPr>
          <w:p>
            <w:pPr>
              <w:pStyle w:val="TAC"/>
              <w:rPr>
                <w:lang w:val="en-GB"/>
              </w:rPr>
            </w:pPr>
            <w:r>
              <w:rPr>
                <w:lang w:val="en-GB"/>
              </w:rPr>
              <w:t>-43</w:t>
            </w:r>
          </w:p>
        </w:tc>
      </w:tr>
      <w:tr>
        <w:trPr/>
        <w:tc>
          <w:tcPr>
            <w:tcW w:w="3969" w:type="dxa"/>
            <w:tcBorders>
              <w:top w:val="single" w:sz="6" w:space="0" w:color="000000"/>
              <w:left w:val="single" w:sz="4" w:space="0" w:color="000000"/>
              <w:bottom w:val="single" w:sz="6" w:space="0" w:color="000000"/>
            </w:tcBorders>
          </w:tcPr>
          <w:p>
            <w:pPr>
              <w:pStyle w:val="TAL"/>
              <w:rPr/>
            </w:pPr>
            <w:r>
              <w:rPr>
                <w:lang w:val="en-GB"/>
              </w:rPr>
              <w:t>blocking [dBm]</w:t>
              <w:br/>
              <w:t xml:space="preserve">1.6 MHz </w:t>
            </w:r>
            <w:r>
              <w:rPr>
                <w:rFonts w:cs="Arial"/>
                <w:lang w:val="en-GB"/>
              </w:rPr>
              <w:t>≤</w:t>
            </w:r>
            <w:r>
              <w:rPr>
                <w:lang w:val="en-GB"/>
              </w:rPr>
              <w:t xml:space="preserve"> |f-f</w:t>
            </w:r>
            <w:r>
              <w:rPr>
                <w:vertAlign w:val="subscript"/>
                <w:lang w:val="en-GB"/>
              </w:rPr>
              <w:t>0</w:t>
            </w:r>
            <w:r>
              <w:rPr>
                <w:lang w:val="en-GB"/>
              </w:rPr>
              <w:t>| &lt; 3 MHz</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bottom w:val="single" w:sz="6" w:space="0" w:color="000000"/>
            </w:tcBorders>
          </w:tcPr>
          <w:p>
            <w:pPr>
              <w:pStyle w:val="TAC"/>
              <w:rPr>
                <w:lang w:val="en-GB"/>
              </w:rPr>
            </w:pPr>
            <w:r>
              <w:rPr>
                <w:lang w:val="en-GB"/>
              </w:rPr>
              <w:t>-33</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bottom w:val="single" w:sz="6" w:space="0" w:color="000000"/>
              <w:right w:val="single" w:sz="4" w:space="0" w:color="000000"/>
            </w:tcBorders>
          </w:tcPr>
          <w:p>
            <w:pPr>
              <w:pStyle w:val="TAC"/>
              <w:rPr>
                <w:lang w:val="en-GB"/>
              </w:rPr>
            </w:pPr>
            <w:r>
              <w:rPr>
                <w:lang w:val="en-GB"/>
              </w:rPr>
              <w:t>-33</w:t>
            </w:r>
          </w:p>
        </w:tc>
      </w:tr>
      <w:tr>
        <w:trPr/>
        <w:tc>
          <w:tcPr>
            <w:tcW w:w="3969" w:type="dxa"/>
            <w:tcBorders>
              <w:top w:val="single" w:sz="6" w:space="0" w:color="000000"/>
              <w:left w:val="single" w:sz="4" w:space="0" w:color="000000"/>
              <w:bottom w:val="single" w:sz="6" w:space="0" w:color="000000"/>
            </w:tcBorders>
          </w:tcPr>
          <w:p>
            <w:pPr>
              <w:pStyle w:val="TAL"/>
              <w:rPr/>
            </w:pPr>
            <w:r>
              <w:rPr>
                <w:lang w:val="en-GB"/>
              </w:rPr>
              <w:t>blocking [dBm]</w:t>
              <w:br/>
              <w:t>|f-f</w:t>
            </w:r>
            <w:r>
              <w:rPr>
                <w:vertAlign w:val="subscript"/>
                <w:lang w:val="en-GB"/>
              </w:rPr>
              <w:t>0</w:t>
            </w:r>
            <w:r>
              <w:rPr>
                <w:lang w:val="en-GB"/>
              </w:rPr>
              <w:t xml:space="preserve">| </w:t>
            </w:r>
            <w:r>
              <w:rPr>
                <w:rFonts w:cs="Arial"/>
                <w:lang w:val="en-GB"/>
              </w:rPr>
              <w:t>≥</w:t>
            </w:r>
            <w:r>
              <w:rPr>
                <w:lang w:val="en-GB"/>
              </w:rPr>
              <w:t xml:space="preserve"> 3 MHz</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bottom w:val="single" w:sz="6" w:space="0" w:color="000000"/>
            </w:tcBorders>
          </w:tcPr>
          <w:p>
            <w:pPr>
              <w:pStyle w:val="TAC"/>
              <w:rPr>
                <w:lang w:val="en-GB"/>
              </w:rPr>
            </w:pPr>
            <w:r>
              <w:rPr>
                <w:lang w:val="en-GB"/>
              </w:rPr>
              <w:t>-23</w:t>
            </w:r>
          </w:p>
        </w:tc>
        <w:tc>
          <w:tcPr>
            <w:tcW w:w="1134" w:type="dxa"/>
            <w:tcBorders>
              <w:top w:val="single" w:sz="6" w:space="0" w:color="000000"/>
              <w:left w:val="single" w:sz="6" w:space="0" w:color="000000"/>
              <w:bottom w:val="single" w:sz="6" w:space="0" w:color="000000"/>
            </w:tcBorders>
          </w:tcPr>
          <w:p>
            <w:pPr>
              <w:pStyle w:val="TAC"/>
              <w:snapToGrid w:val="false"/>
              <w:rPr>
                <w:lang w:val="en-GB"/>
              </w:rPr>
            </w:pPr>
            <w:r>
              <w:rPr>
                <w:lang w:val="en-GB"/>
              </w:rPr>
            </w:r>
          </w:p>
        </w:tc>
        <w:tc>
          <w:tcPr>
            <w:tcW w:w="1134" w:type="dxa"/>
            <w:tcBorders>
              <w:top w:val="single" w:sz="6" w:space="0" w:color="000000"/>
              <w:bottom w:val="single" w:sz="6" w:space="0" w:color="000000"/>
              <w:right w:val="single" w:sz="4" w:space="0" w:color="000000"/>
            </w:tcBorders>
          </w:tcPr>
          <w:p>
            <w:pPr>
              <w:pStyle w:val="TAC"/>
              <w:rPr>
                <w:lang w:val="en-GB"/>
              </w:rPr>
            </w:pPr>
            <w:r>
              <w:rPr>
                <w:lang w:val="en-GB"/>
              </w:rPr>
              <w:t>-26</w:t>
            </w:r>
          </w:p>
        </w:tc>
      </w:tr>
      <w:tr>
        <w:trPr/>
        <w:tc>
          <w:tcPr>
            <w:tcW w:w="3969" w:type="dxa"/>
            <w:tcBorders>
              <w:top w:val="single" w:sz="6" w:space="0" w:color="000000"/>
              <w:left w:val="single" w:sz="4" w:space="0" w:color="000000"/>
              <w:bottom w:val="single" w:sz="4" w:space="0" w:color="000000"/>
            </w:tcBorders>
          </w:tcPr>
          <w:p>
            <w:pPr>
              <w:pStyle w:val="TAL"/>
              <w:rPr>
                <w:lang w:val="en-GB"/>
              </w:rPr>
            </w:pPr>
            <w:r>
              <w:rPr>
                <w:lang w:val="en-GB"/>
              </w:rPr>
              <w:t>C/I [dB]</w:t>
            </w:r>
          </w:p>
        </w:tc>
        <w:tc>
          <w:tcPr>
            <w:tcW w:w="1134" w:type="dxa"/>
            <w:tcBorders>
              <w:top w:val="single" w:sz="6" w:space="0" w:color="000000"/>
              <w:left w:val="single" w:sz="6" w:space="0" w:color="000000"/>
              <w:bottom w:val="single" w:sz="4" w:space="0" w:color="000000"/>
            </w:tcBorders>
          </w:tcPr>
          <w:p>
            <w:pPr>
              <w:pStyle w:val="TAC"/>
              <w:snapToGrid w:val="false"/>
              <w:rPr>
                <w:lang w:val="en-GB"/>
              </w:rPr>
            </w:pPr>
            <w:r>
              <w:rPr>
                <w:lang w:val="en-GB"/>
              </w:rPr>
            </w:r>
          </w:p>
        </w:tc>
        <w:tc>
          <w:tcPr>
            <w:tcW w:w="1134" w:type="dxa"/>
            <w:tcBorders>
              <w:top w:val="single" w:sz="6" w:space="0" w:color="000000"/>
              <w:bottom w:val="single" w:sz="4" w:space="0" w:color="000000"/>
            </w:tcBorders>
          </w:tcPr>
          <w:p>
            <w:pPr>
              <w:pStyle w:val="TAC"/>
              <w:rPr>
                <w:lang w:val="en-GB"/>
              </w:rPr>
            </w:pPr>
            <w:r>
              <w:rPr>
                <w:lang w:val="en-GB"/>
              </w:rPr>
              <w:t>9</w:t>
            </w:r>
          </w:p>
        </w:tc>
        <w:tc>
          <w:tcPr>
            <w:tcW w:w="1134" w:type="dxa"/>
            <w:tcBorders>
              <w:top w:val="single" w:sz="6" w:space="0" w:color="000000"/>
              <w:left w:val="single" w:sz="6" w:space="0" w:color="000000"/>
              <w:bottom w:val="single" w:sz="4" w:space="0" w:color="000000"/>
            </w:tcBorders>
          </w:tcPr>
          <w:p>
            <w:pPr>
              <w:pStyle w:val="TAC"/>
              <w:snapToGrid w:val="false"/>
              <w:rPr>
                <w:lang w:val="en-GB"/>
              </w:rPr>
            </w:pPr>
            <w:r>
              <w:rPr>
                <w:lang w:val="en-GB"/>
              </w:rPr>
            </w:r>
          </w:p>
        </w:tc>
        <w:tc>
          <w:tcPr>
            <w:tcW w:w="1134" w:type="dxa"/>
            <w:tcBorders>
              <w:top w:val="single" w:sz="6" w:space="0" w:color="000000"/>
              <w:bottom w:val="single" w:sz="4" w:space="0" w:color="000000"/>
              <w:right w:val="single" w:sz="4" w:space="0" w:color="000000"/>
            </w:tcBorders>
          </w:tcPr>
          <w:p>
            <w:pPr>
              <w:pStyle w:val="TAC"/>
              <w:rPr>
                <w:lang w:val="en-GB"/>
              </w:rPr>
            </w:pPr>
            <w:r>
              <w:rPr>
                <w:lang w:val="en-GB"/>
              </w:rPr>
              <w:t>9</w:t>
            </w:r>
          </w:p>
        </w:tc>
      </w:tr>
    </w:tbl>
    <w:p>
      <w:pPr>
        <w:pStyle w:val="FP"/>
        <w:rPr/>
      </w:pPr>
      <w:r>
        <w:rPr/>
      </w:r>
    </w:p>
    <w:p>
      <w:pPr>
        <w:pStyle w:val="Heading3"/>
        <w:rPr/>
      </w:pPr>
      <w:bookmarkStart w:id="471" w:name="__RefHeading___Toc518035895"/>
      <w:bookmarkEnd w:id="471"/>
      <w:r>
        <w:rPr/>
        <w:t>S.1.1.3</w:t>
        <w:tab/>
        <w:t>Minimum coupling loss values</w:t>
      </w:r>
    </w:p>
    <w:p>
      <w:pPr>
        <w:pStyle w:val="B1"/>
        <w:tabs>
          <w:tab w:val="clear" w:pos="284"/>
          <w:tab w:val="left" w:pos="3402" w:leader="none"/>
          <w:tab w:val="left" w:pos="5103" w:leader="none"/>
        </w:tabs>
        <w:rPr/>
      </w:pPr>
      <w:r>
        <w:rPr/>
        <w:t>MCL between CTS-FP and MS:</w:t>
        <w:tab/>
        <w:t>34,5 dB</w:t>
        <w:tab/>
        <w:t>GSM900</w:t>
      </w:r>
    </w:p>
    <w:p>
      <w:pPr>
        <w:pStyle w:val="B1"/>
        <w:tabs>
          <w:tab w:val="clear" w:pos="284"/>
          <w:tab w:val="left" w:pos="3402" w:leader="none"/>
          <w:tab w:val="left" w:pos="5103" w:leader="none"/>
        </w:tabs>
        <w:rPr/>
      </w:pPr>
      <w:r>
        <w:rPr/>
        <w:t>MCL between CTS-FP and MS:</w:t>
        <w:tab/>
        <w:t>40 dB</w:t>
        <w:tab/>
        <w:t>DCS1800</w:t>
      </w:r>
    </w:p>
    <w:p>
      <w:pPr>
        <w:pStyle w:val="Normal"/>
        <w:rPr/>
      </w:pPr>
      <w:r>
        <w:rPr/>
        <w:t>These values include 3 dB body loss.</w:t>
      </w:r>
    </w:p>
    <w:p>
      <w:pPr>
        <w:pStyle w:val="Heading3"/>
        <w:rPr/>
      </w:pPr>
      <w:bookmarkStart w:id="472" w:name="__RefHeading___Toc518035896"/>
      <w:bookmarkStart w:id="473" w:name="_Ref438870122"/>
      <w:bookmarkEnd w:id="472"/>
      <w:r>
        <w:rPr/>
        <w:t>S.1.1.4</w:t>
        <w:tab/>
      </w:r>
      <w:bookmarkStart w:id="474" w:name="_Ref434522021"/>
      <w:r>
        <w:rPr/>
        <w:t>Path loss models</w:t>
      </w:r>
      <w:bookmarkEnd w:id="473"/>
      <w:bookmarkEnd w:id="474"/>
    </w:p>
    <w:p>
      <w:pPr>
        <w:pStyle w:val="Normal"/>
        <w:rPr/>
      </w:pPr>
      <w:r>
        <w:rPr/>
        <w:t>Pathloss indoor propagation:</w:t>
      </w:r>
    </w:p>
    <w:p>
      <w:pPr>
        <w:pStyle w:val="B1"/>
        <w:tabs>
          <w:tab w:val="clear" w:pos="284"/>
          <w:tab w:val="left" w:pos="3402" w:leader="none"/>
        </w:tabs>
        <w:rPr>
          <w:lang w:val="da-DK"/>
        </w:rPr>
      </w:pPr>
      <w:r>
        <w:rPr>
          <w:lang w:val="da-DK"/>
        </w:rPr>
        <w:t>L = 31,5 + 20 lg(d) + 0,9 d [dB]</w:t>
        <w:tab/>
        <w:t>GSM900</w:t>
      </w:r>
    </w:p>
    <w:p>
      <w:pPr>
        <w:pStyle w:val="B1"/>
        <w:tabs>
          <w:tab w:val="clear" w:pos="284"/>
          <w:tab w:val="left" w:pos="3402" w:leader="none"/>
        </w:tabs>
        <w:rPr>
          <w:lang w:val="en-US"/>
        </w:rPr>
      </w:pPr>
      <w:r>
        <w:rPr>
          <w:lang w:val="en-US"/>
        </w:rPr>
        <w:t>L  = 37,5 + 20 lg(d) + 0,9 d [dB]</w:t>
        <w:tab/>
        <w:t>DCS1800</w:t>
      </w:r>
    </w:p>
    <w:p>
      <w:pPr>
        <w:pStyle w:val="Normal"/>
        <w:rPr>
          <w:color w:val="000000"/>
        </w:rPr>
      </w:pPr>
      <w:r>
        <w:rPr>
          <w:color w:val="000000"/>
        </w:rPr>
        <w:t>For GSM-MSs and CTS-MSs 3dB body loss is added to the pathloss in the calculations.</w:t>
      </w:r>
    </w:p>
    <w:p>
      <w:pPr>
        <w:pStyle w:val="Heading3"/>
        <w:rPr/>
      </w:pPr>
      <w:bookmarkStart w:id="475" w:name="__RefHeading___Toc518035897"/>
      <w:bookmarkEnd w:id="475"/>
      <w:r>
        <w:rPr/>
        <w:t>S.1.1.5</w:t>
        <w:tab/>
        <w:t>Margins</w:t>
      </w:r>
    </w:p>
    <w:p>
      <w:pPr>
        <w:pStyle w:val="B1"/>
        <w:tabs>
          <w:tab w:val="clear" w:pos="284"/>
          <w:tab w:val="left" w:pos="5103" w:leader="none"/>
        </w:tabs>
        <w:rPr/>
      </w:pPr>
      <w:r>
        <w:rPr/>
        <w:t>Multiple interference margin (MIM) 4 interfering carriers</w:t>
        <w:tab/>
        <w:t>-6 dB</w:t>
      </w:r>
    </w:p>
    <w:p>
      <w:pPr>
        <w:pStyle w:val="B1"/>
        <w:tabs>
          <w:tab w:val="clear" w:pos="284"/>
          <w:tab w:val="left" w:pos="5103" w:leader="none"/>
        </w:tabs>
        <w:rPr/>
      </w:pPr>
      <w:r>
        <w:rPr/>
        <w:t>Multiple interference margin (MIM) &gt;4 interfering carriers</w:t>
        <w:tab/>
        <w:t>-10 dB</w:t>
      </w:r>
    </w:p>
    <w:p>
      <w:pPr>
        <w:pStyle w:val="B1"/>
        <w:tabs>
          <w:tab w:val="clear" w:pos="284"/>
          <w:tab w:val="left" w:pos="5103" w:leader="none"/>
        </w:tabs>
        <w:rPr/>
      </w:pPr>
      <w:r>
        <w:rPr/>
        <w:t>MS margin (MSM) for 5% affected mobiles</w:t>
        <w:tab/>
        <w:t>10 dB</w:t>
      </w:r>
    </w:p>
    <w:p>
      <w:pPr>
        <w:pStyle w:val="B1"/>
        <w:tabs>
          <w:tab w:val="clear" w:pos="284"/>
          <w:tab w:val="left" w:pos="5103" w:leader="none"/>
        </w:tabs>
        <w:rPr/>
      </w:pPr>
      <w:r>
        <w:rPr/>
        <w:t>MS margin (MSM) for 10% affected mobiles</w:t>
        <w:tab/>
        <w:t>15 dB</w:t>
      </w:r>
    </w:p>
    <w:p>
      <w:pPr>
        <w:pStyle w:val="Heading1"/>
        <w:ind w:left="1134" w:hanging="1134"/>
        <w:rPr/>
      </w:pPr>
      <w:bookmarkStart w:id="476" w:name="__RefHeading___Toc518035898"/>
      <w:bookmarkEnd w:id="476"/>
      <w:r>
        <w:rPr/>
        <w:t>S.2</w:t>
        <w:tab/>
        <w:t>Transmitter characteristics</w:t>
      </w:r>
    </w:p>
    <w:p>
      <w:pPr>
        <w:pStyle w:val="Heading2"/>
        <w:rPr/>
      </w:pPr>
      <w:bookmarkStart w:id="477" w:name="__RefHeading___Toc518035899"/>
      <w:bookmarkEnd w:id="477"/>
      <w:r>
        <w:rPr/>
        <w:t>S.2.1</w:t>
        <w:tab/>
        <w:t>Maximum CTS-FP Transmit Power limited by MS blocking</w:t>
      </w:r>
    </w:p>
    <w:p>
      <w:pPr>
        <w:pStyle w:val="Normal"/>
        <w:rPr/>
      </w:pPr>
      <w:r>
        <w:rPr/>
        <w:t>An upper limit for the maximum transmit power of the CTS-FP TxPwr</w:t>
      </w:r>
      <w:r>
        <w:rPr>
          <w:vertAlign w:val="subscript"/>
        </w:rPr>
        <w:t>max</w:t>
      </w:r>
      <w:r>
        <w:rPr/>
        <w:t xml:space="preserve"> is given, according to the calculations in SMG2 Tdoc 144/92 for indoor cells,  by the blocking of an uncoordinated MS for:</w:t>
      </w:r>
    </w:p>
    <w:p>
      <w:pPr>
        <w:pStyle w:val="B1"/>
        <w:rPr/>
      </w:pPr>
      <w:r>
        <w:rPr/>
        <w:t>&gt; 3 MHz frequency separation (compare SMG2 WPB Tdoc 188/98).</w:t>
      </w:r>
    </w:p>
    <w:p>
      <w:pPr>
        <w:pStyle w:val="Normal"/>
        <w:rPr/>
      </w:pPr>
      <w:r>
        <w:rPr/>
        <w:t>This maximum TxPwr</w:t>
      </w:r>
      <w:r>
        <w:rPr>
          <w:vertAlign w:val="subscript"/>
        </w:rPr>
        <w:t>max</w:t>
      </w:r>
      <w:r>
        <w:rPr/>
        <w:t xml:space="preserve"> is:</w:t>
      </w:r>
    </w:p>
    <w:p>
      <w:pPr>
        <w:pStyle w:val="EX"/>
        <w:rPr/>
      </w:pPr>
      <w:r>
        <w:rPr>
          <w:b/>
        </w:rPr>
        <w:tab/>
        <w:t>TxPwr</w:t>
      </w:r>
      <w:r>
        <w:rPr>
          <w:b/>
          <w:vertAlign w:val="subscript"/>
        </w:rPr>
        <w:t>max</w:t>
      </w:r>
      <w:r>
        <w:rPr>
          <w:b/>
        </w:rPr>
        <w:t xml:space="preserve"> = MS blocking level + MCL + MSM - MIM.</w:t>
      </w:r>
    </w:p>
    <w:p>
      <w:pPr>
        <w:pStyle w:val="Normal"/>
        <w:rPr>
          <w:i/>
          <w:i/>
        </w:rPr>
      </w:pPr>
      <w:r>
        <w:rPr>
          <w:i/>
        </w:rPr>
        <w:t>For GSM900:</w:t>
      </w:r>
    </w:p>
    <w:p>
      <w:pPr>
        <w:pStyle w:val="Normal"/>
        <w:rPr/>
      </w:pPr>
      <w:r>
        <w:rPr/>
        <w:t>Taking into account that the CTS-FP is a one-carrier BS and using 10 dB MSM the maximum transmit power is:</w:t>
      </w:r>
    </w:p>
    <w:p>
      <w:pPr>
        <w:pStyle w:val="EX"/>
        <w:tabs>
          <w:tab w:val="clear" w:pos="284"/>
          <w:tab w:val="left" w:pos="6804" w:leader="none"/>
        </w:tabs>
        <w:rPr/>
      </w:pPr>
      <w:r>
        <w:rPr>
          <w:b/>
        </w:rPr>
        <w:tab/>
        <w:t>TxPwr</w:t>
      </w:r>
      <w:r>
        <w:rPr>
          <w:b/>
          <w:vertAlign w:val="subscript"/>
        </w:rPr>
        <w:t>max</w:t>
      </w:r>
      <w:r>
        <w:rPr/>
        <w:t xml:space="preserve"> [dBm] = -23 + 34,5 + 10 = </w:t>
      </w:r>
      <w:r>
        <w:rPr>
          <w:b/>
        </w:rPr>
        <w:t>+21,5 dBm</w:t>
      </w:r>
      <w:r>
        <w:rPr/>
        <w:tab/>
        <w:t>GSM900</w:t>
      </w:r>
    </w:p>
    <w:p>
      <w:pPr>
        <w:pStyle w:val="Normal"/>
        <w:rPr/>
      </w:pPr>
      <w:r>
        <w:rPr/>
        <w:t>Assuming a multiple interferer condition with four CTS-FPs located around an uncoordinated GSM-MS at minimum loss condition (6 dB MIM):</w:t>
      </w:r>
    </w:p>
    <w:p>
      <w:pPr>
        <w:pStyle w:val="EX"/>
        <w:tabs>
          <w:tab w:val="clear" w:pos="284"/>
          <w:tab w:val="left" w:pos="6804" w:leader="none"/>
        </w:tabs>
        <w:rPr/>
      </w:pPr>
      <w:r>
        <w:rPr>
          <w:b/>
        </w:rPr>
        <w:tab/>
        <w:t>TxPwr</w:t>
      </w:r>
      <w:r>
        <w:rPr>
          <w:b/>
          <w:vertAlign w:val="subscript"/>
        </w:rPr>
        <w:t>max</w:t>
      </w:r>
      <w:r>
        <w:rPr/>
        <w:t xml:space="preserve"> [dBm] = -23 + 34,5 + 10 - 6 = </w:t>
      </w:r>
      <w:r>
        <w:rPr>
          <w:b/>
        </w:rPr>
        <w:t>+15,5 dBm</w:t>
      </w:r>
      <w:r>
        <w:rPr/>
        <w:tab/>
        <w:t>GSM900</w:t>
      </w:r>
    </w:p>
    <w:p>
      <w:pPr>
        <w:pStyle w:val="Normal"/>
        <w:rPr/>
      </w:pPr>
      <w:r>
        <w:rPr/>
        <w:t>Considering the measurement based statistics for indoor cells of SMG2 Tdoc 32/97 which tolerates 10% affected mobiles a MSM of 15 dB has to be used instead of 10 dB</w:t>
      </w:r>
    </w:p>
    <w:p>
      <w:pPr>
        <w:pStyle w:val="EX"/>
        <w:tabs>
          <w:tab w:val="clear" w:pos="284"/>
          <w:tab w:val="left" w:pos="6804" w:leader="none"/>
        </w:tabs>
        <w:rPr/>
      </w:pPr>
      <w:r>
        <w:rPr>
          <w:b/>
        </w:rPr>
        <w:tab/>
        <w:t>TxPwr</w:t>
      </w:r>
      <w:r>
        <w:rPr>
          <w:b/>
          <w:vertAlign w:val="subscript"/>
        </w:rPr>
        <w:t>max</w:t>
      </w:r>
      <w:r>
        <w:rPr/>
        <w:t xml:space="preserve"> [dBm] = -23 + 34,5 + 15 - 6 = </w:t>
      </w:r>
      <w:r>
        <w:rPr>
          <w:b/>
        </w:rPr>
        <w:t>+20,5 dBm</w:t>
      </w:r>
      <w:r>
        <w:rPr/>
        <w:tab/>
        <w:t>GSM900</w:t>
      </w:r>
    </w:p>
    <w:p>
      <w:pPr>
        <w:pStyle w:val="Normal"/>
        <w:rPr>
          <w:i/>
          <w:i/>
        </w:rPr>
      </w:pPr>
      <w:r>
        <w:rPr>
          <w:i/>
        </w:rPr>
        <w:t>For DCS1800:</w:t>
      </w:r>
    </w:p>
    <w:p>
      <w:pPr>
        <w:pStyle w:val="Normal"/>
        <w:rPr/>
      </w:pPr>
      <w:r>
        <w:rPr/>
        <w:t>Taking into account the CTS-FP as a one-carrier BS and 10dB MSM the maximum transmit power is:</w:t>
      </w:r>
    </w:p>
    <w:p>
      <w:pPr>
        <w:pStyle w:val="EX"/>
        <w:tabs>
          <w:tab w:val="clear" w:pos="284"/>
          <w:tab w:val="left" w:pos="6804" w:leader="none"/>
        </w:tabs>
        <w:rPr/>
      </w:pPr>
      <w:r>
        <w:rPr>
          <w:b/>
        </w:rPr>
        <w:tab/>
        <w:t>TxPwr</w:t>
      </w:r>
      <w:r>
        <w:rPr>
          <w:b/>
          <w:vertAlign w:val="subscript"/>
        </w:rPr>
        <w:t>max</w:t>
      </w:r>
      <w:r>
        <w:rPr/>
        <w:t xml:space="preserve"> [dBm] = -26 + 40 + 10 = </w:t>
      </w:r>
      <w:r>
        <w:rPr>
          <w:b/>
        </w:rPr>
        <w:t>+24 dBm</w:t>
      </w:r>
      <w:r>
        <w:rPr/>
        <w:tab/>
        <w:t>DCS1800</w:t>
      </w:r>
    </w:p>
    <w:p>
      <w:pPr>
        <w:pStyle w:val="Normal"/>
        <w:rPr/>
      </w:pPr>
      <w:r>
        <w:rPr/>
        <w:t>Assuming a multiple interferer condition with four CTS-FPs located around an uncoordinated GSM-MS at minimum loss condition (6 dB MIM):</w:t>
      </w:r>
    </w:p>
    <w:p>
      <w:pPr>
        <w:pStyle w:val="EX"/>
        <w:tabs>
          <w:tab w:val="clear" w:pos="284"/>
          <w:tab w:val="left" w:pos="6804" w:leader="none"/>
        </w:tabs>
        <w:rPr/>
      </w:pPr>
      <w:r>
        <w:rPr>
          <w:b/>
        </w:rPr>
        <w:tab/>
        <w:t>TxPwr</w:t>
      </w:r>
      <w:r>
        <w:rPr>
          <w:b/>
          <w:vertAlign w:val="subscript"/>
        </w:rPr>
        <w:t>max</w:t>
      </w:r>
      <w:r>
        <w:rPr/>
        <w:t xml:space="preserve"> [dBm] = -26 + 40 + 10 - 6 = </w:t>
      </w:r>
      <w:r>
        <w:rPr>
          <w:b/>
        </w:rPr>
        <w:t>+18 dBm</w:t>
      </w:r>
      <w:r>
        <w:rPr/>
        <w:tab/>
        <w:t>DCS1800</w:t>
      </w:r>
    </w:p>
    <w:p>
      <w:pPr>
        <w:pStyle w:val="Normal"/>
        <w:rPr/>
      </w:pPr>
      <w:r>
        <w:rPr/>
        <w:t>Considering the measurement based statistics for indoor cells of SMG2 Tdoc 32/97 which tolerates 10% affected mobiles a MSM of 15 dB has to be used instead of 10 dB:</w:t>
      </w:r>
    </w:p>
    <w:p>
      <w:pPr>
        <w:pStyle w:val="EX"/>
        <w:tabs>
          <w:tab w:val="clear" w:pos="284"/>
          <w:tab w:val="left" w:pos="6804" w:leader="none"/>
        </w:tabs>
        <w:rPr/>
      </w:pPr>
      <w:r>
        <w:rPr>
          <w:b/>
        </w:rPr>
        <w:tab/>
        <w:t>TxPwr</w:t>
      </w:r>
      <w:r>
        <w:rPr>
          <w:b/>
          <w:vertAlign w:val="subscript"/>
        </w:rPr>
        <w:t>max</w:t>
      </w:r>
      <w:r>
        <w:rPr/>
        <w:t xml:space="preserve"> [dBm] = -26 + 40 + 15 - 6 = </w:t>
      </w:r>
      <w:r>
        <w:rPr>
          <w:b/>
        </w:rPr>
        <w:t>+23 dBm</w:t>
      </w:r>
      <w:r>
        <w:rPr/>
        <w:tab/>
        <w:t>DCS1800</w:t>
      </w:r>
    </w:p>
    <w:p>
      <w:pPr>
        <w:pStyle w:val="Normal"/>
        <w:rPr/>
      </w:pPr>
      <w:r>
        <w:rPr/>
        <w:t>The calculated maximum transmit power levels are in the range from +15 dBm to +20 dBm for GSM900 and from +18 dBm to +24 dBm for DCS1800. A further requirement can be deduced from spectrum due to modulation and wideband noise which will be considered below.</w:t>
      </w:r>
    </w:p>
    <w:p>
      <w:pPr>
        <w:pStyle w:val="Heading2"/>
        <w:rPr/>
      </w:pPr>
      <w:bookmarkStart w:id="478" w:name="__RefHeading___Toc518035900"/>
      <w:bookmarkEnd w:id="478"/>
      <w:r>
        <w:rPr/>
        <w:t>S.2.2</w:t>
        <w:tab/>
        <w:t>Maximum CTS-FP Transmit Power limited by Spectrum due to Modulation and WBN</w:t>
      </w:r>
    </w:p>
    <w:p>
      <w:pPr>
        <w:pStyle w:val="Normal"/>
        <w:rPr/>
      </w:pPr>
      <w:r>
        <w:rPr/>
        <w:t>Again the TxPwr</w:t>
      </w:r>
      <w:r>
        <w:rPr>
          <w:vertAlign w:val="subscript"/>
        </w:rPr>
        <w:t>max</w:t>
      </w:r>
      <w:r>
        <w:rPr/>
        <w:t xml:space="preserve"> limit will be given by the requirement not to degrade the receiver performance of an uncoordinated MS. For small cell environments (SMG2 Tdoc 63/92) the maximum allowed wideband noise in a 100kHz measurement bandwidth for &gt;= 1.8MHz frequency separation is:</w:t>
      </w:r>
    </w:p>
    <w:p>
      <w:pPr>
        <w:pStyle w:val="EX"/>
        <w:jc w:val="center"/>
        <w:rPr>
          <w:b/>
          <w:b/>
        </w:rPr>
      </w:pPr>
      <w:r>
        <w:rPr>
          <w:b/>
        </w:rPr>
        <w:t>Wideband noise = MS ref. sens. - C/N + MCL - MIM + MSM + conv. fac. (200 -&gt; 100 kHz)</w:t>
      </w:r>
    </w:p>
    <w:p>
      <w:pPr>
        <w:pStyle w:val="Normal"/>
        <w:rPr>
          <w:i/>
          <w:i/>
        </w:rPr>
      </w:pPr>
      <w:r>
        <w:rPr>
          <w:i/>
        </w:rPr>
        <w:t>For GSM900:</w:t>
      </w:r>
    </w:p>
    <w:p>
      <w:pPr>
        <w:pStyle w:val="Normal"/>
        <w:rPr/>
      </w:pPr>
      <w:r>
        <w:rPr/>
        <w:t>Considering the MSM from SMG2 Tdoc 32/97 and the CTS-FP as single carrier BS:</w:t>
      </w:r>
    </w:p>
    <w:p>
      <w:pPr>
        <w:pStyle w:val="EX"/>
        <w:tabs>
          <w:tab w:val="clear" w:pos="284"/>
          <w:tab w:val="left" w:pos="6804" w:leader="none"/>
        </w:tabs>
        <w:rPr/>
      </w:pPr>
      <w:r>
        <w:rPr>
          <w:b/>
        </w:rPr>
        <w:t>Max. wideband noise</w:t>
      </w:r>
      <w:r>
        <w:rPr/>
        <w:t xml:space="preserve"> [dBm] = -102 - 9 + 34,5 - 0 + 15 </w:t>
        <w:noBreakHyphen/>
        <w:t xml:space="preserve"> 3 = </w:t>
      </w:r>
      <w:r>
        <w:rPr>
          <w:b/>
        </w:rPr>
        <w:t>-64,5 dBm</w:t>
        <w:tab/>
      </w:r>
      <w:r>
        <w:rPr/>
        <w:t>GSM900</w:t>
      </w:r>
    </w:p>
    <w:p>
      <w:pPr>
        <w:pStyle w:val="Normal"/>
        <w:rPr/>
      </w:pPr>
      <w:r>
        <w:rPr/>
        <w:t>For a multiple interferer situation with 4 CTS-FPs in close proximity:</w:t>
      </w:r>
    </w:p>
    <w:p>
      <w:pPr>
        <w:pStyle w:val="EX"/>
        <w:tabs>
          <w:tab w:val="clear" w:pos="284"/>
          <w:tab w:val="left" w:pos="6804" w:leader="none"/>
        </w:tabs>
        <w:rPr/>
      </w:pPr>
      <w:r>
        <w:rPr>
          <w:b/>
        </w:rPr>
        <w:t>Max. wideband noise</w:t>
      </w:r>
      <w:r>
        <w:rPr/>
        <w:t xml:space="preserve"> [dBm] = -102 - 9 + 34,5 - 6 + 15 - 3 = </w:t>
      </w:r>
      <w:r>
        <w:rPr>
          <w:b/>
        </w:rPr>
        <w:t>-70,5 dBm</w:t>
        <w:tab/>
      </w:r>
      <w:r>
        <w:rPr/>
        <w:t>GSM900</w:t>
      </w:r>
    </w:p>
    <w:p>
      <w:pPr>
        <w:pStyle w:val="Normal"/>
        <w:rPr>
          <w:i/>
          <w:i/>
        </w:rPr>
      </w:pPr>
      <w:r>
        <w:rPr>
          <w:i/>
        </w:rPr>
        <w:t>For DCS1800:</w:t>
      </w:r>
    </w:p>
    <w:p>
      <w:pPr>
        <w:pStyle w:val="Normal"/>
        <w:rPr/>
      </w:pPr>
      <w:r>
        <w:rPr/>
        <w:t>Considering the MSM from SMG2 Tdoc 32/97 and the CTS-FP as single carrier BS:</w:t>
      </w:r>
    </w:p>
    <w:p>
      <w:pPr>
        <w:pStyle w:val="EX"/>
        <w:tabs>
          <w:tab w:val="clear" w:pos="284"/>
          <w:tab w:val="left" w:pos="6804" w:leader="none"/>
        </w:tabs>
        <w:rPr/>
      </w:pPr>
      <w:r>
        <w:rPr>
          <w:b/>
        </w:rPr>
        <w:t>Max wideband noise</w:t>
      </w:r>
      <w:r>
        <w:rPr/>
        <w:t xml:space="preserve"> [dBm] = -102 - 9 + 40 - 0 + 15 </w:t>
        <w:noBreakHyphen/>
        <w:t xml:space="preserve"> 3 = </w:t>
      </w:r>
      <w:r>
        <w:rPr>
          <w:b/>
        </w:rPr>
        <w:t>-59 dBm</w:t>
        <w:tab/>
      </w:r>
      <w:r>
        <w:rPr/>
        <w:t>DCS1800</w:t>
      </w:r>
    </w:p>
    <w:p>
      <w:pPr>
        <w:pStyle w:val="Normal"/>
        <w:rPr/>
      </w:pPr>
      <w:r>
        <w:rPr/>
        <w:t>For a multiple interferer situation with 4 CTS-FPs in close proximity:</w:t>
      </w:r>
    </w:p>
    <w:p>
      <w:pPr>
        <w:pStyle w:val="EX"/>
        <w:tabs>
          <w:tab w:val="clear" w:pos="284"/>
          <w:tab w:val="left" w:pos="6804" w:leader="none"/>
        </w:tabs>
        <w:rPr/>
      </w:pPr>
      <w:r>
        <w:rPr>
          <w:b/>
        </w:rPr>
        <w:t>Max. wideband noise</w:t>
      </w:r>
      <w:r>
        <w:rPr/>
        <w:t xml:space="preserve"> [dBm] = -102 - 9 + 40 - 6 + 15 </w:t>
        <w:noBreakHyphen/>
        <w:t xml:space="preserve"> 3 = </w:t>
      </w:r>
      <w:r>
        <w:rPr>
          <w:b/>
        </w:rPr>
        <w:t>-65 dBm</w:t>
        <w:tab/>
      </w:r>
      <w:r>
        <w:rPr/>
        <w:t>DCS1800</w:t>
      </w:r>
    </w:p>
    <w:p>
      <w:pPr>
        <w:pStyle w:val="Normal"/>
        <w:rPr/>
      </w:pPr>
      <w:r>
        <w:rPr/>
        <w:t>For a multiple interferer condition four active CTS-FPs using the same timeslot as an interfered MS have to be located in close proximity to the MS. This situation is very unlikely taking into account that all four CTS-FPs are not synchronised and must all affect the one distinct timeslot used by the MS. Therefore, this situation  is not considered furthermore.</w:t>
      </w:r>
    </w:p>
    <w:p>
      <w:pPr>
        <w:pStyle w:val="Normal"/>
        <w:rPr/>
      </w:pPr>
      <w:r>
        <w:rPr/>
        <w:t>From the maximum allowed wideband noise the maximum transmit power of the CTS-FP can be calculated using the spectrum mask values taken as an assumption for the CTS-FP:</w:t>
      </w:r>
    </w:p>
    <w:p>
      <w:pPr>
        <w:pStyle w:val="EX"/>
        <w:rPr/>
      </w:pPr>
      <w:r>
        <w:rPr/>
        <w:t>TxPwr</w:t>
      </w:r>
      <w:r>
        <w:rPr>
          <w:vertAlign w:val="subscript"/>
        </w:rPr>
        <w:t>max</w:t>
      </w:r>
      <w:r>
        <w:rPr/>
        <w:t xml:space="preserve"> [dBm] = max. wideband noise - Spectrum due to modulation with respect to</w:t>
        <w:br/>
        <w:t>30 kHz bandwidth on carrier + conv. fac. (200 kHz -&gt; 30 kHz).</w:t>
      </w:r>
    </w:p>
    <w:p>
      <w:pPr>
        <w:pStyle w:val="Normal"/>
        <w:rPr/>
      </w:pPr>
      <w:r>
        <w:rPr/>
        <w:t>For frequency separation &gt;= 1,8 MHz and &lt; 3 MHz:</w:t>
      </w:r>
    </w:p>
    <w:p>
      <w:pPr>
        <w:pStyle w:val="EX"/>
        <w:tabs>
          <w:tab w:val="clear" w:pos="284"/>
          <w:tab w:val="left" w:pos="6804" w:leader="none"/>
        </w:tabs>
        <w:rPr/>
      </w:pPr>
      <w:r>
        <w:rPr>
          <w:b/>
        </w:rPr>
        <w:tab/>
        <w:t>TxPwr</w:t>
      </w:r>
      <w:r>
        <w:rPr>
          <w:b/>
          <w:vertAlign w:val="subscript"/>
        </w:rPr>
        <w:t>max</w:t>
      </w:r>
      <w:r>
        <w:rPr/>
        <w:t xml:space="preserve"> [dBm] = -64,5 + 63 + 8 = </w:t>
      </w:r>
      <w:r>
        <w:rPr>
          <w:b/>
        </w:rPr>
        <w:t>+6,5 dBm</w:t>
        <w:tab/>
      </w:r>
      <w:r>
        <w:rPr/>
        <w:t>GSM900</w:t>
      </w:r>
    </w:p>
    <w:p>
      <w:pPr>
        <w:pStyle w:val="EX"/>
        <w:tabs>
          <w:tab w:val="clear" w:pos="284"/>
          <w:tab w:val="left" w:pos="6804" w:leader="none"/>
        </w:tabs>
        <w:rPr/>
      </w:pPr>
      <w:r>
        <w:rPr>
          <w:b/>
        </w:rPr>
        <w:tab/>
        <w:t>TxPwr</w:t>
      </w:r>
      <w:r>
        <w:rPr>
          <w:b/>
          <w:vertAlign w:val="subscript"/>
        </w:rPr>
        <w:t>max</w:t>
      </w:r>
      <w:r>
        <w:rPr/>
        <w:t xml:space="preserve"> [dBm] = -59 + 59 + 8 = </w:t>
      </w:r>
      <w:r>
        <w:rPr>
          <w:b/>
        </w:rPr>
        <w:t>+8 dBm</w:t>
        <w:tab/>
      </w:r>
      <w:r>
        <w:rPr/>
        <w:t>DCS1800</w:t>
      </w:r>
    </w:p>
    <w:p>
      <w:pPr>
        <w:pStyle w:val="Normal"/>
        <w:rPr/>
      </w:pPr>
      <w:r>
        <w:rPr/>
        <w:t>For  frequency separation &gt;= 3 MHz and &lt; 6 MHz:</w:t>
      </w:r>
    </w:p>
    <w:p>
      <w:pPr>
        <w:pStyle w:val="EX"/>
        <w:tabs>
          <w:tab w:val="clear" w:pos="284"/>
          <w:tab w:val="left" w:pos="6804" w:leader="none"/>
        </w:tabs>
        <w:rPr/>
      </w:pPr>
      <w:r>
        <w:rPr>
          <w:b/>
        </w:rPr>
        <w:tab/>
        <w:t>TxPwr</w:t>
      </w:r>
      <w:r>
        <w:rPr>
          <w:b/>
          <w:vertAlign w:val="subscript"/>
        </w:rPr>
        <w:t>max</w:t>
      </w:r>
      <w:r>
        <w:rPr/>
        <w:t xml:space="preserve"> [dBm] = -64,5 + 65 + 8 = </w:t>
      </w:r>
      <w:r>
        <w:rPr>
          <w:b/>
        </w:rPr>
        <w:t>+8,5 dBm</w:t>
        <w:tab/>
      </w:r>
      <w:r>
        <w:rPr/>
        <w:t>GSM900</w:t>
      </w:r>
    </w:p>
    <w:p>
      <w:pPr>
        <w:pStyle w:val="EX"/>
        <w:tabs>
          <w:tab w:val="clear" w:pos="284"/>
          <w:tab w:val="left" w:pos="6804" w:leader="none"/>
        </w:tabs>
        <w:rPr>
          <w:b/>
          <w:b/>
        </w:rPr>
      </w:pPr>
      <w:r>
        <w:rPr>
          <w:b/>
        </w:rPr>
        <w:tab/>
        <w:t>TxPwr</w:t>
      </w:r>
      <w:r>
        <w:rPr>
          <w:b/>
          <w:vertAlign w:val="subscript"/>
        </w:rPr>
        <w:t>max</w:t>
      </w:r>
      <w:r>
        <w:rPr/>
        <w:t xml:space="preserve"> [dBm] = -59 + 59 + 8 = </w:t>
      </w:r>
      <w:r>
        <w:rPr>
          <w:b/>
        </w:rPr>
        <w:t>+8 dBm</w:t>
        <w:tab/>
      </w:r>
      <w:r>
        <w:rPr/>
        <w:t>DCS1800</w:t>
      </w:r>
    </w:p>
    <w:p>
      <w:pPr>
        <w:pStyle w:val="Normal"/>
        <w:rPr/>
      </w:pPr>
      <w:r>
        <w:rPr/>
        <w:t>For frequency separation &gt; 6 MHz:</w:t>
      </w:r>
    </w:p>
    <w:p>
      <w:pPr>
        <w:pStyle w:val="EX"/>
        <w:tabs>
          <w:tab w:val="clear" w:pos="284"/>
          <w:tab w:val="left" w:pos="6804" w:leader="none"/>
        </w:tabs>
        <w:rPr/>
      </w:pPr>
      <w:r>
        <w:rPr>
          <w:b/>
        </w:rPr>
        <w:tab/>
        <w:t>TxPwr</w:t>
      </w:r>
      <w:r>
        <w:rPr>
          <w:b/>
          <w:vertAlign w:val="subscript"/>
        </w:rPr>
        <w:t>max</w:t>
      </w:r>
      <w:r>
        <w:rPr/>
        <w:t xml:space="preserve"> [dBm] = -64,5 + 71 + 8 = </w:t>
      </w:r>
      <w:r>
        <w:rPr>
          <w:b/>
        </w:rPr>
        <w:t>+14,5 dBm</w:t>
        <w:tab/>
      </w:r>
      <w:r>
        <w:rPr/>
        <w:t>GSM900</w:t>
      </w:r>
    </w:p>
    <w:p>
      <w:pPr>
        <w:pStyle w:val="EX"/>
        <w:tabs>
          <w:tab w:val="clear" w:pos="284"/>
          <w:tab w:val="left" w:pos="6804" w:leader="none"/>
        </w:tabs>
        <w:rPr/>
      </w:pPr>
      <w:r>
        <w:rPr>
          <w:b/>
        </w:rPr>
        <w:tab/>
        <w:t>TxPwr</w:t>
      </w:r>
      <w:r>
        <w:rPr>
          <w:b/>
          <w:vertAlign w:val="subscript"/>
        </w:rPr>
        <w:t>max</w:t>
      </w:r>
      <w:r>
        <w:rPr/>
        <w:t xml:space="preserve"> [dBm] = -59 + 67 + 8 = </w:t>
      </w:r>
      <w:r>
        <w:rPr>
          <w:b/>
        </w:rPr>
        <w:t>+16 dBm</w:t>
        <w:tab/>
      </w:r>
      <w:r>
        <w:rPr/>
        <w:t>DCS1800</w:t>
      </w:r>
    </w:p>
    <w:p>
      <w:pPr>
        <w:pStyle w:val="Normal"/>
        <w:rPr/>
      </w:pPr>
      <w:r>
        <w:rPr/>
        <w:t>It has to be noted that for secure coexistence of CTS and GSM no compromise has been made here for higher maximum transmit power or lower spectrum mask requirements as for example for the pico-BTS case in SMG2 Tdoc 188/98.</w:t>
      </w:r>
    </w:p>
    <w:p>
      <w:pPr>
        <w:pStyle w:val="Normal"/>
        <w:rPr/>
      </w:pPr>
      <w:r>
        <w:rPr/>
        <w:t>Overview over all values:</w:t>
      </w:r>
    </w:p>
    <w:p>
      <w:pPr>
        <w:pStyle w:val="TH"/>
        <w:rPr/>
      </w:pPr>
      <w:r>
        <w:rPr/>
      </w:r>
    </w:p>
    <w:tbl>
      <w:tblPr>
        <w:tblW w:w="8082" w:type="dxa"/>
        <w:jc w:val="left"/>
        <w:tblInd w:w="560" w:type="dxa"/>
        <w:tblLayout w:type="fixed"/>
        <w:tblCellMar>
          <w:top w:w="0" w:type="dxa"/>
          <w:left w:w="70" w:type="dxa"/>
          <w:bottom w:w="0" w:type="dxa"/>
          <w:right w:w="70" w:type="dxa"/>
        </w:tblCellMar>
      </w:tblPr>
      <w:tblGrid>
        <w:gridCol w:w="2127"/>
        <w:gridCol w:w="1985"/>
        <w:gridCol w:w="1985"/>
        <w:gridCol w:w="1985"/>
      </w:tblGrid>
      <w:tr>
        <w:trPr/>
        <w:tc>
          <w:tcPr>
            <w:tcW w:w="2127" w:type="dxa"/>
            <w:tcBorders>
              <w:top w:val="single" w:sz="6" w:space="0" w:color="000000"/>
              <w:left w:val="single" w:sz="6" w:space="0" w:color="000000"/>
              <w:bottom w:val="single" w:sz="6" w:space="0" w:color="000000"/>
              <w:right w:val="single" w:sz="6" w:space="0" w:color="000000"/>
            </w:tcBorders>
          </w:tcPr>
          <w:p>
            <w:pPr>
              <w:pStyle w:val="TAH"/>
              <w:snapToGrid w:val="false"/>
              <w:rPr>
                <w:lang w:eastAsia="en-US"/>
              </w:rPr>
            </w:pPr>
            <w:r>
              <w:rPr>
                <w:lang w:eastAsia="en-US"/>
              </w:rPr>
            </w:r>
          </w:p>
        </w:tc>
        <w:tc>
          <w:tcPr>
            <w:tcW w:w="1985" w:type="dxa"/>
            <w:tcBorders>
              <w:top w:val="single" w:sz="6" w:space="0" w:color="000000"/>
              <w:left w:val="single" w:sz="6" w:space="0" w:color="000000"/>
              <w:bottom w:val="single" w:sz="6" w:space="0" w:color="000000"/>
              <w:right w:val="single" w:sz="6" w:space="0" w:color="000000"/>
            </w:tcBorders>
          </w:tcPr>
          <w:p>
            <w:pPr>
              <w:pStyle w:val="TAH"/>
              <w:rPr/>
            </w:pPr>
            <w:r>
              <w:rPr>
                <w:rFonts w:cs="Arial"/>
                <w:lang w:eastAsia="en-US"/>
              </w:rPr>
              <w:t>≥</w:t>
            </w:r>
            <w:r>
              <w:rPr>
                <w:rFonts w:eastAsia="Arial"/>
                <w:lang w:eastAsia="en-US"/>
              </w:rPr>
              <w:t xml:space="preserve"> </w:t>
            </w:r>
            <w:r>
              <w:rPr>
                <w:lang w:eastAsia="en-US"/>
              </w:rPr>
              <w:t>1,8 MHz &lt; 3 MHz</w:t>
            </w:r>
          </w:p>
        </w:tc>
        <w:tc>
          <w:tcPr>
            <w:tcW w:w="1985" w:type="dxa"/>
            <w:tcBorders>
              <w:top w:val="single" w:sz="6" w:space="0" w:color="000000"/>
              <w:left w:val="single" w:sz="6" w:space="0" w:color="000000"/>
              <w:bottom w:val="single" w:sz="6" w:space="0" w:color="000000"/>
              <w:right w:val="single" w:sz="6" w:space="0" w:color="000000"/>
            </w:tcBorders>
          </w:tcPr>
          <w:p>
            <w:pPr>
              <w:pStyle w:val="TAH"/>
              <w:rPr/>
            </w:pPr>
            <w:r>
              <w:rPr>
                <w:rFonts w:cs="Arial"/>
                <w:lang w:eastAsia="en-US"/>
              </w:rPr>
              <w:t>≥</w:t>
            </w:r>
            <w:r>
              <w:rPr>
                <w:rFonts w:eastAsia="Arial"/>
                <w:lang w:eastAsia="en-US"/>
              </w:rPr>
              <w:t xml:space="preserve"> </w:t>
            </w:r>
            <w:r>
              <w:rPr>
                <w:lang w:eastAsia="en-US"/>
              </w:rPr>
              <w:t>3 MHz &lt; 6 MHz</w:t>
            </w:r>
          </w:p>
        </w:tc>
        <w:tc>
          <w:tcPr>
            <w:tcW w:w="198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&gt; 6 MHz</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TxPwr</w:t>
            </w:r>
            <w:r>
              <w:rPr>
                <w:vertAlign w:val="subscript"/>
                <w:lang w:eastAsia="en-US"/>
              </w:rPr>
              <w:t>max</w:t>
            </w:r>
            <w:r>
              <w:rPr>
                <w:lang w:eastAsia="en-US"/>
              </w:rPr>
              <w:t xml:space="preserve">  GSM900</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+6,5 dBm</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+8,5 dBm</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+14,5 dBm</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TxPwr</w:t>
            </w:r>
            <w:r>
              <w:rPr>
                <w:vertAlign w:val="subscript"/>
                <w:lang w:eastAsia="en-US"/>
              </w:rPr>
              <w:t>max</w:t>
            </w:r>
            <w:r>
              <w:rPr>
                <w:lang w:eastAsia="en-US"/>
              </w:rPr>
              <w:t xml:space="preserve"> DCS1800</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 dBm</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 dBm</w:t>
            </w:r>
          </w:p>
        </w:tc>
        <w:tc>
          <w:tcPr>
            <w:tcW w:w="198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 dBm</w:t>
            </w:r>
          </w:p>
        </w:tc>
      </w:tr>
    </w:tbl>
    <w:p>
      <w:pPr>
        <w:pStyle w:val="FP"/>
        <w:rPr/>
      </w:pPr>
      <w:r>
        <w:rPr/>
      </w:r>
    </w:p>
    <w:p>
      <w:pPr>
        <w:pStyle w:val="Heading2"/>
        <w:rPr/>
      </w:pPr>
      <w:bookmarkStart w:id="479" w:name="__RefHeading___Toc518035901"/>
      <w:bookmarkEnd w:id="479"/>
      <w:r>
        <w:rPr/>
        <w:t>S.2.3</w:t>
        <w:tab/>
      </w:r>
      <w:bookmarkStart w:id="480" w:name="_Ref436559297"/>
      <w:r>
        <w:rPr/>
        <w:t>Specification of max. CTS-FP Transmit Power</w:t>
      </w:r>
      <w:bookmarkEnd w:id="480"/>
      <w:r>
        <w:rPr/>
        <w:t xml:space="preserve"> and CTS-FP Spectrum due to modulation and wide band noise</w:t>
      </w:r>
    </w:p>
    <w:p>
      <w:pPr>
        <w:pStyle w:val="Heading3"/>
        <w:rPr/>
      </w:pPr>
      <w:bookmarkStart w:id="481" w:name="__RefHeading___Toc518035902"/>
      <w:bookmarkStart w:id="482" w:name="_Ref438873033"/>
      <w:bookmarkEnd w:id="481"/>
      <w:r>
        <w:rPr/>
        <w:t>S.2.3.1</w:t>
        <w:tab/>
        <w:t>Maximum CTS-FP transmit power</w:t>
      </w:r>
      <w:bookmarkEnd w:id="482"/>
    </w:p>
    <w:p>
      <w:pPr>
        <w:pStyle w:val="Normal"/>
        <w:rPr/>
      </w:pPr>
      <w:r>
        <w:rPr/>
        <w:t>In subclauses 2.1 and 2.2 requirements for the maximum transmit power of the CTS-FP for GSM900 and DCS1800 are given. This results for GSM900 and DCS1800 are in the range from TxPwr</w:t>
      </w:r>
      <w:r>
        <w:rPr>
          <w:vertAlign w:val="subscript"/>
        </w:rPr>
        <w:t>max</w:t>
      </w:r>
      <w:r>
        <w:rPr/>
        <w:t xml:space="preserve"> = +6,5 dBm up to +21,5 dBm and from TxPwr</w:t>
      </w:r>
      <w:r>
        <w:rPr>
          <w:vertAlign w:val="subscript"/>
        </w:rPr>
        <w:t>max</w:t>
      </w:r>
      <w:r>
        <w:rPr/>
        <w:t xml:space="preserve"> = +8 dBm up to +24 dBm, respectively. Of course, the choice of the TxPwr</w:t>
      </w:r>
      <w:r>
        <w:rPr>
          <w:vertAlign w:val="subscript"/>
        </w:rPr>
        <w:t>max</w:t>
      </w:r>
      <w:r>
        <w:rPr/>
        <w:t xml:space="preserve"> has to be adapted more close to the lower limit of that range. A more clear view can be obtained by a detailed analysis of the system scenarios under the aspect of CTS interfering GSM-BTS and GSM-MS in single interferer scenarios.</w:t>
      </w:r>
    </w:p>
    <w:p>
      <w:pPr>
        <w:pStyle w:val="Normal"/>
        <w:rPr/>
      </w:pPr>
      <w:r>
        <w:rPr/>
        <w:t>Regarding the two scenarios, blocking and spectrum due to modulation and wideband noise, this analysis shows that for up to +13 dBm TxPwr</w:t>
      </w:r>
      <w:r>
        <w:rPr>
          <w:vertAlign w:val="subscript"/>
        </w:rPr>
        <w:t>max</w:t>
      </w:r>
      <w:r>
        <w:rPr/>
        <w:t xml:space="preserve"> for GSM900 and up to +15,5 dBm TxPwr</w:t>
      </w:r>
      <w:r>
        <w:rPr>
          <w:vertAlign w:val="subscript"/>
        </w:rPr>
        <w:t>max</w:t>
      </w:r>
      <w:r>
        <w:rPr/>
        <w:t xml:space="preserve"> for DCS1800 of CTS-FP and CTS-MS, the available pathloss is only in one scenario lower than the required pathloss. This case is a GSM-MS located indoors close to a CTS-FP and being interfered by the spectrum due to modulation and wideband noise of the CTS-FP. For that case the required pathloss for 1,8 MHz frequency separation is:</w:t>
      </w:r>
    </w:p>
    <w:p>
      <w:pPr>
        <w:pStyle w:val="EX"/>
        <w:rPr/>
      </w:pPr>
      <w:r>
        <w:rPr/>
        <w:t xml:space="preserve">min PL </w:t>
      </w:r>
      <w:r>
        <w:rPr>
          <w:vertAlign w:val="subscript"/>
        </w:rPr>
        <w:t>CTS-FP/GSM-MS</w:t>
      </w:r>
      <w:r>
        <w:rPr/>
        <w:t xml:space="preserve"> = TxPwr</w:t>
      </w:r>
      <w:r>
        <w:rPr>
          <w:vertAlign w:val="subscript"/>
        </w:rPr>
        <w:t>max</w:t>
      </w:r>
      <w:r>
        <w:rPr/>
        <w:t xml:space="preserve"> </w:t>
      </w:r>
      <w:r>
        <w:rPr>
          <w:vertAlign w:val="subscript"/>
        </w:rPr>
        <w:t>CTS-FP</w:t>
      </w:r>
      <w:r>
        <w:rPr/>
        <w:t xml:space="preserve"> + conv. fac. (200 kHz -&gt; 30 kHz) </w:t>
        <w:noBreakHyphen/>
        <w:t xml:space="preserve"> ref. sens </w:t>
      </w:r>
      <w:r>
        <w:rPr>
          <w:vertAlign w:val="subscript"/>
        </w:rPr>
        <w:t>GSM-MS</w:t>
      </w:r>
      <w:r>
        <w:rPr/>
        <w:t xml:space="preserve"> + C/I </w:t>
        <w:noBreakHyphen/>
        <w:br/>
        <w:tab/>
        <w:t xml:space="preserve">MSM </w:t>
        <w:noBreakHyphen/>
        <w:t xml:space="preserve"> body loss - spectrum mask </w:t>
      </w:r>
      <w:r>
        <w:rPr>
          <w:vertAlign w:val="subscript"/>
        </w:rPr>
        <w:t>CTS-FP</w:t>
      </w:r>
      <w:r>
        <w:rPr/>
        <w:t xml:space="preserve"> </w:t>
      </w:r>
      <w:r>
        <w:rPr>
          <w:vertAlign w:val="subscript"/>
        </w:rPr>
        <w:t>(dBc/100kHz)</w:t>
      </w:r>
      <w:r>
        <w:rPr/>
        <w:t xml:space="preserve"> + </w:t>
        <w:br/>
        <w:tab/>
        <w:t>conv. fac. (100 kHz -&gt; 200 kHz).</w:t>
      </w:r>
    </w:p>
    <w:p>
      <w:pPr>
        <w:pStyle w:val="Normal"/>
        <w:rPr>
          <w:i/>
          <w:i/>
        </w:rPr>
      </w:pPr>
      <w:r>
        <w:rPr>
          <w:i/>
        </w:rPr>
        <w:t>For GSM900:</w:t>
      </w:r>
    </w:p>
    <w:p>
      <w:pPr>
        <w:pStyle w:val="EX"/>
        <w:rPr/>
      </w:pPr>
      <w:r>
        <w:rPr>
          <w:b/>
        </w:rPr>
        <w:tab/>
        <w:t>min PL</w:t>
      </w:r>
      <w:r>
        <w:rPr/>
        <w:t xml:space="preserve"> [dB] = TxPwr</w:t>
      </w:r>
      <w:r>
        <w:rPr>
          <w:vertAlign w:val="subscript"/>
        </w:rPr>
        <w:t>max</w:t>
      </w:r>
      <w:r>
        <w:rPr>
          <w:b/>
        </w:rPr>
        <w:t xml:space="preserve"> </w:t>
      </w:r>
      <w:r>
        <w:rPr>
          <w:vertAlign w:val="subscript"/>
        </w:rPr>
        <w:t>CTS-FP</w:t>
      </w:r>
      <w:r>
        <w:rPr>
          <w:b/>
        </w:rPr>
        <w:t xml:space="preserve"> </w:t>
      </w:r>
      <w:r>
        <w:rPr/>
        <w:noBreakHyphen/>
        <w:t xml:space="preserve"> 8</w:t>
      </w:r>
      <w:r>
        <w:rPr>
          <w:b/>
        </w:rPr>
        <w:t xml:space="preserve"> </w:t>
      </w:r>
      <w:r>
        <w:rPr/>
        <w:t xml:space="preserve">+ 102 + 9 </w:t>
        <w:noBreakHyphen/>
        <w:t xml:space="preserve"> 15 </w:t>
        <w:noBreakHyphen/>
        <w:t xml:space="preserve"> 3 - 63  + 3 = </w:t>
      </w:r>
      <w:r>
        <w:rPr>
          <w:b/>
        </w:rPr>
        <w:t>TxPwr</w:t>
      </w:r>
      <w:r>
        <w:rPr>
          <w:b/>
          <w:vertAlign w:val="subscript"/>
        </w:rPr>
        <w:t>max</w:t>
      </w:r>
      <w:r>
        <w:rPr>
          <w:b/>
        </w:rPr>
        <w:t xml:space="preserve"> </w:t>
      </w:r>
      <w:r>
        <w:rPr>
          <w:b/>
          <w:vertAlign w:val="subscript"/>
        </w:rPr>
        <w:t>CTS-FP</w:t>
      </w:r>
      <w:r>
        <w:rPr>
          <w:b/>
        </w:rPr>
        <w:t xml:space="preserve"> </w:t>
      </w:r>
      <w:r>
        <w:rPr/>
        <w:t>+ 25</w:t>
      </w:r>
    </w:p>
    <w:p>
      <w:pPr>
        <w:pStyle w:val="Normal"/>
        <w:rPr/>
      </w:pPr>
      <w:r>
        <w:rPr/>
        <w:t>The following table shows the comparison of available and required pathloss (including body loss) between CTS-FP and GSM-MS. The GSM-MS operates in a coverage limited operation receiving at sensitivity level.</w:t>
      </w:r>
    </w:p>
    <w:p>
      <w:pPr>
        <w:pStyle w:val="TH"/>
        <w:rPr/>
      </w:pPr>
      <w:r>
        <w:rPr/>
      </w:r>
    </w:p>
    <w:tbl>
      <w:tblPr>
        <w:tblW w:w="7371" w:type="dxa"/>
        <w:jc w:val="left"/>
        <w:tblInd w:w="844" w:type="dxa"/>
        <w:tblLayout w:type="fixed"/>
        <w:tblCellMar>
          <w:top w:w="0" w:type="dxa"/>
          <w:left w:w="70" w:type="dxa"/>
          <w:bottom w:w="0" w:type="dxa"/>
          <w:right w:w="70" w:type="dxa"/>
        </w:tblCellMar>
      </w:tblPr>
      <w:tblGrid>
        <w:gridCol w:w="2835"/>
        <w:gridCol w:w="1134"/>
        <w:gridCol w:w="1134"/>
        <w:gridCol w:w="1134"/>
        <w:gridCol w:w="1134"/>
      </w:tblGrid>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rPr>
              <w:t>TxPwr</w:t>
            </w:r>
            <w:r>
              <w:rPr>
                <w:vertAlign w:val="subscript"/>
                <w:lang w:val="en-GB"/>
              </w:rPr>
              <w:t>max</w:t>
            </w:r>
            <w:r>
              <w:rPr>
                <w:lang w:val="en-GB"/>
              </w:rPr>
              <w:t xml:space="preserve"> [dBm]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13</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required coupling loss [dB]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41</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available coupling loss [dB]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r>
    </w:tbl>
    <w:p>
      <w:pPr>
        <w:pStyle w:val="FP"/>
        <w:rPr/>
      </w:pPr>
      <w:r>
        <w:rPr/>
      </w:r>
    </w:p>
    <w:p>
      <w:pPr>
        <w:pStyle w:val="Normal"/>
        <w:tabs>
          <w:tab w:val="clear" w:pos="284"/>
          <w:tab w:val="left" w:pos="7938" w:leader="none"/>
        </w:tabs>
        <w:rPr/>
      </w:pPr>
      <w:r>
        <w:rPr/>
        <w:t>In order to best fulfil the coupling loss requirements, it is proposed to tighten the spectrum mask of the CTS-FP by 5 dB:</w:t>
      </w:r>
    </w:p>
    <w:p>
      <w:pPr>
        <w:pStyle w:val="EX"/>
        <w:tabs>
          <w:tab w:val="clear" w:pos="284"/>
          <w:tab w:val="left" w:pos="7938" w:leader="none"/>
        </w:tabs>
        <w:rPr/>
      </w:pPr>
      <w:r>
        <w:rPr/>
        <w:t xml:space="preserve">proposed </w:t>
      </w:r>
      <w:r>
        <w:rPr>
          <w:b/>
        </w:rPr>
        <w:t xml:space="preserve">spectrum mask </w:t>
      </w:r>
      <w:r>
        <w:rPr>
          <w:b/>
          <w:vertAlign w:val="subscript"/>
        </w:rPr>
        <w:t>CTS-FP</w:t>
      </w:r>
      <w:r>
        <w:rPr>
          <w:b/>
        </w:rPr>
        <w:t xml:space="preserve"> </w:t>
      </w:r>
      <w:r>
        <w:rPr>
          <w:b/>
          <w:vertAlign w:val="subscript"/>
        </w:rPr>
        <w:t>(dBc/100kHz)</w:t>
      </w:r>
      <w:r>
        <w:rPr/>
        <w:t xml:space="preserve"> at 1,8 MHz frequency separation:</w:t>
      </w:r>
      <w:r>
        <w:rPr>
          <w:b/>
        </w:rPr>
        <w:t xml:space="preserve"> -68 dBc</w:t>
        <w:tab/>
      </w:r>
      <w:r>
        <w:rPr/>
        <w:t>GSM900</w:t>
      </w:r>
    </w:p>
    <w:p>
      <w:pPr>
        <w:pStyle w:val="Normal"/>
        <w:rPr/>
      </w:pPr>
      <w:r>
        <w:rPr/>
        <w:t>Then, the comparison of available and required pathloss (including body loss) between CTS-FP and GSM-MS (with the GSM-MS operating in a coverage limited operation receiving at sensitivity level) becomes.</w:t>
      </w:r>
    </w:p>
    <w:p>
      <w:pPr>
        <w:pStyle w:val="TH"/>
        <w:rPr/>
      </w:pPr>
      <w:r>
        <w:rPr/>
      </w:r>
    </w:p>
    <w:tbl>
      <w:tblPr>
        <w:tblW w:w="7371" w:type="dxa"/>
        <w:jc w:val="left"/>
        <w:tblInd w:w="844" w:type="dxa"/>
        <w:tblLayout w:type="fixed"/>
        <w:tblCellMar>
          <w:top w:w="0" w:type="dxa"/>
          <w:left w:w="70" w:type="dxa"/>
          <w:bottom w:w="0" w:type="dxa"/>
          <w:right w:w="70" w:type="dxa"/>
        </w:tblCellMar>
      </w:tblPr>
      <w:tblGrid>
        <w:gridCol w:w="2835"/>
        <w:gridCol w:w="1134"/>
        <w:gridCol w:w="1134"/>
        <w:gridCol w:w="1134"/>
        <w:gridCol w:w="1134"/>
      </w:tblGrid>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rPr>
              <w:t>TxPwr</w:t>
            </w:r>
            <w:r>
              <w:rPr>
                <w:vertAlign w:val="subscript"/>
                <w:lang w:val="en-GB"/>
              </w:rPr>
              <w:t>max</w:t>
            </w:r>
            <w:r>
              <w:rPr>
                <w:lang w:val="en-GB"/>
              </w:rPr>
              <w:t xml:space="preserve"> [dBm]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13</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required coupling loss [dB]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36</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available coupling loss [dB]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34,5</w:t>
            </w:r>
          </w:p>
        </w:tc>
      </w:tr>
    </w:tbl>
    <w:p>
      <w:pPr>
        <w:pStyle w:val="FP"/>
        <w:rPr/>
      </w:pPr>
      <w:r>
        <w:rPr/>
      </w:r>
    </w:p>
    <w:p>
      <w:pPr>
        <w:pStyle w:val="Normal"/>
        <w:rPr/>
      </w:pPr>
      <w:r>
        <w:rPr/>
        <w:t>Regarding these values, we propose a maximum CTS-FP transmit power TxPwr</w:t>
      </w:r>
      <w:r>
        <w:rPr>
          <w:vertAlign w:val="subscript"/>
        </w:rPr>
        <w:t>max</w:t>
      </w:r>
      <w:r>
        <w:rPr/>
        <w:t xml:space="preserve"> of +11 dBm for GSM900.</w:t>
      </w:r>
    </w:p>
    <w:p>
      <w:pPr>
        <w:pStyle w:val="Normal"/>
        <w:rPr>
          <w:i/>
          <w:i/>
        </w:rPr>
      </w:pPr>
      <w:r>
        <w:rPr>
          <w:i/>
        </w:rPr>
        <w:t>For DCS1800:</w:t>
      </w:r>
    </w:p>
    <w:p>
      <w:pPr>
        <w:pStyle w:val="EX"/>
        <w:rPr/>
      </w:pPr>
      <w:r>
        <w:rPr>
          <w:b/>
        </w:rPr>
        <w:t>min PL</w:t>
      </w:r>
      <w:r>
        <w:rPr/>
        <w:t xml:space="preserve"> [dB] = TxPwr</w:t>
      </w:r>
      <w:r>
        <w:rPr>
          <w:vertAlign w:val="subscript"/>
        </w:rPr>
        <w:t>max</w:t>
      </w:r>
      <w:r>
        <w:rPr>
          <w:b/>
        </w:rPr>
        <w:t xml:space="preserve"> </w:t>
      </w:r>
      <w:r>
        <w:rPr>
          <w:vertAlign w:val="subscript"/>
        </w:rPr>
        <w:t>CTS-FP</w:t>
      </w:r>
      <w:r>
        <w:rPr>
          <w:b/>
        </w:rPr>
        <w:t xml:space="preserve"> </w:t>
      </w:r>
      <w:r>
        <w:rPr/>
        <w:noBreakHyphen/>
        <w:t xml:space="preserve"> 8</w:t>
      </w:r>
      <w:r>
        <w:rPr>
          <w:b/>
        </w:rPr>
        <w:t xml:space="preserve"> </w:t>
      </w:r>
      <w:r>
        <w:rPr/>
        <w:t xml:space="preserve">+ 102 + 9 </w:t>
        <w:noBreakHyphen/>
        <w:t xml:space="preserve"> 15 </w:t>
        <w:noBreakHyphen/>
        <w:t xml:space="preserve"> 3 </w:t>
        <w:noBreakHyphen/>
        <w:t xml:space="preserve"> 59 + 3 = </w:t>
      </w:r>
      <w:r>
        <w:rPr>
          <w:b/>
        </w:rPr>
        <w:t>TxPwr</w:t>
      </w:r>
      <w:r>
        <w:rPr>
          <w:b/>
          <w:vertAlign w:val="subscript"/>
        </w:rPr>
        <w:t>max</w:t>
      </w:r>
      <w:r>
        <w:rPr>
          <w:b/>
        </w:rPr>
        <w:t xml:space="preserve"> </w:t>
      </w:r>
      <w:r>
        <w:rPr>
          <w:b/>
          <w:vertAlign w:val="subscript"/>
        </w:rPr>
        <w:t>CTS-FP</w:t>
      </w:r>
      <w:r>
        <w:rPr>
          <w:b/>
        </w:rPr>
        <w:t xml:space="preserve"> </w:t>
      </w:r>
      <w:r>
        <w:rPr/>
        <w:t>+ 29</w:t>
      </w:r>
    </w:p>
    <w:p>
      <w:pPr>
        <w:pStyle w:val="Normal"/>
        <w:rPr/>
      </w:pPr>
      <w:r>
        <w:rPr/>
        <w:t>The following table which shows again the comparison of available and required pathloss (including body loss) between CTS-FP and GSM-MS is made for the GSM-MS being in a coverage limited operation and receiving at sensitivity level.</w:t>
      </w:r>
    </w:p>
    <w:p>
      <w:pPr>
        <w:pStyle w:val="TH"/>
        <w:rPr/>
      </w:pPr>
      <w:r>
        <w:rPr/>
      </w:r>
    </w:p>
    <w:tbl>
      <w:tblPr>
        <w:tblW w:w="7371" w:type="dxa"/>
        <w:jc w:val="left"/>
        <w:tblInd w:w="844" w:type="dxa"/>
        <w:tblLayout w:type="fixed"/>
        <w:tblCellMar>
          <w:top w:w="0" w:type="dxa"/>
          <w:left w:w="70" w:type="dxa"/>
          <w:bottom w:w="0" w:type="dxa"/>
          <w:right w:w="70" w:type="dxa"/>
        </w:tblCellMar>
      </w:tblPr>
      <w:tblGrid>
        <w:gridCol w:w="2835"/>
        <w:gridCol w:w="1134"/>
        <w:gridCol w:w="1134"/>
        <w:gridCol w:w="1134"/>
        <w:gridCol w:w="1134"/>
      </w:tblGrid>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rPr>
              <w:t>TxPwr</w:t>
            </w:r>
            <w:r>
              <w:rPr>
                <w:vertAlign w:val="subscript"/>
                <w:lang w:val="en-GB"/>
              </w:rPr>
              <w:t>max</w:t>
            </w:r>
            <w:r>
              <w:rPr>
                <w:lang w:val="en-GB"/>
              </w:rPr>
              <w:t xml:space="preserve"> [dBm]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required coupling loss [dB]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rPr>
              <w:t>available coupling loss [dB]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r>
    </w:tbl>
    <w:p>
      <w:pPr>
        <w:pStyle w:val="FP"/>
        <w:rPr/>
      </w:pPr>
      <w:r>
        <w:rPr/>
      </w:r>
    </w:p>
    <w:p>
      <w:pPr>
        <w:pStyle w:val="Normal"/>
        <w:rPr/>
      </w:pPr>
      <w:r>
        <w:rPr/>
        <w:t>Again here, in order to best fulfil the coupling loss requirements, it is proposed to tighten the spectrum mask of the CTS-FP by 4 dB:</w:t>
      </w:r>
    </w:p>
    <w:p>
      <w:pPr>
        <w:pStyle w:val="EX"/>
        <w:tabs>
          <w:tab w:val="clear" w:pos="284"/>
          <w:tab w:val="left" w:pos="7938" w:leader="none"/>
        </w:tabs>
        <w:rPr/>
      </w:pPr>
      <w:r>
        <w:rPr/>
        <w:t xml:space="preserve">proposed </w:t>
      </w:r>
      <w:r>
        <w:rPr>
          <w:b/>
        </w:rPr>
        <w:t xml:space="preserve">spectrum mask </w:t>
      </w:r>
      <w:r>
        <w:rPr>
          <w:b/>
          <w:vertAlign w:val="subscript"/>
        </w:rPr>
        <w:t>CTS-FP</w:t>
      </w:r>
      <w:r>
        <w:rPr>
          <w:b/>
        </w:rPr>
        <w:t xml:space="preserve"> </w:t>
      </w:r>
      <w:r>
        <w:rPr>
          <w:b/>
          <w:vertAlign w:val="subscript"/>
        </w:rPr>
        <w:t>(dBc/100kHz)</w:t>
      </w:r>
      <w:r>
        <w:rPr/>
        <w:t xml:space="preserve"> at 1,8 MHz frequency separation:</w:t>
      </w:r>
      <w:r>
        <w:rPr>
          <w:b/>
        </w:rPr>
        <w:t xml:space="preserve"> -63 dBc</w:t>
        <w:tab/>
      </w:r>
      <w:r>
        <w:rPr/>
        <w:t>DCS1800</w:t>
      </w:r>
    </w:p>
    <w:p>
      <w:pPr>
        <w:pStyle w:val="Normal"/>
        <w:rPr/>
      </w:pPr>
      <w:r>
        <w:rPr/>
        <w:t>Then, the comparison of available and required pathloss (including body loss) between CTS-FP and GSM-MS (with the GSM-MS operating in a coverage limited operation receiving at sensitivity level) becomes.</w:t>
      </w:r>
    </w:p>
    <w:p>
      <w:pPr>
        <w:pStyle w:val="TH"/>
        <w:rPr/>
      </w:pPr>
      <w:r>
        <w:rPr/>
      </w:r>
    </w:p>
    <w:tbl>
      <w:tblPr>
        <w:tblW w:w="7371" w:type="dxa"/>
        <w:jc w:val="left"/>
        <w:tblInd w:w="844" w:type="dxa"/>
        <w:tblLayout w:type="fixed"/>
        <w:tblCellMar>
          <w:top w:w="0" w:type="dxa"/>
          <w:left w:w="70" w:type="dxa"/>
          <w:bottom w:w="0" w:type="dxa"/>
          <w:right w:w="70" w:type="dxa"/>
        </w:tblCellMar>
      </w:tblPr>
      <w:tblGrid>
        <w:gridCol w:w="2835"/>
        <w:gridCol w:w="1134"/>
        <w:gridCol w:w="1134"/>
        <w:gridCol w:w="1134"/>
        <w:gridCol w:w="1134"/>
      </w:tblGrid>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rPr>
              <w:t>TxPwr</w:t>
            </w:r>
            <w:r>
              <w:rPr>
                <w:vertAlign w:val="subscript"/>
                <w:lang w:val="en-GB"/>
              </w:rPr>
              <w:t>max</w:t>
            </w:r>
            <w:r>
              <w:rPr>
                <w:lang w:val="en-GB"/>
              </w:rPr>
              <w:t xml:space="preserve"> [dBm]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required coupling loss [dB]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44</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available coupling loss [dB]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r>
    </w:tbl>
    <w:p>
      <w:pPr>
        <w:pStyle w:val="FP"/>
        <w:rPr/>
      </w:pPr>
      <w:r>
        <w:rPr/>
      </w:r>
    </w:p>
    <w:p>
      <w:pPr>
        <w:pStyle w:val="Normal"/>
        <w:rPr/>
      </w:pPr>
      <w:r>
        <w:rPr/>
        <w:t xml:space="preserve">Regarding these values, we propose </w:t>
      </w:r>
      <w:r>
        <w:rPr>
          <w:b/>
        </w:rPr>
        <w:t>a maximum CTS-FP transmit power TxPwr</w:t>
      </w:r>
      <w:r>
        <w:rPr>
          <w:b/>
          <w:vertAlign w:val="subscript"/>
        </w:rPr>
        <w:t>max</w:t>
      </w:r>
      <w:r>
        <w:rPr>
          <w:b/>
        </w:rPr>
        <w:t xml:space="preserve"> of +12 dBm for DCS1800.</w:t>
      </w:r>
    </w:p>
    <w:p>
      <w:pPr>
        <w:pStyle w:val="Heading3"/>
        <w:rPr/>
      </w:pPr>
      <w:bookmarkStart w:id="483" w:name="__RefHeading___Toc518035903"/>
      <w:bookmarkEnd w:id="483"/>
      <w:r>
        <w:rPr/>
        <w:t>S.2.3.2</w:t>
        <w:tab/>
        <w:t>Spectrum due to modulation and wide band noise</w:t>
      </w:r>
    </w:p>
    <w:p>
      <w:pPr>
        <w:pStyle w:val="Normal"/>
        <w:rPr/>
      </w:pPr>
      <w:r>
        <w:rPr/>
        <w:t>In the previous section, a tightening of the spectrum mask for the CTS-FP is proposed for 1,8 MHz frequency separation. In order to simplify the specification of the spectrum due to modulation and wide band noise, it is proposed to consider only two frequency bands above 1,8 MHz: 1,8 - 6MHz and &gt; 6 MHz. The resulting CTS-FP spectrum mask is.</w:t>
      </w:r>
    </w:p>
    <w:p>
      <w:pPr>
        <w:pStyle w:val="TH"/>
        <w:rPr/>
      </w:pPr>
      <w:r>
        <w:rPr/>
      </w:r>
    </w:p>
    <w:tbl>
      <w:tblPr>
        <w:tblW w:w="5387" w:type="dxa"/>
        <w:jc w:val="center"/>
        <w:tblInd w:w="0" w:type="dxa"/>
        <w:tblLayout w:type="fixed"/>
        <w:tblCellMar>
          <w:top w:w="0" w:type="dxa"/>
          <w:left w:w="70" w:type="dxa"/>
          <w:bottom w:w="0" w:type="dxa"/>
          <w:right w:w="70" w:type="dxa"/>
        </w:tblCellMar>
      </w:tblPr>
      <w:tblGrid>
        <w:gridCol w:w="2778"/>
        <w:gridCol w:w="1333"/>
        <w:gridCol w:w="1276"/>
      </w:tblGrid>
      <w:tr>
        <w:trPr/>
        <w:tc>
          <w:tcPr>
            <w:tcW w:w="2778" w:type="dxa"/>
            <w:tcBorders>
              <w:bottom w:val="single" w:sz="4" w:space="0" w:color="000000"/>
              <w:right w:val="single" w:sz="4" w:space="0" w:color="000000"/>
            </w:tcBorders>
          </w:tcPr>
          <w:p>
            <w:pPr>
              <w:pStyle w:val="TAH"/>
              <w:snapToGrid w:val="false"/>
              <w:rPr>
                <w:lang w:eastAsia="en-US"/>
              </w:rPr>
            </w:pPr>
            <w:r>
              <w:rPr>
                <w:lang w:eastAsia="en-US"/>
              </w:rPr>
            </w:r>
          </w:p>
        </w:tc>
        <w:tc>
          <w:tcPr>
            <w:tcW w:w="1333" w:type="dxa"/>
            <w:tcBorders>
              <w:top w:val="single" w:sz="4" w:space="0" w:color="000000"/>
              <w:left w:val="single" w:sz="4" w:space="0" w:color="000000"/>
              <w:bottom w:val="single" w:sz="4" w:space="0" w:color="000000"/>
              <w:right w:val="single" w:sz="6" w:space="0" w:color="000000"/>
            </w:tcBorders>
          </w:tcPr>
          <w:p>
            <w:pPr>
              <w:pStyle w:val="TAH"/>
              <w:rPr>
                <w:lang w:eastAsia="en-US"/>
              </w:rPr>
            </w:pPr>
            <w:r>
              <w:rPr>
                <w:lang w:eastAsia="en-US"/>
              </w:rPr>
              <w:t>GSM900</w:t>
            </w:r>
          </w:p>
        </w:tc>
        <w:tc>
          <w:tcPr>
            <w:tcW w:w="1276" w:type="dxa"/>
            <w:tcBorders>
              <w:top w:val="single" w:sz="4" w:space="0" w:color="000000"/>
              <w:left w:val="single" w:sz="6" w:space="0" w:color="000000"/>
              <w:bottom w:val="single" w:sz="4" w:space="0" w:color="000000"/>
              <w:right w:val="single" w:sz="4" w:space="0" w:color="000000"/>
            </w:tcBorders>
          </w:tcPr>
          <w:p>
            <w:pPr>
              <w:pStyle w:val="TAH"/>
              <w:rPr>
                <w:lang w:eastAsia="en-US"/>
              </w:rPr>
            </w:pPr>
            <w:r>
              <w:rPr>
                <w:lang w:eastAsia="en-US"/>
              </w:rPr>
              <w:t>DCS1800</w:t>
            </w:r>
          </w:p>
        </w:tc>
      </w:tr>
      <w:tr>
        <w:trPr/>
        <w:tc>
          <w:tcPr>
            <w:tcW w:w="2778" w:type="dxa"/>
            <w:tcBorders>
              <w:top w:val="single" w:sz="4" w:space="0" w:color="000000"/>
              <w:left w:val="single" w:sz="4" w:space="0" w:color="000000"/>
              <w:bottom w:val="single" w:sz="6" w:space="0" w:color="000000"/>
            </w:tcBorders>
          </w:tcPr>
          <w:p>
            <w:pPr>
              <w:pStyle w:val="TAL"/>
              <w:rPr>
                <w:lang w:val="en-GB"/>
              </w:rPr>
            </w:pPr>
            <w:r>
              <w:rPr>
                <w:lang w:val="en-GB"/>
              </w:rPr>
              <w:t>spectrum mask [dBc]</w:t>
            </w:r>
          </w:p>
          <w:p>
            <w:pPr>
              <w:pStyle w:val="TAL"/>
              <w:rPr>
                <w:lang w:val="en-GB"/>
              </w:rPr>
            </w:pPr>
            <w:r>
              <w:rPr>
                <w:lang w:val="en-GB"/>
              </w:rPr>
              <w:t xml:space="preserve">1,8 MHz </w:t>
              <w:noBreakHyphen/>
              <w:t xml:space="preserve"> 6 MHz / 100 kHz bdw</w:t>
            </w:r>
          </w:p>
        </w:tc>
        <w:tc>
          <w:tcPr>
            <w:tcW w:w="1333" w:type="dxa"/>
            <w:tcBorders>
              <w:top w:val="single" w:sz="4" w:space="0" w:color="000000"/>
              <w:left w:val="single" w:sz="6" w:space="0" w:color="000000"/>
              <w:bottom w:val="single" w:sz="6" w:space="0" w:color="000000"/>
            </w:tcBorders>
          </w:tcPr>
          <w:p>
            <w:pPr>
              <w:pStyle w:val="TAC"/>
              <w:rPr>
                <w:lang w:val="en-GB"/>
              </w:rPr>
            </w:pPr>
            <w:r>
              <w:rPr>
                <w:lang w:val="en-GB"/>
              </w:rPr>
              <w:t>-68</w:t>
            </w:r>
          </w:p>
        </w:tc>
        <w:tc>
          <w:tcPr>
            <w:tcW w:w="1276" w:type="dxa"/>
            <w:tcBorders>
              <w:top w:val="single" w:sz="4" w:space="0" w:color="000000"/>
              <w:left w:val="single" w:sz="6" w:space="0" w:color="000000"/>
              <w:bottom w:val="single" w:sz="6" w:space="0" w:color="000000"/>
              <w:right w:val="single" w:sz="4" w:space="0" w:color="000000"/>
            </w:tcBorders>
          </w:tcPr>
          <w:p>
            <w:pPr>
              <w:pStyle w:val="TAC"/>
              <w:rPr>
                <w:lang w:val="en-GB"/>
              </w:rPr>
            </w:pPr>
            <w:r>
              <w:rPr>
                <w:lang w:val="en-GB"/>
              </w:rPr>
              <w:t>-63</w:t>
            </w:r>
          </w:p>
        </w:tc>
      </w:tr>
      <w:tr>
        <w:trPr/>
        <w:tc>
          <w:tcPr>
            <w:tcW w:w="2778" w:type="dxa"/>
            <w:tcBorders>
              <w:top w:val="single" w:sz="6" w:space="0" w:color="000000"/>
              <w:left w:val="single" w:sz="4" w:space="0" w:color="000000"/>
              <w:bottom w:val="single" w:sz="4" w:space="0" w:color="000000"/>
            </w:tcBorders>
          </w:tcPr>
          <w:p>
            <w:pPr>
              <w:pStyle w:val="TAL"/>
              <w:rPr>
                <w:lang w:val="en-GB"/>
              </w:rPr>
            </w:pPr>
            <w:r>
              <w:rPr>
                <w:lang w:val="en-GB"/>
              </w:rPr>
              <w:t>spectrum mask [dBc]</w:t>
            </w:r>
          </w:p>
          <w:p>
            <w:pPr>
              <w:pStyle w:val="TAL"/>
              <w:rPr>
                <w:lang w:val="en-GB"/>
              </w:rPr>
            </w:pPr>
            <w:r>
              <w:rPr>
                <w:lang w:val="en-GB"/>
              </w:rPr>
              <w:t>&gt; 6 MHz / 100 kHz bdw</w:t>
            </w:r>
          </w:p>
        </w:tc>
        <w:tc>
          <w:tcPr>
            <w:tcW w:w="1333" w:type="dxa"/>
            <w:tcBorders>
              <w:top w:val="single" w:sz="6" w:space="0" w:color="000000"/>
              <w:left w:val="single" w:sz="6" w:space="0" w:color="000000"/>
              <w:bottom w:val="single" w:sz="4" w:space="0" w:color="000000"/>
            </w:tcBorders>
          </w:tcPr>
          <w:p>
            <w:pPr>
              <w:pStyle w:val="TAC"/>
              <w:rPr>
                <w:lang w:val="en-GB"/>
              </w:rPr>
            </w:pPr>
            <w:r>
              <w:rPr>
                <w:lang w:val="en-GB"/>
              </w:rPr>
              <w:t>-71</w:t>
            </w:r>
          </w:p>
        </w:tc>
        <w:tc>
          <w:tcPr>
            <w:tcW w:w="1276"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-67</w:t>
            </w:r>
          </w:p>
        </w:tc>
      </w:tr>
    </w:tbl>
    <w:p>
      <w:pPr>
        <w:pStyle w:val="FP"/>
        <w:rPr/>
      </w:pPr>
      <w:r>
        <w:rPr/>
      </w:r>
    </w:p>
    <w:p>
      <w:pPr>
        <w:pStyle w:val="Normal"/>
        <w:rPr/>
      </w:pPr>
      <w:r>
        <w:rPr/>
        <w:t>Below 1,8 MHz frequency separation, the existing MS spectrum due to modulation and wide band noise characteristics shall be used for the CTS-FP specification.</w:t>
      </w:r>
    </w:p>
    <w:p>
      <w:pPr>
        <w:pStyle w:val="Normal"/>
        <w:rPr>
          <w:i/>
          <w:i/>
        </w:rPr>
      </w:pPr>
      <w:r>
        <w:rPr>
          <w:i/>
        </w:rPr>
        <w:t>Exception levels:</w:t>
      </w:r>
    </w:p>
    <w:p>
      <w:pPr>
        <w:pStyle w:val="Normal"/>
        <w:rPr/>
      </w:pPr>
      <w:r>
        <w:rPr/>
        <w:t>Exceptions in the spectrum due to modulation and wide band noise requirements are specified today in subclause 4.2.1 iii), iv) and v) of GSM 05.05. It has been calculated in subclause 2.2 the maximum allowed wide band noise in a 100 kHz measurement bandwidth; the results are:</w:t>
      </w:r>
    </w:p>
    <w:p>
      <w:pPr>
        <w:pStyle w:val="EX"/>
        <w:tabs>
          <w:tab w:val="clear" w:pos="284"/>
          <w:tab w:val="left" w:pos="7938" w:leader="none"/>
        </w:tabs>
        <w:rPr/>
      </w:pPr>
      <w:r>
        <w:rPr>
          <w:b/>
        </w:rPr>
        <w:t xml:space="preserve">Max. wide band noise </w:t>
      </w:r>
      <w:r>
        <w:rPr/>
        <w:t xml:space="preserve">[dBm] in a 100 kHz measurement bandwidth = </w:t>
      </w:r>
      <w:r>
        <w:rPr>
          <w:b/>
        </w:rPr>
        <w:t>-64,5 dBm</w:t>
        <w:tab/>
      </w:r>
      <w:r>
        <w:rPr/>
        <w:t>GSM900</w:t>
      </w:r>
    </w:p>
    <w:p>
      <w:pPr>
        <w:pStyle w:val="EX"/>
        <w:tabs>
          <w:tab w:val="clear" w:pos="284"/>
          <w:tab w:val="left" w:pos="7938" w:leader="none"/>
        </w:tabs>
        <w:rPr/>
      </w:pPr>
      <w:r>
        <w:rPr>
          <w:b/>
        </w:rPr>
        <w:t xml:space="preserve">Max. wide band noise </w:t>
      </w:r>
      <w:r>
        <w:rPr/>
        <w:t xml:space="preserve">[dBm] in a 100kHz measurement bandwidth = </w:t>
      </w:r>
      <w:r>
        <w:rPr>
          <w:b/>
        </w:rPr>
        <w:t>-59 dBm</w:t>
        <w:tab/>
      </w:r>
      <w:r>
        <w:rPr/>
        <w:t>DCS1800</w:t>
      </w:r>
    </w:p>
    <w:p>
      <w:pPr>
        <w:pStyle w:val="Normal"/>
        <w:rPr/>
      </w:pPr>
      <w:r>
        <w:rPr/>
        <w:t xml:space="preserve">These values have been used to calculate the maximum CTS-FP transmit power and the CTS-FP spectrum mask, therefore it is proposed to use them as exception levels for the spectrum due to modulation and wide band noise requirements for frequency offsets above 1.8MHz : no further requirement below </w:t>
      </w:r>
      <w:r>
        <w:rPr>
          <w:b/>
        </w:rPr>
        <w:t>-64 dBm (GSM900)</w:t>
      </w:r>
      <w:r>
        <w:rPr/>
        <w:t xml:space="preserve"> or </w:t>
      </w:r>
      <w:r>
        <w:rPr>
          <w:b/>
        </w:rPr>
        <w:t>-59 dBm (DCS1800)</w:t>
      </w:r>
      <w:r>
        <w:rPr/>
        <w:t xml:space="preserve"> is necessary.</w:t>
      </w:r>
    </w:p>
    <w:p>
      <w:pPr>
        <w:pStyle w:val="Normal"/>
        <w:rPr/>
      </w:pPr>
      <w:r>
        <w:rPr/>
        <w:t xml:space="preserve">For frequency offsets below 1.8MHz, the maximum allowed wide band noise in a </w:t>
      </w:r>
      <w:r>
        <w:rPr>
          <w:i/>
        </w:rPr>
        <w:t>30 kHz</w:t>
      </w:r>
      <w:r>
        <w:rPr/>
        <w:t xml:space="preserve"> measurement bandwidth, derived from the maximum allowed wide band noise in a </w:t>
      </w:r>
      <w:r>
        <w:rPr>
          <w:i/>
        </w:rPr>
        <w:t>100 kHz</w:t>
      </w:r>
      <w:r>
        <w:rPr/>
        <w:t xml:space="preserve"> measurement bandwidth can be calculated:</w:t>
      </w:r>
    </w:p>
    <w:p>
      <w:pPr>
        <w:pStyle w:val="EX"/>
        <w:rPr/>
      </w:pPr>
      <w:r>
        <w:rPr>
          <w:b/>
        </w:rPr>
        <w:t xml:space="preserve">Max. wide band noise </w:t>
      </w:r>
      <w:r>
        <w:rPr/>
        <w:t>[dBm] in a 30 kHz measurement bandwidth</w:t>
      </w:r>
    </w:p>
    <w:p>
      <w:pPr>
        <w:pStyle w:val="EX"/>
        <w:rPr/>
      </w:pPr>
      <w:r>
        <w:rPr/>
        <w:tab/>
        <w:t>= Max. wbn</w:t>
      </w:r>
      <w:r>
        <w:rPr>
          <w:b/>
        </w:rPr>
        <w:t xml:space="preserve"> </w:t>
      </w:r>
      <w:r>
        <w:rPr/>
        <w:t>[dBm] in a 100 kHz measurement bw + conv. fac. (100 -&gt; 30 kHz) = -64 - 5</w:t>
      </w:r>
    </w:p>
    <w:p>
      <w:pPr>
        <w:pStyle w:val="EX"/>
        <w:tabs>
          <w:tab w:val="clear" w:pos="284"/>
          <w:tab w:val="left" w:pos="7938" w:leader="none"/>
        </w:tabs>
        <w:rPr/>
      </w:pPr>
      <w:r>
        <w:rPr/>
        <w:tab/>
        <w:t xml:space="preserve">= </w:t>
      </w:r>
      <w:r>
        <w:rPr>
          <w:b/>
        </w:rPr>
        <w:t>-69 dBm</w:t>
        <w:tab/>
      </w:r>
      <w:r>
        <w:rPr/>
        <w:t>GSM900</w:t>
      </w:r>
    </w:p>
    <w:p>
      <w:pPr>
        <w:pStyle w:val="EX"/>
        <w:rPr/>
      </w:pPr>
      <w:r>
        <w:rPr>
          <w:b/>
        </w:rPr>
        <w:t xml:space="preserve">Max. wide band noise </w:t>
      </w:r>
      <w:r>
        <w:rPr/>
        <w:t>[dBm] in a 30 kHz measurement bandwidth</w:t>
      </w:r>
    </w:p>
    <w:p>
      <w:pPr>
        <w:pStyle w:val="EX"/>
        <w:rPr/>
      </w:pPr>
      <w:r>
        <w:rPr/>
        <w:tab/>
        <w:t>= Max. wbn</w:t>
      </w:r>
      <w:r>
        <w:rPr>
          <w:b/>
        </w:rPr>
        <w:t xml:space="preserve"> </w:t>
      </w:r>
      <w:r>
        <w:rPr/>
        <w:t>[dBm] in a 100 kHz measurement bw + conv. fac. (100 -&gt; 30 kHz) = -59 - 5</w:t>
      </w:r>
    </w:p>
    <w:p>
      <w:pPr>
        <w:pStyle w:val="EX"/>
        <w:tabs>
          <w:tab w:val="clear" w:pos="284"/>
          <w:tab w:val="left" w:pos="7938" w:leader="none"/>
        </w:tabs>
        <w:rPr/>
      </w:pPr>
      <w:r>
        <w:rPr/>
        <w:tab/>
        <w:t xml:space="preserve">= </w:t>
      </w:r>
      <w:r>
        <w:rPr>
          <w:b/>
        </w:rPr>
        <w:t>-64 dBm</w:t>
        <w:tab/>
      </w:r>
      <w:r>
        <w:rPr/>
        <w:t>DCS1800</w:t>
      </w:r>
    </w:p>
    <w:p>
      <w:pPr>
        <w:pStyle w:val="Normal"/>
        <w:rPr/>
      </w:pPr>
      <w:r>
        <w:rPr/>
        <w:t xml:space="preserve">It is proposed to use these values as exception levels for the spectrum due to modulation and wide band noise requirements for frequency offset below 1,8 MHz: no further requirement below </w:t>
      </w:r>
      <w:r>
        <w:rPr>
          <w:b/>
        </w:rPr>
        <w:t>-69 dBm (GSM900)</w:t>
      </w:r>
      <w:r>
        <w:rPr/>
        <w:t xml:space="preserve"> or </w:t>
      </w:r>
      <w:r>
        <w:rPr>
          <w:b/>
        </w:rPr>
        <w:t>-64 dBm (DCS1800)</w:t>
      </w:r>
      <w:r>
        <w:rPr/>
        <w:t xml:space="preserve"> is necessary.</w:t>
      </w:r>
    </w:p>
    <w:p>
      <w:pPr>
        <w:pStyle w:val="Heading2"/>
        <w:rPr/>
      </w:pPr>
      <w:bookmarkStart w:id="484" w:name="__RefHeading___Toc518035904"/>
      <w:bookmarkEnd w:id="484"/>
      <w:r>
        <w:rPr/>
        <w:t>S.2.4</w:t>
        <w:tab/>
        <w:t>Balanced link for zero interference scenario (Interferer at MCL scenario)</w:t>
      </w:r>
    </w:p>
    <w:p>
      <w:pPr>
        <w:pStyle w:val="Normal"/>
        <w:rPr/>
      </w:pPr>
      <w:r>
        <w:rPr/>
        <w:t>The maximum pathloss is given by:</w:t>
      </w:r>
    </w:p>
    <w:p>
      <w:pPr>
        <w:pStyle w:val="EX"/>
        <w:rPr/>
      </w:pPr>
      <w:r>
        <w:rPr>
          <w:b/>
        </w:rPr>
        <w:tab/>
        <w:t>max PL = TxPwr</w:t>
      </w:r>
      <w:r>
        <w:rPr>
          <w:b/>
          <w:vertAlign w:val="subscript"/>
        </w:rPr>
        <w:t>max CTS-FP</w:t>
      </w:r>
      <w:r>
        <w:rPr>
          <w:b/>
        </w:rPr>
        <w:t xml:space="preserve"> </w:t>
        <w:noBreakHyphen/>
        <w:t xml:space="preserve"> body loss </w:t>
        <w:noBreakHyphen/>
        <w:t xml:space="preserve"> ref. sens.</w:t>
      </w:r>
      <w:r>
        <w:rPr>
          <w:b/>
          <w:vertAlign w:val="subscript"/>
        </w:rPr>
        <w:t>CTS-MS</w:t>
      </w:r>
      <w:r>
        <w:rPr>
          <w:b/>
        </w:rPr>
        <w:t xml:space="preserve"> </w:t>
      </w:r>
    </w:p>
    <w:p>
      <w:pPr>
        <w:pStyle w:val="EX"/>
        <w:tabs>
          <w:tab w:val="clear" w:pos="284"/>
          <w:tab w:val="left" w:pos="6804" w:leader="none"/>
        </w:tabs>
        <w:rPr>
          <w:b/>
          <w:b/>
        </w:rPr>
      </w:pPr>
      <w:r>
        <w:rPr/>
        <w:tab/>
      </w:r>
      <w:r>
        <w:rPr>
          <w:b/>
        </w:rPr>
        <w:t>max</w:t>
      </w:r>
      <w:r>
        <w:rPr/>
        <w:t xml:space="preserve"> </w:t>
      </w:r>
      <w:r>
        <w:rPr>
          <w:b/>
        </w:rPr>
        <w:t>PL</w:t>
      </w:r>
      <w:r>
        <w:rPr/>
        <w:t xml:space="preserve"> [dB] = 11 </w:t>
        <w:noBreakHyphen/>
        <w:t xml:space="preserve"> 3 + 102 = </w:t>
      </w:r>
      <w:r>
        <w:rPr>
          <w:b/>
        </w:rPr>
        <w:t>110 dB</w:t>
      </w:r>
      <w:r>
        <w:rPr/>
        <w:tab/>
        <w:t>GSM900</w:t>
      </w:r>
    </w:p>
    <w:p>
      <w:pPr>
        <w:pStyle w:val="EX"/>
        <w:tabs>
          <w:tab w:val="clear" w:pos="284"/>
          <w:tab w:val="left" w:pos="6804" w:leader="none"/>
        </w:tabs>
        <w:rPr>
          <w:b/>
          <w:b/>
        </w:rPr>
      </w:pPr>
      <w:r>
        <w:rPr/>
        <w:tab/>
      </w:r>
      <w:r>
        <w:rPr>
          <w:b/>
        </w:rPr>
        <w:t>max</w:t>
      </w:r>
      <w:r>
        <w:rPr/>
        <w:t xml:space="preserve"> </w:t>
      </w:r>
      <w:r>
        <w:rPr>
          <w:b/>
        </w:rPr>
        <w:t>PL</w:t>
      </w:r>
      <w:r>
        <w:rPr/>
        <w:t xml:space="preserve"> [dB] = 12 </w:t>
        <w:noBreakHyphen/>
        <w:t xml:space="preserve"> 3 + 102 = </w:t>
      </w:r>
      <w:r>
        <w:rPr>
          <w:b/>
        </w:rPr>
        <w:t>111 dB</w:t>
      </w:r>
      <w:r>
        <w:rPr/>
        <w:tab/>
        <w:t>DCS1800</w:t>
      </w:r>
    </w:p>
    <w:p>
      <w:pPr>
        <w:pStyle w:val="Normal"/>
        <w:rPr/>
      </w:pPr>
      <w:r>
        <w:rPr/>
        <w:t xml:space="preserve">In SMG2 Tdoc 188/98 the receiver sensitivity for pico-BTSs is deduced under the boundary condition that the cell size will stay constant under all conditions. However, this is not so important in a CTS environment. Here we attach more importance to operate at a minimum transmit power. Therefore, the receiver sensitivity of the CTS-FP should be the same as for the CTS-MS : </w:t>
        <w:noBreakHyphen/>
        <w:t>102 dBm. In that case, for balanced link operation, the TxPwr</w:t>
      </w:r>
      <w:r>
        <w:rPr>
          <w:vertAlign w:val="subscript"/>
        </w:rPr>
        <w:t>max</w:t>
      </w:r>
      <w:r>
        <w:rPr/>
        <w:t xml:space="preserve"> of the CTS-MS is the same as for the  CTS-FP:</w:t>
      </w:r>
    </w:p>
    <w:p>
      <w:pPr>
        <w:pStyle w:val="EX"/>
        <w:rPr/>
      </w:pPr>
      <w:r>
        <w:rPr>
          <w:b/>
        </w:rPr>
        <w:tab/>
        <w:t>TxPwr</w:t>
      </w:r>
      <w:r>
        <w:rPr>
          <w:b/>
          <w:vertAlign w:val="subscript"/>
        </w:rPr>
        <w:t xml:space="preserve">max CTS-MS </w:t>
      </w:r>
      <w:r>
        <w:rPr>
          <w:b/>
        </w:rPr>
        <w:t>= ref. sens.</w:t>
      </w:r>
      <w:r>
        <w:rPr>
          <w:b/>
          <w:vertAlign w:val="subscript"/>
        </w:rPr>
        <w:t>CTS-FP</w:t>
      </w:r>
      <w:r>
        <w:rPr>
          <w:b/>
        </w:rPr>
        <w:t xml:space="preserve"> + body loss + max PL </w:t>
      </w:r>
    </w:p>
    <w:p>
      <w:pPr>
        <w:pStyle w:val="EX"/>
        <w:tabs>
          <w:tab w:val="clear" w:pos="284"/>
          <w:tab w:val="left" w:pos="6804" w:leader="none"/>
        </w:tabs>
        <w:rPr/>
      </w:pPr>
      <w:r>
        <w:rPr/>
        <w:tab/>
      </w:r>
      <w:r>
        <w:rPr>
          <w:b/>
        </w:rPr>
        <w:t>TxPwr</w:t>
      </w:r>
      <w:r>
        <w:rPr>
          <w:b/>
          <w:vertAlign w:val="subscript"/>
        </w:rPr>
        <w:t>max</w:t>
      </w:r>
      <w:r>
        <w:rPr>
          <w:vertAlign w:val="subscript"/>
        </w:rPr>
        <w:t xml:space="preserve"> </w:t>
      </w:r>
      <w:r>
        <w:rPr>
          <w:b/>
          <w:vertAlign w:val="subscript"/>
        </w:rPr>
        <w:t>CTS-MS</w:t>
      </w:r>
      <w:r>
        <w:rPr>
          <w:b/>
        </w:rPr>
        <w:t xml:space="preserve"> =</w:t>
      </w:r>
      <w:r>
        <w:rPr/>
        <w:t xml:space="preserve"> -102 + 3 + 110 = </w:t>
      </w:r>
      <w:r>
        <w:rPr>
          <w:b/>
        </w:rPr>
        <w:t>11 dBm</w:t>
      </w:r>
      <w:r>
        <w:rPr/>
        <w:tab/>
        <w:t>GSM900</w:t>
      </w:r>
    </w:p>
    <w:p>
      <w:pPr>
        <w:pStyle w:val="EX"/>
        <w:tabs>
          <w:tab w:val="clear" w:pos="284"/>
          <w:tab w:val="left" w:pos="6804" w:leader="none"/>
        </w:tabs>
        <w:rPr/>
      </w:pPr>
      <w:r>
        <w:rPr/>
        <w:tab/>
      </w:r>
      <w:r>
        <w:rPr>
          <w:b/>
        </w:rPr>
        <w:t>TxPwr</w:t>
      </w:r>
      <w:r>
        <w:rPr>
          <w:b/>
          <w:vertAlign w:val="subscript"/>
        </w:rPr>
        <w:t>max</w:t>
      </w:r>
      <w:r>
        <w:rPr>
          <w:vertAlign w:val="subscript"/>
        </w:rPr>
        <w:t xml:space="preserve"> </w:t>
      </w:r>
      <w:r>
        <w:rPr>
          <w:b/>
          <w:vertAlign w:val="subscript"/>
        </w:rPr>
        <w:t>CTS-MS</w:t>
      </w:r>
      <w:r>
        <w:rPr/>
        <w:t xml:space="preserve"> = -102 + 3 + 111 = </w:t>
      </w:r>
      <w:r>
        <w:rPr>
          <w:b/>
        </w:rPr>
        <w:t>12 dBm</w:t>
      </w:r>
      <w:r>
        <w:rPr/>
        <w:tab/>
        <w:t>DCS1800</w:t>
      </w:r>
    </w:p>
    <w:p>
      <w:pPr>
        <w:pStyle w:val="Normal"/>
        <w:rPr/>
      </w:pPr>
      <w:r>
        <w:rPr/>
        <w:t>Following the outcome of the discussion in SMG2 WPB meeting in Milano, 2</w:t>
      </w:r>
      <w:r>
        <w:rPr>
          <w:vertAlign w:val="superscript"/>
        </w:rPr>
        <w:t>nd</w:t>
      </w:r>
      <w:r>
        <w:rPr/>
        <w:t xml:space="preserve"> </w:t>
        <w:noBreakHyphen/>
        <w:t xml:space="preserve"> 6</w:t>
      </w:r>
      <w:r>
        <w:rPr>
          <w:vertAlign w:val="superscript"/>
        </w:rPr>
        <w:t>th</w:t>
      </w:r>
      <w:r>
        <w:rPr/>
        <w:t xml:space="preserve"> November 1998, the minimum transmit power TxPwr</w:t>
      </w:r>
      <w:r>
        <w:rPr>
          <w:vertAlign w:val="subscript"/>
        </w:rPr>
        <w:t xml:space="preserve">min </w:t>
      </w:r>
      <w:r>
        <w:rPr/>
        <w:t>of the CTS-FP shall be reduced in order to decrease further interference form CTS on GSM (see subclause 2.6). However, the minimum transmit power of the CTS-MS shall be kept at +5 dBm for GSM900 and 0 dBm for DCS1800 for practical reasons concerning implementation.</w:t>
      </w:r>
    </w:p>
    <w:p>
      <w:pPr>
        <w:pStyle w:val="Normal"/>
        <w:rPr/>
      </w:pPr>
      <w:r>
        <w:rPr/>
        <w:t>This will lead to the fact that the link will be balanced for CTS-FP transmit power levels above +5 dBm for GSM900 and 0 dBm for DCS1800. For CTS-FP transmit power levels below +5 dBm for GSM900 and 0 dBm for DCS1800 it is acceptable that the link will not be balanced anymore in favour of interference reduction.</w:t>
      </w:r>
    </w:p>
    <w:p>
      <w:pPr>
        <w:pStyle w:val="Heading2"/>
        <w:rPr/>
      </w:pPr>
      <w:bookmarkStart w:id="485" w:name="__RefHeading___Toc518035905"/>
      <w:bookmarkEnd w:id="485"/>
      <w:r>
        <w:rPr/>
        <w:t>S.2.5</w:t>
        <w:tab/>
        <w:t>Range of Coverage for CTS:</w:t>
      </w:r>
    </w:p>
    <w:p>
      <w:pPr>
        <w:pStyle w:val="Normal"/>
        <w:rPr/>
      </w:pPr>
      <w:r>
        <w:rPr/>
        <w:t>Using the indoor pathloss law (see subclause 1.1.4) the range of coverage (maximum distance between CTS-FP and CTS-MS d</w:t>
      </w:r>
      <w:r>
        <w:rPr>
          <w:vertAlign w:val="subscript"/>
        </w:rPr>
        <w:t>max</w:t>
      </w:r>
      <w:r>
        <w:rPr/>
        <w:t>) can be calculated. The pathloss is given by:</w:t>
      </w:r>
    </w:p>
    <w:p>
      <w:pPr>
        <w:pStyle w:val="EX"/>
        <w:tabs>
          <w:tab w:val="clear" w:pos="284"/>
          <w:tab w:val="left" w:pos="6804" w:leader="none"/>
        </w:tabs>
        <w:rPr/>
      </w:pPr>
      <w:r>
        <w:rPr/>
        <w:tab/>
      </w:r>
      <w:r>
        <w:rPr>
          <w:b/>
        </w:rPr>
        <w:t>PL [dB] = 31,5 + 20 log[d] + 0,9 d</w:t>
      </w:r>
      <w:r>
        <w:rPr/>
        <w:tab/>
        <w:t>GSM900</w:t>
      </w:r>
    </w:p>
    <w:p>
      <w:pPr>
        <w:pStyle w:val="EX"/>
        <w:tabs>
          <w:tab w:val="clear" w:pos="284"/>
          <w:tab w:val="left" w:pos="6804" w:leader="none"/>
        </w:tabs>
        <w:rPr/>
      </w:pPr>
      <w:r>
        <w:rPr/>
        <w:t>and</w:t>
      </w:r>
    </w:p>
    <w:p>
      <w:pPr>
        <w:pStyle w:val="EX"/>
        <w:tabs>
          <w:tab w:val="clear" w:pos="284"/>
          <w:tab w:val="left" w:pos="6804" w:leader="none"/>
        </w:tabs>
        <w:rPr/>
      </w:pPr>
      <w:r>
        <w:rPr/>
        <w:tab/>
      </w:r>
      <w:r>
        <w:rPr>
          <w:b/>
        </w:rPr>
        <w:t>PL [dB] = 37,5 + 20 log[d] + 0,9 d</w:t>
      </w:r>
      <w:r>
        <w:rPr/>
        <w:tab/>
        <w:t>DCS1800</w:t>
      </w:r>
    </w:p>
    <w:p>
      <w:pPr>
        <w:pStyle w:val="Normal"/>
        <w:rPr/>
      </w:pPr>
      <w:r>
        <w:rPr/>
        <w:t>Two cases have to be distinguished, the zero interference and the MCL scenario.</w:t>
      </w:r>
    </w:p>
    <w:p>
      <w:pPr>
        <w:pStyle w:val="Normal"/>
        <w:rPr>
          <w:i/>
          <w:i/>
          <w:lang w:val="pt-BR"/>
        </w:rPr>
      </w:pPr>
      <w:r>
        <w:rPr>
          <w:i/>
          <w:lang w:val="pt-BR"/>
        </w:rPr>
        <w:t>For GSM900:</w:t>
      </w:r>
    </w:p>
    <w:p>
      <w:pPr>
        <w:pStyle w:val="Normal"/>
        <w:rPr>
          <w:lang w:val="pt-BR"/>
        </w:rPr>
      </w:pPr>
      <w:r>
        <w:rPr>
          <w:lang w:val="pt-BR"/>
        </w:rPr>
        <w:t>Zero interference scenario:</w:t>
      </w:r>
    </w:p>
    <w:p>
      <w:pPr>
        <w:pStyle w:val="EX"/>
        <w:rPr/>
      </w:pPr>
      <w:r>
        <w:rPr>
          <w:lang w:val="pt-BR"/>
        </w:rPr>
        <w:tab/>
      </w:r>
      <w:r>
        <w:rPr>
          <w:b/>
          <w:lang w:val="pt-BR"/>
        </w:rPr>
        <w:t>max</w:t>
      </w:r>
      <w:r>
        <w:rPr>
          <w:lang w:val="pt-BR"/>
        </w:rPr>
        <w:t xml:space="preserve"> </w:t>
      </w:r>
      <w:r>
        <w:rPr>
          <w:b/>
          <w:lang w:val="pt-BR"/>
        </w:rPr>
        <w:t>PL</w:t>
      </w:r>
      <w:r>
        <w:rPr>
          <w:lang w:val="pt-BR"/>
        </w:rPr>
        <w:t xml:space="preserve"> [dB] = 11 </w:t>
        <w:noBreakHyphen/>
        <w:t xml:space="preserve"> 3 + 102 = </w:t>
      </w:r>
      <w:r>
        <w:rPr>
          <w:b/>
          <w:lang w:val="pt-BR"/>
        </w:rPr>
        <w:t>110 dB</w:t>
      </w:r>
    </w:p>
    <w:p>
      <w:pPr>
        <w:pStyle w:val="EX"/>
        <w:rPr/>
      </w:pPr>
      <w:r>
        <w:rPr>
          <w:lang w:val="pt-BR"/>
        </w:rPr>
        <w:tab/>
        <w:t>=&gt; d</w:t>
      </w:r>
      <w:r>
        <w:rPr>
          <w:vertAlign w:val="subscript"/>
          <w:lang w:val="pt-BR"/>
        </w:rPr>
        <w:t>max</w:t>
      </w:r>
      <w:r>
        <w:rPr>
          <w:lang w:val="pt-BR"/>
        </w:rPr>
        <w:t xml:space="preserve"> = 49,5 m</w:t>
      </w:r>
    </w:p>
    <w:p>
      <w:pPr>
        <w:pStyle w:val="Normal"/>
        <w:rPr/>
      </w:pPr>
      <w:r>
        <w:rPr/>
        <w:t>Interferer at MCL scenario:</w:t>
      </w:r>
    </w:p>
    <w:p>
      <w:pPr>
        <w:pStyle w:val="Normal"/>
        <w:rPr/>
      </w:pPr>
      <w:r>
        <w:rPr/>
        <w:t>The minimum wanted signal level Rlev for the CTS-FP is given by the spectrum due to modulation and wideband noise of  an uncoordinated GSM-MS (interferer). The receive level Rlev for 1,8 MHz frequency separation is:</w:t>
      </w:r>
    </w:p>
    <w:p>
      <w:pPr>
        <w:pStyle w:val="EX"/>
        <w:rPr/>
      </w:pPr>
      <w:r>
        <w:rPr>
          <w:b/>
        </w:rPr>
        <w:t>Rlev =</w:t>
        <w:tab/>
        <w:t>TxPwr</w:t>
      </w:r>
      <w:r>
        <w:rPr>
          <w:b/>
          <w:vertAlign w:val="subscript"/>
        </w:rPr>
        <w:t xml:space="preserve">GSM-MS </w:t>
      </w:r>
      <w:r>
        <w:rPr>
          <w:b/>
        </w:rPr>
        <w:t xml:space="preserve"> + conv. fac. </w:t>
      </w:r>
      <w:r>
        <w:rPr>
          <w:b/>
          <w:lang w:val="pt-BR"/>
        </w:rPr>
        <w:t>(200 -&gt; 30 kHz) - spectrum mask</w:t>
      </w:r>
      <w:r>
        <w:rPr>
          <w:b/>
          <w:vertAlign w:val="subscript"/>
          <w:lang w:val="pt-BR"/>
        </w:rPr>
        <w:t>GSM-MS</w:t>
      </w:r>
      <w:r>
        <w:rPr>
          <w:b/>
          <w:lang w:val="pt-BR"/>
        </w:rPr>
        <w:t xml:space="preserve"> + </w:t>
        <w:br/>
        <w:t xml:space="preserve">conv. fac. </w:t>
      </w:r>
      <w:r>
        <w:rPr>
          <w:b/>
        </w:rPr>
        <w:t xml:space="preserve">(100 -&gt; 200 kHz) </w:t>
        <w:noBreakHyphen/>
        <w:t xml:space="preserve"> MCL + C/I </w:t>
      </w:r>
    </w:p>
    <w:p>
      <w:pPr>
        <w:pStyle w:val="EX"/>
        <w:rPr/>
      </w:pPr>
      <w:r>
        <w:rPr/>
        <w:tab/>
      </w:r>
      <w:r>
        <w:rPr>
          <w:b/>
        </w:rPr>
        <w:t xml:space="preserve">Rlev </w:t>
      </w:r>
      <w:r>
        <w:rPr/>
        <w:t>[dBm]</w:t>
      </w:r>
      <w:r>
        <w:rPr>
          <w:b/>
        </w:rPr>
        <w:t xml:space="preserve"> </w:t>
      </w:r>
      <w:r>
        <w:rPr/>
        <w:t xml:space="preserve">= 33 </w:t>
        <w:noBreakHyphen/>
        <w:t xml:space="preserve"> 8 </w:t>
        <w:noBreakHyphen/>
        <w:t xml:space="preserve"> 63 + 3 </w:t>
        <w:noBreakHyphen/>
        <w:t xml:space="preserve"> 34.5 + 9 = </w:t>
      </w:r>
      <w:r>
        <w:rPr>
          <w:b/>
        </w:rPr>
        <w:noBreakHyphen/>
        <w:t>60,5 dBm</w:t>
      </w:r>
    </w:p>
    <w:p>
      <w:pPr>
        <w:pStyle w:val="Normal"/>
        <w:rPr/>
      </w:pPr>
      <w:r>
        <w:rPr/>
        <w:t>The available pathloss for the CTS in that case and the corresponding maximum distance between CTS-FP and CTS-MS are:</w:t>
      </w:r>
    </w:p>
    <w:p>
      <w:pPr>
        <w:pStyle w:val="EX"/>
        <w:rPr/>
      </w:pPr>
      <w:r>
        <w:rPr>
          <w:b/>
        </w:rPr>
        <w:t>max</w:t>
      </w:r>
      <w:r>
        <w:rPr/>
        <w:t xml:space="preserve"> </w:t>
      </w:r>
      <w:r>
        <w:rPr>
          <w:b/>
        </w:rPr>
        <w:t xml:space="preserve">PL = TxPwr </w:t>
        <w:noBreakHyphen/>
        <w:t xml:space="preserve"> Rlev </w:t>
        <w:noBreakHyphen/>
        <w:t xml:space="preserve"> 3 dB body loss</w:t>
      </w:r>
    </w:p>
    <w:p>
      <w:pPr>
        <w:pStyle w:val="EX"/>
        <w:rPr/>
      </w:pPr>
      <w:r>
        <w:rPr>
          <w:b/>
        </w:rPr>
        <w:t>max</w:t>
      </w:r>
      <w:r>
        <w:rPr/>
        <w:t xml:space="preserve"> </w:t>
      </w:r>
      <w:r>
        <w:rPr>
          <w:b/>
        </w:rPr>
        <w:t xml:space="preserve">PL </w:t>
      </w:r>
      <w:r>
        <w:rPr/>
        <w:t xml:space="preserve">[dB] = 11 + 60,5 </w:t>
        <w:noBreakHyphen/>
        <w:t xml:space="preserve"> 3 = </w:t>
      </w:r>
      <w:r>
        <w:rPr>
          <w:b/>
        </w:rPr>
        <w:t>68,5 dB</w:t>
      </w:r>
    </w:p>
    <w:p>
      <w:pPr>
        <w:pStyle w:val="EX"/>
        <w:rPr/>
      </w:pPr>
      <w:r>
        <w:rPr>
          <w:b/>
        </w:rPr>
        <w:t>=&gt; d</w:t>
      </w:r>
      <w:r>
        <w:rPr>
          <w:b/>
          <w:vertAlign w:val="subscript"/>
        </w:rPr>
        <w:t>max</w:t>
      </w:r>
      <w:r>
        <w:rPr>
          <w:b/>
        </w:rPr>
        <w:t xml:space="preserve"> = 14,9 m</w:t>
      </w:r>
    </w:p>
    <w:p>
      <w:pPr>
        <w:pStyle w:val="Normal"/>
        <w:rPr>
          <w:i/>
          <w:i/>
        </w:rPr>
      </w:pPr>
      <w:r>
        <w:rPr>
          <w:i/>
        </w:rPr>
        <w:t>For DCS1800:</w:t>
      </w:r>
    </w:p>
    <w:p>
      <w:pPr>
        <w:pStyle w:val="Normal"/>
        <w:rPr>
          <w:lang w:val="it-IT"/>
        </w:rPr>
      </w:pPr>
      <w:r>
        <w:rPr>
          <w:lang w:val="it-IT"/>
        </w:rPr>
        <w:t>Zero interference scenario:</w:t>
      </w:r>
    </w:p>
    <w:p>
      <w:pPr>
        <w:pStyle w:val="EX"/>
        <w:rPr/>
      </w:pPr>
      <w:r>
        <w:rPr>
          <w:lang w:val="it-IT"/>
        </w:rPr>
        <w:tab/>
      </w:r>
      <w:r>
        <w:rPr>
          <w:b/>
          <w:lang w:val="it-IT"/>
        </w:rPr>
        <w:t>max</w:t>
      </w:r>
      <w:r>
        <w:rPr>
          <w:lang w:val="it-IT"/>
        </w:rPr>
        <w:t xml:space="preserve"> </w:t>
      </w:r>
      <w:r>
        <w:rPr>
          <w:b/>
          <w:lang w:val="it-IT"/>
        </w:rPr>
        <w:t>PL</w:t>
      </w:r>
      <w:r>
        <w:rPr>
          <w:lang w:val="it-IT"/>
        </w:rPr>
        <w:t xml:space="preserve"> [dB] = 12 </w:t>
        <w:noBreakHyphen/>
        <w:t xml:space="preserve"> 3 + 102 = </w:t>
      </w:r>
      <w:r>
        <w:rPr>
          <w:b/>
          <w:lang w:val="it-IT"/>
        </w:rPr>
        <w:t>111 dB</w:t>
      </w:r>
    </w:p>
    <w:p>
      <w:pPr>
        <w:pStyle w:val="EX"/>
        <w:rPr/>
      </w:pPr>
      <w:r>
        <w:rPr>
          <w:lang w:val="it-IT"/>
        </w:rPr>
        <w:tab/>
        <w:t xml:space="preserve">           </w:t>
      </w:r>
      <w:r>
        <w:rPr>
          <w:b/>
          <w:lang w:val="it-IT"/>
        </w:rPr>
        <w:t>=&gt; d</w:t>
      </w:r>
      <w:r>
        <w:rPr>
          <w:b/>
          <w:vertAlign w:val="subscript"/>
          <w:lang w:val="it-IT"/>
        </w:rPr>
        <w:t>max</w:t>
      </w:r>
      <w:r>
        <w:rPr>
          <w:b/>
          <w:lang w:val="it-IT"/>
        </w:rPr>
        <w:t xml:space="preserve"> = 45 m</w:t>
      </w:r>
    </w:p>
    <w:p>
      <w:pPr>
        <w:pStyle w:val="Normal"/>
        <w:rPr>
          <w:lang w:val="it-IT"/>
        </w:rPr>
      </w:pPr>
      <w:r>
        <w:rPr>
          <w:lang w:val="it-IT"/>
        </w:rPr>
        <w:t>Interferer at MCL scenario:</w:t>
      </w:r>
    </w:p>
    <w:p>
      <w:pPr>
        <w:pStyle w:val="Normal"/>
        <w:rPr/>
      </w:pPr>
      <w:r>
        <w:rPr/>
        <w:t>Again, the minimum wanted signal level Rlev for the CTS-FP is given by the spectrum due to modulation and wideband noise of  an uncoordinated GSM-MS (interferer). The receive level Rlev for 1,8 MHz frequency separation is:</w:t>
      </w:r>
    </w:p>
    <w:p>
      <w:pPr>
        <w:pStyle w:val="EX"/>
        <w:rPr/>
      </w:pPr>
      <w:r>
        <w:rPr>
          <w:b/>
        </w:rPr>
        <w:t>Rlev  =</w:t>
        <w:tab/>
        <w:t>TxPwr</w:t>
      </w:r>
      <w:r>
        <w:rPr>
          <w:b/>
          <w:vertAlign w:val="subscript"/>
        </w:rPr>
        <w:t xml:space="preserve">GSM-MS </w:t>
      </w:r>
      <w:r>
        <w:rPr>
          <w:b/>
        </w:rPr>
        <w:t xml:space="preserve"> + conv. fac. </w:t>
      </w:r>
      <w:r>
        <w:rPr>
          <w:b/>
          <w:lang w:val="pt-BR"/>
        </w:rPr>
        <w:t>(200 -&gt; 30 kHz) - spectrum mask</w:t>
      </w:r>
      <w:r>
        <w:rPr>
          <w:b/>
          <w:vertAlign w:val="subscript"/>
          <w:lang w:val="pt-BR"/>
        </w:rPr>
        <w:t>GSM-MS</w:t>
      </w:r>
      <w:r>
        <w:rPr>
          <w:b/>
          <w:lang w:val="pt-BR"/>
        </w:rPr>
        <w:t xml:space="preserve">  </w:t>
        <w:br/>
        <w:t xml:space="preserve">conv. fac. </w:t>
      </w:r>
      <w:r>
        <w:rPr>
          <w:b/>
        </w:rPr>
        <w:t xml:space="preserve">(100 -&gt; 200 kHz) </w:t>
        <w:noBreakHyphen/>
        <w:t xml:space="preserve"> MCL + C/I </w:t>
      </w:r>
    </w:p>
    <w:p>
      <w:pPr>
        <w:pStyle w:val="EX"/>
        <w:rPr/>
      </w:pPr>
      <w:r>
        <w:rPr/>
        <w:tab/>
      </w:r>
      <w:r>
        <w:rPr>
          <w:b/>
        </w:rPr>
        <w:t xml:space="preserve">Rlev </w:t>
      </w:r>
      <w:r>
        <w:rPr/>
        <w:t>[dBm]</w:t>
      </w:r>
      <w:r>
        <w:rPr>
          <w:b/>
        </w:rPr>
        <w:t xml:space="preserve"> </w:t>
      </w:r>
      <w:r>
        <w:rPr/>
        <w:t xml:space="preserve">= 30 </w:t>
        <w:noBreakHyphen/>
        <w:t xml:space="preserve"> 8 </w:t>
        <w:noBreakHyphen/>
        <w:t xml:space="preserve"> 60 + 3 </w:t>
        <w:noBreakHyphen/>
        <w:t xml:space="preserve"> 40.5 + 9 = </w:t>
      </w:r>
      <w:r>
        <w:rPr>
          <w:b/>
        </w:rPr>
        <w:noBreakHyphen/>
        <w:t>66,5 dBm</w:t>
      </w:r>
    </w:p>
    <w:p>
      <w:pPr>
        <w:pStyle w:val="Normal"/>
        <w:rPr/>
      </w:pPr>
      <w:r>
        <w:rPr/>
        <w:t>The available pathloss for the CTS in that case and the corresponding maximum distance between CTS-FP and CTS-MS are:</w:t>
      </w:r>
    </w:p>
    <w:p>
      <w:pPr>
        <w:pStyle w:val="EX"/>
        <w:rPr/>
      </w:pPr>
      <w:r>
        <w:rPr>
          <w:b/>
        </w:rPr>
        <w:t>max</w:t>
      </w:r>
      <w:r>
        <w:rPr/>
        <w:t xml:space="preserve"> </w:t>
      </w:r>
      <w:r>
        <w:rPr>
          <w:b/>
        </w:rPr>
        <w:t xml:space="preserve">PL = TxPwr </w:t>
        <w:noBreakHyphen/>
        <w:t xml:space="preserve"> Rlev </w:t>
        <w:noBreakHyphen/>
        <w:t xml:space="preserve"> 3 dB body loss</w:t>
      </w:r>
    </w:p>
    <w:p>
      <w:pPr>
        <w:pStyle w:val="EX"/>
        <w:rPr/>
      </w:pPr>
      <w:r>
        <w:rPr>
          <w:b/>
        </w:rPr>
        <w:t>max</w:t>
      </w:r>
      <w:r>
        <w:rPr/>
        <w:t xml:space="preserve"> </w:t>
      </w:r>
      <w:r>
        <w:rPr>
          <w:b/>
        </w:rPr>
        <w:t xml:space="preserve">PL </w:t>
      </w:r>
      <w:r>
        <w:rPr/>
        <w:t xml:space="preserve">[dB] = 12 + 66,5 </w:t>
        <w:noBreakHyphen/>
        <w:t xml:space="preserve"> 3 = </w:t>
      </w:r>
      <w:r>
        <w:rPr>
          <w:b/>
        </w:rPr>
        <w:t>75,5 dB</w:t>
      </w:r>
    </w:p>
    <w:p>
      <w:pPr>
        <w:pStyle w:val="EX"/>
        <w:rPr/>
      </w:pPr>
      <w:r>
        <w:rPr>
          <w:b/>
        </w:rPr>
        <w:t>=&gt; d</w:t>
      </w:r>
      <w:r>
        <w:rPr>
          <w:b/>
          <w:vertAlign w:val="subscript"/>
        </w:rPr>
        <w:t>max</w:t>
      </w:r>
      <w:r>
        <w:rPr>
          <w:b/>
        </w:rPr>
        <w:t xml:space="preserve"> = 15,6 m</w:t>
      </w:r>
    </w:p>
    <w:p>
      <w:pPr>
        <w:pStyle w:val="Normal"/>
        <w:rPr/>
      </w:pPr>
      <w:r>
        <w:rPr/>
        <w:t xml:space="preserve">For both frequency bands, GSM900 and DCS1800, this range is reasonable for CTS applications, but </w:t>
      </w:r>
      <w:r>
        <w:rPr>
          <w:b/>
        </w:rPr>
        <w:t>it shows also clearly that the maximum transmit power TxPwr</w:t>
      </w:r>
      <w:r>
        <w:rPr>
          <w:b/>
          <w:vertAlign w:val="subscript"/>
        </w:rPr>
        <w:t>max</w:t>
      </w:r>
      <w:r>
        <w:rPr>
          <w:b/>
        </w:rPr>
        <w:t xml:space="preserve"> specified above shall not be below +11 dBm for GSM900 and +12 dBm for DCS1800</w:t>
      </w:r>
      <w:r>
        <w:rPr/>
        <w:t>.</w:t>
      </w:r>
    </w:p>
    <w:p>
      <w:pPr>
        <w:pStyle w:val="Heading2"/>
        <w:rPr/>
      </w:pPr>
      <w:bookmarkStart w:id="486" w:name="__RefHeading___Toc518035906"/>
      <w:bookmarkStart w:id="487" w:name="_Ref438873096"/>
      <w:bookmarkEnd w:id="486"/>
      <w:r>
        <w:rPr/>
        <w:t>S.2.6</w:t>
        <w:tab/>
      </w:r>
      <w:bookmarkStart w:id="488" w:name="_Ref436625391"/>
      <w:r>
        <w:rPr/>
        <w:t>Minimum CTS-FP transmit power</w:t>
      </w:r>
      <w:bookmarkEnd w:id="487"/>
      <w:bookmarkEnd w:id="488"/>
    </w:p>
    <w:p>
      <w:pPr>
        <w:pStyle w:val="Normal"/>
        <w:rPr/>
      </w:pPr>
      <w:r>
        <w:rPr/>
        <w:t>As already mentioned above, the outcome of the discussion in SMG2 WPB meeting in Milano, 2</w:t>
      </w:r>
      <w:r>
        <w:rPr>
          <w:vertAlign w:val="superscript"/>
        </w:rPr>
        <w:t>nd</w:t>
      </w:r>
      <w:r>
        <w:rPr/>
        <w:t xml:space="preserve"> - 6</w:t>
      </w:r>
      <w:r>
        <w:rPr>
          <w:vertAlign w:val="superscript"/>
        </w:rPr>
        <w:t>th</w:t>
      </w:r>
      <w:r>
        <w:rPr/>
        <w:t xml:space="preserve"> November 1998, is that the minimum transmit power of the CTS-FP shall be reduced in order to decrease further interference from CTS on GSM. The minimum transmit power of the CTS-MS shall be kept at +5 dBm for GSM900 and 0 dBm for DCS1800 to ease the implementation of CTS in the CTS-MS (no hardware changes).</w:t>
      </w:r>
    </w:p>
    <w:p>
      <w:pPr>
        <w:pStyle w:val="Normal"/>
        <w:rPr/>
      </w:pPr>
      <w:r>
        <w:rPr/>
        <w:t>The CTS-FP shall have a certain transmit power range in order to use an efficient power control on the downlink. However, an acceptable compromise has to be found between a low minimum transmit power and the implementation cost in the CTS-FP.</w:t>
      </w:r>
    </w:p>
    <w:p>
      <w:pPr>
        <w:pStyle w:val="Normal"/>
        <w:rPr/>
      </w:pPr>
      <w:r>
        <w:rPr/>
        <w:t>The CTS-FP is a new GSM component which is likely to re-use existing technologies which have shown effectiveness in the past and present. In particular technologies used for the MS have some similarities to those needed for the CTS-FP and CTS-MS. Among these technologies are the components for the RF front end of the terminal, i.e. power amplification, power detection (loop back control), etc... which will be directly impacted by lower transmit power levels.</w:t>
      </w:r>
    </w:p>
    <w:p>
      <w:pPr>
        <w:pStyle w:val="Normal"/>
        <w:rPr/>
      </w:pPr>
      <w:r>
        <w:rPr/>
        <w:t>A reasonable evolution of those components, necessary to obtain lower transmit power levels, can be achieved with the following proposal for the power control range:</w:t>
      </w:r>
    </w:p>
    <w:p>
      <w:pPr>
        <w:pStyle w:val="EX"/>
        <w:rPr/>
      </w:pPr>
      <w:r>
        <w:rPr/>
        <w:tab/>
      </w:r>
      <w:r>
        <w:rPr>
          <w:b/>
        </w:rPr>
        <w:t>CTS-FP power control range = 20 dB.</w:t>
      </w:r>
    </w:p>
    <w:p>
      <w:pPr>
        <w:pStyle w:val="Normal"/>
        <w:rPr/>
      </w:pPr>
      <w:r>
        <w:rPr/>
        <w:t>From that value and from the maximum transmit power levels TxPwr</w:t>
      </w:r>
      <w:r>
        <w:rPr>
          <w:vertAlign w:val="subscript"/>
        </w:rPr>
        <w:t>max CTS-FP</w:t>
      </w:r>
      <w:r>
        <w:rPr/>
        <w:t xml:space="preserve"> defined in subclause 2.3.1 it follows for the minimum CTS-FP transmit power level TxPwr</w:t>
      </w:r>
      <w:r>
        <w:rPr>
          <w:vertAlign w:val="subscript"/>
        </w:rPr>
        <w:t>min</w:t>
      </w:r>
      <w:r>
        <w:rPr/>
        <w:t>:</w:t>
      </w:r>
    </w:p>
    <w:p>
      <w:pPr>
        <w:pStyle w:val="EX"/>
        <w:tabs>
          <w:tab w:val="clear" w:pos="284"/>
          <w:tab w:val="left" w:pos="6804" w:leader="none"/>
        </w:tabs>
        <w:rPr/>
      </w:pPr>
      <w:r>
        <w:rPr/>
        <w:tab/>
      </w:r>
      <w:r>
        <w:rPr>
          <w:b/>
        </w:rPr>
        <w:t>TxPwr</w:t>
      </w:r>
      <w:r>
        <w:rPr>
          <w:b/>
          <w:vertAlign w:val="subscript"/>
        </w:rPr>
        <w:t>min CTS-FP</w:t>
      </w:r>
      <w:r>
        <w:rPr>
          <w:b/>
        </w:rPr>
        <w:t xml:space="preserve"> = -9 dBm</w:t>
      </w:r>
      <w:r>
        <w:rPr/>
        <w:tab/>
        <w:t>for GSM900</w:t>
      </w:r>
    </w:p>
    <w:p>
      <w:pPr>
        <w:pStyle w:val="EX"/>
        <w:tabs>
          <w:tab w:val="clear" w:pos="284"/>
          <w:tab w:val="left" w:pos="6804" w:leader="none"/>
        </w:tabs>
        <w:rPr/>
      </w:pPr>
      <w:r>
        <w:rPr/>
        <w:t>and</w:t>
      </w:r>
    </w:p>
    <w:p>
      <w:pPr>
        <w:pStyle w:val="EX"/>
        <w:tabs>
          <w:tab w:val="clear" w:pos="284"/>
          <w:tab w:val="left" w:pos="6804" w:leader="none"/>
        </w:tabs>
        <w:rPr/>
      </w:pPr>
      <w:r>
        <w:rPr/>
        <w:tab/>
      </w:r>
      <w:r>
        <w:rPr>
          <w:b/>
        </w:rPr>
        <w:t>TxPwr</w:t>
      </w:r>
      <w:r>
        <w:rPr>
          <w:b/>
          <w:vertAlign w:val="subscript"/>
        </w:rPr>
        <w:t>min CTS-FP</w:t>
      </w:r>
      <w:r>
        <w:rPr>
          <w:b/>
        </w:rPr>
        <w:t xml:space="preserve"> = -8dBm</w:t>
      </w:r>
      <w:r>
        <w:rPr/>
        <w:tab/>
        <w:t>for DCS1800</w:t>
      </w:r>
    </w:p>
    <w:p>
      <w:pPr>
        <w:pStyle w:val="Heading2"/>
        <w:rPr/>
      </w:pPr>
      <w:bookmarkStart w:id="489" w:name="__RefHeading___Toc518035907"/>
      <w:r>
        <w:rPr/>
        <w:t>S.2.7</w:t>
        <w:tab/>
        <w:t>Power Level Distribution</w:t>
      </w:r>
      <w:bookmarkEnd w:id="489"/>
      <w:r>
        <w:rPr/>
        <w:t xml:space="preserve"> </w:t>
      </w:r>
    </w:p>
    <w:p>
      <w:pPr>
        <w:pStyle w:val="Normal"/>
        <w:rPr/>
      </w:pPr>
      <w:r>
        <w:rPr/>
        <w:t>For the CTS-FP power control range defined above, it can be roughly estimated which percentage of calls will be operated with the minimum transmit power under zero interference condition. We assume that the CTS-MSs will be evenly distributed over the coverage range. This is really a worst case with respect to the transmit power because there will be clearly a maximum in the distances distribution of the CTS-MS more closer to the CTS-FP. However it gives a first impression about power level distribution.</w:t>
      </w:r>
    </w:p>
    <w:p>
      <w:pPr>
        <w:pStyle w:val="Normal"/>
        <w:rPr/>
      </w:pPr>
      <w:r>
        <w:rPr/>
        <w:t xml:space="preserve">For the calculations we use the power control range of 20 dB proposed in subclause 2.6. Furthermore it is assumed that power control optimises the transmit power to achieve a receive level of </w:t>
        <w:noBreakHyphen/>
        <w:t>85 dBm at the CTS-MS receiver.</w:t>
      </w:r>
    </w:p>
    <w:p>
      <w:pPr>
        <w:pStyle w:val="Normal"/>
        <w:rPr>
          <w:i/>
          <w:i/>
        </w:rPr>
      </w:pPr>
      <w:r>
        <w:rPr>
          <w:i/>
        </w:rPr>
        <w:t>GSM900:</w:t>
      </w:r>
    </w:p>
    <w:p>
      <w:pPr>
        <w:pStyle w:val="Normal"/>
        <w:rPr/>
      </w:pPr>
      <w:r>
        <w:rPr/>
        <w:t>For the assumed power control range and using the assumed spatial distribution of CTS-MSs within the coverage range as well as the pathloss law defined in subclause 1.1.4, the CTS-FP transmit power level is in:</w:t>
      </w:r>
    </w:p>
    <w:p>
      <w:pPr>
        <w:pStyle w:val="EX"/>
        <w:rPr/>
      </w:pPr>
      <w:r>
        <w:rPr>
          <w:b/>
        </w:rPr>
        <w:t>28%</w:t>
      </w:r>
      <w:r>
        <w:rPr/>
        <w:t xml:space="preserve"> of the calls at the minimum transmit power level of </w:t>
      </w:r>
      <w:r>
        <w:rPr>
          <w:b/>
        </w:rPr>
        <w:t>TxPwr</w:t>
      </w:r>
      <w:r>
        <w:rPr>
          <w:b/>
          <w:vertAlign w:val="subscript"/>
        </w:rPr>
        <w:t>min CTS-FP</w:t>
      </w:r>
      <w:r>
        <w:rPr>
          <w:b/>
        </w:rPr>
        <w:t xml:space="preserve"> = </w:t>
        <w:noBreakHyphen/>
        <w:t>9 dBm</w:t>
      </w:r>
    </w:p>
    <w:p>
      <w:pPr>
        <w:pStyle w:val="Normal"/>
        <w:rPr>
          <w:i/>
          <w:i/>
        </w:rPr>
      </w:pPr>
      <w:r>
        <w:rPr>
          <w:i/>
        </w:rPr>
        <w:t>DCS1800:</w:t>
      </w:r>
    </w:p>
    <w:p>
      <w:pPr>
        <w:pStyle w:val="Normal"/>
        <w:rPr/>
      </w:pPr>
      <w:r>
        <w:rPr/>
        <w:t xml:space="preserve">The minimum transmit power level for DCS1800 was defined to be </w:t>
        <w:noBreakHyphen/>
        <w:t>8 dBm and the maximum transmit power level +12 dBm. For these data the CTS-FP transmit power is in:</w:t>
      </w:r>
    </w:p>
    <w:p>
      <w:pPr>
        <w:pStyle w:val="EX"/>
        <w:rPr/>
      </w:pPr>
      <w:r>
        <w:rPr>
          <w:b/>
        </w:rPr>
        <w:t>24%</w:t>
      </w:r>
      <w:r>
        <w:rPr/>
        <w:t xml:space="preserve"> of the calls at the minimum transmit power level of </w:t>
      </w:r>
      <w:r>
        <w:rPr>
          <w:b/>
        </w:rPr>
        <w:t>TxPwr</w:t>
      </w:r>
      <w:r>
        <w:rPr>
          <w:b/>
          <w:vertAlign w:val="subscript"/>
        </w:rPr>
        <w:t>min CTS-FP</w:t>
      </w:r>
      <w:r>
        <w:rPr>
          <w:b/>
        </w:rPr>
        <w:t xml:space="preserve"> = </w:t>
        <w:noBreakHyphen/>
        <w:t>8 dBm</w:t>
      </w:r>
    </w:p>
    <w:p>
      <w:pPr>
        <w:pStyle w:val="Normal"/>
        <w:rPr/>
      </w:pPr>
      <w:r>
        <w:rPr/>
        <w:t>Though this is only a very rough estimation it shows clearly that power control can reduce interference for a significant percentage of calls. A more realistic distances distribution will increase these figures while consideration of interference limited situations will cause a decrease.</w:t>
      </w:r>
    </w:p>
    <w:p>
      <w:pPr>
        <w:pStyle w:val="Normal"/>
        <w:rPr/>
      </w:pPr>
      <w:r>
        <w:rPr/>
        <w:t>Nevertheless, the power control range of 20 dB for the CTS-FP seems to be reasonable with respect to implementation and interference reduction.</w:t>
      </w:r>
    </w:p>
    <w:p>
      <w:pPr>
        <w:pStyle w:val="Heading2"/>
        <w:rPr/>
      </w:pPr>
      <w:bookmarkStart w:id="490" w:name="__RefHeading___Toc518035908"/>
      <w:bookmarkEnd w:id="490"/>
      <w:r>
        <w:rPr/>
        <w:t>S.2.8</w:t>
        <w:tab/>
        <w:t>Spurious Emission</w:t>
      </w:r>
    </w:p>
    <w:p>
      <w:pPr>
        <w:pStyle w:val="Normal"/>
        <w:rPr/>
      </w:pPr>
      <w:r>
        <w:rPr/>
        <w:t xml:space="preserve">The spurious transmission in the relevant transmit band of the CTS-FP should remain at </w:t>
        <w:noBreakHyphen/>
        <w:t>36 dBm measured in 30 kHz bandwidth for an offset between 1,8 MHz and 6 MHz and in 100 kHz bandwidth for an offset larger than 6 MHz.</w:t>
      </w:r>
    </w:p>
    <w:p>
      <w:pPr>
        <w:pStyle w:val="Normal"/>
        <w:rPr/>
      </w:pPr>
      <w:r>
        <w:rPr/>
        <w:t>Within the receive band the maximum allowed power level Txlev</w:t>
      </w:r>
      <w:r>
        <w:rPr>
          <w:vertAlign w:val="subscript"/>
        </w:rPr>
        <w:t>max</w:t>
      </w:r>
      <w:r>
        <w:rPr/>
        <w:t xml:space="preserve"> is given by the receiver sensitivity and the coupling loss. Two cases have been considered, the reception by an uncoordinated CTS-FP receiver and by an uncoordinated pico-BTS. For the coupling loss a minimum distance of 1 m with one wall in-between (7 dB loss) or, which is equivalent for GSM900 and DCS1800, a distance of 2 m without wall is assumed. The corresponding losses are 39,4 dB for GSM900 and 45,4 dB for DCS1800 (indoor path loss model from subclause 1.1.4).</w:t>
      </w:r>
    </w:p>
    <w:p>
      <w:pPr>
        <w:pStyle w:val="Normal"/>
        <w:rPr/>
      </w:pPr>
      <w:r>
        <w:rPr/>
        <w:t>Due to the fact that the CTS-PF is a one carrier base station no multiple interferer margin was considered.</w:t>
      </w:r>
    </w:p>
    <w:p>
      <w:pPr>
        <w:pStyle w:val="EX"/>
        <w:rPr/>
      </w:pPr>
      <w:r>
        <w:rPr>
          <w:b/>
        </w:rPr>
        <w:tab/>
      </w:r>
      <w:r>
        <w:rPr>
          <w:b/>
          <w:lang w:val="en-US"/>
        </w:rPr>
        <w:t>Txlev</w:t>
      </w:r>
      <w:r>
        <w:rPr>
          <w:b/>
          <w:vertAlign w:val="subscript"/>
          <w:lang w:val="en-US"/>
        </w:rPr>
        <w:t>max</w:t>
      </w:r>
      <w:r>
        <w:rPr>
          <w:b/>
          <w:lang w:val="en-US"/>
        </w:rPr>
        <w:t xml:space="preserve"> = ref.sens.</w:t>
      </w:r>
      <w:r>
        <w:rPr>
          <w:b/>
          <w:vertAlign w:val="subscript"/>
          <w:lang w:val="en-US"/>
        </w:rPr>
        <w:t xml:space="preserve">  </w:t>
      </w:r>
      <w:r>
        <w:rPr>
          <w:b/>
        </w:rPr>
        <w:noBreakHyphen/>
        <w:t xml:space="preserve"> C/I + coupling loss + conv. fac. (200 -&gt; 100 kHz)</w:t>
      </w:r>
    </w:p>
    <w:p>
      <w:pPr>
        <w:pStyle w:val="Normal"/>
        <w:rPr/>
      </w:pPr>
      <w:r>
        <w:rPr/>
        <w:t>1)</w:t>
        <w:tab/>
        <w:t>Spurious emission received by an uncoordinated CTS-FP:</w:t>
      </w:r>
    </w:p>
    <w:p>
      <w:pPr>
        <w:pStyle w:val="EX"/>
        <w:tabs>
          <w:tab w:val="clear" w:pos="284"/>
          <w:tab w:val="left" w:pos="6804" w:leader="none"/>
        </w:tabs>
        <w:rPr/>
      </w:pPr>
      <w:r>
        <w:rPr/>
        <w:tab/>
      </w:r>
      <w:r>
        <w:rPr>
          <w:b/>
        </w:rPr>
        <w:t>Txlev</w:t>
      </w:r>
      <w:r>
        <w:rPr>
          <w:b/>
          <w:vertAlign w:val="subscript"/>
        </w:rPr>
        <w:t xml:space="preserve">max </w:t>
      </w:r>
      <w:r>
        <w:rPr/>
        <w:t>[dBm]</w:t>
      </w:r>
      <w:r>
        <w:rPr>
          <w:b/>
        </w:rPr>
        <w:t xml:space="preserve"> </w:t>
      </w:r>
      <w:r>
        <w:rPr/>
        <w:t xml:space="preserve">= -102 </w:t>
        <w:noBreakHyphen/>
        <w:t xml:space="preserve"> 9 + 39,4 - 3 = -74,6 dBm</w:t>
        <w:tab/>
        <w:t>GSM900</w:t>
      </w:r>
    </w:p>
    <w:p>
      <w:pPr>
        <w:pStyle w:val="EX"/>
        <w:tabs>
          <w:tab w:val="clear" w:pos="284"/>
          <w:tab w:val="left" w:pos="6804" w:leader="none"/>
        </w:tabs>
        <w:rPr/>
      </w:pPr>
      <w:r>
        <w:rPr/>
        <w:tab/>
      </w:r>
      <w:r>
        <w:rPr>
          <w:b/>
        </w:rPr>
        <w:t>Txlev</w:t>
      </w:r>
      <w:r>
        <w:rPr>
          <w:b/>
          <w:vertAlign w:val="subscript"/>
        </w:rPr>
        <w:t xml:space="preserve">max </w:t>
      </w:r>
      <w:r>
        <w:rPr/>
        <w:t>[dBm]</w:t>
      </w:r>
      <w:r>
        <w:rPr>
          <w:b/>
        </w:rPr>
        <w:t xml:space="preserve"> </w:t>
      </w:r>
      <w:r>
        <w:rPr/>
        <w:t xml:space="preserve">= -102 </w:t>
        <w:noBreakHyphen/>
        <w:t xml:space="preserve"> 9 + 45,4 - 3 = -68,6 dBm</w:t>
        <w:tab/>
        <w:t>DCS1800</w:t>
      </w:r>
    </w:p>
    <w:p>
      <w:pPr>
        <w:pStyle w:val="Normal"/>
        <w:rPr/>
      </w:pPr>
      <w:r>
        <w:rPr/>
        <w:t>2)</w:t>
        <w:tab/>
        <w:t>Spurious emission received by an uncoordinated pico-BTS:</w:t>
      </w:r>
    </w:p>
    <w:p>
      <w:pPr>
        <w:pStyle w:val="Normal"/>
        <w:rPr/>
      </w:pPr>
      <w:r>
        <w:rPr/>
        <w:t>This case is less stringent because of the higher receiver sensitivity level of the pico-BTS compared to a CTS-FP:</w:t>
      </w:r>
    </w:p>
    <w:p>
      <w:pPr>
        <w:pStyle w:val="EX"/>
        <w:tabs>
          <w:tab w:val="clear" w:pos="284"/>
          <w:tab w:val="left" w:pos="6804" w:leader="none"/>
        </w:tabs>
        <w:rPr/>
      </w:pPr>
      <w:r>
        <w:rPr/>
        <w:tab/>
      </w:r>
      <w:r>
        <w:rPr>
          <w:b/>
        </w:rPr>
        <w:t>Txlev</w:t>
      </w:r>
      <w:r>
        <w:rPr>
          <w:b/>
          <w:vertAlign w:val="subscript"/>
        </w:rPr>
        <w:t xml:space="preserve">max </w:t>
      </w:r>
      <w:r>
        <w:rPr/>
        <w:t>[dBm]</w:t>
      </w:r>
      <w:r>
        <w:rPr>
          <w:b/>
        </w:rPr>
        <w:t xml:space="preserve"> </w:t>
      </w:r>
      <w:r>
        <w:rPr/>
        <w:t xml:space="preserve">= -88 </w:t>
        <w:noBreakHyphen/>
        <w:t xml:space="preserve"> 9 + 39,4 - 3 = -60,6 dBm</w:t>
        <w:tab/>
        <w:t>GSM900</w:t>
      </w:r>
    </w:p>
    <w:p>
      <w:pPr>
        <w:pStyle w:val="EX"/>
        <w:tabs>
          <w:tab w:val="clear" w:pos="284"/>
          <w:tab w:val="left" w:pos="6804" w:leader="none"/>
        </w:tabs>
        <w:rPr/>
      </w:pPr>
      <w:r>
        <w:rPr>
          <w:b/>
        </w:rPr>
        <w:tab/>
        <w:t>Txlev</w:t>
      </w:r>
      <w:r>
        <w:rPr>
          <w:b/>
          <w:vertAlign w:val="subscript"/>
        </w:rPr>
        <w:t xml:space="preserve">max </w:t>
      </w:r>
      <w:r>
        <w:rPr/>
        <w:t>[dBm]</w:t>
      </w:r>
      <w:r>
        <w:rPr>
          <w:b/>
        </w:rPr>
        <w:t xml:space="preserve"> </w:t>
      </w:r>
      <w:r>
        <w:rPr/>
        <w:t xml:space="preserve">= -95 </w:t>
        <w:noBreakHyphen/>
        <w:t xml:space="preserve"> 9 + 45,4 - 3 = -61,6 dBm</w:t>
        <w:tab/>
        <w:t>DCS1800</w:t>
      </w:r>
    </w:p>
    <w:p>
      <w:pPr>
        <w:pStyle w:val="Normal"/>
        <w:rPr/>
      </w:pPr>
      <w:r>
        <w:rPr/>
        <w:t>In both cases the requirements are less stringent than for the MS-&gt;MS case which allows manufacturer a low cost re-use of hardware components.</w:t>
      </w:r>
    </w:p>
    <w:p>
      <w:pPr>
        <w:pStyle w:val="Normal"/>
        <w:rPr/>
      </w:pPr>
      <w:r>
        <w:rPr/>
        <w:t>We propose the maximum allowed power level Txlev</w:t>
      </w:r>
      <w:r>
        <w:rPr>
          <w:vertAlign w:val="subscript"/>
        </w:rPr>
        <w:t>max</w:t>
      </w:r>
      <w:r>
        <w:rPr/>
        <w:t xml:space="preserve"> in the receive band to be</w:t>
      </w:r>
      <w:r>
        <w:rPr>
          <w:b/>
        </w:rPr>
        <w:t xml:space="preserve"> </w:t>
        <w:noBreakHyphen/>
        <w:t>75 dBm for GSM900</w:t>
      </w:r>
      <w:r>
        <w:rPr/>
        <w:t xml:space="preserve"> and </w:t>
      </w:r>
      <w:r>
        <w:rPr>
          <w:b/>
        </w:rPr>
        <w:noBreakHyphen/>
        <w:t>69 dBm for DCS1800</w:t>
      </w:r>
      <w:r>
        <w:rPr/>
        <w:t>.</w:t>
      </w:r>
    </w:p>
    <w:p>
      <w:pPr>
        <w:pStyle w:val="Heading1"/>
        <w:ind w:left="1134" w:hanging="1134"/>
        <w:rPr/>
      </w:pPr>
      <w:bookmarkStart w:id="491" w:name="__RefHeading___Toc518035909"/>
      <w:bookmarkEnd w:id="491"/>
      <w:r>
        <w:rPr/>
        <w:t>S.3</w:t>
        <w:tab/>
        <w:t>Receiver characteristics</w:t>
      </w:r>
    </w:p>
    <w:p>
      <w:pPr>
        <w:pStyle w:val="Heading2"/>
        <w:rPr/>
      </w:pPr>
      <w:bookmarkStart w:id="492" w:name="__RefHeading___Toc518035910"/>
      <w:r>
        <w:rPr/>
        <w:t>S.3.1</w:t>
        <w:tab/>
        <w:t>Blocking</w:t>
      </w:r>
      <w:bookmarkEnd w:id="492"/>
      <w:r>
        <w:rPr/>
        <w:t xml:space="preserve"> </w:t>
      </w:r>
    </w:p>
    <w:p>
      <w:pPr>
        <w:pStyle w:val="Normal"/>
        <w:rPr/>
      </w:pPr>
      <w:r>
        <w:rPr/>
        <w:t>Following SMG2 Tdoc 188/98 the dynamic range of the receiver is given by the maximum power received from a MS at MCL (upper level) and by the minimum signal level to be received from a MS to meet the reference sensitivity requirement (lower level) ; in this case, the lower level is defined by the wideband noise of an uncoordinated MS:</w:t>
      </w:r>
    </w:p>
    <w:p>
      <w:pPr>
        <w:pStyle w:val="EX"/>
        <w:rPr>
          <w:b/>
          <w:b/>
        </w:rPr>
      </w:pPr>
      <w:r>
        <w:rPr>
          <w:b/>
        </w:rPr>
        <w:t>dynamic range =</w:t>
        <w:tab/>
        <w:t xml:space="preserve">max. power from uncoord. MS </w:t>
        <w:noBreakHyphen/>
        <w:t xml:space="preserve"> wanted CTS-FP receive level</w:t>
      </w:r>
    </w:p>
    <w:p>
      <w:pPr>
        <w:pStyle w:val="EX"/>
        <w:rPr/>
      </w:pPr>
      <w:r>
        <w:rPr>
          <w:b/>
        </w:rPr>
        <w:t>during blocking</w:t>
        <w:tab/>
        <w:t>=</w:t>
        <w:tab/>
        <w:t>(TxPwr</w:t>
      </w:r>
      <w:r>
        <w:rPr>
          <w:b/>
          <w:vertAlign w:val="subscript"/>
        </w:rPr>
        <w:t>GSM-MS</w:t>
      </w:r>
      <w:r>
        <w:rPr>
          <w:b/>
        </w:rPr>
        <w:t xml:space="preserve"> </w:t>
        <w:noBreakHyphen/>
        <w:t xml:space="preserve"> MCL) </w:t>
        <w:noBreakHyphen/>
        <w:t xml:space="preserve"> ( MS wideband noise in 200 kHz </w:t>
        <w:noBreakHyphen/>
        <w:t xml:space="preserve"> MCL + C/I)</w:t>
      </w:r>
    </w:p>
    <w:p>
      <w:pPr>
        <w:pStyle w:val="Normal"/>
        <w:rPr>
          <w:i/>
          <w:i/>
        </w:rPr>
      </w:pPr>
      <w:r>
        <w:rPr>
          <w:i/>
        </w:rPr>
        <w:t>GSM900:</w:t>
      </w:r>
    </w:p>
    <w:p>
      <w:pPr>
        <w:pStyle w:val="EX"/>
        <w:rPr/>
      </w:pPr>
      <w:r>
        <w:rPr>
          <w:sz w:val="18"/>
          <w:szCs w:val="18"/>
        </w:rPr>
        <w:t xml:space="preserve">dynamic range [dB] = (33 </w:t>
        <w:noBreakHyphen/>
        <w:t xml:space="preserve"> 34) </w:t>
        <w:noBreakHyphen/>
        <w:t xml:space="preserve"> (33 + conv.fac. (200 -&gt; 30 kHz) </w:t>
        <w:noBreakHyphen/>
        <w:t xml:space="preserve"> spectrum mask + conv. fac. (30 -&gt; 200 kHz) </w:t>
        <w:noBreakHyphen/>
        <w:t xml:space="preserve"> 34 + 9)</w:t>
      </w:r>
    </w:p>
    <w:p>
      <w:pPr>
        <w:pStyle w:val="Normal"/>
        <w:rPr>
          <w:i/>
          <w:i/>
        </w:rPr>
      </w:pPr>
      <w:r>
        <w:rPr>
          <w:i/>
        </w:rPr>
        <w:t>DCS1800:</w:t>
      </w:r>
    </w:p>
    <w:p>
      <w:pPr>
        <w:pStyle w:val="EX"/>
        <w:rPr>
          <w:sz w:val="18"/>
          <w:szCs w:val="18"/>
        </w:rPr>
      </w:pPr>
      <w:r>
        <w:rPr>
          <w:sz w:val="18"/>
          <w:szCs w:val="18"/>
        </w:rPr>
        <w:t xml:space="preserve">dynamic range [dB] = (30 </w:t>
        <w:noBreakHyphen/>
        <w:t xml:space="preserve"> 40) </w:t>
        <w:noBreakHyphen/>
        <w:t xml:space="preserve"> (30 + conv. fac. (200 -&gt; 30 kHz) </w:t>
        <w:noBreakHyphen/>
        <w:t xml:space="preserve"> spectrum mask + conv. fac. (30 -&gt; 200 kHz) </w:t>
        <w:noBreakHyphen/>
        <w:t xml:space="preserve"> 40 + 9)</w:t>
      </w:r>
    </w:p>
    <w:p>
      <w:pPr>
        <w:pStyle w:val="TH"/>
        <w:rPr>
          <w:sz w:val="18"/>
          <w:szCs w:val="18"/>
        </w:rPr>
      </w:pPr>
      <w:r>
        <w:rPr>
          <w:sz w:val="18"/>
          <w:szCs w:val="18"/>
        </w:rPr>
      </w:r>
    </w:p>
    <w:tbl>
      <w:tblPr>
        <w:tblW w:w="6237" w:type="dxa"/>
        <w:jc w:val="center"/>
        <w:tblInd w:w="0" w:type="dxa"/>
        <w:tblLayout w:type="fixed"/>
        <w:tblCellMar>
          <w:top w:w="0" w:type="dxa"/>
          <w:left w:w="70" w:type="dxa"/>
          <w:bottom w:w="0" w:type="dxa"/>
          <w:right w:w="70" w:type="dxa"/>
        </w:tblCellMar>
      </w:tblPr>
      <w:tblGrid>
        <w:gridCol w:w="2835"/>
        <w:gridCol w:w="1701"/>
        <w:gridCol w:w="1701"/>
      </w:tblGrid>
      <w:tr>
        <w:trPr/>
        <w:tc>
          <w:tcPr>
            <w:tcW w:w="2835"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Dynamic range</w:t>
            </w:r>
          </w:p>
        </w:tc>
        <w:tc>
          <w:tcPr>
            <w:tcW w:w="1701"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GSM900</w:t>
            </w:r>
          </w:p>
        </w:tc>
        <w:tc>
          <w:tcPr>
            <w:tcW w:w="1701"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DCS1800</w:t>
            </w:r>
          </w:p>
        </w:tc>
      </w:tr>
      <w:tr>
        <w:trPr/>
        <w:tc>
          <w:tcPr>
            <w:tcW w:w="2835" w:type="dxa"/>
            <w:tcBorders>
              <w:top w:val="single" w:sz="6" w:space="0" w:color="000000"/>
              <w:left w:val="single" w:sz="4" w:space="0" w:color="000000"/>
              <w:bottom w:val="single" w:sz="6" w:space="0" w:color="000000"/>
              <w:right w:val="single" w:sz="6" w:space="0" w:color="000000"/>
            </w:tcBorders>
          </w:tcPr>
          <w:p>
            <w:pPr>
              <w:pStyle w:val="TAL"/>
              <w:rPr/>
            </w:pPr>
            <w:r>
              <w:rPr>
                <w:lang w:val="en-GB"/>
              </w:rPr>
              <w:t xml:space="preserve">600 kHz </w:t>
            </w:r>
            <w:r>
              <w:rPr>
                <w:rFonts w:cs="Arial"/>
                <w:lang w:val="en-GB"/>
              </w:rPr>
              <w:t>≤</w:t>
            </w:r>
            <w:r>
              <w:rPr>
                <w:lang w:val="en-GB"/>
              </w:rPr>
              <w:t xml:space="preserve"> |f-f</w:t>
            </w:r>
            <w:r>
              <w:rPr>
                <w:vertAlign w:val="subscript"/>
                <w:lang w:val="en-GB"/>
              </w:rPr>
              <w:t>0</w:t>
            </w:r>
            <w:r>
              <w:rPr>
                <w:lang w:val="en-GB"/>
              </w:rPr>
              <w:t xml:space="preserve">| &lt; 800 kHz </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51</w:t>
            </w:r>
          </w:p>
        </w:tc>
        <w:tc>
          <w:tcPr>
            <w:tcW w:w="1701"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51</w:t>
            </w:r>
          </w:p>
        </w:tc>
      </w:tr>
      <w:tr>
        <w:trPr/>
        <w:tc>
          <w:tcPr>
            <w:tcW w:w="2835" w:type="dxa"/>
            <w:tcBorders>
              <w:top w:val="single" w:sz="6" w:space="0" w:color="000000"/>
              <w:left w:val="single" w:sz="4" w:space="0" w:color="000000"/>
              <w:bottom w:val="single" w:sz="6" w:space="0" w:color="000000"/>
              <w:right w:val="single" w:sz="6" w:space="0" w:color="000000"/>
            </w:tcBorders>
          </w:tcPr>
          <w:p>
            <w:pPr>
              <w:pStyle w:val="TAL"/>
              <w:rPr/>
            </w:pPr>
            <w:r>
              <w:rPr>
                <w:lang w:val="en-GB"/>
              </w:rPr>
              <w:t xml:space="preserve">800 kHz </w:t>
            </w:r>
            <w:r>
              <w:rPr>
                <w:rFonts w:cs="Arial"/>
                <w:lang w:val="en-GB"/>
              </w:rPr>
              <w:t>≤</w:t>
            </w:r>
            <w:r>
              <w:rPr>
                <w:lang w:val="en-GB"/>
              </w:rPr>
              <w:t xml:space="preserve"> |f-f</w:t>
            </w:r>
            <w:r>
              <w:rPr>
                <w:vertAlign w:val="subscript"/>
                <w:lang w:val="en-GB"/>
              </w:rPr>
              <w:t>0</w:t>
            </w:r>
            <w:r>
              <w:rPr>
                <w:lang w:val="en-GB"/>
              </w:rPr>
              <w:t xml:space="preserve">| &lt; 1,6 MHz </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51</w:t>
            </w:r>
          </w:p>
        </w:tc>
        <w:tc>
          <w:tcPr>
            <w:tcW w:w="1701"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51</w:t>
            </w:r>
          </w:p>
        </w:tc>
      </w:tr>
      <w:tr>
        <w:trPr/>
        <w:tc>
          <w:tcPr>
            <w:tcW w:w="2835" w:type="dxa"/>
            <w:tcBorders>
              <w:top w:val="single" w:sz="6" w:space="0" w:color="000000"/>
              <w:left w:val="single" w:sz="4" w:space="0" w:color="000000"/>
              <w:bottom w:val="single" w:sz="6" w:space="0" w:color="000000"/>
              <w:right w:val="single" w:sz="6" w:space="0" w:color="000000"/>
            </w:tcBorders>
          </w:tcPr>
          <w:p>
            <w:pPr>
              <w:pStyle w:val="TAL"/>
              <w:rPr/>
            </w:pPr>
            <w:r>
              <w:rPr>
                <w:lang w:val="en-GB"/>
              </w:rPr>
              <w:t xml:space="preserve">1,6 MHz </w:t>
            </w:r>
            <w:r>
              <w:rPr>
                <w:rFonts w:cs="Arial"/>
                <w:lang w:val="en-GB"/>
              </w:rPr>
              <w:t>≤</w:t>
            </w:r>
            <w:r>
              <w:rPr>
                <w:lang w:val="en-GB"/>
              </w:rPr>
              <w:t xml:space="preserve"> |f-f</w:t>
            </w:r>
            <w:r>
              <w:rPr>
                <w:vertAlign w:val="subscript"/>
                <w:lang w:val="en-GB"/>
              </w:rPr>
              <w:t>0</w:t>
            </w:r>
            <w:r>
              <w:rPr>
                <w:lang w:val="en-GB"/>
              </w:rPr>
              <w:t>| &lt; 3 MHz</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59</w:t>
            </w:r>
          </w:p>
        </w:tc>
        <w:tc>
          <w:tcPr>
            <w:tcW w:w="1701"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61</w:t>
            </w:r>
          </w:p>
        </w:tc>
      </w:tr>
      <w:tr>
        <w:trPr/>
        <w:tc>
          <w:tcPr>
            <w:tcW w:w="2835" w:type="dxa"/>
            <w:tcBorders>
              <w:top w:val="single" w:sz="6" w:space="0" w:color="000000"/>
              <w:left w:val="single" w:sz="4" w:space="0" w:color="000000"/>
              <w:bottom w:val="single" w:sz="4" w:space="0" w:color="000000"/>
              <w:right w:val="single" w:sz="6" w:space="0" w:color="000000"/>
            </w:tcBorders>
          </w:tcPr>
          <w:p>
            <w:pPr>
              <w:pStyle w:val="TAL"/>
              <w:rPr/>
            </w:pPr>
            <w:r>
              <w:rPr>
                <w:lang w:val="en-GB"/>
              </w:rPr>
              <w:t>|f-f</w:t>
            </w:r>
            <w:r>
              <w:rPr>
                <w:vertAlign w:val="subscript"/>
                <w:lang w:val="en-GB"/>
              </w:rPr>
              <w:t>0</w:t>
            </w:r>
            <w:r>
              <w:rPr>
                <w:lang w:val="en-GB"/>
              </w:rPr>
              <w:t xml:space="preserve">| </w:t>
            </w:r>
            <w:r>
              <w:rPr>
                <w:rFonts w:cs="Arial"/>
                <w:lang w:val="en-GB"/>
              </w:rPr>
              <w:t>≥</w:t>
            </w:r>
            <w:r>
              <w:rPr>
                <w:lang w:val="en-GB"/>
              </w:rPr>
              <w:t xml:space="preserve"> 3 MHz</w:t>
            </w:r>
          </w:p>
        </w:tc>
        <w:tc>
          <w:tcPr>
            <w:tcW w:w="1701"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67</w:t>
            </w:r>
          </w:p>
        </w:tc>
        <w:tc>
          <w:tcPr>
            <w:tcW w:w="1701"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69</w:t>
            </w:r>
          </w:p>
        </w:tc>
      </w:tr>
    </w:tbl>
    <w:p>
      <w:pPr>
        <w:pStyle w:val="FP"/>
        <w:rPr/>
      </w:pPr>
      <w:r>
        <w:rPr/>
      </w:r>
    </w:p>
    <w:p>
      <w:pPr>
        <w:pStyle w:val="Normal"/>
        <w:rPr/>
      </w:pPr>
      <w:r>
        <w:rPr/>
        <w:t>According to SMG2 Tdoc 188/98 this dynamic range can be transformed into GSM 05.05 blocking levels for a wanted signal 3dB above the receiver reference sensitivity:</w:t>
      </w:r>
    </w:p>
    <w:p>
      <w:pPr>
        <w:pStyle w:val="EX"/>
        <w:rPr/>
      </w:pPr>
      <w:r>
        <w:rPr/>
        <w:tab/>
      </w:r>
      <w:r>
        <w:rPr>
          <w:b/>
        </w:rPr>
        <w:t>CTS-FP blocking level = reference sensitivity + 3 dB + dynamic range</w:t>
      </w:r>
    </w:p>
    <w:p>
      <w:pPr>
        <w:pStyle w:val="Normal"/>
        <w:rPr>
          <w:i/>
          <w:i/>
        </w:rPr>
      </w:pPr>
      <w:r>
        <w:rPr>
          <w:i/>
        </w:rPr>
        <w:t>For GSM900:</w:t>
      </w:r>
    </w:p>
    <w:p>
      <w:pPr>
        <w:pStyle w:val="EX"/>
        <w:tabs>
          <w:tab w:val="clear" w:pos="284"/>
          <w:tab w:val="left" w:pos="2835" w:leader="none"/>
        </w:tabs>
        <w:rPr/>
      </w:pPr>
      <w:r>
        <w:rPr/>
        <w:t>600 kHz ≤ |f-f</w:t>
      </w:r>
      <w:r>
        <w:rPr>
          <w:vertAlign w:val="subscript"/>
        </w:rPr>
        <w:t>0</w:t>
      </w:r>
      <w:r>
        <w:rPr/>
        <w:t>| &lt; 800 kHz:</w:t>
        <w:tab/>
      </w:r>
      <w:r>
        <w:rPr>
          <w:b/>
        </w:rPr>
        <w:t xml:space="preserve">CTS-FP blocking level </w:t>
      </w:r>
      <w:r>
        <w:rPr/>
        <w:t>[dBm]</w:t>
      </w:r>
      <w:r>
        <w:rPr>
          <w:b/>
        </w:rPr>
        <w:t xml:space="preserve"> =</w:t>
      </w:r>
      <w:r>
        <w:rPr/>
        <w:t xml:space="preserve"> -102 + 3 + 51 = </w:t>
      </w:r>
      <w:r>
        <w:rPr>
          <w:b/>
        </w:rPr>
        <w:t>-48 dBm</w:t>
      </w:r>
    </w:p>
    <w:p>
      <w:pPr>
        <w:pStyle w:val="EX"/>
        <w:tabs>
          <w:tab w:val="clear" w:pos="284"/>
          <w:tab w:val="left" w:pos="2835" w:leader="none"/>
        </w:tabs>
        <w:rPr/>
      </w:pPr>
      <w:r>
        <w:rPr/>
        <w:t>800 kHz ≤ |f-f</w:t>
      </w:r>
      <w:r>
        <w:rPr>
          <w:vertAlign w:val="subscript"/>
        </w:rPr>
        <w:t>0</w:t>
      </w:r>
      <w:r>
        <w:rPr/>
        <w:t>| &lt; 1,6 MHz:</w:t>
        <w:tab/>
      </w:r>
      <w:r>
        <w:rPr>
          <w:b/>
        </w:rPr>
        <w:t xml:space="preserve">CTS-FP blocking level </w:t>
      </w:r>
      <w:r>
        <w:rPr/>
        <w:t>[dBm]</w:t>
      </w:r>
      <w:r>
        <w:rPr>
          <w:b/>
        </w:rPr>
        <w:t xml:space="preserve"> =</w:t>
      </w:r>
      <w:r>
        <w:rPr/>
        <w:t xml:space="preserve"> -102 + 3 + 51 = </w:t>
      </w:r>
      <w:r>
        <w:rPr>
          <w:b/>
        </w:rPr>
        <w:t>-48 dBm</w:t>
      </w:r>
    </w:p>
    <w:p>
      <w:pPr>
        <w:pStyle w:val="EX"/>
        <w:tabs>
          <w:tab w:val="clear" w:pos="284"/>
          <w:tab w:val="left" w:pos="2835" w:leader="none"/>
        </w:tabs>
        <w:rPr/>
      </w:pPr>
      <w:r>
        <w:rPr/>
        <w:t>1,6 MHz ≤ |f-f</w:t>
      </w:r>
      <w:r>
        <w:rPr>
          <w:vertAlign w:val="subscript"/>
        </w:rPr>
        <w:t>0</w:t>
      </w:r>
      <w:r>
        <w:rPr/>
        <w:t>| &lt; 3 MHz:</w:t>
        <w:tab/>
      </w:r>
      <w:r>
        <w:rPr>
          <w:b/>
        </w:rPr>
        <w:t xml:space="preserve">CTS-FP blocking level </w:t>
      </w:r>
      <w:r>
        <w:rPr/>
        <w:t>[dBm]</w:t>
      </w:r>
      <w:r>
        <w:rPr>
          <w:b/>
        </w:rPr>
        <w:t xml:space="preserve"> =</w:t>
      </w:r>
      <w:r>
        <w:rPr/>
        <w:t xml:space="preserve"> -102 + 3 + 59 = </w:t>
      </w:r>
      <w:r>
        <w:rPr>
          <w:b/>
        </w:rPr>
        <w:t>-40 dBm</w:t>
      </w:r>
    </w:p>
    <w:p>
      <w:pPr>
        <w:pStyle w:val="EX"/>
        <w:tabs>
          <w:tab w:val="clear" w:pos="284"/>
          <w:tab w:val="left" w:pos="2835" w:leader="none"/>
        </w:tabs>
        <w:rPr/>
      </w:pPr>
      <w:r>
        <w:rPr/>
        <w:t>|f-f</w:t>
      </w:r>
      <w:r>
        <w:rPr>
          <w:vertAlign w:val="subscript"/>
        </w:rPr>
        <w:t>0</w:t>
      </w:r>
      <w:r>
        <w:rPr/>
        <w:t>| ≥ 3MHz:</w:t>
        <w:tab/>
      </w:r>
      <w:r>
        <w:rPr>
          <w:b/>
        </w:rPr>
        <w:t xml:space="preserve">CTS-FP blocking level </w:t>
      </w:r>
      <w:r>
        <w:rPr/>
        <w:t>[dBm]</w:t>
      </w:r>
      <w:r>
        <w:rPr>
          <w:b/>
        </w:rPr>
        <w:t xml:space="preserve"> =</w:t>
      </w:r>
      <w:r>
        <w:rPr/>
        <w:t xml:space="preserve"> -102 + 3 + 67 = </w:t>
      </w:r>
      <w:r>
        <w:rPr>
          <w:b/>
        </w:rPr>
        <w:t>-32 dBm</w:t>
      </w:r>
    </w:p>
    <w:p>
      <w:pPr>
        <w:pStyle w:val="Normal"/>
        <w:rPr>
          <w:i/>
          <w:i/>
        </w:rPr>
      </w:pPr>
      <w:r>
        <w:rPr>
          <w:i/>
        </w:rPr>
        <w:t>For DCS1800:</w:t>
      </w:r>
    </w:p>
    <w:p>
      <w:pPr>
        <w:pStyle w:val="EX"/>
        <w:tabs>
          <w:tab w:val="clear" w:pos="284"/>
          <w:tab w:val="left" w:pos="2835" w:leader="none"/>
        </w:tabs>
        <w:rPr/>
      </w:pPr>
      <w:r>
        <w:rPr/>
        <w:t>600 kHz &lt;= |f-f</w:t>
      </w:r>
      <w:r>
        <w:rPr>
          <w:vertAlign w:val="subscript"/>
        </w:rPr>
        <w:t>0</w:t>
      </w:r>
      <w:r>
        <w:rPr/>
        <w:t>| &lt; 800 kHz:</w:t>
        <w:tab/>
      </w:r>
      <w:r>
        <w:rPr>
          <w:b/>
        </w:rPr>
        <w:t xml:space="preserve">CTS-FP blocking level </w:t>
      </w:r>
      <w:r>
        <w:rPr/>
        <w:t>[dBm]</w:t>
      </w:r>
      <w:r>
        <w:rPr>
          <w:b/>
        </w:rPr>
        <w:t xml:space="preserve"> =</w:t>
      </w:r>
      <w:r>
        <w:rPr/>
        <w:t xml:space="preserve"> -102 + 3 + 51 = </w:t>
      </w:r>
      <w:r>
        <w:rPr>
          <w:b/>
        </w:rPr>
        <w:t>-48 dBm</w:t>
      </w:r>
    </w:p>
    <w:p>
      <w:pPr>
        <w:pStyle w:val="EX"/>
        <w:tabs>
          <w:tab w:val="clear" w:pos="284"/>
          <w:tab w:val="left" w:pos="2835" w:leader="none"/>
        </w:tabs>
        <w:rPr/>
      </w:pPr>
      <w:r>
        <w:rPr/>
        <w:t>800 kHz &lt;= |f-f</w:t>
      </w:r>
      <w:r>
        <w:rPr>
          <w:vertAlign w:val="subscript"/>
        </w:rPr>
        <w:t>0</w:t>
      </w:r>
      <w:r>
        <w:rPr/>
        <w:t>| &lt; 1,6 MHz:</w:t>
        <w:tab/>
      </w:r>
      <w:r>
        <w:rPr>
          <w:b/>
        </w:rPr>
        <w:t xml:space="preserve">CTS-FP blocking level </w:t>
      </w:r>
      <w:r>
        <w:rPr/>
        <w:t>[dBm]</w:t>
      </w:r>
      <w:r>
        <w:rPr>
          <w:b/>
        </w:rPr>
        <w:t xml:space="preserve"> =</w:t>
      </w:r>
      <w:r>
        <w:rPr/>
        <w:t xml:space="preserve"> -102 + 3 + 51 = </w:t>
      </w:r>
      <w:r>
        <w:rPr>
          <w:b/>
        </w:rPr>
        <w:t>-48 dBm</w:t>
      </w:r>
    </w:p>
    <w:p>
      <w:pPr>
        <w:pStyle w:val="EX"/>
        <w:tabs>
          <w:tab w:val="clear" w:pos="284"/>
          <w:tab w:val="left" w:pos="2835" w:leader="none"/>
        </w:tabs>
        <w:rPr/>
      </w:pPr>
      <w:r>
        <w:rPr/>
        <w:t>1,6 MHz &lt;= |f-f</w:t>
      </w:r>
      <w:r>
        <w:rPr>
          <w:vertAlign w:val="subscript"/>
        </w:rPr>
        <w:t>0</w:t>
      </w:r>
      <w:r>
        <w:rPr/>
        <w:t>| &lt; 3 MHz:</w:t>
        <w:tab/>
      </w:r>
      <w:r>
        <w:rPr>
          <w:b/>
        </w:rPr>
        <w:t xml:space="preserve">CTS-FP blocking level </w:t>
      </w:r>
      <w:r>
        <w:rPr/>
        <w:t>[dBm]</w:t>
      </w:r>
      <w:r>
        <w:rPr>
          <w:b/>
        </w:rPr>
        <w:t xml:space="preserve"> =</w:t>
      </w:r>
      <w:r>
        <w:rPr/>
        <w:t xml:space="preserve"> -102 + 3 + 61 = </w:t>
      </w:r>
      <w:r>
        <w:rPr>
          <w:b/>
        </w:rPr>
        <w:t>-38 dBm</w:t>
      </w:r>
    </w:p>
    <w:p>
      <w:pPr>
        <w:pStyle w:val="EX"/>
        <w:tabs>
          <w:tab w:val="clear" w:pos="284"/>
          <w:tab w:val="left" w:pos="2835" w:leader="none"/>
        </w:tabs>
        <w:rPr/>
      </w:pPr>
      <w:r>
        <w:rPr/>
        <w:t>|f-f</w:t>
      </w:r>
      <w:r>
        <w:rPr>
          <w:vertAlign w:val="subscript"/>
        </w:rPr>
        <w:t>0</w:t>
      </w:r>
      <w:r>
        <w:rPr/>
        <w:t>| &gt;= 3 MHz:</w:t>
        <w:tab/>
      </w:r>
      <w:r>
        <w:rPr>
          <w:b/>
        </w:rPr>
        <w:t xml:space="preserve">CTS-FP blocking level </w:t>
      </w:r>
      <w:r>
        <w:rPr/>
        <w:t>[dBm]</w:t>
      </w:r>
      <w:r>
        <w:rPr>
          <w:b/>
        </w:rPr>
        <w:t xml:space="preserve"> =</w:t>
      </w:r>
      <w:r>
        <w:rPr/>
        <w:t xml:space="preserve"> -102 + 3 + 69 = </w:t>
      </w:r>
      <w:r>
        <w:rPr>
          <w:b/>
        </w:rPr>
        <w:t>-30 dBm</w:t>
      </w:r>
    </w:p>
    <w:p>
      <w:pPr>
        <w:pStyle w:val="Normal"/>
        <w:rPr/>
      </w:pPr>
      <w:r>
        <w:rPr/>
        <w:t xml:space="preserve">For GSM900 and DCS1800 these values are between 2 dB and 9 dB less stringent than the MS blocking levels. However, we propose not to loosen the blocking requirement of the CTS-FP in order to keep a similar hardware for the CTS-FP and CTS-MS; </w:t>
      </w:r>
      <w:r>
        <w:rPr>
          <w:b/>
        </w:rPr>
        <w:t>the assumptions for blocking in subclause 1.1.2 are therefore justified</w:t>
      </w:r>
      <w:r>
        <w:rPr/>
        <w:t>.</w:t>
      </w:r>
    </w:p>
    <w:p>
      <w:pPr>
        <w:pStyle w:val="Heading2"/>
        <w:rPr/>
      </w:pPr>
      <w:bookmarkStart w:id="493" w:name="__RefHeading___Toc518035911"/>
      <w:bookmarkEnd w:id="493"/>
      <w:r>
        <w:rPr/>
        <w:t>S.3.2</w:t>
        <w:tab/>
        <w:t>AM suppression</w:t>
      </w:r>
    </w:p>
    <w:p>
      <w:pPr>
        <w:pStyle w:val="Normal"/>
        <w:rPr/>
      </w:pPr>
      <w:r>
        <w:rPr/>
        <w:t>GSM-CTS is basically very similar to a pico BTS environment. In order to allow a direct comparison with pico BTS scenarios, this chapter is made analog to the argumentation in SMG2 WBP Tdoc 188/98. There it is shown that, especially for the for AM suppression test scenarios, precautions have to be made in order to prevent other interference mechanisms to falsify the measurement results. For the test scenarios no MSM margin must be applied. First of all these interference mechanisms will be investigated.</w:t>
      </w:r>
    </w:p>
    <w:p>
      <w:pPr>
        <w:pStyle w:val="Heading3"/>
        <w:rPr/>
      </w:pPr>
      <w:bookmarkStart w:id="494" w:name="__RefHeading___Toc518035912"/>
      <w:bookmarkEnd w:id="494"/>
      <w:r>
        <w:rPr/>
        <w:t>S.3.2.1</w:t>
        <w:tab/>
        <w:t>Spectrum due to modulation</w:t>
      </w:r>
    </w:p>
    <w:p>
      <w:pPr>
        <w:pStyle w:val="Normal"/>
        <w:rPr/>
      </w:pPr>
      <w:r>
        <w:rPr/>
        <w:t>a)</w:t>
        <w:tab/>
        <w:t>uncoordinated MS -&gt; CTS-FP</w:t>
      </w:r>
    </w:p>
    <w:p>
      <w:pPr>
        <w:pStyle w:val="Normal"/>
        <w:rPr/>
      </w:pPr>
      <w:r>
        <w:rPr/>
        <w:t>The maximum allowed noise level at the interferer site is:</w:t>
      </w:r>
    </w:p>
    <w:p>
      <w:pPr>
        <w:pStyle w:val="EX"/>
        <w:rPr/>
      </w:pPr>
      <w:r>
        <w:rPr>
          <w:b/>
        </w:rPr>
        <w:tab/>
        <w:t>Rlev</w:t>
      </w:r>
      <w:r>
        <w:rPr>
          <w:b/>
          <w:vertAlign w:val="subscript"/>
        </w:rPr>
        <w:t>max noise at FP</w:t>
      </w:r>
      <w:r>
        <w:rPr>
          <w:b/>
        </w:rPr>
        <w:t xml:space="preserve"> = CTS-FP ref. sensitivity </w:t>
        <w:noBreakHyphen/>
        <w:t xml:space="preserve"> C/I + MCL</w:t>
      </w:r>
    </w:p>
    <w:p>
      <w:pPr>
        <w:pStyle w:val="Normal"/>
        <w:rPr/>
      </w:pPr>
      <w:r>
        <w:rPr/>
        <w:t xml:space="preserve">This leads to </w:t>
      </w:r>
    </w:p>
    <w:p>
      <w:pPr>
        <w:pStyle w:val="EX"/>
        <w:tabs>
          <w:tab w:val="clear" w:pos="284"/>
          <w:tab w:val="left" w:pos="6804" w:leader="none"/>
        </w:tabs>
        <w:rPr/>
      </w:pPr>
      <w:r>
        <w:rPr/>
        <w:tab/>
      </w:r>
      <w:r>
        <w:rPr>
          <w:b/>
          <w:lang w:val="da-DK"/>
        </w:rPr>
        <w:t>Rlev</w:t>
      </w:r>
      <w:r>
        <w:rPr>
          <w:b/>
          <w:vertAlign w:val="subscript"/>
          <w:lang w:val="da-DK"/>
        </w:rPr>
        <w:t>max noise at FP</w:t>
      </w:r>
      <w:r>
        <w:rPr>
          <w:lang w:val="da-DK"/>
        </w:rPr>
        <w:t xml:space="preserve">[dB] = -102 </w:t>
        <w:noBreakHyphen/>
        <w:t xml:space="preserve"> 9 + 34.5 = </w:t>
      </w:r>
      <w:r>
        <w:rPr>
          <w:b/>
          <w:lang w:val="da-DK"/>
        </w:rPr>
        <w:t>-76,5 dBm</w:t>
        <w:tab/>
      </w:r>
      <w:r>
        <w:rPr>
          <w:lang w:val="da-DK"/>
        </w:rPr>
        <w:t>GSM900</w:t>
      </w:r>
    </w:p>
    <w:p>
      <w:pPr>
        <w:pStyle w:val="EX"/>
        <w:rPr>
          <w:lang w:val="da-DK"/>
        </w:rPr>
      </w:pPr>
      <w:r>
        <w:rPr>
          <w:lang w:val="da-DK"/>
        </w:rPr>
        <w:t>and</w:t>
      </w:r>
    </w:p>
    <w:p>
      <w:pPr>
        <w:pStyle w:val="EX"/>
        <w:tabs>
          <w:tab w:val="clear" w:pos="284"/>
          <w:tab w:val="left" w:pos="6804" w:leader="none"/>
        </w:tabs>
        <w:rPr/>
      </w:pPr>
      <w:r>
        <w:rPr>
          <w:lang w:val="da-DK"/>
        </w:rPr>
        <w:tab/>
      </w:r>
      <w:r>
        <w:rPr>
          <w:b/>
          <w:lang w:val="da-DK"/>
        </w:rPr>
        <w:t>Rlev</w:t>
      </w:r>
      <w:r>
        <w:rPr>
          <w:b/>
          <w:vertAlign w:val="subscript"/>
          <w:lang w:val="da-DK"/>
        </w:rPr>
        <w:t>max noise at FP</w:t>
      </w:r>
      <w:r>
        <w:rPr>
          <w:lang w:val="da-DK"/>
        </w:rPr>
        <w:t xml:space="preserve">[dB] = -102 </w:t>
        <w:noBreakHyphen/>
        <w:t xml:space="preserve"> 9 + 40 = </w:t>
      </w:r>
      <w:r>
        <w:rPr>
          <w:b/>
          <w:lang w:val="da-DK"/>
        </w:rPr>
        <w:t>-71 dBm</w:t>
        <w:tab/>
      </w:r>
      <w:r>
        <w:rPr>
          <w:lang w:val="da-DK"/>
        </w:rPr>
        <w:t>DCS1800</w:t>
      </w:r>
    </w:p>
    <w:p>
      <w:pPr>
        <w:pStyle w:val="Normal"/>
        <w:rPr/>
      </w:pPr>
      <w:r>
        <w:rPr/>
        <w:t>The maximum generated noise due to modulation for &gt;6MHz frequency offset is:</w:t>
      </w:r>
    </w:p>
    <w:p>
      <w:pPr>
        <w:pStyle w:val="EX"/>
        <w:rPr/>
      </w:pPr>
      <w:r>
        <w:rPr>
          <w:b/>
        </w:rPr>
        <w:t>MS</w:t>
      </w:r>
      <w:r>
        <w:rPr>
          <w:b/>
          <w:vertAlign w:val="subscript"/>
        </w:rPr>
        <w:t>noise</w:t>
      </w:r>
      <w:r>
        <w:rPr>
          <w:b/>
        </w:rPr>
        <w:t xml:space="preserve"> = TxPwr</w:t>
      </w:r>
      <w:r>
        <w:rPr>
          <w:b/>
          <w:vertAlign w:val="subscript"/>
        </w:rPr>
        <w:t>max MS</w:t>
      </w:r>
      <w:r>
        <w:rPr>
          <w:b/>
        </w:rPr>
        <w:t xml:space="preserve"> + conv. factor (peak -&gt; 30kHz) </w:t>
        <w:noBreakHyphen/>
        <w:t xml:space="preserve"> spectrum mask + conv. factor (100 kHz -&gt; 200 kHz)</w:t>
      </w:r>
    </w:p>
    <w:p>
      <w:pPr>
        <w:pStyle w:val="Normal"/>
        <w:rPr/>
      </w:pPr>
      <w:r>
        <w:rPr/>
        <w:t>For an interfering CTS-MS:</w:t>
      </w:r>
    </w:p>
    <w:p>
      <w:pPr>
        <w:pStyle w:val="EX"/>
        <w:tabs>
          <w:tab w:val="clear" w:pos="284"/>
          <w:tab w:val="left" w:pos="6804" w:leader="none"/>
        </w:tabs>
        <w:rPr/>
      </w:pPr>
      <w:r>
        <w:rPr/>
        <w:tab/>
      </w:r>
      <w:r>
        <w:rPr>
          <w:b/>
        </w:rPr>
        <w:t>CTS-MS</w:t>
      </w:r>
      <w:r>
        <w:rPr>
          <w:b/>
          <w:vertAlign w:val="subscript"/>
        </w:rPr>
        <w:t>noise</w:t>
      </w:r>
      <w:r>
        <w:rPr/>
        <w:t xml:space="preserve">[dBm]  =  11 </w:t>
        <w:noBreakHyphen/>
        <w:t xml:space="preserve">8 </w:t>
        <w:noBreakHyphen/>
        <w:t xml:space="preserve">71 +3 = </w:t>
      </w:r>
      <w:r>
        <w:rPr>
          <w:b/>
        </w:rPr>
        <w:t>-65 dBm</w:t>
      </w:r>
      <w:r>
        <w:rPr/>
        <w:tab/>
        <w:t>GSM900</w:t>
      </w:r>
    </w:p>
    <w:p>
      <w:pPr>
        <w:pStyle w:val="EX"/>
        <w:tabs>
          <w:tab w:val="clear" w:pos="284"/>
          <w:tab w:val="left" w:pos="6804" w:leader="none"/>
        </w:tabs>
        <w:rPr/>
      </w:pPr>
      <w:r>
        <w:rPr/>
        <w:tab/>
      </w:r>
      <w:r>
        <w:rPr>
          <w:b/>
        </w:rPr>
        <w:t>CTS-MS</w:t>
      </w:r>
      <w:r>
        <w:rPr>
          <w:b/>
          <w:vertAlign w:val="subscript"/>
        </w:rPr>
        <w:t>noise</w:t>
      </w:r>
      <w:r>
        <w:rPr/>
        <w:t xml:space="preserve">[dBm]  =  12 </w:t>
        <w:noBreakHyphen/>
        <w:t xml:space="preserve">8 </w:t>
        <w:noBreakHyphen/>
        <w:t xml:space="preserve">67 +3 = </w:t>
      </w:r>
      <w:r>
        <w:rPr>
          <w:b/>
        </w:rPr>
        <w:t>-60 dBm</w:t>
      </w:r>
      <w:r>
        <w:rPr/>
        <w:tab/>
        <w:t>DCS1800</w:t>
      </w:r>
    </w:p>
    <w:p>
      <w:pPr>
        <w:pStyle w:val="Normal"/>
        <w:rPr/>
      </w:pPr>
      <w:r>
        <w:rPr/>
        <w:t>For an interfering GSM-MS the maximum noise is larger due to the higher transmit power:</w:t>
      </w:r>
    </w:p>
    <w:p>
      <w:pPr>
        <w:pStyle w:val="EX"/>
        <w:tabs>
          <w:tab w:val="clear" w:pos="284"/>
          <w:tab w:val="left" w:pos="6804" w:leader="none"/>
        </w:tabs>
        <w:rPr/>
      </w:pPr>
      <w:r>
        <w:rPr/>
        <w:tab/>
      </w:r>
      <w:r>
        <w:rPr>
          <w:b/>
        </w:rPr>
        <w:t>GSM-MS</w:t>
      </w:r>
      <w:r>
        <w:rPr>
          <w:b/>
          <w:vertAlign w:val="subscript"/>
        </w:rPr>
        <w:t>noise</w:t>
      </w:r>
      <w:r>
        <w:rPr/>
        <w:t xml:space="preserve">[dBm]  =  33 </w:t>
        <w:noBreakHyphen/>
        <w:t xml:space="preserve">8 </w:t>
        <w:noBreakHyphen/>
        <w:t xml:space="preserve">71 +3 = </w:t>
      </w:r>
      <w:r>
        <w:rPr>
          <w:b/>
        </w:rPr>
        <w:t>-43 dBm</w:t>
      </w:r>
      <w:r>
        <w:rPr/>
        <w:tab/>
        <w:t>GSM900</w:t>
      </w:r>
    </w:p>
    <w:p>
      <w:pPr>
        <w:pStyle w:val="EX"/>
        <w:tabs>
          <w:tab w:val="clear" w:pos="284"/>
          <w:tab w:val="left" w:pos="6804" w:leader="none"/>
        </w:tabs>
        <w:rPr/>
      </w:pPr>
      <w:r>
        <w:rPr/>
        <w:tab/>
      </w:r>
      <w:r>
        <w:rPr>
          <w:b/>
        </w:rPr>
        <w:t>GSM -MS</w:t>
      </w:r>
      <w:r>
        <w:rPr>
          <w:b/>
          <w:vertAlign w:val="subscript"/>
        </w:rPr>
        <w:t>noise</w:t>
      </w:r>
      <w:r>
        <w:rPr/>
        <w:t xml:space="preserve">[dBm]  =  30 </w:t>
        <w:noBreakHyphen/>
        <w:t xml:space="preserve">8 </w:t>
        <w:noBreakHyphen/>
        <w:t xml:space="preserve">73 +3 = </w:t>
      </w:r>
      <w:r>
        <w:rPr>
          <w:b/>
        </w:rPr>
        <w:t>-48 dBm</w:t>
      </w:r>
      <w:r>
        <w:rPr/>
        <w:tab/>
        <w:t>DCS1800</w:t>
      </w:r>
    </w:p>
    <w:p>
      <w:pPr>
        <w:pStyle w:val="Normal"/>
        <w:rPr/>
      </w:pPr>
      <w:r>
        <w:rPr/>
        <w:t>The maximum noise requirement is missed by 11,5 dB for an interfering CTS-MS, by 33,5 dB for an interfering GSM900 GSM-MS and by 23 dB for an interfering DCS1800 GSM-MS.</w:t>
      </w:r>
    </w:p>
    <w:p>
      <w:pPr>
        <w:pStyle w:val="Normal"/>
        <w:rPr/>
      </w:pPr>
      <w:r>
        <w:rPr/>
        <w:t>b)</w:t>
        <w:tab/>
        <w:t>uncoordinated BTS/CTS-FP -&gt; CTS-MS</w:t>
      </w:r>
    </w:p>
    <w:p>
      <w:pPr>
        <w:pStyle w:val="Normal"/>
        <w:rPr/>
      </w:pPr>
      <w:r>
        <w:rPr/>
        <w:t>The maximum allowed noise level at the interferer site is:</w:t>
      </w:r>
    </w:p>
    <w:p>
      <w:pPr>
        <w:pStyle w:val="EX"/>
        <w:rPr/>
      </w:pPr>
      <w:r>
        <w:rPr>
          <w:b/>
        </w:rPr>
        <w:tab/>
        <w:t>Rlev</w:t>
      </w:r>
      <w:r>
        <w:rPr>
          <w:b/>
          <w:vertAlign w:val="subscript"/>
        </w:rPr>
        <w:t>max noise at MS</w:t>
      </w:r>
      <w:r>
        <w:rPr>
          <w:b/>
        </w:rPr>
        <w:t xml:space="preserve">  =  CTS-MS ref. sensitivity </w:t>
        <w:noBreakHyphen/>
        <w:t xml:space="preserve"> C/I + MCL </w:t>
      </w:r>
    </w:p>
    <w:p>
      <w:pPr>
        <w:pStyle w:val="Normal"/>
        <w:rPr/>
      </w:pPr>
      <w:r>
        <w:rPr/>
        <w:t>This leads due to equivalent reference sensitivities to the same figures as in case a):</w:t>
      </w:r>
    </w:p>
    <w:p>
      <w:pPr>
        <w:pStyle w:val="EX"/>
        <w:tabs>
          <w:tab w:val="clear" w:pos="284"/>
          <w:tab w:val="left" w:pos="6804" w:leader="none"/>
        </w:tabs>
        <w:rPr/>
      </w:pPr>
      <w:r>
        <w:rPr/>
        <w:tab/>
      </w:r>
      <w:r>
        <w:rPr>
          <w:b/>
        </w:rPr>
        <w:t>Rlev</w:t>
      </w:r>
      <w:r>
        <w:rPr>
          <w:b/>
          <w:vertAlign w:val="subscript"/>
        </w:rPr>
        <w:t>max noise at MS</w:t>
      </w:r>
      <w:r>
        <w:rPr/>
        <w:t xml:space="preserve">[dB] = -102 </w:t>
        <w:noBreakHyphen/>
        <w:t xml:space="preserve"> 9 + 34.5 = </w:t>
      </w:r>
      <w:r>
        <w:rPr>
          <w:b/>
        </w:rPr>
        <w:t>-76,5 dBm</w:t>
        <w:tab/>
      </w:r>
      <w:r>
        <w:rPr/>
        <w:t>GSM900</w:t>
      </w:r>
    </w:p>
    <w:p>
      <w:pPr>
        <w:pStyle w:val="EX"/>
        <w:tabs>
          <w:tab w:val="clear" w:pos="284"/>
          <w:tab w:val="left" w:pos="6804" w:leader="none"/>
        </w:tabs>
        <w:rPr/>
      </w:pPr>
      <w:r>
        <w:rPr/>
        <w:t>and</w:t>
      </w:r>
    </w:p>
    <w:p>
      <w:pPr>
        <w:pStyle w:val="EX"/>
        <w:tabs>
          <w:tab w:val="clear" w:pos="284"/>
          <w:tab w:val="left" w:pos="6804" w:leader="none"/>
        </w:tabs>
        <w:rPr/>
      </w:pPr>
      <w:r>
        <w:rPr/>
        <w:tab/>
      </w:r>
      <w:r>
        <w:rPr>
          <w:b/>
        </w:rPr>
        <w:t>Rlev</w:t>
      </w:r>
      <w:r>
        <w:rPr>
          <w:b/>
          <w:vertAlign w:val="subscript"/>
        </w:rPr>
        <w:t>max noise at MS</w:t>
      </w:r>
      <w:r>
        <w:rPr/>
        <w:t xml:space="preserve">[dB] = -102 </w:t>
        <w:noBreakHyphen/>
        <w:t xml:space="preserve"> 9 + 40 = </w:t>
      </w:r>
      <w:r>
        <w:rPr>
          <w:b/>
        </w:rPr>
        <w:t>-71 dBm</w:t>
        <w:tab/>
      </w:r>
      <w:r>
        <w:rPr/>
        <w:t>DCS1800</w:t>
      </w:r>
    </w:p>
    <w:p>
      <w:pPr>
        <w:pStyle w:val="Normal"/>
        <w:rPr/>
      </w:pPr>
      <w:r>
        <w:rPr/>
        <w:t xml:space="preserve">The maximum noise due to modulation for &gt; 6 MHz frequency offset is </w:t>
      </w:r>
    </w:p>
    <w:p>
      <w:pPr>
        <w:pStyle w:val="EX"/>
        <w:rPr/>
      </w:pPr>
      <w:r>
        <w:rPr/>
        <w:t>BTS</w:t>
      </w:r>
      <w:r>
        <w:rPr>
          <w:vertAlign w:val="subscript"/>
        </w:rPr>
        <w:t>noise</w:t>
      </w:r>
      <w:r>
        <w:rPr/>
        <w:t xml:space="preserve">  =  TxPwr</w:t>
      </w:r>
      <w:r>
        <w:rPr>
          <w:vertAlign w:val="subscript"/>
        </w:rPr>
        <w:t>max BTS</w:t>
      </w:r>
      <w:r>
        <w:rPr/>
        <w:t xml:space="preserve"> + conv. factor (peak -&gt; 30 kHz) </w:t>
        <w:noBreakHyphen/>
        <w:t xml:space="preserve"> spectrum mask + conv. factor (100 kHz -&gt; 200 kHz)</w:t>
      </w:r>
    </w:p>
    <w:p>
      <w:pPr>
        <w:pStyle w:val="Normal"/>
        <w:rPr/>
      </w:pPr>
      <w:r>
        <w:rPr/>
        <w:t>For an interfering CTS-FP the maximum noise is:</w:t>
      </w:r>
    </w:p>
    <w:p>
      <w:pPr>
        <w:pStyle w:val="EX"/>
        <w:tabs>
          <w:tab w:val="clear" w:pos="284"/>
          <w:tab w:val="left" w:pos="6804" w:leader="none"/>
        </w:tabs>
        <w:rPr/>
      </w:pPr>
      <w:r>
        <w:rPr/>
        <w:tab/>
      </w:r>
      <w:r>
        <w:rPr>
          <w:b/>
        </w:rPr>
        <w:t>CTS-FP</w:t>
      </w:r>
      <w:r>
        <w:rPr>
          <w:b/>
          <w:vertAlign w:val="subscript"/>
        </w:rPr>
        <w:t>noise</w:t>
      </w:r>
      <w:r>
        <w:rPr/>
        <w:t xml:space="preserve">[dBm]  =  11 </w:t>
        <w:noBreakHyphen/>
        <w:t xml:space="preserve">8 </w:t>
        <w:noBreakHyphen/>
        <w:t xml:space="preserve">71 +3 =  </w:t>
      </w:r>
      <w:r>
        <w:rPr>
          <w:b/>
        </w:rPr>
        <w:t>-65 dBm</w:t>
      </w:r>
      <w:r>
        <w:rPr/>
        <w:tab/>
        <w:t>GSM900</w:t>
      </w:r>
    </w:p>
    <w:p>
      <w:pPr>
        <w:pStyle w:val="EX"/>
        <w:tabs>
          <w:tab w:val="clear" w:pos="284"/>
          <w:tab w:val="left" w:pos="6804" w:leader="none"/>
        </w:tabs>
        <w:rPr/>
      </w:pPr>
      <w:r>
        <w:rPr/>
        <w:tab/>
      </w:r>
      <w:r>
        <w:rPr>
          <w:b/>
        </w:rPr>
        <w:t>CTS-FP</w:t>
      </w:r>
      <w:r>
        <w:rPr>
          <w:b/>
          <w:vertAlign w:val="subscript"/>
        </w:rPr>
        <w:t>noise</w:t>
      </w:r>
      <w:r>
        <w:rPr/>
        <w:t xml:space="preserve">[dBm]  =  12 </w:t>
        <w:noBreakHyphen/>
        <w:t xml:space="preserve">8 </w:t>
        <w:noBreakHyphen/>
        <w:t xml:space="preserve">67 +3 =  </w:t>
      </w:r>
      <w:r>
        <w:rPr>
          <w:b/>
        </w:rPr>
        <w:t>-60 dBm</w:t>
      </w:r>
      <w:r>
        <w:rPr/>
        <w:tab/>
        <w:t>DCS1800</w:t>
      </w:r>
    </w:p>
    <w:p>
      <w:pPr>
        <w:pStyle w:val="Normal"/>
        <w:rPr/>
      </w:pPr>
      <w:r>
        <w:rPr/>
        <w:t>For an interfering pico-BTSa higher transmit power and a higher sideband modulation suppression applies:</w:t>
      </w:r>
    </w:p>
    <w:p>
      <w:pPr>
        <w:pStyle w:val="EX"/>
        <w:tabs>
          <w:tab w:val="clear" w:pos="284"/>
          <w:tab w:val="left" w:pos="6804" w:leader="none"/>
        </w:tabs>
        <w:rPr/>
      </w:pPr>
      <w:r>
        <w:rPr/>
        <w:tab/>
      </w:r>
      <w:r>
        <w:rPr>
          <w:b/>
        </w:rPr>
        <w:t>pico BTS</w:t>
      </w:r>
      <w:r>
        <w:rPr>
          <w:b/>
          <w:vertAlign w:val="subscript"/>
        </w:rPr>
        <w:t>noise</w:t>
      </w:r>
      <w:r>
        <w:rPr/>
        <w:t xml:space="preserve">[dBm]  =  20 </w:t>
        <w:noBreakHyphen/>
        <w:t xml:space="preserve">8 </w:t>
        <w:noBreakHyphen/>
        <w:t xml:space="preserve">80 +3 = </w:t>
      </w:r>
      <w:r>
        <w:rPr>
          <w:b/>
        </w:rPr>
        <w:t>-65dBm</w:t>
      </w:r>
      <w:r>
        <w:rPr/>
        <w:tab/>
        <w:t>GSM900</w:t>
      </w:r>
    </w:p>
    <w:p>
      <w:pPr>
        <w:pStyle w:val="EX"/>
        <w:tabs>
          <w:tab w:val="clear" w:pos="284"/>
          <w:tab w:val="left" w:pos="6804" w:leader="none"/>
        </w:tabs>
        <w:rPr/>
      </w:pPr>
      <w:r>
        <w:rPr/>
        <w:tab/>
      </w:r>
      <w:r>
        <w:rPr>
          <w:b/>
        </w:rPr>
        <w:t>pico BTS</w:t>
      </w:r>
      <w:r>
        <w:rPr>
          <w:b/>
          <w:vertAlign w:val="subscript"/>
        </w:rPr>
        <w:t xml:space="preserve">noise </w:t>
      </w:r>
      <w:r>
        <w:rPr/>
        <w:t xml:space="preserve">[dBm]  =  23 </w:t>
        <w:noBreakHyphen/>
        <w:t xml:space="preserve">8 </w:t>
        <w:noBreakHyphen/>
        <w:t xml:space="preserve">80 +3 = </w:t>
      </w:r>
      <w:r>
        <w:rPr>
          <w:b/>
        </w:rPr>
        <w:t>-62dBm</w:t>
      </w:r>
      <w:r>
        <w:rPr/>
        <w:tab/>
        <w:t>DCS1800</w:t>
      </w:r>
    </w:p>
    <w:p>
      <w:pPr>
        <w:pStyle w:val="Normal"/>
        <w:rPr/>
      </w:pPr>
      <w:r>
        <w:rPr/>
        <w:t>The maximum noise requirement is missed by 11,5 dB for GSM900 and by 11 dB for DCS1800.</w:t>
      </w:r>
    </w:p>
    <w:p>
      <w:pPr>
        <w:pStyle w:val="Heading3"/>
        <w:rPr/>
      </w:pPr>
      <w:bookmarkStart w:id="495" w:name="__RefHeading___Toc518035913"/>
      <w:bookmarkEnd w:id="495"/>
      <w:r>
        <w:rPr/>
        <w:t>S.3.2.2</w:t>
        <w:tab/>
        <w:t>Switching transients</w:t>
      </w:r>
    </w:p>
    <w:p>
      <w:pPr>
        <w:pStyle w:val="Normal"/>
        <w:rPr/>
      </w:pPr>
      <w:r>
        <w:rPr/>
        <w:t>a)</w:t>
        <w:tab/>
        <w:t>uncoordinated MS -&gt; CTS-FP</w:t>
      </w:r>
    </w:p>
    <w:p>
      <w:pPr>
        <w:pStyle w:val="Normal"/>
        <w:rPr/>
      </w:pPr>
      <w:r>
        <w:rPr/>
        <w:t>The maximum allowed peak level at the interferer site is:</w:t>
      </w:r>
    </w:p>
    <w:p>
      <w:pPr>
        <w:pStyle w:val="EX"/>
        <w:rPr/>
      </w:pPr>
      <w:r>
        <w:rPr>
          <w:b/>
        </w:rPr>
        <w:tab/>
        <w:t>Plev</w:t>
      </w:r>
      <w:r>
        <w:rPr>
          <w:b/>
          <w:vertAlign w:val="subscript"/>
        </w:rPr>
        <w:t>max  at FP</w:t>
      </w:r>
      <w:r>
        <w:rPr>
          <w:b/>
        </w:rPr>
        <w:t xml:space="preserve">  =  CTS-FP ref. sensitivity </w:t>
        <w:noBreakHyphen/>
        <w:t xml:space="preserve"> C/I + MCL + transient margin</w:t>
      </w:r>
    </w:p>
    <w:p>
      <w:pPr>
        <w:pStyle w:val="Normal"/>
        <w:rPr/>
      </w:pPr>
      <w:r>
        <w:rPr/>
        <w:t>This leads to:</w:t>
      </w:r>
    </w:p>
    <w:p>
      <w:pPr>
        <w:pStyle w:val="EX"/>
        <w:tabs>
          <w:tab w:val="clear" w:pos="284"/>
          <w:tab w:val="left" w:pos="6804" w:leader="none"/>
        </w:tabs>
        <w:rPr/>
      </w:pPr>
      <w:r>
        <w:rPr/>
        <w:tab/>
      </w:r>
      <w:r>
        <w:rPr>
          <w:b/>
          <w:lang w:val="da-DK"/>
        </w:rPr>
        <w:t>Plev</w:t>
      </w:r>
      <w:r>
        <w:rPr>
          <w:b/>
          <w:vertAlign w:val="subscript"/>
          <w:lang w:val="da-DK"/>
        </w:rPr>
        <w:t>max at FP</w:t>
      </w:r>
      <w:r>
        <w:rPr>
          <w:lang w:val="da-DK"/>
        </w:rPr>
        <w:t xml:space="preserve">[dB] = -102 </w:t>
        <w:noBreakHyphen/>
        <w:t xml:space="preserve"> 9 + 34.5 +20 = </w:t>
      </w:r>
      <w:r>
        <w:rPr>
          <w:b/>
          <w:lang w:val="da-DK"/>
        </w:rPr>
        <w:t>-56,5 dBm</w:t>
        <w:tab/>
      </w:r>
      <w:r>
        <w:rPr>
          <w:lang w:val="da-DK"/>
        </w:rPr>
        <w:t>GSM900</w:t>
      </w:r>
    </w:p>
    <w:p>
      <w:pPr>
        <w:pStyle w:val="EX"/>
        <w:tabs>
          <w:tab w:val="clear" w:pos="284"/>
          <w:tab w:val="left" w:pos="6804" w:leader="none"/>
        </w:tabs>
        <w:rPr/>
      </w:pPr>
      <w:r>
        <w:rPr/>
        <w:t>and</w:t>
      </w:r>
    </w:p>
    <w:p>
      <w:pPr>
        <w:pStyle w:val="EX"/>
        <w:tabs>
          <w:tab w:val="clear" w:pos="284"/>
          <w:tab w:val="left" w:pos="6804" w:leader="none"/>
        </w:tabs>
        <w:rPr/>
      </w:pPr>
      <w:r>
        <w:rPr/>
        <w:tab/>
      </w:r>
      <w:r>
        <w:rPr>
          <w:b/>
        </w:rPr>
        <w:t>Plev</w:t>
      </w:r>
      <w:r>
        <w:rPr>
          <w:b/>
          <w:vertAlign w:val="subscript"/>
        </w:rPr>
        <w:t>max at FP</w:t>
      </w:r>
      <w:r>
        <w:rPr/>
        <w:t xml:space="preserve">[dB] = -102 </w:t>
        <w:noBreakHyphen/>
        <w:t xml:space="preserve"> 9 + 40 + 20 = </w:t>
      </w:r>
      <w:r>
        <w:rPr>
          <w:b/>
        </w:rPr>
        <w:t>-51 dBm</w:t>
        <w:tab/>
      </w:r>
      <w:r>
        <w:rPr/>
        <w:t>DCS1800</w:t>
      </w:r>
    </w:p>
    <w:p>
      <w:pPr>
        <w:pStyle w:val="Normal"/>
        <w:rPr/>
      </w:pPr>
      <w:r>
        <w:rPr/>
        <w:t>The maximum generated power level for &gt;1.8MHZ frequency offset according to GSM 05.05 is:</w:t>
      </w:r>
    </w:p>
    <w:p>
      <w:pPr>
        <w:pStyle w:val="EX"/>
        <w:tabs>
          <w:tab w:val="clear" w:pos="284"/>
          <w:tab w:val="left" w:pos="6804" w:leader="none"/>
        </w:tabs>
        <w:rPr/>
      </w:pPr>
      <w:r>
        <w:rPr/>
        <w:tab/>
      </w:r>
      <w:r>
        <w:rPr>
          <w:b/>
        </w:rPr>
        <w:t>MS</w:t>
      </w:r>
      <w:r>
        <w:rPr>
          <w:b/>
          <w:vertAlign w:val="subscript"/>
        </w:rPr>
        <w:t>switching transients</w:t>
      </w:r>
      <w:r>
        <w:rPr>
          <w:b/>
        </w:rPr>
        <w:t xml:space="preserve">  =  -36 dBm</w:t>
      </w:r>
      <w:r>
        <w:rPr/>
        <w:tab/>
        <w:t>GSM900/DCS1800</w:t>
      </w:r>
    </w:p>
    <w:p>
      <w:pPr>
        <w:pStyle w:val="Normal"/>
        <w:rPr/>
      </w:pPr>
      <w:r>
        <w:rPr/>
        <w:t>The requirement is therefore missed by 20,5 dB for GSM900 and by 15 dB for DCS1800.</w:t>
      </w:r>
    </w:p>
    <w:p>
      <w:pPr>
        <w:pStyle w:val="Normal"/>
        <w:rPr/>
      </w:pPr>
      <w:r>
        <w:rPr/>
        <w:t>b)</w:t>
        <w:tab/>
        <w:t>uncoordinated BTS/CTS-FP -&gt; CTS-MS</w:t>
      </w:r>
    </w:p>
    <w:p>
      <w:pPr>
        <w:pStyle w:val="Normal"/>
        <w:rPr/>
      </w:pPr>
      <w:r>
        <w:rPr/>
        <w:t>The maximum allowed peak level at the interferer site is:</w:t>
      </w:r>
    </w:p>
    <w:p>
      <w:pPr>
        <w:pStyle w:val="EX"/>
        <w:rPr/>
      </w:pPr>
      <w:r>
        <w:rPr>
          <w:b/>
        </w:rPr>
        <w:tab/>
        <w:t>Plev</w:t>
      </w:r>
      <w:r>
        <w:rPr>
          <w:b/>
          <w:vertAlign w:val="subscript"/>
        </w:rPr>
        <w:t>max  at MS</w:t>
      </w:r>
      <w:r>
        <w:rPr>
          <w:b/>
        </w:rPr>
        <w:t xml:space="preserve">  =  CTS-MS ref. sensitivity </w:t>
        <w:noBreakHyphen/>
        <w:t xml:space="preserve"> C/I + MCL + transient margin</w:t>
      </w:r>
    </w:p>
    <w:p>
      <w:pPr>
        <w:pStyle w:val="Normal"/>
        <w:rPr/>
      </w:pPr>
      <w:r>
        <w:rPr/>
        <w:t>This leads to:</w:t>
      </w:r>
    </w:p>
    <w:p>
      <w:pPr>
        <w:pStyle w:val="EX"/>
        <w:tabs>
          <w:tab w:val="clear" w:pos="284"/>
          <w:tab w:val="left" w:pos="6804" w:leader="none"/>
        </w:tabs>
        <w:rPr/>
      </w:pPr>
      <w:r>
        <w:rPr/>
        <w:tab/>
      </w:r>
      <w:r>
        <w:rPr>
          <w:b/>
          <w:lang w:val="da-DK"/>
        </w:rPr>
        <w:t>Plev</w:t>
      </w:r>
      <w:r>
        <w:rPr>
          <w:b/>
          <w:vertAlign w:val="subscript"/>
          <w:lang w:val="da-DK"/>
        </w:rPr>
        <w:t>max at MS</w:t>
      </w:r>
      <w:r>
        <w:rPr>
          <w:lang w:val="da-DK"/>
        </w:rPr>
        <w:t xml:space="preserve">[dB] = -102 </w:t>
        <w:noBreakHyphen/>
        <w:t xml:space="preserve"> 9 + 34.5 +20 = </w:t>
      </w:r>
      <w:r>
        <w:rPr>
          <w:b/>
          <w:lang w:val="da-DK"/>
        </w:rPr>
        <w:t>-56,5 dBm</w:t>
        <w:tab/>
      </w:r>
      <w:r>
        <w:rPr>
          <w:lang w:val="da-DK"/>
        </w:rPr>
        <w:t>GSM900</w:t>
      </w:r>
    </w:p>
    <w:p>
      <w:pPr>
        <w:pStyle w:val="EX"/>
        <w:tabs>
          <w:tab w:val="clear" w:pos="284"/>
          <w:tab w:val="left" w:pos="6804" w:leader="none"/>
        </w:tabs>
        <w:rPr/>
      </w:pPr>
      <w:r>
        <w:rPr/>
        <w:t>and</w:t>
      </w:r>
    </w:p>
    <w:p>
      <w:pPr>
        <w:pStyle w:val="EX"/>
        <w:tabs>
          <w:tab w:val="clear" w:pos="284"/>
          <w:tab w:val="left" w:pos="6804" w:leader="none"/>
        </w:tabs>
        <w:rPr/>
      </w:pPr>
      <w:r>
        <w:rPr/>
        <w:tab/>
      </w:r>
      <w:r>
        <w:rPr>
          <w:b/>
        </w:rPr>
        <w:t>Plev</w:t>
      </w:r>
      <w:r>
        <w:rPr>
          <w:b/>
          <w:vertAlign w:val="subscript"/>
        </w:rPr>
        <w:t>max at MS</w:t>
      </w:r>
      <w:r>
        <w:rPr/>
        <w:t xml:space="preserve">[dB] = -102 </w:t>
        <w:noBreakHyphen/>
        <w:t xml:space="preserve"> 9 + 40 + 20 = </w:t>
      </w:r>
      <w:r>
        <w:rPr>
          <w:b/>
        </w:rPr>
        <w:t>-51 dBm</w:t>
        <w:tab/>
      </w:r>
      <w:r>
        <w:rPr/>
        <w:t>DCS1800</w:t>
      </w:r>
    </w:p>
    <w:p>
      <w:pPr>
        <w:pStyle w:val="Normal"/>
        <w:rPr/>
      </w:pPr>
      <w:r>
        <w:rPr/>
        <w:t>The maximum generated power level for a CTS-FP and a pico-BTS and &gt;1.8MHZ frequency offset according to GSM 05.05:</w:t>
      </w:r>
    </w:p>
    <w:p>
      <w:pPr>
        <w:pStyle w:val="EX"/>
        <w:tabs>
          <w:tab w:val="clear" w:pos="284"/>
          <w:tab w:val="left" w:pos="6804" w:leader="none"/>
        </w:tabs>
        <w:rPr/>
      </w:pPr>
      <w:r>
        <w:rPr/>
        <w:tab/>
      </w:r>
      <w:r>
        <w:rPr>
          <w:b/>
        </w:rPr>
        <w:t>CTS-FP</w:t>
      </w:r>
      <w:r>
        <w:rPr>
          <w:b/>
          <w:vertAlign w:val="subscript"/>
        </w:rPr>
        <w:t>switching transients</w:t>
      </w:r>
      <w:r>
        <w:rPr>
          <w:b/>
        </w:rPr>
        <w:t xml:space="preserve">  =  -36 dBm</w:t>
      </w:r>
      <w:r>
        <w:rPr/>
        <w:tab/>
        <w:t>GSM900/DCS1800</w:t>
      </w:r>
    </w:p>
    <w:p>
      <w:pPr>
        <w:pStyle w:val="Normal"/>
        <w:rPr/>
      </w:pPr>
      <w:r>
        <w:rPr/>
        <w:t>Due to the same reference sensitivities and the same requirement for the maximum generated power level from GSM05.05 the figures are the same as for case a). Therefore, the requirement is also missed by 20,5 dB for GSM900 and by 15 dB for DCS1800.</w:t>
      </w:r>
    </w:p>
    <w:p>
      <w:pPr>
        <w:pStyle w:val="Heading3"/>
        <w:rPr/>
      </w:pPr>
      <w:bookmarkStart w:id="496" w:name="__RefHeading___Toc518035914"/>
      <w:bookmarkEnd w:id="496"/>
      <w:r>
        <w:rPr/>
        <w:t>S.3.2.3</w:t>
        <w:tab/>
        <w:t>Blocking</w:t>
      </w:r>
    </w:p>
    <w:p>
      <w:pPr>
        <w:pStyle w:val="Normal"/>
        <w:rPr/>
      </w:pPr>
      <w:r>
        <w:rPr/>
        <w:t>a)</w:t>
        <w:tab/>
        <w:t>uncoordinated MS -&gt; CTS-FP</w:t>
      </w:r>
    </w:p>
    <w:p>
      <w:pPr>
        <w:pStyle w:val="Normal"/>
        <w:rPr/>
      </w:pPr>
      <w:r>
        <w:rPr/>
        <w:t>The maximum generated signal power level at the CTS-FP receiver site is:</w:t>
      </w:r>
    </w:p>
    <w:p>
      <w:pPr>
        <w:pStyle w:val="EX"/>
        <w:rPr/>
      </w:pPr>
      <w:r>
        <w:rPr/>
        <w:tab/>
        <w:t>Plev</w:t>
      </w:r>
      <w:r>
        <w:rPr>
          <w:vertAlign w:val="subscript"/>
        </w:rPr>
        <w:t>max  at FP</w:t>
      </w:r>
      <w:r>
        <w:rPr/>
        <w:t xml:space="preserve">  =  TxPwr</w:t>
      </w:r>
      <w:r>
        <w:rPr>
          <w:vertAlign w:val="subscript"/>
        </w:rPr>
        <w:t>MS</w:t>
      </w:r>
      <w:r>
        <w:rPr/>
        <w:t xml:space="preserve"> - MCL</w:t>
      </w:r>
    </w:p>
    <w:p>
      <w:pPr>
        <w:pStyle w:val="Normal"/>
        <w:rPr/>
      </w:pPr>
      <w:r>
        <w:rPr/>
        <w:t>For a CTS-MS:</w:t>
      </w:r>
    </w:p>
    <w:p>
      <w:pPr>
        <w:pStyle w:val="EX"/>
        <w:tabs>
          <w:tab w:val="clear" w:pos="284"/>
          <w:tab w:val="left" w:pos="6804" w:leader="none"/>
        </w:tabs>
        <w:rPr>
          <w:b/>
          <w:b/>
          <w:lang w:val="da-DK"/>
        </w:rPr>
      </w:pPr>
      <w:r>
        <w:rPr/>
        <w:tab/>
      </w:r>
      <w:r>
        <w:rPr>
          <w:b/>
          <w:lang w:val="da-DK"/>
        </w:rPr>
        <w:t>Plev</w:t>
      </w:r>
      <w:r>
        <w:rPr>
          <w:b/>
          <w:vertAlign w:val="subscript"/>
          <w:lang w:val="da-DK"/>
        </w:rPr>
        <w:t>max  at FP</w:t>
      </w:r>
      <w:r>
        <w:rPr>
          <w:lang w:val="da-DK"/>
        </w:rPr>
        <w:t>[dBm]</w:t>
      </w:r>
      <w:r>
        <w:rPr>
          <w:b/>
          <w:lang w:val="da-DK"/>
        </w:rPr>
        <w:t xml:space="preserve">  </w:t>
      </w:r>
      <w:r>
        <w:rPr>
          <w:lang w:val="da-DK"/>
        </w:rPr>
        <w:t xml:space="preserve">=  11 </w:t>
        <w:noBreakHyphen/>
        <w:t xml:space="preserve">34.5 = </w:t>
      </w:r>
      <w:r>
        <w:rPr>
          <w:b/>
          <w:lang w:val="da-DK"/>
        </w:rPr>
        <w:t>-23,5 dBm</w:t>
        <w:tab/>
      </w:r>
      <w:r>
        <w:rPr>
          <w:lang w:val="da-DK"/>
        </w:rPr>
        <w:t>GSM900</w:t>
      </w:r>
    </w:p>
    <w:p>
      <w:pPr>
        <w:pStyle w:val="EX"/>
        <w:tabs>
          <w:tab w:val="clear" w:pos="284"/>
          <w:tab w:val="left" w:pos="6804" w:leader="none"/>
        </w:tabs>
        <w:rPr/>
      </w:pPr>
      <w:r>
        <w:rPr>
          <w:b/>
          <w:lang w:val="da-DK"/>
        </w:rPr>
        <w:tab/>
        <w:t>Plev</w:t>
      </w:r>
      <w:r>
        <w:rPr>
          <w:b/>
          <w:vertAlign w:val="subscript"/>
          <w:lang w:val="da-DK"/>
        </w:rPr>
        <w:t>max  at FP</w:t>
      </w:r>
      <w:r>
        <w:rPr>
          <w:lang w:val="da-DK"/>
        </w:rPr>
        <w:t>[dBm]</w:t>
      </w:r>
      <w:r>
        <w:rPr>
          <w:b/>
          <w:lang w:val="da-DK"/>
        </w:rPr>
        <w:t xml:space="preserve">  </w:t>
      </w:r>
      <w:r>
        <w:rPr>
          <w:lang w:val="da-DK"/>
        </w:rPr>
        <w:t xml:space="preserve">=  12 </w:t>
        <w:noBreakHyphen/>
        <w:t xml:space="preserve">40 = </w:t>
      </w:r>
      <w:r>
        <w:rPr>
          <w:b/>
          <w:lang w:val="da-DK"/>
        </w:rPr>
        <w:t>-28 dBm</w:t>
        <w:tab/>
      </w:r>
      <w:r>
        <w:rPr>
          <w:lang w:val="da-DK"/>
        </w:rPr>
        <w:t>DCS1800</w:t>
      </w:r>
    </w:p>
    <w:p>
      <w:pPr>
        <w:pStyle w:val="Normal"/>
        <w:rPr/>
      </w:pPr>
      <w:r>
        <w:rPr/>
        <w:t xml:space="preserve">The blocking requirements for the CTS-FP according to subclause 3.1 are </w:t>
        <w:noBreakHyphen/>
        <w:t xml:space="preserve">23 dBm for GSM900 and </w:t>
        <w:noBreakHyphen/>
        <w:t>26 dBm for DCS1800. These requirements are fulfilled.</w:t>
      </w:r>
    </w:p>
    <w:p>
      <w:pPr>
        <w:pStyle w:val="Normal"/>
        <w:rPr/>
      </w:pPr>
      <w:r>
        <w:rPr/>
        <w:t>For a GSM-MS a higher transmit power applies:</w:t>
      </w:r>
    </w:p>
    <w:p>
      <w:pPr>
        <w:pStyle w:val="EX"/>
        <w:tabs>
          <w:tab w:val="clear" w:pos="284"/>
          <w:tab w:val="left" w:pos="6804" w:leader="none"/>
        </w:tabs>
        <w:rPr>
          <w:b/>
          <w:b/>
          <w:lang w:val="da-DK"/>
        </w:rPr>
      </w:pPr>
      <w:r>
        <w:rPr/>
        <w:tab/>
      </w:r>
      <w:r>
        <w:rPr>
          <w:b/>
          <w:lang w:val="da-DK"/>
        </w:rPr>
        <w:t>Plev</w:t>
      </w:r>
      <w:r>
        <w:rPr>
          <w:b/>
          <w:vertAlign w:val="subscript"/>
          <w:lang w:val="da-DK"/>
        </w:rPr>
        <w:t>max  at FP</w:t>
      </w:r>
      <w:r>
        <w:rPr>
          <w:lang w:val="da-DK"/>
        </w:rPr>
        <w:t>[dBm]</w:t>
      </w:r>
      <w:r>
        <w:rPr>
          <w:b/>
          <w:lang w:val="da-DK"/>
        </w:rPr>
        <w:t xml:space="preserve">  </w:t>
      </w:r>
      <w:r>
        <w:rPr>
          <w:lang w:val="da-DK"/>
        </w:rPr>
        <w:t xml:space="preserve">=  33 </w:t>
        <w:noBreakHyphen/>
        <w:t xml:space="preserve"> 34,5 = </w:t>
      </w:r>
      <w:r>
        <w:rPr>
          <w:b/>
          <w:lang w:val="da-DK"/>
        </w:rPr>
        <w:t>-1,5 dBm</w:t>
        <w:tab/>
      </w:r>
      <w:r>
        <w:rPr>
          <w:lang w:val="da-DK"/>
        </w:rPr>
        <w:t>GSM900</w:t>
      </w:r>
    </w:p>
    <w:p>
      <w:pPr>
        <w:pStyle w:val="EX"/>
        <w:tabs>
          <w:tab w:val="clear" w:pos="284"/>
          <w:tab w:val="left" w:pos="6804" w:leader="none"/>
        </w:tabs>
        <w:rPr/>
      </w:pPr>
      <w:r>
        <w:rPr>
          <w:b/>
          <w:lang w:val="da-DK"/>
        </w:rPr>
        <w:tab/>
        <w:t>Plev</w:t>
      </w:r>
      <w:r>
        <w:rPr>
          <w:b/>
          <w:vertAlign w:val="subscript"/>
          <w:lang w:val="da-DK"/>
        </w:rPr>
        <w:t>max  at FP</w:t>
      </w:r>
      <w:r>
        <w:rPr>
          <w:lang w:val="da-DK"/>
        </w:rPr>
        <w:t>[dBm]</w:t>
      </w:r>
      <w:r>
        <w:rPr>
          <w:b/>
          <w:lang w:val="da-DK"/>
        </w:rPr>
        <w:t xml:space="preserve">  </w:t>
      </w:r>
      <w:r>
        <w:rPr>
          <w:lang w:val="da-DK"/>
        </w:rPr>
        <w:t xml:space="preserve">=  30 </w:t>
        <w:noBreakHyphen/>
        <w:t xml:space="preserve"> 40 = </w:t>
      </w:r>
      <w:r>
        <w:rPr>
          <w:b/>
          <w:lang w:val="da-DK"/>
        </w:rPr>
        <w:t>-10,dBm</w:t>
        <w:tab/>
      </w:r>
      <w:r>
        <w:rPr>
          <w:lang w:val="da-DK"/>
        </w:rPr>
        <w:t>DCS1800</w:t>
      </w:r>
    </w:p>
    <w:p>
      <w:pPr>
        <w:pStyle w:val="Normal"/>
        <w:rPr/>
      </w:pPr>
      <w:r>
        <w:rPr/>
        <w:t>Here the blocking requirement is missed by 22 dB for GSM900 and 18 dB for DCS1800.</w:t>
      </w:r>
    </w:p>
    <w:p>
      <w:pPr>
        <w:pStyle w:val="Normal"/>
        <w:rPr/>
      </w:pPr>
      <w:r>
        <w:rPr/>
        <w:t>b)</w:t>
        <w:tab/>
        <w:t>uncoordinated BTS/CTS-FP -&gt; CTS-MS</w:t>
      </w:r>
    </w:p>
    <w:p>
      <w:pPr>
        <w:pStyle w:val="Normal"/>
        <w:rPr/>
      </w:pPr>
      <w:r>
        <w:rPr/>
        <w:t>The maximum generated signal power level at the CTS-MS receiver site is:</w:t>
      </w:r>
    </w:p>
    <w:p>
      <w:pPr>
        <w:pStyle w:val="EX"/>
        <w:rPr>
          <w:lang w:val="da-DK"/>
        </w:rPr>
      </w:pPr>
      <w:r>
        <w:rPr/>
        <w:tab/>
      </w:r>
      <w:r>
        <w:rPr>
          <w:b/>
          <w:lang w:val="da-DK"/>
        </w:rPr>
        <w:t>Plev</w:t>
      </w:r>
      <w:r>
        <w:rPr>
          <w:b/>
          <w:vertAlign w:val="subscript"/>
          <w:lang w:val="da-DK"/>
        </w:rPr>
        <w:t>max  at MS</w:t>
      </w:r>
      <w:r>
        <w:rPr>
          <w:b/>
          <w:lang w:val="da-DK"/>
        </w:rPr>
        <w:t xml:space="preserve">  =  TxPwr</w:t>
      </w:r>
      <w:r>
        <w:rPr>
          <w:b/>
          <w:vertAlign w:val="subscript"/>
          <w:lang w:val="da-DK"/>
        </w:rPr>
        <w:t xml:space="preserve">BTS/FP  </w:t>
      </w:r>
      <w:r>
        <w:rPr>
          <w:b/>
          <w:lang w:val="da-DK"/>
        </w:rPr>
        <w:noBreakHyphen/>
        <w:t>MCL</w:t>
      </w:r>
    </w:p>
    <w:p>
      <w:pPr>
        <w:pStyle w:val="Normal"/>
        <w:rPr>
          <w:lang w:val="da-DK"/>
        </w:rPr>
      </w:pPr>
      <w:r>
        <w:rPr>
          <w:lang w:val="da-DK"/>
        </w:rPr>
        <w:t>For a CTS-FP:</w:t>
      </w:r>
    </w:p>
    <w:p>
      <w:pPr>
        <w:pStyle w:val="EX"/>
        <w:tabs>
          <w:tab w:val="clear" w:pos="284"/>
          <w:tab w:val="left" w:pos="6804" w:leader="none"/>
        </w:tabs>
        <w:rPr>
          <w:b/>
          <w:b/>
          <w:lang w:val="da-DK"/>
        </w:rPr>
      </w:pPr>
      <w:r>
        <w:rPr>
          <w:lang w:val="da-DK"/>
        </w:rPr>
        <w:tab/>
      </w:r>
      <w:r>
        <w:rPr>
          <w:b/>
          <w:lang w:val="da-DK"/>
        </w:rPr>
        <w:t>Plev</w:t>
      </w:r>
      <w:r>
        <w:rPr>
          <w:b/>
          <w:vertAlign w:val="subscript"/>
          <w:lang w:val="da-DK"/>
        </w:rPr>
        <w:t>max  at MS</w:t>
      </w:r>
      <w:r>
        <w:rPr>
          <w:lang w:val="da-DK"/>
        </w:rPr>
        <w:t>[dBm]</w:t>
      </w:r>
      <w:r>
        <w:rPr>
          <w:b/>
          <w:lang w:val="da-DK"/>
        </w:rPr>
        <w:t xml:space="preserve">  </w:t>
      </w:r>
      <w:r>
        <w:rPr>
          <w:lang w:val="da-DK"/>
        </w:rPr>
        <w:t xml:space="preserve">=  11 </w:t>
        <w:noBreakHyphen/>
        <w:t xml:space="preserve"> 34,5 = </w:t>
      </w:r>
      <w:r>
        <w:rPr>
          <w:b/>
          <w:lang w:val="da-DK"/>
        </w:rPr>
        <w:t>-23,5 dBm</w:t>
        <w:tab/>
      </w:r>
      <w:r>
        <w:rPr>
          <w:lang w:val="da-DK"/>
        </w:rPr>
        <w:t>GSM900</w:t>
      </w:r>
    </w:p>
    <w:p>
      <w:pPr>
        <w:pStyle w:val="EX"/>
        <w:tabs>
          <w:tab w:val="clear" w:pos="284"/>
          <w:tab w:val="left" w:pos="6804" w:leader="none"/>
        </w:tabs>
        <w:rPr/>
      </w:pPr>
      <w:r>
        <w:rPr>
          <w:b/>
          <w:lang w:val="da-DK"/>
        </w:rPr>
        <w:tab/>
        <w:t>Plev</w:t>
      </w:r>
      <w:r>
        <w:rPr>
          <w:b/>
          <w:vertAlign w:val="subscript"/>
          <w:lang w:val="da-DK"/>
        </w:rPr>
        <w:t>max  at MS</w:t>
      </w:r>
      <w:r>
        <w:rPr>
          <w:lang w:val="da-DK"/>
        </w:rPr>
        <w:t>[dBm]</w:t>
      </w:r>
      <w:r>
        <w:rPr>
          <w:b/>
          <w:lang w:val="da-DK"/>
        </w:rPr>
        <w:t xml:space="preserve">  </w:t>
      </w:r>
      <w:r>
        <w:rPr>
          <w:lang w:val="da-DK"/>
        </w:rPr>
        <w:t xml:space="preserve">=  12 </w:t>
        <w:noBreakHyphen/>
        <w:t xml:space="preserve"> 40 = </w:t>
      </w:r>
      <w:r>
        <w:rPr>
          <w:b/>
          <w:lang w:val="da-DK"/>
        </w:rPr>
        <w:t>-28 dBm</w:t>
        <w:tab/>
      </w:r>
      <w:r>
        <w:rPr>
          <w:lang w:val="da-DK"/>
        </w:rPr>
        <w:t>DCS1800</w:t>
      </w:r>
    </w:p>
    <w:p>
      <w:pPr>
        <w:pStyle w:val="Normal"/>
        <w:rPr/>
      </w:pPr>
      <w:r>
        <w:rPr/>
        <w:t xml:space="preserve">The blocking requirements for the CTS-MS according to GSM 05.05 are </w:t>
        <w:noBreakHyphen/>
        <w:t xml:space="preserve">23 dBm for GSM900 and </w:t>
        <w:noBreakHyphen/>
        <w:t>26 dBm for DCS1800. These requirements are fulfilled.</w:t>
      </w:r>
    </w:p>
    <w:p>
      <w:pPr>
        <w:pStyle w:val="Normal"/>
        <w:rPr/>
      </w:pPr>
      <w:r>
        <w:rPr/>
        <w:t>For a pico BTS:</w:t>
      </w:r>
    </w:p>
    <w:p>
      <w:pPr>
        <w:pStyle w:val="EX"/>
        <w:tabs>
          <w:tab w:val="clear" w:pos="284"/>
          <w:tab w:val="left" w:pos="6804" w:leader="none"/>
        </w:tabs>
        <w:rPr>
          <w:b/>
          <w:b/>
        </w:rPr>
      </w:pPr>
      <w:r>
        <w:rPr/>
        <w:tab/>
      </w:r>
      <w:r>
        <w:rPr>
          <w:b/>
        </w:rPr>
        <w:t>Plev</w:t>
      </w:r>
      <w:r>
        <w:rPr>
          <w:b/>
          <w:vertAlign w:val="subscript"/>
        </w:rPr>
        <w:t>max  at MS</w:t>
      </w:r>
      <w:r>
        <w:rPr/>
        <w:t>[dBm]</w:t>
      </w:r>
      <w:r>
        <w:rPr>
          <w:b/>
        </w:rPr>
        <w:t xml:space="preserve">  </w:t>
      </w:r>
      <w:r>
        <w:rPr/>
        <w:t xml:space="preserve">=  20 </w:t>
        <w:noBreakHyphen/>
        <w:t xml:space="preserve"> 34,5 = </w:t>
      </w:r>
      <w:r>
        <w:rPr>
          <w:b/>
        </w:rPr>
        <w:t>-14,5 dBm</w:t>
        <w:tab/>
      </w:r>
      <w:r>
        <w:rPr/>
        <w:t>GSM900</w:t>
      </w:r>
    </w:p>
    <w:p>
      <w:pPr>
        <w:pStyle w:val="EX"/>
        <w:tabs>
          <w:tab w:val="clear" w:pos="284"/>
          <w:tab w:val="left" w:pos="6804" w:leader="none"/>
        </w:tabs>
        <w:rPr/>
      </w:pPr>
      <w:r>
        <w:rPr>
          <w:b/>
        </w:rPr>
        <w:tab/>
        <w:t>Plev</w:t>
      </w:r>
      <w:r>
        <w:rPr>
          <w:b/>
          <w:vertAlign w:val="subscript"/>
        </w:rPr>
        <w:t>max  at MS</w:t>
      </w:r>
      <w:r>
        <w:rPr/>
        <w:t>[dBm]</w:t>
      </w:r>
      <w:r>
        <w:rPr>
          <w:b/>
        </w:rPr>
        <w:t xml:space="preserve">  </w:t>
      </w:r>
      <w:r>
        <w:rPr/>
        <w:t xml:space="preserve">=  23 </w:t>
        <w:noBreakHyphen/>
        <w:t xml:space="preserve"> 40 = </w:t>
      </w:r>
      <w:r>
        <w:rPr>
          <w:b/>
        </w:rPr>
        <w:t>-17 dBm</w:t>
        <w:tab/>
      </w:r>
      <w:r>
        <w:rPr/>
        <w:t>DCS1800</w:t>
      </w:r>
    </w:p>
    <w:p>
      <w:pPr>
        <w:pStyle w:val="Normal"/>
        <w:rPr/>
      </w:pPr>
      <w:r>
        <w:rPr/>
        <w:t>In this case the blocking requirement is missed by 8,5 dB for GSM900 and 9 dB for DCS1800.</w:t>
      </w:r>
    </w:p>
    <w:p>
      <w:pPr>
        <w:pStyle w:val="Heading3"/>
        <w:rPr/>
      </w:pPr>
      <w:bookmarkStart w:id="497" w:name="__RefHeading___Toc518035915"/>
      <w:bookmarkEnd w:id="497"/>
      <w:r>
        <w:rPr/>
        <w:t>S.3.2.4</w:t>
        <w:tab/>
        <w:t>Specification of AM Suppression</w:t>
      </w:r>
    </w:p>
    <w:p>
      <w:pPr>
        <w:pStyle w:val="Normal"/>
        <w:rPr/>
      </w:pPr>
      <w:r>
        <w:rPr/>
        <w:t>The scenarios of subclauses 3.2.1 to 3.2.3 show that, based on GSM 05.05 specifications, interference from these scenarios will limit the receiver performance. This will also give an indication for the AM suppression test condition. For that we have to distinguish two cases concerning CTS and GSM interferers separately.</w:t>
      </w:r>
    </w:p>
    <w:p>
      <w:pPr>
        <w:pStyle w:val="Normal"/>
        <w:rPr/>
      </w:pPr>
      <w:r>
        <w:rPr/>
        <w:t>Concerning interference from CTS-MS or CTS-FP transmitters the largest deviation from the requirements in the scenarios discussed above comes from switching transients. The maximum failure from the requirement is 20,5 dB for GSM900 and 15 dB for DCS1800, same for uplink and downlink. These figures are essentially the same as for the pico BTS scenarios, see for comparison SMG2 WPB Tdoc 188/98.</w:t>
      </w:r>
    </w:p>
    <w:p>
      <w:pPr>
        <w:pStyle w:val="Normal"/>
        <w:rPr/>
      </w:pPr>
      <w:r>
        <w:rPr/>
        <w:t>Following the logic from that paper, the signal level for the AM suppression test has to be lowered by the maximum deviation outlined above in order to allow proper testing. From that the maximum interferer power levels for the AM suppression test are:</w:t>
      </w:r>
    </w:p>
    <w:p>
      <w:pPr>
        <w:pStyle w:val="EX"/>
        <w:rPr/>
      </w:pPr>
      <w:r>
        <w:rPr>
          <w:b/>
        </w:rPr>
        <w:tab/>
        <w:t>PL</w:t>
      </w:r>
      <w:r>
        <w:rPr>
          <w:b/>
          <w:vertAlign w:val="subscript"/>
        </w:rPr>
        <w:t>AM suppression test</w:t>
      </w:r>
      <w:r>
        <w:rPr>
          <w:b/>
        </w:rPr>
        <w:t xml:space="preserve">  =  TxPwr</w:t>
      </w:r>
      <w:r>
        <w:rPr>
          <w:b/>
          <w:vertAlign w:val="subscript"/>
        </w:rPr>
        <w:t>max</w:t>
      </w:r>
      <w:r>
        <w:rPr>
          <w:b/>
        </w:rPr>
        <w:t xml:space="preserve"> </w:t>
        <w:noBreakHyphen/>
        <w:t xml:space="preserve"> MCL </w:t>
        <w:noBreakHyphen/>
        <w:t xml:space="preserve"> deviation</w:t>
      </w:r>
    </w:p>
    <w:p>
      <w:pPr>
        <w:pStyle w:val="EX"/>
        <w:rPr/>
      </w:pPr>
      <w:r>
        <w:rPr/>
        <w:t>Therefore:</w:t>
      </w:r>
    </w:p>
    <w:p>
      <w:pPr>
        <w:pStyle w:val="EX"/>
        <w:tabs>
          <w:tab w:val="clear" w:pos="284"/>
          <w:tab w:val="left" w:pos="6804" w:leader="none"/>
        </w:tabs>
        <w:rPr/>
      </w:pPr>
      <w:r>
        <w:rPr>
          <w:b/>
        </w:rPr>
        <w:tab/>
        <w:t>PL</w:t>
      </w:r>
      <w:r>
        <w:rPr>
          <w:b/>
          <w:vertAlign w:val="subscript"/>
        </w:rPr>
        <w:t>AM suppression test</w:t>
      </w:r>
      <w:r>
        <w:rPr>
          <w:b/>
        </w:rPr>
        <w:t xml:space="preserve">[dBm] =  11 </w:t>
        <w:noBreakHyphen/>
        <w:t xml:space="preserve"> 34,5 </w:t>
        <w:noBreakHyphen/>
        <w:t xml:space="preserve"> 20,5 = </w:t>
        <w:noBreakHyphen/>
        <w:t>44d Bm</w:t>
      </w:r>
      <w:r>
        <w:rPr/>
        <w:tab/>
        <w:t>GSM900</w:t>
      </w:r>
    </w:p>
    <w:p>
      <w:pPr>
        <w:pStyle w:val="EX"/>
        <w:rPr/>
      </w:pPr>
      <w:r>
        <w:rPr/>
        <w:t>and</w:t>
      </w:r>
    </w:p>
    <w:p>
      <w:pPr>
        <w:pStyle w:val="EX"/>
        <w:tabs>
          <w:tab w:val="clear" w:pos="284"/>
          <w:tab w:val="left" w:pos="6804" w:leader="none"/>
        </w:tabs>
        <w:rPr/>
      </w:pPr>
      <w:r>
        <w:rPr/>
        <w:tab/>
      </w:r>
      <w:r>
        <w:rPr>
          <w:b/>
        </w:rPr>
        <w:t>PL</w:t>
      </w:r>
      <w:r>
        <w:rPr>
          <w:b/>
          <w:vertAlign w:val="subscript"/>
        </w:rPr>
        <w:t>AM suppression test</w:t>
      </w:r>
      <w:r>
        <w:rPr>
          <w:b/>
        </w:rPr>
        <w:t xml:space="preserve">[dBm] =  12 </w:t>
        <w:noBreakHyphen/>
        <w:t xml:space="preserve"> 40 </w:t>
        <w:noBreakHyphen/>
        <w:t xml:space="preserve"> 15 = </w:t>
        <w:noBreakHyphen/>
        <w:t>43 dBm</w:t>
      </w:r>
      <w:r>
        <w:rPr/>
        <w:tab/>
        <w:t>DCS1800</w:t>
      </w:r>
    </w:p>
    <w:p>
      <w:pPr>
        <w:pStyle w:val="Normal"/>
        <w:rPr/>
      </w:pPr>
      <w:r>
        <w:rPr/>
        <w:t>Concerning interference from a GSM-MS, the largest deviation comes from the spectrum mask. The maximum failure is 33,5 dB for GSM900 and 23 dB for DCS1800. The maximum interferer power levels for the AM suppression test for this case are:</w:t>
      </w:r>
    </w:p>
    <w:p>
      <w:pPr>
        <w:pStyle w:val="EX"/>
        <w:tabs>
          <w:tab w:val="clear" w:pos="284"/>
          <w:tab w:val="left" w:pos="6804" w:leader="none"/>
        </w:tabs>
        <w:rPr/>
      </w:pPr>
      <w:r>
        <w:rPr/>
        <w:tab/>
      </w:r>
      <w:r>
        <w:rPr>
          <w:b/>
        </w:rPr>
        <w:t>PL</w:t>
      </w:r>
      <w:r>
        <w:rPr>
          <w:b/>
          <w:vertAlign w:val="subscript"/>
        </w:rPr>
        <w:t>AM suppression test</w:t>
      </w:r>
      <w:r>
        <w:rPr/>
        <w:t xml:space="preserve">[dBm] =  33 </w:t>
        <w:noBreakHyphen/>
        <w:t xml:space="preserve"> 34,5 </w:t>
        <w:noBreakHyphen/>
        <w:t xml:space="preserve"> 33,5 = </w:t>
      </w:r>
      <w:r>
        <w:rPr>
          <w:b/>
        </w:rPr>
        <w:noBreakHyphen/>
        <w:t>35 dBm</w:t>
        <w:tab/>
      </w:r>
      <w:r>
        <w:rPr/>
        <w:t>GSM900</w:t>
      </w:r>
    </w:p>
    <w:p>
      <w:pPr>
        <w:pStyle w:val="EX"/>
        <w:rPr/>
      </w:pPr>
      <w:r>
        <w:rPr/>
        <w:t>and</w:t>
      </w:r>
    </w:p>
    <w:p>
      <w:pPr>
        <w:pStyle w:val="EX"/>
        <w:tabs>
          <w:tab w:val="clear" w:pos="284"/>
          <w:tab w:val="left" w:pos="6804" w:leader="none"/>
        </w:tabs>
        <w:rPr/>
      </w:pPr>
      <w:r>
        <w:rPr/>
        <w:tab/>
      </w:r>
      <w:r>
        <w:rPr>
          <w:b/>
        </w:rPr>
        <w:t>PL</w:t>
      </w:r>
      <w:r>
        <w:rPr>
          <w:b/>
          <w:vertAlign w:val="subscript"/>
        </w:rPr>
        <w:t>AM suppression test</w:t>
      </w:r>
      <w:r>
        <w:rPr/>
        <w:t xml:space="preserve">[dBm] =  30 </w:t>
        <w:noBreakHyphen/>
        <w:t xml:space="preserve"> 40 </w:t>
        <w:noBreakHyphen/>
        <w:t xml:space="preserve"> 23 = </w:t>
      </w:r>
      <w:r>
        <w:rPr>
          <w:b/>
        </w:rPr>
        <w:noBreakHyphen/>
        <w:t>33 dBm</w:t>
        <w:tab/>
      </w:r>
      <w:r>
        <w:rPr/>
        <w:t>DCS1800</w:t>
      </w:r>
    </w:p>
    <w:p>
      <w:pPr>
        <w:pStyle w:val="Normal"/>
        <w:rPr/>
      </w:pPr>
      <w:r>
        <w:rPr/>
        <w:t xml:space="preserve">All these values are less stringent than the actual GSM 05.05 specification for the AM suppression of a GSM-MS (which is </w:t>
        <w:noBreakHyphen/>
        <w:t xml:space="preserve">31 dBm for both, GSM900 and DCS1800) and of a pico-BTS (which is -21 dBm in GSM900 and -26 dBm in DCS1800). Due to the fact, that the CTS-FP shall re-use the existing MS hardware as far as possible, we propose to take the GSM 05.05 AM suppression specification of </w:t>
        <w:noBreakHyphen/>
        <w:t xml:space="preserve">31 dBm for the CTS-FP. </w:t>
      </w:r>
    </w:p>
    <w:p>
      <w:pPr>
        <w:pStyle w:val="Heading2"/>
        <w:rPr/>
      </w:pPr>
      <w:bookmarkStart w:id="498" w:name="__RefHeading___Toc518035916"/>
      <w:bookmarkEnd w:id="498"/>
      <w:r>
        <w:rPr/>
        <w:t>S.3.3</w:t>
        <w:tab/>
        <w:t>Intermodulation</w:t>
      </w:r>
    </w:p>
    <w:p>
      <w:pPr>
        <w:pStyle w:val="Heading3"/>
        <w:rPr/>
      </w:pPr>
      <w:bookmarkStart w:id="499" w:name="__RefHeading___Toc518035917"/>
      <w:bookmarkEnd w:id="499"/>
      <w:r>
        <w:rPr/>
        <w:t>S.3.3.1</w:t>
        <w:tab/>
        <w:t>uncoordinated CTS-MSs -&gt; GSM-BTS</w:t>
      </w:r>
    </w:p>
    <w:p>
      <w:pPr>
        <w:pStyle w:val="Normal"/>
        <w:rPr/>
      </w:pPr>
      <w:r>
        <w:rPr/>
        <w:t>Two cases will be considered here concerning CTS to GSM interactions. In the first one, the transmission of two CTS</w:t>
        <w:noBreakHyphen/>
        <w:t>MSs will cause intermodulation products in a GSM BTS receiver located in close proximity to the CTS-MSs. The most critical case is that of a pico-BTS because distances to the CTS-MSs down to 1 meter have to be considered here. Both CTS-MSs are uncoordinated to the GSM-BTS. This corresponds to scenario 4 of GSM 05.50 annex A, figure 3.2 bottom.</w:t>
      </w:r>
    </w:p>
    <w:p>
      <w:pPr>
        <w:pStyle w:val="Normal"/>
        <w:rPr/>
      </w:pPr>
      <w:r>
        <w:rPr/>
        <w:t>The maximum received power level at the GSM-BTS is:</w:t>
      </w:r>
    </w:p>
    <w:p>
      <w:pPr>
        <w:pStyle w:val="EX"/>
        <w:rPr/>
      </w:pPr>
      <w:r>
        <w:rPr/>
        <w:tab/>
      </w:r>
      <w:r>
        <w:rPr>
          <w:b/>
        </w:rPr>
        <w:t>Rlev  =  TxPwr</w:t>
      </w:r>
      <w:r>
        <w:rPr>
          <w:b/>
          <w:vertAlign w:val="subscript"/>
        </w:rPr>
        <w:t xml:space="preserve">CTS-MS </w:t>
      </w:r>
      <w:r>
        <w:rPr>
          <w:b/>
        </w:rPr>
        <w:t xml:space="preserve"> </w:t>
        <w:noBreakHyphen/>
        <w:t xml:space="preserve">  MCL</w:t>
      </w:r>
      <w:r>
        <w:rPr>
          <w:b/>
          <w:vertAlign w:val="subscript"/>
        </w:rPr>
        <w:t>CTS-MS -&gt; GSM-BTS</w:t>
      </w:r>
      <w:r>
        <w:rPr>
          <w:b/>
        </w:rPr>
        <w:t xml:space="preserve">  + margin for other IMs</w:t>
      </w:r>
    </w:p>
    <w:p>
      <w:pPr>
        <w:pStyle w:val="Normal"/>
        <w:rPr/>
      </w:pPr>
      <w:r>
        <w:rPr/>
        <w:t>For the maximum CTS-MS transmit power defined in subclause 2.4 it follows:</w:t>
      </w:r>
    </w:p>
    <w:p>
      <w:pPr>
        <w:pStyle w:val="EX"/>
        <w:tabs>
          <w:tab w:val="clear" w:pos="284"/>
          <w:tab w:val="left" w:pos="6804" w:leader="none"/>
        </w:tabs>
        <w:rPr>
          <w:b/>
          <w:b/>
        </w:rPr>
      </w:pPr>
      <w:r>
        <w:rPr>
          <w:b/>
        </w:rPr>
        <w:tab/>
        <w:t xml:space="preserve">Rlev </w:t>
      </w:r>
      <w:r>
        <w:rPr/>
        <w:t xml:space="preserve">[dBm]  =  11 </w:t>
        <w:noBreakHyphen/>
        <w:t xml:space="preserve"> 34.5 + 3  =  </w:t>
      </w:r>
      <w:r>
        <w:rPr>
          <w:b/>
        </w:rPr>
        <w:t>-20,5 dBm</w:t>
      </w:r>
      <w:r>
        <w:rPr/>
        <w:tab/>
        <w:t>GSM900</w:t>
      </w:r>
    </w:p>
    <w:p>
      <w:pPr>
        <w:pStyle w:val="EX"/>
        <w:tabs>
          <w:tab w:val="clear" w:pos="284"/>
          <w:tab w:val="left" w:pos="6804" w:leader="none"/>
        </w:tabs>
        <w:rPr/>
      </w:pPr>
      <w:r>
        <w:rPr/>
        <w:t>and</w:t>
      </w:r>
    </w:p>
    <w:p>
      <w:pPr>
        <w:pStyle w:val="EX"/>
        <w:tabs>
          <w:tab w:val="clear" w:pos="284"/>
          <w:tab w:val="left" w:pos="6804" w:leader="none"/>
        </w:tabs>
        <w:rPr>
          <w:b/>
          <w:b/>
        </w:rPr>
      </w:pPr>
      <w:r>
        <w:rPr>
          <w:b/>
        </w:rPr>
        <w:tab/>
        <w:t xml:space="preserve">Rlev </w:t>
      </w:r>
      <w:r>
        <w:rPr/>
        <w:t xml:space="preserve">[dBm]  =  12 </w:t>
        <w:noBreakHyphen/>
        <w:t xml:space="preserve"> 40 + 6  =  </w:t>
      </w:r>
      <w:r>
        <w:rPr>
          <w:b/>
        </w:rPr>
        <w:t>-22 dBm</w:t>
      </w:r>
      <w:r>
        <w:rPr/>
        <w:tab/>
        <w:t>DCS1800</w:t>
      </w:r>
    </w:p>
    <w:p>
      <w:pPr>
        <w:pStyle w:val="Heading3"/>
        <w:rPr/>
      </w:pPr>
      <w:bookmarkStart w:id="500" w:name="__RefHeading___Toc518035918"/>
      <w:bookmarkEnd w:id="500"/>
      <w:r>
        <w:rPr/>
        <w:t>S.3.3.2</w:t>
        <w:tab/>
        <w:t>uncoordinated CTS-FPs -&gt; MS</w:t>
      </w:r>
    </w:p>
    <w:p>
      <w:pPr>
        <w:pStyle w:val="Normal"/>
        <w:rPr/>
      </w:pPr>
      <w:r>
        <w:rPr/>
        <w:t>In the second case, the transmission of two CTS-FPs will cause intermodulation products in a MS (CTS or GSM) receiver located in close proximity to the CTS-FPs. This scenario is similar to scenario 3 of GSM 05.50 annex A, figure 3.2 middle, except for the fact that the CTS-FP is a one carrier machine and both signals will stem from two uncoordinated CTS-FPs.</w:t>
      </w:r>
    </w:p>
    <w:p>
      <w:pPr>
        <w:pStyle w:val="Normal"/>
        <w:rPr/>
      </w:pPr>
      <w:r>
        <w:rPr/>
        <w:t>The maximum received power level, now at the MS site, is given by the same expression as above:</w:t>
      </w:r>
    </w:p>
    <w:p>
      <w:pPr>
        <w:pStyle w:val="EX"/>
        <w:rPr>
          <w:b/>
          <w:b/>
        </w:rPr>
      </w:pPr>
      <w:r>
        <w:rPr>
          <w:b/>
        </w:rPr>
        <w:tab/>
        <w:t>Rlev  =  TxPwr</w:t>
      </w:r>
      <w:r>
        <w:rPr>
          <w:b/>
          <w:vertAlign w:val="subscript"/>
        </w:rPr>
        <w:t xml:space="preserve">CTS-FP </w:t>
      </w:r>
      <w:r>
        <w:rPr>
          <w:b/>
        </w:rPr>
        <w:t xml:space="preserve"> </w:t>
        <w:noBreakHyphen/>
        <w:t xml:space="preserve">  MCL</w:t>
      </w:r>
      <w:r>
        <w:rPr>
          <w:b/>
          <w:vertAlign w:val="subscript"/>
        </w:rPr>
        <w:t>CTS-FP -&gt; MS</w:t>
      </w:r>
      <w:r>
        <w:rPr>
          <w:b/>
        </w:rPr>
        <w:t xml:space="preserve">  + margin for other IMs</w:t>
      </w:r>
      <w:r>
        <w:rPr>
          <w:b/>
          <w:vertAlign w:val="subscript"/>
        </w:rPr>
        <w:t xml:space="preserve"> </w:t>
      </w:r>
    </w:p>
    <w:p>
      <w:pPr>
        <w:pStyle w:val="Normal"/>
        <w:rPr/>
      </w:pPr>
      <w:r>
        <w:rPr/>
        <w:t>For the maximum CTS-FP transmit power defined in subclause 2.3 it follows:</w:t>
      </w:r>
    </w:p>
    <w:p>
      <w:pPr>
        <w:pStyle w:val="EX"/>
        <w:tabs>
          <w:tab w:val="clear" w:pos="284"/>
          <w:tab w:val="left" w:pos="6804" w:leader="none"/>
        </w:tabs>
        <w:rPr>
          <w:b/>
          <w:b/>
        </w:rPr>
      </w:pPr>
      <w:r>
        <w:rPr>
          <w:b/>
        </w:rPr>
        <w:tab/>
        <w:t xml:space="preserve">Rlev </w:t>
      </w:r>
      <w:r>
        <w:rPr/>
        <w:t xml:space="preserve">[dBm]  =  11 </w:t>
        <w:noBreakHyphen/>
        <w:t xml:space="preserve"> 34.5 + 3  =  </w:t>
      </w:r>
      <w:r>
        <w:rPr>
          <w:b/>
        </w:rPr>
        <w:t>-20,5 dBm</w:t>
      </w:r>
      <w:r>
        <w:rPr/>
        <w:tab/>
        <w:t>GSM900</w:t>
      </w:r>
    </w:p>
    <w:p>
      <w:pPr>
        <w:pStyle w:val="EX"/>
        <w:rPr/>
      </w:pPr>
      <w:r>
        <w:rPr/>
        <w:t>and</w:t>
      </w:r>
    </w:p>
    <w:p>
      <w:pPr>
        <w:pStyle w:val="EX"/>
        <w:tabs>
          <w:tab w:val="clear" w:pos="284"/>
          <w:tab w:val="left" w:pos="6804" w:leader="none"/>
        </w:tabs>
        <w:rPr>
          <w:b/>
          <w:b/>
        </w:rPr>
      </w:pPr>
      <w:r>
        <w:rPr>
          <w:b/>
        </w:rPr>
        <w:tab/>
        <w:t xml:space="preserve">Rlev </w:t>
      </w:r>
      <w:r>
        <w:rPr/>
        <w:t xml:space="preserve">[dBm]  =  12 </w:t>
        <w:noBreakHyphen/>
        <w:t xml:space="preserve"> 40 + 6  =  </w:t>
      </w:r>
      <w:r>
        <w:rPr>
          <w:b/>
        </w:rPr>
        <w:t>-22dBm</w:t>
      </w:r>
      <w:r>
        <w:rPr/>
        <w:tab/>
        <w:t>DCS1800</w:t>
      </w:r>
    </w:p>
    <w:p>
      <w:pPr>
        <w:pStyle w:val="Normal"/>
        <w:rPr/>
      </w:pPr>
      <w:r>
        <w:rPr/>
        <w:t>In both cases considered above (subclauses 3.3.1 and 3.3.2), the MCLs have to be relaxed in order to meet the requirements of GSM 05.05. However, comparison to pico-BTS scenarios (SMG2 WPB Tdoc 188/98) show that here, for both cases, the situation is much less critical. According to GSM 05.50 annex A, an increase of the coupling loss of 1 dB will  reduce the 3</w:t>
      </w:r>
      <w:r>
        <w:rPr>
          <w:vertAlign w:val="superscript"/>
        </w:rPr>
        <w:t>rd</w:t>
      </w:r>
      <w:r>
        <w:rPr/>
        <w:t xml:space="preserve"> order IM product by 3 dB; thus if the MCL assumption is increased by 10 dB, the maximum power level for generated intermodulation products for both cases discussed above to will be:</w:t>
      </w:r>
    </w:p>
    <w:p>
      <w:pPr>
        <w:pStyle w:val="EX"/>
        <w:tabs>
          <w:tab w:val="clear" w:pos="284"/>
          <w:tab w:val="left" w:pos="6804" w:leader="none"/>
        </w:tabs>
        <w:ind w:left="1134" w:hanging="850"/>
        <w:rPr>
          <w:b/>
          <w:b/>
        </w:rPr>
      </w:pPr>
      <w:r>
        <w:rPr>
          <w:b/>
        </w:rPr>
        <w:tab/>
        <w:t>PL</w:t>
      </w:r>
      <w:r>
        <w:rPr>
          <w:vertAlign w:val="subscript"/>
        </w:rPr>
        <w:t>Intermodulation test</w:t>
      </w:r>
      <w:r>
        <w:rPr>
          <w:b/>
        </w:rPr>
        <w:t xml:space="preserve"> </w:t>
      </w:r>
      <w:r>
        <w:rPr/>
        <w:t xml:space="preserve">[dBm]  =  -20,5 dBm  -  30 dB  =  </w:t>
      </w:r>
      <w:r>
        <w:rPr>
          <w:b/>
        </w:rPr>
        <w:t>-50,5dBm</w:t>
      </w:r>
      <w:r>
        <w:rPr/>
        <w:tab/>
        <w:t>GSM900</w:t>
      </w:r>
    </w:p>
    <w:p>
      <w:pPr>
        <w:pStyle w:val="EX"/>
        <w:rPr/>
      </w:pPr>
      <w:r>
        <w:rPr/>
        <w:t>and</w:t>
      </w:r>
    </w:p>
    <w:p>
      <w:pPr>
        <w:pStyle w:val="EX"/>
        <w:tabs>
          <w:tab w:val="clear" w:pos="284"/>
          <w:tab w:val="left" w:pos="6804" w:leader="none"/>
        </w:tabs>
        <w:ind w:left="1134" w:hanging="850"/>
        <w:rPr>
          <w:b/>
          <w:b/>
        </w:rPr>
      </w:pPr>
      <w:r>
        <w:rPr>
          <w:b/>
        </w:rPr>
        <w:tab/>
        <w:t>PL</w:t>
      </w:r>
      <w:r>
        <w:rPr>
          <w:vertAlign w:val="subscript"/>
        </w:rPr>
        <w:t>Intermodulation test</w:t>
      </w:r>
      <w:r>
        <w:rPr>
          <w:b/>
        </w:rPr>
        <w:t xml:space="preserve"> </w:t>
      </w:r>
      <w:r>
        <w:rPr/>
        <w:t xml:space="preserve">[dBm]  =  -22 dBm  -  30 dB  =  </w:t>
      </w:r>
      <w:r>
        <w:rPr>
          <w:b/>
        </w:rPr>
        <w:t>-52 dBm</w:t>
      </w:r>
      <w:r>
        <w:rPr/>
        <w:tab/>
        <w:t>DCS1800</w:t>
      </w:r>
    </w:p>
    <w:p>
      <w:pPr>
        <w:pStyle w:val="Normal"/>
        <w:rPr/>
      </w:pPr>
      <w:r>
        <w:rPr/>
        <w:t>These figures meet, for both cases discussed above, the intermodulation requirements of GSM 05.05 subclause 5.3 for both the MS (CTS and GSM) and the BTS.</w:t>
      </w:r>
    </w:p>
    <w:p>
      <w:pPr>
        <w:pStyle w:val="Heading3"/>
        <w:rPr/>
      </w:pPr>
      <w:bookmarkStart w:id="501" w:name="__RefHeading___Toc518035919"/>
      <w:bookmarkEnd w:id="501"/>
      <w:r>
        <w:rPr/>
        <w:t>S.3.3.3</w:t>
        <w:tab/>
        <w:t>uncoordinated GSM-MSs -&gt; CTS-FP</w:t>
      </w:r>
    </w:p>
    <w:p>
      <w:pPr>
        <w:pStyle w:val="Normal"/>
        <w:rPr/>
      </w:pPr>
      <w:r>
        <w:rPr/>
        <w:t>For the case of two GSM-MSs located close to a CTS-FP a higher receive level is observed due to the higher GSM-MS transmit power. This scenario corresponds to scenario 4 of GSM 05.50 annex A, figure 3.2 bottom:</w:t>
      </w:r>
    </w:p>
    <w:p>
      <w:pPr>
        <w:pStyle w:val="EX"/>
        <w:tabs>
          <w:tab w:val="clear" w:pos="284"/>
          <w:tab w:val="left" w:pos="6804" w:leader="none"/>
        </w:tabs>
        <w:rPr>
          <w:b/>
          <w:b/>
        </w:rPr>
      </w:pPr>
      <w:r>
        <w:rPr>
          <w:b/>
        </w:rPr>
        <w:tab/>
        <w:t xml:space="preserve">Rlev </w:t>
      </w:r>
      <w:r>
        <w:rPr/>
        <w:t xml:space="preserve">[dBm]  =  33 </w:t>
        <w:noBreakHyphen/>
        <w:t xml:space="preserve"> 34,5 + 3  =  </w:t>
      </w:r>
      <w:r>
        <w:rPr>
          <w:b/>
        </w:rPr>
        <w:t>1,5 dBm</w:t>
      </w:r>
      <w:r>
        <w:rPr/>
        <w:tab/>
        <w:t>GSM900</w:t>
      </w:r>
    </w:p>
    <w:p>
      <w:pPr>
        <w:pStyle w:val="EX"/>
        <w:rPr/>
      </w:pPr>
      <w:r>
        <w:rPr/>
        <w:t>and</w:t>
      </w:r>
    </w:p>
    <w:p>
      <w:pPr>
        <w:pStyle w:val="EX"/>
        <w:tabs>
          <w:tab w:val="clear" w:pos="284"/>
          <w:tab w:val="left" w:pos="6804" w:leader="none"/>
        </w:tabs>
        <w:rPr/>
      </w:pPr>
      <w:r>
        <w:rPr>
          <w:b/>
        </w:rPr>
        <w:tab/>
        <w:t xml:space="preserve">Rlev </w:t>
      </w:r>
      <w:r>
        <w:rPr/>
        <w:t xml:space="preserve">[dBm]  =  30 </w:t>
        <w:noBreakHyphen/>
        <w:t xml:space="preserve"> 40 + 6  =  </w:t>
      </w:r>
      <w:r>
        <w:rPr>
          <w:b/>
        </w:rPr>
        <w:t>-4 dBm</w:t>
      </w:r>
      <w:r>
        <w:rPr/>
        <w:tab/>
        <w:t>DCS1800</w:t>
      </w:r>
    </w:p>
    <w:p>
      <w:pPr>
        <w:pStyle w:val="Normal"/>
        <w:rPr/>
      </w:pPr>
      <w:r>
        <w:rPr/>
        <w:t>These figures correspond exactly to those of uncoordinated GSM-MSs located in close proximity of a pico BTS (see Tdoc SMG2 WPB Tdoc 188/98). Like there a relaxation of the MCL of 17 dB will reduce the IM products by 52 dB and the requirements become:</w:t>
      </w:r>
    </w:p>
    <w:p>
      <w:pPr>
        <w:pStyle w:val="EX"/>
        <w:tabs>
          <w:tab w:val="clear" w:pos="284"/>
          <w:tab w:val="left" w:pos="6804" w:leader="none"/>
        </w:tabs>
        <w:rPr>
          <w:b/>
          <w:b/>
        </w:rPr>
      </w:pPr>
      <w:r>
        <w:rPr/>
        <w:tab/>
      </w:r>
      <w:r>
        <w:rPr>
          <w:b/>
        </w:rPr>
        <w:t>PL</w:t>
      </w:r>
      <w:r>
        <w:rPr>
          <w:vertAlign w:val="subscript"/>
        </w:rPr>
        <w:t>Intermodulation test</w:t>
      </w:r>
      <w:r>
        <w:rPr>
          <w:b/>
        </w:rPr>
        <w:t xml:space="preserve"> </w:t>
      </w:r>
      <w:r>
        <w:rPr/>
        <w:t xml:space="preserve">[dBm]  =  1,5 dBm - 52 dB  =  </w:t>
      </w:r>
      <w:r>
        <w:rPr>
          <w:b/>
        </w:rPr>
        <w:t>-50,5 dBm</w:t>
      </w:r>
      <w:r>
        <w:rPr/>
        <w:tab/>
        <w:t>GSM900</w:t>
      </w:r>
    </w:p>
    <w:p>
      <w:pPr>
        <w:pStyle w:val="EX"/>
        <w:tabs>
          <w:tab w:val="clear" w:pos="284"/>
          <w:tab w:val="left" w:pos="6804" w:leader="none"/>
        </w:tabs>
        <w:rPr/>
      </w:pPr>
      <w:r>
        <w:rPr/>
        <w:t>and</w:t>
      </w:r>
    </w:p>
    <w:p>
      <w:pPr>
        <w:pStyle w:val="EX"/>
        <w:tabs>
          <w:tab w:val="clear" w:pos="284"/>
          <w:tab w:val="left" w:pos="6804" w:leader="none"/>
        </w:tabs>
        <w:rPr>
          <w:b/>
          <w:b/>
        </w:rPr>
      </w:pPr>
      <w:r>
        <w:rPr>
          <w:b/>
        </w:rPr>
        <w:tab/>
        <w:t>PL</w:t>
      </w:r>
      <w:r>
        <w:rPr>
          <w:vertAlign w:val="subscript"/>
        </w:rPr>
        <w:t xml:space="preserve">Intermodulation test </w:t>
      </w:r>
      <w:r>
        <w:rPr/>
        <w:t xml:space="preserve">[dBm]  =  -4 dBm - 52 dB  =  </w:t>
      </w:r>
      <w:r>
        <w:rPr>
          <w:b/>
        </w:rPr>
        <w:t>-56 dBm</w:t>
      </w:r>
      <w:r>
        <w:rPr/>
        <w:tab/>
        <w:t>DCS1800</w:t>
      </w:r>
    </w:p>
    <w:p>
      <w:pPr>
        <w:pStyle w:val="Normal"/>
        <w:rPr/>
      </w:pPr>
      <w:r>
        <w:rPr/>
        <w:t>These figures meet the requirements of GSM 05.05, subclause 5.3, which give intermodulation levels of -49 dBm for both GSM900 and DCS1800 MS. Due to the fact, that the CTS-FP shall re-use the existing MS hardware as far as possible, it is proposed to re-use the MS requirements for the specification of the CTS-FP intermodulation.</w:t>
      </w:r>
    </w:p>
    <w:p>
      <w:pPr>
        <w:pStyle w:val="Heading1"/>
        <w:ind w:left="1134" w:hanging="1134"/>
        <w:rPr/>
      </w:pPr>
      <w:bookmarkStart w:id="502" w:name="__RefHeading___Toc518035920"/>
      <w:bookmarkEnd w:id="502"/>
      <w:r>
        <w:rPr/>
        <w:t>S.4</w:t>
        <w:tab/>
        <w:t>CTS-FP TI5 performance requirements</w:t>
      </w:r>
    </w:p>
    <w:p>
      <w:pPr>
        <w:pStyle w:val="Normal"/>
        <w:rPr/>
      </w:pPr>
      <w:r>
        <w:rPr/>
        <w:t>The CTS-FP shall meet the static channel performance as specified in GSM 05.05. The only other radio propagation channel that is relevant to the performance of the CTS-FP is as for the pico-BTS the TI 5 channel.</w:t>
      </w:r>
    </w:p>
    <w:p>
      <w:pPr>
        <w:pStyle w:val="Normal"/>
        <w:rPr/>
      </w:pPr>
      <w:r>
        <w:rPr/>
        <w:t>Therefore the argumentation developed in Tdoc SMG2 WPB 188/98 clause 12 is proposed to be applied to the CTS</w:t>
        <w:noBreakHyphen/>
        <w:t>FP : the performance figures for TU50 no FH at 900MHz are adopted and are met in the TI5 channel when the signal level is increased by 3 dB above reference sensitivity level (for sensitivity performance) and the carrier to interference level is increased by 4 dB above reference sensitivity level (for interference performance).</w:t>
      </w:r>
    </w:p>
    <w:p>
      <w:pPr>
        <w:pStyle w:val="Heading2"/>
        <w:rPr/>
      </w:pPr>
      <w:bookmarkStart w:id="503" w:name="__RefHeading___Toc518035921"/>
      <w:bookmarkEnd w:id="503"/>
      <w:r>
        <w:rPr/>
        <w:t>S.4.1</w:t>
        <w:tab/>
        <w:t>Nominal Error Rates for the CTS-FP</w:t>
      </w:r>
    </w:p>
    <w:p>
      <w:pPr>
        <w:pStyle w:val="Normal"/>
        <w:rPr/>
      </w:pPr>
      <w:r>
        <w:rPr/>
        <w:t>In CTS, the CTS-MS will access the CTS-FP on the CTSARCH at a distance smaller than for a GSM MS accessing a BTS, however the transmit power for such attempts will be decreased to 11 dBm in GSM900 and 12 dBm in DCS1800 (absolute max. transmit powers in CTS).</w:t>
      </w:r>
    </w:p>
    <w:p>
      <w:pPr>
        <w:pStyle w:val="Normal"/>
        <w:rPr/>
      </w:pPr>
      <w:r>
        <w:rPr/>
        <w:t>In the following we reproduce the MCL distribution table first presented by Motorola in SMG2 32/97 and Tdoc SMG2 WPB 188/98, and develop a table of occurance probability for CTSARCH transmit power with a CTS-MS making CTSARCH attempts at 11 dBm (GSM900) and 12 dBm (DCS1800).</w:t>
      </w:r>
    </w:p>
    <w:p>
      <w:pPr>
        <w:pStyle w:val="Normal"/>
        <w:rPr/>
      </w:pPr>
      <w:r>
        <w:rPr/>
        <w:t>The table below shows the MCL loss versus the chance of occurance.</w:t>
      </w:r>
    </w:p>
    <w:p>
      <w:pPr>
        <w:pStyle w:val="TH"/>
        <w:rPr/>
      </w:pPr>
      <w:r>
        <w:rPr/>
      </w:r>
    </w:p>
    <w:tbl>
      <w:tblPr>
        <w:tblW w:w="7809" w:type="dxa"/>
        <w:jc w:val="center"/>
        <w:tblInd w:w="0" w:type="dxa"/>
        <w:tblLayout w:type="fixed"/>
        <w:tblCellMar>
          <w:top w:w="0" w:type="dxa"/>
          <w:left w:w="108" w:type="dxa"/>
          <w:bottom w:w="0" w:type="dxa"/>
          <w:right w:w="108" w:type="dxa"/>
        </w:tblCellMar>
      </w:tblPr>
      <w:tblGrid>
        <w:gridCol w:w="2625"/>
        <w:gridCol w:w="2520"/>
        <w:gridCol w:w="2664"/>
      </w:tblGrid>
      <w:tr>
        <w:trPr/>
        <w:tc>
          <w:tcPr>
            <w:tcW w:w="262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of measurements</w:t>
            </w:r>
          </w:p>
        </w:tc>
        <w:tc>
          <w:tcPr>
            <w:tcW w:w="252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900 MHz MCL dB</w:t>
            </w:r>
          </w:p>
        </w:tc>
        <w:tc>
          <w:tcPr>
            <w:tcW w:w="2664" w:type="dxa"/>
            <w:tcBorders>
              <w:top w:val="single" w:sz="6" w:space="0" w:color="000000"/>
              <w:left w:val="single" w:sz="6" w:space="0" w:color="000000"/>
              <w:bottom w:val="single" w:sz="6" w:space="0" w:color="000000"/>
              <w:right w:val="single" w:sz="6" w:space="0" w:color="000000"/>
            </w:tcBorders>
          </w:tcPr>
          <w:p>
            <w:pPr>
              <w:pStyle w:val="TAH"/>
              <w:rPr>
                <w:lang w:val="fr-FR" w:eastAsia="en-US"/>
              </w:rPr>
            </w:pPr>
            <w:r>
              <w:rPr>
                <w:lang w:val="fr-FR" w:eastAsia="en-US"/>
              </w:rPr>
              <w:t>1 800 MHz MCL dB</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0,03</w:t>
            </w:r>
          </w:p>
        </w:tc>
        <w:tc>
          <w:tcPr>
            <w:tcW w:w="25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-33</w:t>
            </w:r>
          </w:p>
        </w:tc>
        <w:tc>
          <w:tcPr>
            <w:tcW w:w="2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0,1</w:t>
            </w:r>
          </w:p>
        </w:tc>
        <w:tc>
          <w:tcPr>
            <w:tcW w:w="25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w:t>
            </w:r>
          </w:p>
        </w:tc>
        <w:tc>
          <w:tcPr>
            <w:tcW w:w="2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0,53</w:t>
            </w:r>
          </w:p>
        </w:tc>
        <w:tc>
          <w:tcPr>
            <w:tcW w:w="25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-36</w:t>
            </w:r>
          </w:p>
        </w:tc>
        <w:tc>
          <w:tcPr>
            <w:tcW w:w="2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-42</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25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-38</w:t>
            </w:r>
          </w:p>
        </w:tc>
        <w:tc>
          <w:tcPr>
            <w:tcW w:w="2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1,43</w:t>
            </w:r>
          </w:p>
        </w:tc>
        <w:tc>
          <w:tcPr>
            <w:tcW w:w="25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c>
          <w:tcPr>
            <w:tcW w:w="2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-45</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2,86</w:t>
            </w:r>
          </w:p>
        </w:tc>
        <w:tc>
          <w:tcPr>
            <w:tcW w:w="25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-42</w:t>
            </w:r>
          </w:p>
        </w:tc>
        <w:tc>
          <w:tcPr>
            <w:tcW w:w="2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4,66</w:t>
            </w:r>
          </w:p>
        </w:tc>
        <w:tc>
          <w:tcPr>
            <w:tcW w:w="25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-45</w:t>
            </w:r>
          </w:p>
        </w:tc>
        <w:tc>
          <w:tcPr>
            <w:tcW w:w="2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-51</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9,58</w:t>
            </w:r>
          </w:p>
        </w:tc>
        <w:tc>
          <w:tcPr>
            <w:tcW w:w="25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-49</w:t>
            </w:r>
          </w:p>
        </w:tc>
        <w:tc>
          <w:tcPr>
            <w:tcW w:w="2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-55</w:t>
            </w:r>
          </w:p>
        </w:tc>
      </w:tr>
    </w:tbl>
    <w:p>
      <w:pPr>
        <w:pStyle w:val="FP"/>
        <w:rPr/>
      </w:pPr>
      <w:r>
        <w:rPr/>
      </w:r>
    </w:p>
    <w:p>
      <w:pPr>
        <w:pStyle w:val="Normal"/>
        <w:rPr/>
      </w:pPr>
      <w:r>
        <w:rPr/>
        <w:t>If we now consider a CTS-MS at MCL sending a CTSARCH at maximum transmit power (11 dBm for GSM900, 12 dBm for DCS1800), we can generate a table which shows the received CTSARCH power levels at the CTS-FP versus probability of occurance.</w:t>
      </w:r>
    </w:p>
    <w:p>
      <w:pPr>
        <w:pStyle w:val="TH"/>
        <w:rPr/>
      </w:pPr>
      <w:r>
        <w:rPr/>
      </w:r>
    </w:p>
    <w:tbl>
      <w:tblPr>
        <w:tblW w:w="8398" w:type="dxa"/>
        <w:jc w:val="center"/>
        <w:tblInd w:w="0" w:type="dxa"/>
        <w:tblLayout w:type="fixed"/>
        <w:tblCellMar>
          <w:top w:w="0" w:type="dxa"/>
          <w:left w:w="108" w:type="dxa"/>
          <w:bottom w:w="0" w:type="dxa"/>
          <w:right w:w="108" w:type="dxa"/>
        </w:tblCellMar>
      </w:tblPr>
      <w:tblGrid>
        <w:gridCol w:w="2625"/>
        <w:gridCol w:w="2834"/>
        <w:gridCol w:w="2939"/>
      </w:tblGrid>
      <w:tr>
        <w:trPr/>
        <w:tc>
          <w:tcPr>
            <w:tcW w:w="262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of measurements</w:t>
            </w:r>
          </w:p>
        </w:tc>
        <w:tc>
          <w:tcPr>
            <w:tcW w:w="28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900 MHz RACH dBm</w:t>
            </w:r>
          </w:p>
        </w:tc>
        <w:tc>
          <w:tcPr>
            <w:tcW w:w="293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1 800 MHz RACH dBm</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0,03</w:t>
            </w:r>
          </w:p>
        </w:tc>
        <w:tc>
          <w:tcPr>
            <w:tcW w:w="28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-22</w:t>
            </w:r>
          </w:p>
        </w:tc>
        <w:tc>
          <w:tcPr>
            <w:tcW w:w="293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0,1</w:t>
            </w:r>
          </w:p>
        </w:tc>
        <w:tc>
          <w:tcPr>
            <w:tcW w:w="28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-23</w:t>
            </w:r>
          </w:p>
        </w:tc>
        <w:tc>
          <w:tcPr>
            <w:tcW w:w="293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-28</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0,53</w:t>
            </w:r>
          </w:p>
        </w:tc>
        <w:tc>
          <w:tcPr>
            <w:tcW w:w="28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w:t>
            </w:r>
          </w:p>
        </w:tc>
        <w:tc>
          <w:tcPr>
            <w:tcW w:w="293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28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w:t>
            </w:r>
          </w:p>
        </w:tc>
        <w:tc>
          <w:tcPr>
            <w:tcW w:w="293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1,43</w:t>
            </w:r>
          </w:p>
        </w:tc>
        <w:tc>
          <w:tcPr>
            <w:tcW w:w="28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-28</w:t>
            </w:r>
          </w:p>
        </w:tc>
        <w:tc>
          <w:tcPr>
            <w:tcW w:w="293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-33</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2,86</w:t>
            </w:r>
          </w:p>
        </w:tc>
        <w:tc>
          <w:tcPr>
            <w:tcW w:w="28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-31</w:t>
            </w:r>
          </w:p>
        </w:tc>
        <w:tc>
          <w:tcPr>
            <w:tcW w:w="293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-36</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4,66</w:t>
            </w:r>
          </w:p>
        </w:tc>
        <w:tc>
          <w:tcPr>
            <w:tcW w:w="28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-34</w:t>
            </w:r>
          </w:p>
        </w:tc>
        <w:tc>
          <w:tcPr>
            <w:tcW w:w="293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-39</w:t>
            </w:r>
          </w:p>
        </w:tc>
      </w:tr>
      <w:tr>
        <w:trPr/>
        <w:tc>
          <w:tcPr>
            <w:tcW w:w="262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9,58</w:t>
            </w:r>
          </w:p>
        </w:tc>
        <w:tc>
          <w:tcPr>
            <w:tcW w:w="283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-38</w:t>
            </w:r>
          </w:p>
        </w:tc>
        <w:tc>
          <w:tcPr>
            <w:tcW w:w="293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-43</w:t>
            </w:r>
          </w:p>
        </w:tc>
      </w:tr>
    </w:tbl>
    <w:p>
      <w:pPr>
        <w:pStyle w:val="FP"/>
        <w:rPr>
          <w:rStyle w:val="Seitenzahl"/>
        </w:rPr>
      </w:pPr>
      <w:r>
        <w:rPr/>
      </w:r>
    </w:p>
    <w:p>
      <w:pPr>
        <w:pStyle w:val="Normal"/>
        <w:rPr>
          <w:rStyle w:val="Seitenzahl"/>
        </w:rPr>
      </w:pPr>
      <w:r>
        <w:rPr>
          <w:rStyle w:val="Seitenzahl"/>
        </w:rPr>
        <w:t>These maximum received levels are below the existing maximum received power levels at which the NER performance of a MS shall be maintained (-15 dBm in GSM900 and -23 dBm in DCS1800). As</w:t>
      </w:r>
      <w:r>
        <w:rPr/>
        <w:t xml:space="preserve"> the CTS-FP shall re-use the existing MS hardware as far as possible, it is proposed to specify that the CTS-FP shall maintain a BER &lt; 10</w:t>
      </w:r>
      <w:r>
        <w:rPr>
          <w:vertAlign w:val="superscript"/>
        </w:rPr>
        <w:t xml:space="preserve">-3 </w:t>
      </w:r>
      <w:r>
        <w:rPr/>
        <w:t>performance and CTSARCH performance at received power levels of -15 dBm for GSM900 and -23 dBm for DCS1800.</w:t>
      </w:r>
    </w:p>
    <w:p>
      <w:pPr>
        <w:pStyle w:val="Heading1"/>
        <w:ind w:left="1134" w:hanging="1134"/>
        <w:rPr/>
      </w:pPr>
      <w:bookmarkStart w:id="504" w:name="__RefHeading___Toc518035922"/>
      <w:bookmarkEnd w:id="504"/>
      <w:r>
        <w:rPr/>
        <w:t>S.5</w:t>
        <w:tab/>
        <w:t>Conclusion</w:t>
      </w:r>
    </w:p>
    <w:p>
      <w:pPr>
        <w:pStyle w:val="Normal"/>
        <w:rPr/>
      </w:pPr>
      <w:r>
        <w:rPr/>
        <w:t>It was shown that for a maximum transmit power of +11 dBm for GSM900 and +12 dBm for DCS1800, GSM and CTS systems can coexist without degradation of the GSM. Further tightening of the CTS-FP spectrum due to modulation and wide band noise above 1.8MHz frequency separation was proposed in addition.</w:t>
      </w:r>
    </w:p>
    <w:p>
      <w:pPr>
        <w:pStyle w:val="Normal"/>
        <w:rPr/>
      </w:pPr>
      <w:r>
        <w:rPr/>
        <w:t xml:space="preserve">The 20 dB power control range for the CTS-FP, which leads to a minimum CTS-FP transmit power of </w:t>
        <w:noBreakHyphen/>
        <w:t xml:space="preserve">9 dBm for GSM900 and of </w:t>
        <w:noBreakHyphen/>
        <w:t>8 dBm for DCS1800, allows significant interference reduction and is an acceptable compromise for implementation cost.</w:t>
      </w:r>
    </w:p>
    <w:p>
      <w:pPr>
        <w:pStyle w:val="Normal"/>
        <w:rPr/>
      </w:pPr>
      <w:r>
        <w:rPr/>
        <w:t>Blocking parameters from GSM-MS characteristics were shown to be justified for use in CTS-MS and CTS-FP, as well as AM suppression and intermodulation characteristics.</w:t>
      </w:r>
      <w:r>
        <w:br w:type="page"/>
      </w:r>
    </w:p>
    <w:p>
      <w:pPr>
        <w:pStyle w:val="Heading9"/>
        <w:rPr/>
      </w:pPr>
      <w:bookmarkStart w:id="505" w:name="__RefHeading___Toc518035923"/>
      <w:bookmarkEnd w:id="505"/>
      <w:r>
        <w:rPr/>
        <w:t>Annex T:</w:t>
        <w:br/>
        <w:t>GSM400 system scenarios</w:t>
      </w:r>
    </w:p>
    <w:p>
      <w:pPr>
        <w:pStyle w:val="Normal"/>
        <w:rPr/>
      </w:pPr>
      <w:r>
        <w:rPr/>
        <w:t>TDoc SMG2 WPB 542/99</w:t>
      </w:r>
    </w:p>
    <w:p>
      <w:pPr>
        <w:pStyle w:val="Heading1"/>
        <w:ind w:left="1134" w:hanging="1134"/>
        <w:rPr/>
      </w:pPr>
      <w:bookmarkStart w:id="506" w:name="__RefHeading___Toc518035924"/>
      <w:bookmarkEnd w:id="506"/>
      <w:r>
        <w:rPr/>
        <w:t>T.0</w:t>
        <w:tab/>
        <w:t>Introduction</w:t>
      </w:r>
    </w:p>
    <w:p>
      <w:pPr>
        <w:pStyle w:val="Normal"/>
        <w:rPr/>
      </w:pPr>
      <w:r>
        <w:rPr/>
        <w:t>This paper discusses system scenarios for GSM400 operation primarily in respect of the GSM 05.05 series of recommendations. To develop the GSM400 standard, all the relevant scenarios need to be considered for each part of GSM 05.05 and the most critical cases identified. The process may then be iterated to arrive at final parameters that meet both service and implementation requirements.</w:t>
      </w:r>
    </w:p>
    <w:p>
      <w:pPr>
        <w:pStyle w:val="Normal"/>
        <w:rPr/>
      </w:pPr>
      <w:r>
        <w:rPr/>
        <w:t>T-GSM 380 and T-GSM 410 MHz are covered by the generic term GSM 400.</w:t>
      </w:r>
    </w:p>
    <w:p>
      <w:pPr>
        <w:pStyle w:val="Heading1"/>
        <w:ind w:left="1134" w:hanging="1134"/>
        <w:rPr/>
      </w:pPr>
      <w:bookmarkStart w:id="507" w:name="__RefHeading___Toc518035925"/>
      <w:bookmarkEnd w:id="507"/>
      <w:r>
        <w:rPr/>
        <w:t>T.1</w:t>
        <w:tab/>
        <w:t>Frequency bands and channel arrangement</w:t>
      </w:r>
    </w:p>
    <w:p>
      <w:pPr>
        <w:pStyle w:val="Normal"/>
        <w:rPr/>
      </w:pPr>
      <w:r>
        <w:rPr/>
        <w:t xml:space="preserve">GSM400 systems are specified for two frequency allocations. Primary utilisation will be allocations around 450 MHz. For some countries allocations around 480 MHz will be possible. </w:t>
      </w:r>
      <w:r>
        <w:rPr>
          <w:lang w:val="en-US"/>
        </w:rPr>
        <w:t xml:space="preserve">T-GSM is specified in the 380, 410 and 450 MHz bands. T-GSM 450 uses the existing GSM 450 specification. In the 380 and 410 MHz frequency bands T-GSM aligns the blocking requirements and the emissions due to modulation and wide band noise requirements with the existing PMR services. This alignment provides for the more flexible frequency allocation required in these bands. </w:t>
      </w:r>
      <w:r>
        <w:rPr/>
        <w:t>Thus the systems to be specified are for operation  in the following frequency bands:</w:t>
      </w:r>
    </w:p>
    <w:p>
      <w:pPr>
        <w:pStyle w:val="Normal"/>
        <w:jc w:val="both"/>
        <w:rPr/>
      </w:pPr>
      <w:r>
        <w:rPr/>
        <w:t>T-GSM 380 Band</w:t>
      </w:r>
    </w:p>
    <w:p>
      <w:pPr>
        <w:pStyle w:val="Normal"/>
        <w:ind w:left="851" w:hanging="0"/>
        <w:jc w:val="both"/>
        <w:rPr/>
      </w:pPr>
      <w:r>
        <w:rPr/>
        <w:t>380.2 – 389.8 MHz: mobile transmit, base receive;</w:t>
      </w:r>
    </w:p>
    <w:p>
      <w:pPr>
        <w:pStyle w:val="Normal"/>
        <w:ind w:left="851" w:hanging="0"/>
        <w:jc w:val="both"/>
        <w:rPr/>
      </w:pPr>
      <w:r>
        <w:rPr/>
        <w:t>390.2 – 399.8 MHz: base transmit, mobile receive;</w:t>
      </w:r>
    </w:p>
    <w:p>
      <w:pPr>
        <w:pStyle w:val="Normal"/>
        <w:jc w:val="both"/>
        <w:rPr/>
      </w:pPr>
      <w:r>
        <w:rPr/>
      </w:r>
    </w:p>
    <w:p>
      <w:pPr>
        <w:pStyle w:val="Normal"/>
        <w:jc w:val="both"/>
        <w:rPr/>
      </w:pPr>
      <w:r>
        <w:rPr/>
        <w:t xml:space="preserve">T-GSM 410 Band  </w:t>
      </w:r>
    </w:p>
    <w:p>
      <w:pPr>
        <w:pStyle w:val="Normal"/>
        <w:ind w:left="851" w:hanging="0"/>
        <w:jc w:val="both"/>
        <w:rPr/>
      </w:pPr>
      <w:r>
        <w:rPr/>
        <w:t>410.2 – 419.8 MHz: mobile transmit, base receive;</w:t>
      </w:r>
    </w:p>
    <w:p>
      <w:pPr>
        <w:pStyle w:val="Normal"/>
        <w:ind w:left="851" w:hanging="0"/>
        <w:jc w:val="both"/>
        <w:rPr/>
      </w:pPr>
      <w:r>
        <w:rPr/>
        <w:t>420.2 – 429.8 MHz: base transmit, mobile receive;</w:t>
      </w:r>
    </w:p>
    <w:p>
      <w:pPr>
        <w:pStyle w:val="Normal"/>
        <w:ind w:left="851" w:hanging="0"/>
        <w:jc w:val="both"/>
        <w:rPr/>
      </w:pPr>
      <w:r>
        <w:rPr/>
      </w:r>
    </w:p>
    <w:p>
      <w:pPr>
        <w:pStyle w:val="Normal"/>
        <w:rPr/>
      </w:pPr>
      <w:r>
        <w:rPr/>
        <w:t>NOTE:</w:t>
        <w:tab/>
        <w:t>Although the T-GSM 380 and T-GSM 410  bands are 10 MHz wide and because a transition band of at least 2 MHz is needed, a maximum allocation is limited to approximately 8 MHz within the 10 MHz band. The allocated frequencies may be selected from any part of the band consistent with this transition band.</w:t>
      </w:r>
    </w:p>
    <w:p>
      <w:pPr>
        <w:pStyle w:val="Normal"/>
        <w:rPr/>
      </w:pPr>
      <w:r>
        <w:rPr/>
        <w:t>GSM 450 Band:</w:t>
      </w:r>
    </w:p>
    <w:p>
      <w:pPr>
        <w:pStyle w:val="B1"/>
        <w:rPr/>
      </w:pPr>
      <w:r>
        <w:rPr/>
        <w:t>450,4 MHz to 457,6 MHz: mobile transmit, base receive;</w:t>
      </w:r>
    </w:p>
    <w:p>
      <w:pPr>
        <w:pStyle w:val="B1"/>
        <w:rPr/>
      </w:pPr>
      <w:r>
        <w:rPr/>
        <w:t>460,4 MHz to 467,6 MHz: base transmit, mobile receive.</w:t>
      </w:r>
    </w:p>
    <w:p>
      <w:pPr>
        <w:pStyle w:val="Normal"/>
        <w:rPr/>
      </w:pPr>
      <w:r>
        <w:rPr/>
        <w:t>GSM 480 Band:</w:t>
      </w:r>
    </w:p>
    <w:p>
      <w:pPr>
        <w:pStyle w:val="B1"/>
        <w:rPr/>
      </w:pPr>
      <w:r>
        <w:rPr/>
        <w:t>478,8 MHz to 486 MHz: mobile transmit, base receive;</w:t>
      </w:r>
    </w:p>
    <w:p>
      <w:pPr>
        <w:pStyle w:val="B1"/>
        <w:rPr/>
      </w:pPr>
      <w:r>
        <w:rPr/>
        <w:t>488,8 MHz to 496 MHz: base transmit, mobile receive.</w:t>
      </w:r>
    </w:p>
    <w:p>
      <w:pPr>
        <w:pStyle w:val="Normal"/>
        <w:rPr/>
      </w:pPr>
      <w:r>
        <w:rPr/>
        <w:t>with a carrier spacing of 200 kHz.</w:t>
      </w:r>
    </w:p>
    <w:p>
      <w:pPr>
        <w:pStyle w:val="Normal"/>
        <w:rPr/>
      </w:pPr>
      <w:r>
        <w:rPr/>
        <w:t>In the following unless otherwise specified, references to GSM400 includes both GSM 450 and GSM 480.</w:t>
      </w:r>
    </w:p>
    <w:p>
      <w:pPr>
        <w:pStyle w:val="Heading1"/>
        <w:ind w:left="1134" w:hanging="1134"/>
        <w:rPr/>
      </w:pPr>
      <w:bookmarkStart w:id="508" w:name="__RefHeading___Toc518035926"/>
      <w:bookmarkEnd w:id="508"/>
      <w:r>
        <w:rPr/>
        <w:t>T.2</w:t>
        <w:tab/>
        <w:t>System Scenario Calculations for GSM400 systems</w:t>
      </w:r>
    </w:p>
    <w:p>
      <w:pPr>
        <w:pStyle w:val="Heading2"/>
        <w:rPr/>
      </w:pPr>
      <w:bookmarkStart w:id="509" w:name="__RefHeading___Toc518035927"/>
      <w:bookmarkEnd w:id="509"/>
      <w:r>
        <w:rPr/>
        <w:t>T.2.1</w:t>
        <w:tab/>
        <w:t>Worst case proximity scenarios</w:t>
      </w:r>
    </w:p>
    <w:p>
      <w:pPr>
        <w:pStyle w:val="Normal"/>
        <w:rPr/>
      </w:pPr>
      <w:r>
        <w:rPr/>
        <w:t>The purpose of the present document is to justify the adoption of E-GSM900 radio frequency requirements to GSM400 systems with minimal changes. This will make it easy to adapt standard GSM technology. Parameters like body loss and multiple interference margin are chosen to be identical that was used in GSM900 or DCS1800 system scenario calculations performed earlier in SMG. This was decided for to keep comparison with different system scenario calculations easy. It has to be noted that with chosen approach the GSM400 scenario calculations are little too pessimistic compared for scenarios in reality.</w:t>
      </w:r>
    </w:p>
    <w:p>
      <w:pPr>
        <w:pStyle w:val="Normal"/>
        <w:rPr/>
      </w:pPr>
      <w:r>
        <w:rPr/>
        <w:t>As was seen with GSM900 and DCS1800 cases all worst case scenarios are not met. Compromises have been made while the parameters have been statistical probabilities of occurrences and implementation issues. Evidently it would also be more severe to block a BTS than a single MS. Statistical properties of occurrence state that coordinated case is more important to fulfill than uncoordinated case. Because of narrow spectrum available at GSM400 bands it is relevant to assume that systems are operated in a coordinated manner in vast majority of cases. Uncoordinated scenarios might happen in some cases and thus those are also discussed in scenario calculations.</w:t>
      </w:r>
    </w:p>
    <w:p>
      <w:pPr>
        <w:pStyle w:val="Normal"/>
        <w:rPr/>
      </w:pPr>
      <w:r>
        <w:rPr/>
        <w:t>Tables below show examples of close proximity scenarios in urban and rural environments for GSM400 and GSM900 systems. Different antenna heights are considered in different environments. Low antennas are assumed to have lower gain (10 dBi) than high antennas, that is (18 dBi) for GSM900 and (14 dBi) for GSM400.</w:t>
      </w:r>
    </w:p>
    <w:p>
      <w:pPr>
        <w:pStyle w:val="TH"/>
        <w:rPr/>
      </w:pPr>
      <w:r>
        <w:rPr/>
        <w:t xml:space="preserve">Table </w:t>
      </w:r>
      <w:r>
        <w:rPr>
          <w:lang w:val="en-US" w:eastAsia="en-US"/>
        </w:rPr>
        <w:t>1</w:t>
      </w:r>
      <w:r>
        <w:rPr/>
        <w:t>: Worst case proximity scenarios for GSM400</w:t>
      </w:r>
    </w:p>
    <w:tbl>
      <w:tblPr>
        <w:tblW w:w="9180" w:type="dxa"/>
        <w:jc w:val="center"/>
        <w:tblInd w:w="0" w:type="dxa"/>
        <w:tblLayout w:type="fixed"/>
        <w:tblCellMar>
          <w:top w:w="0" w:type="dxa"/>
          <w:left w:w="28" w:type="dxa"/>
          <w:bottom w:w="0" w:type="dxa"/>
          <w:right w:w="28" w:type="dxa"/>
        </w:tblCellMar>
      </w:tblPr>
      <w:tblGrid>
        <w:gridCol w:w="3510"/>
        <w:gridCol w:w="1134"/>
        <w:gridCol w:w="1276"/>
        <w:gridCol w:w="1276"/>
        <w:gridCol w:w="992"/>
        <w:gridCol w:w="992"/>
      </w:tblGrid>
      <w:tr>
        <w:trPr>
          <w:trHeight w:val="200" w:hRule="atLeast"/>
        </w:trPr>
        <w:tc>
          <w:tcPr>
            <w:tcW w:w="3510" w:type="dxa"/>
            <w:tcBorders>
              <w:top w:val="single" w:sz="4" w:space="0" w:color="000000"/>
              <w:left w:val="single" w:sz="4" w:space="0" w:color="000000"/>
            </w:tcBorders>
          </w:tcPr>
          <w:p>
            <w:pPr>
              <w:pStyle w:val="TAH"/>
              <w:snapToGrid w:val="false"/>
              <w:rPr>
                <w:lang w:eastAsia="en-US"/>
              </w:rPr>
            </w:pPr>
            <w:r>
              <w:rPr>
                <w:lang w:eastAsia="en-US"/>
              </w:rPr>
            </w:r>
          </w:p>
        </w:tc>
        <w:tc>
          <w:tcPr>
            <w:tcW w:w="1134" w:type="dxa"/>
            <w:tcBorders>
              <w:top w:val="single" w:sz="4" w:space="0" w:color="000000"/>
              <w:left w:val="single" w:sz="4" w:space="0" w:color="000000"/>
            </w:tcBorders>
          </w:tcPr>
          <w:p>
            <w:pPr>
              <w:pStyle w:val="TAH"/>
              <w:rPr>
                <w:lang w:eastAsia="en-US"/>
              </w:rPr>
            </w:pPr>
            <w:r>
              <w:rPr>
                <w:lang w:eastAsia="en-US"/>
              </w:rPr>
              <w:t xml:space="preserve">Rural </w:t>
            </w:r>
          </w:p>
        </w:tc>
        <w:tc>
          <w:tcPr>
            <w:tcW w:w="1276" w:type="dxa"/>
            <w:tcBorders>
              <w:top w:val="single" w:sz="4" w:space="0" w:color="000000"/>
            </w:tcBorders>
          </w:tcPr>
          <w:p>
            <w:pPr>
              <w:pStyle w:val="TAH"/>
              <w:snapToGrid w:val="false"/>
              <w:rPr>
                <w:lang w:eastAsia="en-US"/>
              </w:rPr>
            </w:pPr>
            <w:r>
              <w:rPr>
                <w:lang w:eastAsia="en-US"/>
              </w:rPr>
            </w:r>
          </w:p>
        </w:tc>
        <w:tc>
          <w:tcPr>
            <w:tcW w:w="1276" w:type="dxa"/>
            <w:tcBorders>
              <w:top w:val="single" w:sz="4" w:space="0" w:color="000000"/>
              <w:left w:val="single" w:sz="4" w:space="0" w:color="000000"/>
            </w:tcBorders>
          </w:tcPr>
          <w:p>
            <w:pPr>
              <w:pStyle w:val="TAH"/>
              <w:rPr>
                <w:lang w:eastAsia="en-US"/>
              </w:rPr>
            </w:pPr>
            <w:r>
              <w:rPr>
                <w:lang w:eastAsia="en-US"/>
              </w:rPr>
              <w:t>Urban</w:t>
            </w:r>
          </w:p>
        </w:tc>
        <w:tc>
          <w:tcPr>
            <w:tcW w:w="992" w:type="dxa"/>
            <w:tcBorders>
              <w:top w:val="single" w:sz="4" w:space="0" w:color="000000"/>
            </w:tcBorders>
          </w:tcPr>
          <w:p>
            <w:pPr>
              <w:pStyle w:val="TAH"/>
              <w:snapToGrid w:val="false"/>
              <w:rPr>
                <w:lang w:eastAsia="en-US"/>
              </w:rPr>
            </w:pPr>
            <w:r>
              <w:rPr>
                <w:lang w:eastAsia="en-US"/>
              </w:rPr>
            </w:r>
          </w:p>
        </w:tc>
        <w:tc>
          <w:tcPr>
            <w:tcW w:w="992" w:type="dxa"/>
            <w:tcBorders>
              <w:top w:val="single" w:sz="4" w:space="0" w:color="000000"/>
              <w:right w:val="single" w:sz="4" w:space="0" w:color="000000"/>
            </w:tcBorders>
          </w:tcPr>
          <w:p>
            <w:pPr>
              <w:pStyle w:val="TAH"/>
              <w:snapToGrid w:val="false"/>
              <w:rPr>
                <w:lang w:eastAsia="en-US"/>
              </w:rPr>
            </w:pPr>
            <w:r>
              <w:rPr>
                <w:lang w:eastAsia="en-US"/>
              </w:rPr>
            </w:r>
          </w:p>
        </w:tc>
      </w:tr>
      <w:tr>
        <w:trPr>
          <w:trHeight w:val="200" w:hRule="atLeast"/>
        </w:trPr>
        <w:tc>
          <w:tcPr>
            <w:tcW w:w="3510" w:type="dxa"/>
            <w:tcBorders>
              <w:left w:val="single" w:sz="4" w:space="0" w:color="000000"/>
            </w:tcBorders>
          </w:tcPr>
          <w:p>
            <w:pPr>
              <w:pStyle w:val="TAH"/>
              <w:snapToGrid w:val="false"/>
              <w:rPr>
                <w:lang w:eastAsia="en-US"/>
              </w:rPr>
            </w:pPr>
            <w:r>
              <w:rPr>
                <w:lang w:eastAsia="en-US"/>
              </w:rPr>
            </w:r>
          </w:p>
        </w:tc>
        <w:tc>
          <w:tcPr>
            <w:tcW w:w="1134" w:type="dxa"/>
            <w:tcBorders>
              <w:left w:val="single" w:sz="4" w:space="0" w:color="000000"/>
            </w:tcBorders>
          </w:tcPr>
          <w:p>
            <w:pPr>
              <w:pStyle w:val="TAH"/>
              <w:rPr>
                <w:lang w:eastAsia="en-US"/>
              </w:rPr>
            </w:pPr>
            <w:r>
              <w:rPr>
                <w:lang w:eastAsia="en-US"/>
              </w:rPr>
              <w:t>Street</w:t>
            </w:r>
          </w:p>
        </w:tc>
        <w:tc>
          <w:tcPr>
            <w:tcW w:w="1276" w:type="dxa"/>
            <w:tcBorders/>
          </w:tcPr>
          <w:p>
            <w:pPr>
              <w:pStyle w:val="TAH"/>
              <w:rPr>
                <w:lang w:eastAsia="en-US"/>
              </w:rPr>
            </w:pPr>
            <w:r>
              <w:rPr>
                <w:lang w:eastAsia="en-US"/>
              </w:rPr>
              <w:t>Building</w:t>
            </w:r>
          </w:p>
        </w:tc>
        <w:tc>
          <w:tcPr>
            <w:tcW w:w="1276" w:type="dxa"/>
            <w:tcBorders>
              <w:left w:val="single" w:sz="4" w:space="0" w:color="000000"/>
            </w:tcBorders>
          </w:tcPr>
          <w:p>
            <w:pPr>
              <w:pStyle w:val="TAH"/>
              <w:rPr>
                <w:lang w:eastAsia="en-US"/>
              </w:rPr>
            </w:pPr>
            <w:r>
              <w:rPr>
                <w:lang w:eastAsia="en-US"/>
              </w:rPr>
              <w:t>Street</w:t>
            </w:r>
          </w:p>
        </w:tc>
        <w:tc>
          <w:tcPr>
            <w:tcW w:w="992" w:type="dxa"/>
            <w:tcBorders/>
          </w:tcPr>
          <w:p>
            <w:pPr>
              <w:pStyle w:val="TAH"/>
              <w:rPr>
                <w:lang w:eastAsia="en-US"/>
              </w:rPr>
            </w:pPr>
            <w:r>
              <w:rPr>
                <w:lang w:eastAsia="en-US"/>
              </w:rPr>
              <w:t>Building</w:t>
            </w:r>
          </w:p>
        </w:tc>
        <w:tc>
          <w:tcPr>
            <w:tcW w:w="992" w:type="dxa"/>
            <w:tcBorders>
              <w:right w:val="single" w:sz="4" w:space="0" w:color="000000"/>
            </w:tcBorders>
          </w:tcPr>
          <w:p>
            <w:pPr>
              <w:pStyle w:val="TAH"/>
              <w:rPr>
                <w:lang w:eastAsia="en-US"/>
              </w:rPr>
            </w:pPr>
            <w:r>
              <w:rPr>
                <w:lang w:eastAsia="en-US"/>
              </w:rPr>
              <w:t xml:space="preserve">Street </w:t>
            </w:r>
          </w:p>
        </w:tc>
      </w:tr>
      <w:tr>
        <w:trPr>
          <w:trHeight w:val="200" w:hRule="atLeast"/>
        </w:trPr>
        <w:tc>
          <w:tcPr>
            <w:tcW w:w="3510" w:type="dxa"/>
            <w:tcBorders>
              <w:left w:val="single" w:sz="4" w:space="0" w:color="000000"/>
              <w:bottom w:val="single" w:sz="6" w:space="0" w:color="000000"/>
            </w:tcBorders>
          </w:tcPr>
          <w:p>
            <w:pPr>
              <w:pStyle w:val="TAH"/>
              <w:snapToGrid w:val="false"/>
              <w:rPr>
                <w:lang w:eastAsia="en-US"/>
              </w:rPr>
            </w:pPr>
            <w:r>
              <w:rPr>
                <w:lang w:eastAsia="en-US"/>
              </w:rPr>
            </w:r>
          </w:p>
        </w:tc>
        <w:tc>
          <w:tcPr>
            <w:tcW w:w="1134" w:type="dxa"/>
            <w:tcBorders>
              <w:left w:val="single" w:sz="4" w:space="0" w:color="000000"/>
              <w:bottom w:val="single" w:sz="6" w:space="0" w:color="000000"/>
            </w:tcBorders>
          </w:tcPr>
          <w:p>
            <w:pPr>
              <w:pStyle w:val="TAH"/>
              <w:snapToGrid w:val="false"/>
              <w:rPr>
                <w:lang w:eastAsia="en-US"/>
              </w:rPr>
            </w:pPr>
            <w:r>
              <w:rPr>
                <w:lang w:eastAsia="en-US"/>
              </w:rPr>
            </w:r>
          </w:p>
        </w:tc>
        <w:tc>
          <w:tcPr>
            <w:tcW w:w="1276" w:type="dxa"/>
            <w:tcBorders>
              <w:bottom w:val="single" w:sz="6" w:space="0" w:color="000000"/>
            </w:tcBorders>
          </w:tcPr>
          <w:p>
            <w:pPr>
              <w:pStyle w:val="TAH"/>
              <w:rPr>
                <w:lang w:eastAsia="en-US"/>
              </w:rPr>
            </w:pPr>
            <w:r>
              <w:rPr>
                <w:lang w:eastAsia="en-US"/>
              </w:rPr>
              <w:t>(note 1)</w:t>
            </w:r>
          </w:p>
        </w:tc>
        <w:tc>
          <w:tcPr>
            <w:tcW w:w="1276" w:type="dxa"/>
            <w:tcBorders>
              <w:left w:val="single" w:sz="4" w:space="0" w:color="000000"/>
              <w:bottom w:val="single" w:sz="6" w:space="0" w:color="000000"/>
            </w:tcBorders>
          </w:tcPr>
          <w:p>
            <w:pPr>
              <w:pStyle w:val="TAH"/>
              <w:snapToGrid w:val="false"/>
              <w:rPr>
                <w:lang w:eastAsia="en-US"/>
              </w:rPr>
            </w:pPr>
            <w:r>
              <w:rPr>
                <w:lang w:eastAsia="en-US"/>
              </w:rPr>
            </w:r>
          </w:p>
        </w:tc>
        <w:tc>
          <w:tcPr>
            <w:tcW w:w="992" w:type="dxa"/>
            <w:tcBorders>
              <w:bottom w:val="single" w:sz="6" w:space="0" w:color="000000"/>
            </w:tcBorders>
          </w:tcPr>
          <w:p>
            <w:pPr>
              <w:pStyle w:val="TAH"/>
              <w:rPr>
                <w:lang w:eastAsia="en-US"/>
              </w:rPr>
            </w:pPr>
            <w:r>
              <w:rPr>
                <w:lang w:eastAsia="en-US"/>
              </w:rPr>
              <w:t>(note 1)</w:t>
            </w:r>
          </w:p>
        </w:tc>
        <w:tc>
          <w:tcPr>
            <w:tcW w:w="992" w:type="dxa"/>
            <w:tcBorders>
              <w:bottom w:val="single" w:sz="6" w:space="0" w:color="000000"/>
              <w:right w:val="single" w:sz="4" w:space="0" w:color="000000"/>
            </w:tcBorders>
          </w:tcPr>
          <w:p>
            <w:pPr>
              <w:pStyle w:val="TAH"/>
              <w:snapToGrid w:val="false"/>
              <w:rPr>
                <w:lang w:eastAsia="en-US"/>
              </w:rPr>
            </w:pPr>
            <w:r>
              <w:rPr>
                <w:lang w:eastAsia="en-US"/>
              </w:rPr>
            </w:r>
          </w:p>
        </w:tc>
      </w:tr>
      <w:tr>
        <w:trPr>
          <w:trHeight w:val="200" w:hRule="atLeast"/>
        </w:trPr>
        <w:tc>
          <w:tcPr>
            <w:tcW w:w="3510" w:type="dxa"/>
            <w:tcBorders>
              <w:left w:val="single" w:sz="4" w:space="0" w:color="000000"/>
            </w:tcBorders>
          </w:tcPr>
          <w:p>
            <w:pPr>
              <w:pStyle w:val="TAL"/>
              <w:rPr/>
            </w:pPr>
            <w:r>
              <w:rPr>
                <w:lang w:val="en-GB"/>
              </w:rPr>
              <w:t>BTS height, H</w:t>
            </w:r>
            <w:r>
              <w:rPr>
                <w:position w:val="-6"/>
                <w:lang w:val="en-GB"/>
              </w:rPr>
              <w:t>b</w:t>
            </w:r>
            <w:r>
              <w:rPr>
                <w:lang w:val="en-GB"/>
              </w:rPr>
              <w:t xml:space="preserve"> (m)</w:t>
            </w:r>
          </w:p>
        </w:tc>
        <w:tc>
          <w:tcPr>
            <w:tcW w:w="1134" w:type="dxa"/>
            <w:tcBorders>
              <w:left w:val="single" w:sz="4" w:space="0" w:color="000000"/>
            </w:tcBorders>
          </w:tcPr>
          <w:p>
            <w:pPr>
              <w:pStyle w:val="TAC"/>
              <w:rPr>
                <w:lang w:val="en-GB"/>
              </w:rPr>
            </w:pPr>
            <w:r>
              <w:rPr>
                <w:lang w:val="en-GB"/>
              </w:rPr>
              <w:t>50</w:t>
            </w:r>
          </w:p>
        </w:tc>
        <w:tc>
          <w:tcPr>
            <w:tcW w:w="1276" w:type="dxa"/>
            <w:tcBorders/>
          </w:tcPr>
          <w:p>
            <w:pPr>
              <w:pStyle w:val="TAC"/>
              <w:rPr>
                <w:lang w:val="en-GB"/>
              </w:rPr>
            </w:pPr>
            <w:r>
              <w:rPr>
                <w:lang w:val="en-GB"/>
              </w:rPr>
              <w:t>50</w:t>
            </w:r>
          </w:p>
        </w:tc>
        <w:tc>
          <w:tcPr>
            <w:tcW w:w="1276" w:type="dxa"/>
            <w:tcBorders>
              <w:left w:val="single" w:sz="4" w:space="0" w:color="000000"/>
            </w:tcBorders>
          </w:tcPr>
          <w:p>
            <w:pPr>
              <w:pStyle w:val="TAC"/>
              <w:rPr>
                <w:lang w:val="en-GB"/>
              </w:rPr>
            </w:pPr>
            <w:r>
              <w:rPr>
                <w:lang w:val="en-GB"/>
              </w:rPr>
              <w:t>15</w:t>
            </w:r>
          </w:p>
        </w:tc>
        <w:tc>
          <w:tcPr>
            <w:tcW w:w="992" w:type="dxa"/>
            <w:tcBorders/>
          </w:tcPr>
          <w:p>
            <w:pPr>
              <w:pStyle w:val="TAC"/>
              <w:rPr>
                <w:lang w:val="en-GB"/>
              </w:rPr>
            </w:pPr>
            <w:r>
              <w:rPr>
                <w:lang w:val="en-GB"/>
              </w:rPr>
              <w:t>30</w:t>
            </w:r>
          </w:p>
        </w:tc>
        <w:tc>
          <w:tcPr>
            <w:tcW w:w="992" w:type="dxa"/>
            <w:tcBorders>
              <w:right w:val="single" w:sz="4" w:space="0" w:color="000000"/>
            </w:tcBorders>
          </w:tcPr>
          <w:p>
            <w:pPr>
              <w:pStyle w:val="TAC"/>
              <w:rPr>
                <w:lang w:val="en-GB"/>
              </w:rPr>
            </w:pPr>
            <w:r>
              <w:rPr>
                <w:lang w:val="en-GB"/>
              </w:rPr>
              <w:t>30</w:t>
            </w:r>
          </w:p>
        </w:tc>
      </w:tr>
      <w:tr>
        <w:trPr>
          <w:trHeight w:val="200" w:hRule="atLeast"/>
        </w:trPr>
        <w:tc>
          <w:tcPr>
            <w:tcW w:w="3510" w:type="dxa"/>
            <w:tcBorders>
              <w:left w:val="single" w:sz="4" w:space="0" w:color="000000"/>
            </w:tcBorders>
          </w:tcPr>
          <w:p>
            <w:pPr>
              <w:pStyle w:val="TAL"/>
              <w:rPr/>
            </w:pPr>
            <w:r>
              <w:rPr>
                <w:lang w:val="en-GB"/>
              </w:rPr>
              <w:t>MS height, H</w:t>
            </w:r>
            <w:r>
              <w:rPr>
                <w:position w:val="-6"/>
                <w:lang w:val="en-GB"/>
              </w:rPr>
              <w:t>m</w:t>
            </w:r>
            <w:r>
              <w:rPr>
                <w:lang w:val="en-GB"/>
              </w:rPr>
              <w:t xml:space="preserve"> (m)</w:t>
            </w:r>
          </w:p>
        </w:tc>
        <w:tc>
          <w:tcPr>
            <w:tcW w:w="1134" w:type="dxa"/>
            <w:tcBorders>
              <w:left w:val="single" w:sz="4" w:space="0" w:color="000000"/>
            </w:tcBorders>
          </w:tcPr>
          <w:p>
            <w:pPr>
              <w:pStyle w:val="TAC"/>
              <w:rPr>
                <w:lang w:val="en-GB"/>
              </w:rPr>
            </w:pPr>
            <w:r>
              <w:rPr>
                <w:lang w:val="en-GB"/>
              </w:rPr>
              <w:t>1.5</w:t>
            </w:r>
          </w:p>
        </w:tc>
        <w:tc>
          <w:tcPr>
            <w:tcW w:w="1276" w:type="dxa"/>
            <w:tcBorders/>
          </w:tcPr>
          <w:p>
            <w:pPr>
              <w:pStyle w:val="TAC"/>
              <w:rPr>
                <w:lang w:val="en-GB"/>
              </w:rPr>
            </w:pPr>
            <w:r>
              <w:rPr>
                <w:lang w:val="en-GB"/>
              </w:rPr>
              <w:t>15</w:t>
            </w:r>
          </w:p>
        </w:tc>
        <w:tc>
          <w:tcPr>
            <w:tcW w:w="1276" w:type="dxa"/>
            <w:tcBorders>
              <w:left w:val="single" w:sz="4" w:space="0" w:color="000000"/>
            </w:tcBorders>
          </w:tcPr>
          <w:p>
            <w:pPr>
              <w:pStyle w:val="TAC"/>
              <w:rPr>
                <w:lang w:val="en-GB"/>
              </w:rPr>
            </w:pPr>
            <w:r>
              <w:rPr>
                <w:lang w:val="en-GB"/>
              </w:rPr>
              <w:t>1.5</w:t>
            </w:r>
          </w:p>
        </w:tc>
        <w:tc>
          <w:tcPr>
            <w:tcW w:w="992" w:type="dxa"/>
            <w:tcBorders/>
          </w:tcPr>
          <w:p>
            <w:pPr>
              <w:pStyle w:val="TAC"/>
              <w:rPr>
                <w:lang w:val="en-GB"/>
              </w:rPr>
            </w:pPr>
            <w:r>
              <w:rPr>
                <w:lang w:val="en-GB"/>
              </w:rPr>
              <w:t>20</w:t>
            </w:r>
          </w:p>
        </w:tc>
        <w:tc>
          <w:tcPr>
            <w:tcW w:w="992" w:type="dxa"/>
            <w:tcBorders>
              <w:right w:val="single" w:sz="4" w:space="0" w:color="000000"/>
            </w:tcBorders>
          </w:tcPr>
          <w:p>
            <w:pPr>
              <w:pStyle w:val="TAC"/>
              <w:rPr>
                <w:lang w:val="en-GB"/>
              </w:rPr>
            </w:pPr>
            <w:r>
              <w:rPr>
                <w:lang w:val="en-GB"/>
              </w:rPr>
              <w:t>1.5</w:t>
            </w:r>
          </w:p>
        </w:tc>
      </w:tr>
      <w:tr>
        <w:trPr>
          <w:trHeight w:val="200" w:hRule="atLeast"/>
        </w:trPr>
        <w:tc>
          <w:tcPr>
            <w:tcW w:w="3510" w:type="dxa"/>
            <w:tcBorders>
              <w:left w:val="single" w:sz="4" w:space="0" w:color="000000"/>
            </w:tcBorders>
          </w:tcPr>
          <w:p>
            <w:pPr>
              <w:pStyle w:val="TAL"/>
              <w:rPr>
                <w:lang w:val="en-GB"/>
              </w:rPr>
            </w:pPr>
            <w:r>
              <w:rPr>
                <w:position w:val="-6"/>
                <w:lang w:val="en-GB"/>
              </w:rPr>
              <w:t>Horizontal separation (m) (note 4)</w:t>
            </w:r>
          </w:p>
        </w:tc>
        <w:tc>
          <w:tcPr>
            <w:tcW w:w="1134" w:type="dxa"/>
            <w:tcBorders>
              <w:left w:val="single" w:sz="4" w:space="0" w:color="000000"/>
            </w:tcBorders>
          </w:tcPr>
          <w:p>
            <w:pPr>
              <w:pStyle w:val="TAC"/>
              <w:rPr>
                <w:lang w:val="en-GB"/>
              </w:rPr>
            </w:pPr>
            <w:r>
              <w:rPr>
                <w:position w:val="-6"/>
                <w:lang w:val="en-GB"/>
              </w:rPr>
              <w:t>50</w:t>
            </w:r>
          </w:p>
        </w:tc>
        <w:tc>
          <w:tcPr>
            <w:tcW w:w="1276" w:type="dxa"/>
            <w:tcBorders/>
          </w:tcPr>
          <w:p>
            <w:pPr>
              <w:pStyle w:val="TAC"/>
              <w:rPr>
                <w:lang w:val="en-GB"/>
              </w:rPr>
            </w:pPr>
            <w:r>
              <w:rPr>
                <w:position w:val="-6"/>
                <w:lang w:val="en-GB"/>
              </w:rPr>
              <w:t>100</w:t>
            </w:r>
          </w:p>
        </w:tc>
        <w:tc>
          <w:tcPr>
            <w:tcW w:w="1276" w:type="dxa"/>
            <w:tcBorders>
              <w:left w:val="single" w:sz="4" w:space="0" w:color="000000"/>
            </w:tcBorders>
          </w:tcPr>
          <w:p>
            <w:pPr>
              <w:pStyle w:val="TAC"/>
              <w:rPr>
                <w:lang w:val="en-GB"/>
              </w:rPr>
            </w:pPr>
            <w:r>
              <w:rPr>
                <w:position w:val="-6"/>
                <w:lang w:val="en-GB"/>
              </w:rPr>
              <w:t>15</w:t>
            </w:r>
          </w:p>
        </w:tc>
        <w:tc>
          <w:tcPr>
            <w:tcW w:w="992" w:type="dxa"/>
            <w:tcBorders/>
          </w:tcPr>
          <w:p>
            <w:pPr>
              <w:pStyle w:val="TAC"/>
              <w:rPr>
                <w:lang w:val="en-GB"/>
              </w:rPr>
            </w:pPr>
            <w:r>
              <w:rPr>
                <w:position w:val="-6"/>
                <w:lang w:val="en-GB"/>
              </w:rPr>
              <w:t>60</w:t>
            </w:r>
          </w:p>
        </w:tc>
        <w:tc>
          <w:tcPr>
            <w:tcW w:w="992" w:type="dxa"/>
            <w:tcBorders>
              <w:right w:val="single" w:sz="4" w:space="0" w:color="000000"/>
            </w:tcBorders>
          </w:tcPr>
          <w:p>
            <w:pPr>
              <w:pStyle w:val="TAC"/>
              <w:rPr>
                <w:lang w:val="en-GB"/>
              </w:rPr>
            </w:pPr>
            <w:r>
              <w:rPr>
                <w:position w:val="-6"/>
                <w:lang w:val="en-GB"/>
              </w:rPr>
              <w:t>15</w:t>
            </w:r>
          </w:p>
        </w:tc>
      </w:tr>
      <w:tr>
        <w:trPr>
          <w:trHeight w:val="200" w:hRule="atLeast"/>
        </w:trPr>
        <w:tc>
          <w:tcPr>
            <w:tcW w:w="3510" w:type="dxa"/>
            <w:tcBorders>
              <w:left w:val="single" w:sz="4" w:space="0" w:color="000000"/>
            </w:tcBorders>
          </w:tcPr>
          <w:p>
            <w:pPr>
              <w:pStyle w:val="TAL"/>
              <w:rPr/>
            </w:pPr>
            <w:r>
              <w:rPr>
                <w:lang w:val="en-GB"/>
              </w:rPr>
              <w:t>BTS antenna gain, G</w:t>
            </w:r>
            <w:r>
              <w:rPr>
                <w:position w:val="-6"/>
                <w:lang w:val="en-GB"/>
              </w:rPr>
              <w:t xml:space="preserve">b </w:t>
            </w:r>
            <w:r>
              <w:rPr>
                <w:lang w:val="en-GB"/>
              </w:rPr>
              <w:t>(dB) (note 2)</w:t>
            </w:r>
          </w:p>
        </w:tc>
        <w:tc>
          <w:tcPr>
            <w:tcW w:w="1134" w:type="dxa"/>
            <w:tcBorders>
              <w:left w:val="single" w:sz="4" w:space="0" w:color="000000"/>
            </w:tcBorders>
          </w:tcPr>
          <w:p>
            <w:pPr>
              <w:pStyle w:val="TAC"/>
              <w:rPr>
                <w:lang w:val="en-GB"/>
              </w:rPr>
            </w:pPr>
            <w:r>
              <w:rPr>
                <w:lang w:val="en-GB"/>
              </w:rPr>
              <w:t>14</w:t>
            </w:r>
          </w:p>
        </w:tc>
        <w:tc>
          <w:tcPr>
            <w:tcW w:w="1276" w:type="dxa"/>
            <w:tcBorders/>
          </w:tcPr>
          <w:p>
            <w:pPr>
              <w:pStyle w:val="TAC"/>
              <w:rPr>
                <w:lang w:val="en-GB"/>
              </w:rPr>
            </w:pPr>
            <w:r>
              <w:rPr>
                <w:lang w:val="en-GB"/>
              </w:rPr>
              <w:t>10</w:t>
            </w:r>
          </w:p>
        </w:tc>
        <w:tc>
          <w:tcPr>
            <w:tcW w:w="1276" w:type="dxa"/>
            <w:tcBorders>
              <w:left w:val="single" w:sz="4" w:space="0" w:color="000000"/>
            </w:tcBorders>
          </w:tcPr>
          <w:p>
            <w:pPr>
              <w:pStyle w:val="TAC"/>
              <w:rPr>
                <w:lang w:val="en-GB"/>
              </w:rPr>
            </w:pPr>
            <w:r>
              <w:rPr>
                <w:lang w:val="en-GB"/>
              </w:rPr>
              <w:t>10</w:t>
            </w:r>
          </w:p>
        </w:tc>
        <w:tc>
          <w:tcPr>
            <w:tcW w:w="992" w:type="dxa"/>
            <w:tcBorders/>
          </w:tcPr>
          <w:p>
            <w:pPr>
              <w:pStyle w:val="TAC"/>
              <w:rPr>
                <w:lang w:val="en-GB"/>
              </w:rPr>
            </w:pPr>
            <w:r>
              <w:rPr>
                <w:lang w:val="en-GB"/>
              </w:rPr>
              <w:t>14</w:t>
            </w:r>
          </w:p>
        </w:tc>
        <w:tc>
          <w:tcPr>
            <w:tcW w:w="992" w:type="dxa"/>
            <w:tcBorders>
              <w:right w:val="single" w:sz="4" w:space="0" w:color="000000"/>
            </w:tcBorders>
          </w:tcPr>
          <w:p>
            <w:pPr>
              <w:pStyle w:val="TAC"/>
              <w:rPr>
                <w:lang w:val="en-GB"/>
              </w:rPr>
            </w:pPr>
            <w:r>
              <w:rPr>
                <w:lang w:val="en-GB"/>
              </w:rPr>
              <w:t>14</w:t>
            </w:r>
          </w:p>
        </w:tc>
      </w:tr>
      <w:tr>
        <w:trPr>
          <w:trHeight w:val="200" w:hRule="atLeast"/>
        </w:trPr>
        <w:tc>
          <w:tcPr>
            <w:tcW w:w="3510" w:type="dxa"/>
            <w:tcBorders>
              <w:left w:val="single" w:sz="4" w:space="0" w:color="000000"/>
            </w:tcBorders>
          </w:tcPr>
          <w:p>
            <w:pPr>
              <w:pStyle w:val="TAL"/>
              <w:rPr/>
            </w:pPr>
            <w:r>
              <w:rPr>
                <w:lang w:val="en-GB"/>
              </w:rPr>
              <w:t>BTS antenna gain, G'</w:t>
            </w:r>
            <w:r>
              <w:rPr>
                <w:position w:val="-6"/>
                <w:lang w:val="en-GB"/>
              </w:rPr>
              <w:t>b</w:t>
            </w:r>
            <w:r>
              <w:rPr>
                <w:lang w:val="en-GB"/>
              </w:rPr>
              <w:t xml:space="preserve"> (dB) (note 3)</w:t>
            </w:r>
          </w:p>
        </w:tc>
        <w:tc>
          <w:tcPr>
            <w:tcW w:w="1134" w:type="dxa"/>
            <w:tcBorders>
              <w:left w:val="single" w:sz="4" w:space="0" w:color="000000"/>
            </w:tcBorders>
          </w:tcPr>
          <w:p>
            <w:pPr>
              <w:pStyle w:val="TAC"/>
              <w:rPr>
                <w:lang w:val="en-GB"/>
              </w:rPr>
            </w:pPr>
            <w:r>
              <w:rPr>
                <w:lang w:val="en-GB"/>
              </w:rPr>
              <w:t>0</w:t>
            </w:r>
          </w:p>
        </w:tc>
        <w:tc>
          <w:tcPr>
            <w:tcW w:w="1276" w:type="dxa"/>
            <w:tcBorders/>
          </w:tcPr>
          <w:p>
            <w:pPr>
              <w:pStyle w:val="TAC"/>
              <w:rPr>
                <w:lang w:val="en-GB"/>
              </w:rPr>
            </w:pPr>
            <w:r>
              <w:rPr>
                <w:lang w:val="en-GB"/>
              </w:rPr>
              <w:t>10</w:t>
            </w:r>
          </w:p>
        </w:tc>
        <w:tc>
          <w:tcPr>
            <w:tcW w:w="1276" w:type="dxa"/>
            <w:tcBorders>
              <w:left w:val="single" w:sz="4" w:space="0" w:color="000000"/>
            </w:tcBorders>
          </w:tcPr>
          <w:p>
            <w:pPr>
              <w:pStyle w:val="TAC"/>
              <w:rPr>
                <w:lang w:val="en-GB"/>
              </w:rPr>
            </w:pPr>
            <w:r>
              <w:rPr>
                <w:lang w:val="en-GB"/>
              </w:rPr>
              <w:t>2</w:t>
            </w:r>
          </w:p>
        </w:tc>
        <w:tc>
          <w:tcPr>
            <w:tcW w:w="992" w:type="dxa"/>
            <w:tcBorders/>
          </w:tcPr>
          <w:p>
            <w:pPr>
              <w:pStyle w:val="TAC"/>
              <w:rPr>
                <w:lang w:val="en-GB"/>
              </w:rPr>
            </w:pPr>
            <w:r>
              <w:rPr>
                <w:lang w:val="en-GB"/>
              </w:rPr>
              <w:t>9</w:t>
            </w:r>
          </w:p>
        </w:tc>
        <w:tc>
          <w:tcPr>
            <w:tcW w:w="992" w:type="dxa"/>
            <w:tcBorders>
              <w:right w:val="single" w:sz="4" w:space="0" w:color="000000"/>
            </w:tcBorders>
          </w:tcPr>
          <w:p>
            <w:pPr>
              <w:pStyle w:val="TAC"/>
              <w:rPr>
                <w:lang w:val="en-GB"/>
              </w:rPr>
            </w:pPr>
            <w:r>
              <w:rPr>
                <w:lang w:val="en-GB"/>
              </w:rPr>
              <w:t>0</w:t>
            </w:r>
          </w:p>
        </w:tc>
      </w:tr>
      <w:tr>
        <w:trPr>
          <w:trHeight w:val="200" w:hRule="atLeast"/>
        </w:trPr>
        <w:tc>
          <w:tcPr>
            <w:tcW w:w="3510" w:type="dxa"/>
            <w:tcBorders>
              <w:left w:val="single" w:sz="4" w:space="0" w:color="000000"/>
            </w:tcBorders>
          </w:tcPr>
          <w:p>
            <w:pPr>
              <w:pStyle w:val="TAL"/>
              <w:rPr/>
            </w:pPr>
            <w:r>
              <w:rPr>
                <w:lang w:val="en-GB"/>
              </w:rPr>
              <w:t>MS antenna gain, G</w:t>
            </w:r>
            <w:r>
              <w:rPr>
                <w:position w:val="-6"/>
                <w:lang w:val="en-GB"/>
              </w:rPr>
              <w:t xml:space="preserve">m </w:t>
            </w:r>
            <w:r>
              <w:rPr>
                <w:lang w:val="en-GB"/>
              </w:rPr>
              <w:t>(dB)</w:t>
            </w:r>
          </w:p>
        </w:tc>
        <w:tc>
          <w:tcPr>
            <w:tcW w:w="1134" w:type="dxa"/>
            <w:tcBorders>
              <w:left w:val="single" w:sz="4" w:space="0" w:color="000000"/>
            </w:tcBorders>
          </w:tcPr>
          <w:p>
            <w:pPr>
              <w:pStyle w:val="TAC"/>
              <w:rPr>
                <w:lang w:val="en-GB"/>
              </w:rPr>
            </w:pPr>
            <w:r>
              <w:rPr>
                <w:lang w:val="en-GB"/>
              </w:rPr>
              <w:t>0</w:t>
            </w:r>
          </w:p>
        </w:tc>
        <w:tc>
          <w:tcPr>
            <w:tcW w:w="1276" w:type="dxa"/>
            <w:tcBorders/>
          </w:tcPr>
          <w:p>
            <w:pPr>
              <w:pStyle w:val="TAC"/>
              <w:rPr>
                <w:lang w:val="en-GB"/>
              </w:rPr>
            </w:pPr>
            <w:r>
              <w:rPr>
                <w:lang w:val="en-GB"/>
              </w:rPr>
              <w:t>0</w:t>
            </w:r>
          </w:p>
        </w:tc>
        <w:tc>
          <w:tcPr>
            <w:tcW w:w="1276" w:type="dxa"/>
            <w:tcBorders>
              <w:left w:val="single" w:sz="4" w:space="0" w:color="000000"/>
            </w:tcBorders>
          </w:tcPr>
          <w:p>
            <w:pPr>
              <w:pStyle w:val="TAC"/>
              <w:rPr>
                <w:lang w:val="en-GB"/>
              </w:rPr>
            </w:pPr>
            <w:r>
              <w:rPr>
                <w:lang w:val="en-GB"/>
              </w:rPr>
              <w:t>0</w:t>
            </w:r>
          </w:p>
        </w:tc>
        <w:tc>
          <w:tcPr>
            <w:tcW w:w="992" w:type="dxa"/>
            <w:tcBorders/>
          </w:tcPr>
          <w:p>
            <w:pPr>
              <w:pStyle w:val="TAC"/>
              <w:rPr>
                <w:lang w:val="en-GB"/>
              </w:rPr>
            </w:pPr>
            <w:r>
              <w:rPr>
                <w:lang w:val="en-GB"/>
              </w:rPr>
              <w:t>0</w:t>
            </w:r>
          </w:p>
        </w:tc>
        <w:tc>
          <w:tcPr>
            <w:tcW w:w="992" w:type="dxa"/>
            <w:tcBorders>
              <w:right w:val="single" w:sz="4" w:space="0" w:color="000000"/>
            </w:tcBorders>
          </w:tcPr>
          <w:p>
            <w:pPr>
              <w:pStyle w:val="TAC"/>
              <w:rPr>
                <w:lang w:val="en-GB"/>
              </w:rPr>
            </w:pPr>
            <w:r>
              <w:rPr>
                <w:lang w:val="en-GB"/>
              </w:rPr>
              <w:t>0</w:t>
            </w:r>
          </w:p>
        </w:tc>
      </w:tr>
      <w:tr>
        <w:trPr>
          <w:trHeight w:val="200" w:hRule="atLeast"/>
        </w:trPr>
        <w:tc>
          <w:tcPr>
            <w:tcW w:w="3510" w:type="dxa"/>
            <w:tcBorders>
              <w:left w:val="single" w:sz="4" w:space="0" w:color="000000"/>
            </w:tcBorders>
          </w:tcPr>
          <w:p>
            <w:pPr>
              <w:pStyle w:val="TAL"/>
              <w:rPr>
                <w:lang w:val="en-GB"/>
              </w:rPr>
            </w:pPr>
            <w:r>
              <w:rPr>
                <w:position w:val="-6"/>
                <w:lang w:val="en-GB"/>
              </w:rPr>
              <w:t>Path loss into building (dB)</w:t>
            </w:r>
          </w:p>
        </w:tc>
        <w:tc>
          <w:tcPr>
            <w:tcW w:w="1134" w:type="dxa"/>
            <w:tcBorders>
              <w:left w:val="single" w:sz="4" w:space="0" w:color="000000"/>
            </w:tcBorders>
          </w:tcPr>
          <w:p>
            <w:pPr>
              <w:pStyle w:val="TAC"/>
              <w:snapToGrid w:val="false"/>
              <w:rPr>
                <w:lang w:val="en-GB"/>
              </w:rPr>
            </w:pPr>
            <w:r>
              <w:rPr>
                <w:lang w:val="en-GB"/>
              </w:rPr>
            </w:r>
          </w:p>
        </w:tc>
        <w:tc>
          <w:tcPr>
            <w:tcW w:w="1276" w:type="dxa"/>
            <w:tcBorders/>
          </w:tcPr>
          <w:p>
            <w:pPr>
              <w:pStyle w:val="TAC"/>
              <w:rPr>
                <w:lang w:val="en-GB"/>
              </w:rPr>
            </w:pPr>
            <w:r>
              <w:rPr>
                <w:position w:val="-6"/>
                <w:lang w:val="en-GB"/>
              </w:rPr>
              <w:t>6</w:t>
            </w:r>
          </w:p>
        </w:tc>
        <w:tc>
          <w:tcPr>
            <w:tcW w:w="1276" w:type="dxa"/>
            <w:tcBorders>
              <w:left w:val="single" w:sz="4" w:space="0" w:color="000000"/>
            </w:tcBorders>
          </w:tcPr>
          <w:p>
            <w:pPr>
              <w:pStyle w:val="TAC"/>
              <w:snapToGrid w:val="false"/>
              <w:rPr>
                <w:lang w:val="en-GB"/>
              </w:rPr>
            </w:pPr>
            <w:r>
              <w:rPr>
                <w:lang w:val="en-GB"/>
              </w:rPr>
            </w:r>
          </w:p>
        </w:tc>
        <w:tc>
          <w:tcPr>
            <w:tcW w:w="992" w:type="dxa"/>
            <w:tcBorders/>
          </w:tcPr>
          <w:p>
            <w:pPr>
              <w:pStyle w:val="TAC"/>
              <w:rPr>
                <w:lang w:val="en-GB"/>
              </w:rPr>
            </w:pPr>
            <w:r>
              <w:rPr>
                <w:position w:val="-6"/>
                <w:lang w:val="en-GB"/>
              </w:rPr>
              <w:t>6</w:t>
            </w:r>
          </w:p>
        </w:tc>
        <w:tc>
          <w:tcPr>
            <w:tcW w:w="992" w:type="dxa"/>
            <w:tcBorders>
              <w:right w:val="single" w:sz="4" w:space="0" w:color="000000"/>
            </w:tcBorders>
          </w:tcPr>
          <w:p>
            <w:pPr>
              <w:pStyle w:val="TAC"/>
              <w:snapToGrid w:val="false"/>
              <w:rPr>
                <w:lang w:val="en-GB"/>
              </w:rPr>
            </w:pPr>
            <w:r>
              <w:rPr>
                <w:lang w:val="en-GB"/>
              </w:rPr>
            </w:r>
          </w:p>
        </w:tc>
      </w:tr>
      <w:tr>
        <w:trPr>
          <w:trHeight w:val="200" w:hRule="atLeast"/>
        </w:trPr>
        <w:tc>
          <w:tcPr>
            <w:tcW w:w="3510" w:type="dxa"/>
            <w:tcBorders>
              <w:left w:val="single" w:sz="4" w:space="0" w:color="000000"/>
            </w:tcBorders>
          </w:tcPr>
          <w:p>
            <w:pPr>
              <w:pStyle w:val="TAL"/>
              <w:rPr>
                <w:lang w:val="en-GB"/>
              </w:rPr>
            </w:pPr>
            <w:r>
              <w:rPr>
                <w:position w:val="-6"/>
                <w:lang w:val="en-GB"/>
              </w:rPr>
              <w:t>Cable/Connector Loss (dB)</w:t>
            </w:r>
          </w:p>
        </w:tc>
        <w:tc>
          <w:tcPr>
            <w:tcW w:w="1134" w:type="dxa"/>
            <w:tcBorders>
              <w:left w:val="single" w:sz="4" w:space="0" w:color="000000"/>
            </w:tcBorders>
          </w:tcPr>
          <w:p>
            <w:pPr>
              <w:pStyle w:val="TAC"/>
              <w:rPr>
                <w:lang w:val="en-GB"/>
              </w:rPr>
            </w:pPr>
            <w:r>
              <w:rPr>
                <w:position w:val="-6"/>
                <w:lang w:val="en-GB"/>
              </w:rPr>
              <w:t>2</w:t>
            </w:r>
          </w:p>
        </w:tc>
        <w:tc>
          <w:tcPr>
            <w:tcW w:w="1276" w:type="dxa"/>
            <w:tcBorders/>
          </w:tcPr>
          <w:p>
            <w:pPr>
              <w:pStyle w:val="TAC"/>
              <w:rPr>
                <w:lang w:val="en-GB"/>
              </w:rPr>
            </w:pPr>
            <w:r>
              <w:rPr>
                <w:position w:val="-6"/>
                <w:lang w:val="en-GB"/>
              </w:rPr>
              <w:t>2</w:t>
            </w:r>
          </w:p>
        </w:tc>
        <w:tc>
          <w:tcPr>
            <w:tcW w:w="1276" w:type="dxa"/>
            <w:tcBorders>
              <w:left w:val="single" w:sz="4" w:space="0" w:color="000000"/>
            </w:tcBorders>
          </w:tcPr>
          <w:p>
            <w:pPr>
              <w:pStyle w:val="TAC"/>
              <w:rPr>
                <w:lang w:val="en-GB"/>
              </w:rPr>
            </w:pPr>
            <w:r>
              <w:rPr>
                <w:position w:val="-6"/>
                <w:lang w:val="en-GB"/>
              </w:rPr>
              <w:t>2</w:t>
            </w:r>
          </w:p>
        </w:tc>
        <w:tc>
          <w:tcPr>
            <w:tcW w:w="992" w:type="dxa"/>
            <w:tcBorders/>
          </w:tcPr>
          <w:p>
            <w:pPr>
              <w:pStyle w:val="TAC"/>
              <w:rPr>
                <w:lang w:val="en-GB"/>
              </w:rPr>
            </w:pPr>
            <w:r>
              <w:rPr>
                <w:position w:val="-6"/>
                <w:lang w:val="en-GB"/>
              </w:rPr>
              <w:t>2</w:t>
            </w:r>
          </w:p>
        </w:tc>
        <w:tc>
          <w:tcPr>
            <w:tcW w:w="992" w:type="dxa"/>
            <w:tcBorders>
              <w:right w:val="single" w:sz="4" w:space="0" w:color="000000"/>
            </w:tcBorders>
          </w:tcPr>
          <w:p>
            <w:pPr>
              <w:pStyle w:val="TAC"/>
              <w:rPr>
                <w:lang w:val="en-GB"/>
              </w:rPr>
            </w:pPr>
            <w:r>
              <w:rPr>
                <w:position w:val="-6"/>
                <w:lang w:val="en-GB"/>
              </w:rPr>
              <w:t>2</w:t>
            </w:r>
          </w:p>
        </w:tc>
      </w:tr>
      <w:tr>
        <w:trPr>
          <w:trHeight w:val="200" w:hRule="atLeast"/>
        </w:trPr>
        <w:tc>
          <w:tcPr>
            <w:tcW w:w="3510" w:type="dxa"/>
            <w:tcBorders>
              <w:left w:val="single" w:sz="4" w:space="0" w:color="000000"/>
            </w:tcBorders>
          </w:tcPr>
          <w:p>
            <w:pPr>
              <w:pStyle w:val="TAL"/>
              <w:rPr>
                <w:lang w:val="en-GB"/>
              </w:rPr>
            </w:pPr>
            <w:r>
              <w:rPr>
                <w:position w:val="-6"/>
                <w:lang w:val="en-GB"/>
              </w:rPr>
              <w:t>Body Loss  (dB)</w:t>
            </w:r>
          </w:p>
        </w:tc>
        <w:tc>
          <w:tcPr>
            <w:tcW w:w="1134" w:type="dxa"/>
            <w:tcBorders>
              <w:left w:val="single" w:sz="4" w:space="0" w:color="000000"/>
            </w:tcBorders>
          </w:tcPr>
          <w:p>
            <w:pPr>
              <w:pStyle w:val="TAC"/>
              <w:rPr>
                <w:lang w:val="en-GB"/>
              </w:rPr>
            </w:pPr>
            <w:r>
              <w:rPr>
                <w:position w:val="-6"/>
                <w:lang w:val="en-GB"/>
              </w:rPr>
              <w:t>1</w:t>
            </w:r>
          </w:p>
        </w:tc>
        <w:tc>
          <w:tcPr>
            <w:tcW w:w="1276" w:type="dxa"/>
            <w:tcBorders/>
          </w:tcPr>
          <w:p>
            <w:pPr>
              <w:pStyle w:val="TAC"/>
              <w:rPr>
                <w:lang w:val="en-GB"/>
              </w:rPr>
            </w:pPr>
            <w:r>
              <w:rPr>
                <w:position w:val="-6"/>
                <w:lang w:val="en-GB"/>
              </w:rPr>
              <w:t>1</w:t>
            </w:r>
          </w:p>
        </w:tc>
        <w:tc>
          <w:tcPr>
            <w:tcW w:w="1276" w:type="dxa"/>
            <w:tcBorders>
              <w:left w:val="single" w:sz="4" w:space="0" w:color="000000"/>
            </w:tcBorders>
          </w:tcPr>
          <w:p>
            <w:pPr>
              <w:pStyle w:val="TAC"/>
              <w:rPr>
                <w:lang w:val="en-GB"/>
              </w:rPr>
            </w:pPr>
            <w:r>
              <w:rPr>
                <w:position w:val="-6"/>
                <w:lang w:val="en-GB"/>
              </w:rPr>
              <w:t>1</w:t>
            </w:r>
          </w:p>
        </w:tc>
        <w:tc>
          <w:tcPr>
            <w:tcW w:w="992" w:type="dxa"/>
            <w:tcBorders/>
          </w:tcPr>
          <w:p>
            <w:pPr>
              <w:pStyle w:val="TAC"/>
              <w:rPr>
                <w:lang w:val="en-GB"/>
              </w:rPr>
            </w:pPr>
            <w:r>
              <w:rPr>
                <w:position w:val="-6"/>
                <w:lang w:val="en-GB"/>
              </w:rPr>
              <w:t>1</w:t>
            </w:r>
          </w:p>
        </w:tc>
        <w:tc>
          <w:tcPr>
            <w:tcW w:w="992" w:type="dxa"/>
            <w:tcBorders>
              <w:right w:val="single" w:sz="4" w:space="0" w:color="000000"/>
            </w:tcBorders>
          </w:tcPr>
          <w:p>
            <w:pPr>
              <w:pStyle w:val="TAC"/>
              <w:rPr>
                <w:lang w:val="en-GB"/>
              </w:rPr>
            </w:pPr>
            <w:r>
              <w:rPr>
                <w:position w:val="-6"/>
                <w:lang w:val="en-GB"/>
              </w:rPr>
              <w:t>1</w:t>
            </w:r>
          </w:p>
        </w:tc>
      </w:tr>
      <w:tr>
        <w:trPr>
          <w:trHeight w:val="200" w:hRule="atLeast"/>
        </w:trPr>
        <w:tc>
          <w:tcPr>
            <w:tcW w:w="3510" w:type="dxa"/>
            <w:tcBorders>
              <w:left w:val="single" w:sz="4" w:space="0" w:color="000000"/>
            </w:tcBorders>
          </w:tcPr>
          <w:p>
            <w:pPr>
              <w:pStyle w:val="TAL"/>
              <w:snapToGrid w:val="false"/>
              <w:rPr>
                <w:lang w:val="en-GB"/>
              </w:rPr>
            </w:pPr>
            <w:r>
              <w:rPr>
                <w:lang w:val="en-GB"/>
              </w:rPr>
            </w:r>
          </w:p>
        </w:tc>
        <w:tc>
          <w:tcPr>
            <w:tcW w:w="1134" w:type="dxa"/>
            <w:tcBorders>
              <w:left w:val="single" w:sz="4" w:space="0" w:color="000000"/>
            </w:tcBorders>
          </w:tcPr>
          <w:p>
            <w:pPr>
              <w:pStyle w:val="TAC"/>
              <w:snapToGrid w:val="false"/>
              <w:rPr>
                <w:lang w:val="en-GB"/>
              </w:rPr>
            </w:pPr>
            <w:r>
              <w:rPr>
                <w:lang w:val="en-GB"/>
              </w:rPr>
            </w:r>
          </w:p>
        </w:tc>
        <w:tc>
          <w:tcPr>
            <w:tcW w:w="1276" w:type="dxa"/>
            <w:tcBorders/>
          </w:tcPr>
          <w:p>
            <w:pPr>
              <w:pStyle w:val="TAC"/>
              <w:snapToGrid w:val="false"/>
              <w:rPr>
                <w:lang w:val="en-GB"/>
              </w:rPr>
            </w:pPr>
            <w:r>
              <w:rPr>
                <w:lang w:val="en-GB"/>
              </w:rPr>
            </w:r>
          </w:p>
        </w:tc>
        <w:tc>
          <w:tcPr>
            <w:tcW w:w="1276" w:type="dxa"/>
            <w:tcBorders>
              <w:left w:val="single" w:sz="4" w:space="0" w:color="000000"/>
            </w:tcBorders>
          </w:tcPr>
          <w:p>
            <w:pPr>
              <w:pStyle w:val="TAC"/>
              <w:snapToGrid w:val="false"/>
              <w:rPr>
                <w:lang w:val="en-GB"/>
              </w:rPr>
            </w:pPr>
            <w:r>
              <w:rPr>
                <w:lang w:val="en-GB"/>
              </w:rPr>
            </w:r>
          </w:p>
        </w:tc>
        <w:tc>
          <w:tcPr>
            <w:tcW w:w="992" w:type="dxa"/>
            <w:tcBorders/>
          </w:tcPr>
          <w:p>
            <w:pPr>
              <w:pStyle w:val="TAC"/>
              <w:snapToGrid w:val="false"/>
              <w:rPr>
                <w:lang w:val="en-GB"/>
              </w:rPr>
            </w:pPr>
            <w:r>
              <w:rPr>
                <w:lang w:val="en-GB"/>
              </w:rPr>
            </w:r>
          </w:p>
        </w:tc>
        <w:tc>
          <w:tcPr>
            <w:tcW w:w="992" w:type="dxa"/>
            <w:tcBorders>
              <w:right w:val="single" w:sz="4" w:space="0" w:color="000000"/>
            </w:tcBorders>
          </w:tcPr>
          <w:p>
            <w:pPr>
              <w:pStyle w:val="TAC"/>
              <w:snapToGrid w:val="false"/>
              <w:rPr>
                <w:lang w:val="en-GB"/>
              </w:rPr>
            </w:pPr>
            <w:r>
              <w:rPr>
                <w:lang w:val="en-GB"/>
              </w:rPr>
            </w:r>
          </w:p>
        </w:tc>
      </w:tr>
      <w:tr>
        <w:trPr>
          <w:trHeight w:val="200" w:hRule="atLeast"/>
        </w:trPr>
        <w:tc>
          <w:tcPr>
            <w:tcW w:w="3510" w:type="dxa"/>
            <w:tcBorders>
              <w:top w:val="single" w:sz="6" w:space="0" w:color="000000"/>
              <w:left w:val="single" w:sz="4" w:space="0" w:color="000000"/>
              <w:bottom w:val="single" w:sz="4" w:space="0" w:color="000000"/>
            </w:tcBorders>
          </w:tcPr>
          <w:p>
            <w:pPr>
              <w:pStyle w:val="TAL"/>
              <w:rPr>
                <w:lang w:val="en-GB"/>
              </w:rPr>
            </w:pPr>
            <w:r>
              <w:rPr>
                <w:position w:val="-6"/>
                <w:lang w:val="en-GB"/>
              </w:rPr>
              <w:t>Path loss - antenna gain (dB)</w:t>
            </w:r>
          </w:p>
        </w:tc>
        <w:tc>
          <w:tcPr>
            <w:tcW w:w="1134" w:type="dxa"/>
            <w:tcBorders>
              <w:top w:val="single" w:sz="6" w:space="0" w:color="000000"/>
              <w:left w:val="single" w:sz="4" w:space="0" w:color="000000"/>
              <w:bottom w:val="single" w:sz="4" w:space="0" w:color="000000"/>
            </w:tcBorders>
          </w:tcPr>
          <w:p>
            <w:pPr>
              <w:pStyle w:val="TAC"/>
              <w:rPr>
                <w:lang w:val="en-GB"/>
              </w:rPr>
            </w:pPr>
            <w:r>
              <w:rPr>
                <w:position w:val="-6"/>
                <w:lang w:val="en-GB"/>
              </w:rPr>
              <w:t>65</w:t>
            </w:r>
          </w:p>
        </w:tc>
        <w:tc>
          <w:tcPr>
            <w:tcW w:w="1276" w:type="dxa"/>
            <w:tcBorders>
              <w:top w:val="single" w:sz="6" w:space="0" w:color="000000"/>
              <w:bottom w:val="single" w:sz="4" w:space="0" w:color="000000"/>
            </w:tcBorders>
          </w:tcPr>
          <w:p>
            <w:pPr>
              <w:pStyle w:val="TAC"/>
              <w:rPr>
                <w:lang w:val="en-GB"/>
              </w:rPr>
            </w:pPr>
            <w:r>
              <w:rPr>
                <w:position w:val="-6"/>
                <w:lang w:val="en-GB"/>
              </w:rPr>
              <w:t>65</w:t>
            </w:r>
          </w:p>
        </w:tc>
        <w:tc>
          <w:tcPr>
            <w:tcW w:w="1276" w:type="dxa"/>
            <w:tcBorders>
              <w:top w:val="single" w:sz="6" w:space="0" w:color="000000"/>
              <w:left w:val="single" w:sz="4" w:space="0" w:color="000000"/>
              <w:bottom w:val="single" w:sz="4" w:space="0" w:color="000000"/>
            </w:tcBorders>
          </w:tcPr>
          <w:p>
            <w:pPr>
              <w:pStyle w:val="TAC"/>
              <w:rPr>
                <w:lang w:val="en-GB"/>
              </w:rPr>
            </w:pPr>
            <w:r>
              <w:rPr>
                <w:position w:val="-6"/>
                <w:lang w:val="en-GB"/>
              </w:rPr>
              <w:t>53</w:t>
            </w:r>
          </w:p>
        </w:tc>
        <w:tc>
          <w:tcPr>
            <w:tcW w:w="992" w:type="dxa"/>
            <w:tcBorders>
              <w:top w:val="single" w:sz="6" w:space="0" w:color="000000"/>
              <w:bottom w:val="single" w:sz="4" w:space="0" w:color="000000"/>
            </w:tcBorders>
          </w:tcPr>
          <w:p>
            <w:pPr>
              <w:pStyle w:val="TAC"/>
              <w:rPr>
                <w:lang w:val="en-GB"/>
              </w:rPr>
            </w:pPr>
            <w:r>
              <w:rPr>
                <w:position w:val="-6"/>
                <w:lang w:val="en-GB"/>
              </w:rPr>
              <w:t>61</w:t>
            </w:r>
          </w:p>
        </w:tc>
        <w:tc>
          <w:tcPr>
            <w:tcW w:w="992" w:type="dxa"/>
            <w:tcBorders>
              <w:top w:val="single" w:sz="6" w:space="0" w:color="000000"/>
              <w:bottom w:val="single" w:sz="4" w:space="0" w:color="000000"/>
              <w:right w:val="single" w:sz="4" w:space="0" w:color="000000"/>
            </w:tcBorders>
          </w:tcPr>
          <w:p>
            <w:pPr>
              <w:pStyle w:val="TAC"/>
              <w:rPr>
                <w:lang w:val="en-GB"/>
              </w:rPr>
            </w:pPr>
            <w:r>
              <w:rPr>
                <w:position w:val="-6"/>
                <w:lang w:val="en-GB"/>
              </w:rPr>
              <w:t>59</w:t>
            </w:r>
          </w:p>
        </w:tc>
      </w:tr>
    </w:tbl>
    <w:p>
      <w:pPr>
        <w:pStyle w:val="Normal"/>
        <w:rPr/>
      </w:pPr>
      <w:r>
        <w:rPr/>
      </w:r>
    </w:p>
    <w:p>
      <w:pPr>
        <w:pStyle w:val="TH"/>
        <w:rPr/>
      </w:pPr>
      <w:r>
        <w:rPr/>
        <w:t xml:space="preserve">Table </w:t>
      </w:r>
      <w:r>
        <w:rPr>
          <w:lang w:val="en-US" w:eastAsia="en-US"/>
        </w:rPr>
        <w:t>2</w:t>
      </w:r>
      <w:r>
        <w:rPr/>
        <w:t>: Worst case proximity scenarios for GSM900</w:t>
      </w:r>
    </w:p>
    <w:tbl>
      <w:tblPr>
        <w:tblW w:w="9180" w:type="dxa"/>
        <w:jc w:val="center"/>
        <w:tblInd w:w="0" w:type="dxa"/>
        <w:tblLayout w:type="fixed"/>
        <w:tblCellMar>
          <w:top w:w="0" w:type="dxa"/>
          <w:left w:w="28" w:type="dxa"/>
          <w:bottom w:w="0" w:type="dxa"/>
          <w:right w:w="28" w:type="dxa"/>
        </w:tblCellMar>
      </w:tblPr>
      <w:tblGrid>
        <w:gridCol w:w="3510"/>
        <w:gridCol w:w="1134"/>
        <w:gridCol w:w="1276"/>
        <w:gridCol w:w="1276"/>
        <w:gridCol w:w="992"/>
        <w:gridCol w:w="992"/>
      </w:tblGrid>
      <w:tr>
        <w:trPr>
          <w:trHeight w:val="200" w:hRule="atLeast"/>
        </w:trPr>
        <w:tc>
          <w:tcPr>
            <w:tcW w:w="3510" w:type="dxa"/>
            <w:tcBorders>
              <w:top w:val="single" w:sz="4" w:space="0" w:color="000000"/>
              <w:left w:val="single" w:sz="4" w:space="0" w:color="000000"/>
            </w:tcBorders>
          </w:tcPr>
          <w:p>
            <w:pPr>
              <w:pStyle w:val="TAH"/>
              <w:snapToGrid w:val="false"/>
              <w:rPr>
                <w:lang w:eastAsia="en-US"/>
              </w:rPr>
            </w:pPr>
            <w:r>
              <w:rPr>
                <w:lang w:eastAsia="en-US"/>
              </w:rPr>
            </w:r>
          </w:p>
        </w:tc>
        <w:tc>
          <w:tcPr>
            <w:tcW w:w="1134" w:type="dxa"/>
            <w:tcBorders>
              <w:top w:val="single" w:sz="4" w:space="0" w:color="000000"/>
              <w:left w:val="single" w:sz="4" w:space="0" w:color="000000"/>
            </w:tcBorders>
          </w:tcPr>
          <w:p>
            <w:pPr>
              <w:pStyle w:val="TAH"/>
              <w:rPr>
                <w:lang w:eastAsia="en-US"/>
              </w:rPr>
            </w:pPr>
            <w:r>
              <w:rPr>
                <w:lang w:eastAsia="en-US"/>
              </w:rPr>
              <w:t xml:space="preserve">Rural </w:t>
            </w:r>
          </w:p>
        </w:tc>
        <w:tc>
          <w:tcPr>
            <w:tcW w:w="1276" w:type="dxa"/>
            <w:tcBorders>
              <w:top w:val="single" w:sz="4" w:space="0" w:color="000000"/>
            </w:tcBorders>
          </w:tcPr>
          <w:p>
            <w:pPr>
              <w:pStyle w:val="TAH"/>
              <w:snapToGrid w:val="false"/>
              <w:rPr>
                <w:lang w:eastAsia="en-US"/>
              </w:rPr>
            </w:pPr>
            <w:r>
              <w:rPr>
                <w:lang w:eastAsia="en-US"/>
              </w:rPr>
            </w:r>
          </w:p>
        </w:tc>
        <w:tc>
          <w:tcPr>
            <w:tcW w:w="1276" w:type="dxa"/>
            <w:tcBorders>
              <w:top w:val="single" w:sz="4" w:space="0" w:color="000000"/>
              <w:left w:val="single" w:sz="4" w:space="0" w:color="000000"/>
            </w:tcBorders>
          </w:tcPr>
          <w:p>
            <w:pPr>
              <w:pStyle w:val="TAH"/>
              <w:rPr>
                <w:lang w:eastAsia="en-US"/>
              </w:rPr>
            </w:pPr>
            <w:r>
              <w:rPr>
                <w:lang w:eastAsia="en-US"/>
              </w:rPr>
              <w:t>Urban</w:t>
            </w:r>
          </w:p>
        </w:tc>
        <w:tc>
          <w:tcPr>
            <w:tcW w:w="992" w:type="dxa"/>
            <w:tcBorders>
              <w:top w:val="single" w:sz="4" w:space="0" w:color="000000"/>
            </w:tcBorders>
          </w:tcPr>
          <w:p>
            <w:pPr>
              <w:pStyle w:val="TAH"/>
              <w:snapToGrid w:val="false"/>
              <w:rPr>
                <w:lang w:eastAsia="en-US"/>
              </w:rPr>
            </w:pPr>
            <w:r>
              <w:rPr>
                <w:lang w:eastAsia="en-US"/>
              </w:rPr>
            </w:r>
          </w:p>
        </w:tc>
        <w:tc>
          <w:tcPr>
            <w:tcW w:w="992" w:type="dxa"/>
            <w:tcBorders>
              <w:top w:val="single" w:sz="4" w:space="0" w:color="000000"/>
              <w:right w:val="single" w:sz="4" w:space="0" w:color="000000"/>
            </w:tcBorders>
          </w:tcPr>
          <w:p>
            <w:pPr>
              <w:pStyle w:val="TAH"/>
              <w:snapToGrid w:val="false"/>
              <w:rPr>
                <w:lang w:eastAsia="en-US"/>
              </w:rPr>
            </w:pPr>
            <w:r>
              <w:rPr>
                <w:lang w:eastAsia="en-US"/>
              </w:rPr>
            </w:r>
          </w:p>
        </w:tc>
      </w:tr>
      <w:tr>
        <w:trPr>
          <w:trHeight w:val="200" w:hRule="atLeast"/>
        </w:trPr>
        <w:tc>
          <w:tcPr>
            <w:tcW w:w="3510" w:type="dxa"/>
            <w:tcBorders>
              <w:left w:val="single" w:sz="4" w:space="0" w:color="000000"/>
            </w:tcBorders>
          </w:tcPr>
          <w:p>
            <w:pPr>
              <w:pStyle w:val="TAH"/>
              <w:snapToGrid w:val="false"/>
              <w:rPr>
                <w:lang w:eastAsia="en-US"/>
              </w:rPr>
            </w:pPr>
            <w:r>
              <w:rPr>
                <w:lang w:eastAsia="en-US"/>
              </w:rPr>
            </w:r>
          </w:p>
        </w:tc>
        <w:tc>
          <w:tcPr>
            <w:tcW w:w="1134" w:type="dxa"/>
            <w:tcBorders>
              <w:left w:val="single" w:sz="4" w:space="0" w:color="000000"/>
            </w:tcBorders>
          </w:tcPr>
          <w:p>
            <w:pPr>
              <w:pStyle w:val="TAH"/>
              <w:rPr>
                <w:lang w:eastAsia="en-US"/>
              </w:rPr>
            </w:pPr>
            <w:r>
              <w:rPr>
                <w:lang w:eastAsia="en-US"/>
              </w:rPr>
              <w:t>Street</w:t>
            </w:r>
          </w:p>
        </w:tc>
        <w:tc>
          <w:tcPr>
            <w:tcW w:w="1276" w:type="dxa"/>
            <w:tcBorders/>
          </w:tcPr>
          <w:p>
            <w:pPr>
              <w:pStyle w:val="TAH"/>
              <w:rPr>
                <w:lang w:eastAsia="en-US"/>
              </w:rPr>
            </w:pPr>
            <w:r>
              <w:rPr>
                <w:lang w:eastAsia="en-US"/>
              </w:rPr>
              <w:t>Building</w:t>
            </w:r>
          </w:p>
        </w:tc>
        <w:tc>
          <w:tcPr>
            <w:tcW w:w="1276" w:type="dxa"/>
            <w:tcBorders>
              <w:left w:val="single" w:sz="4" w:space="0" w:color="000000"/>
            </w:tcBorders>
          </w:tcPr>
          <w:p>
            <w:pPr>
              <w:pStyle w:val="TAH"/>
              <w:rPr>
                <w:lang w:eastAsia="en-US"/>
              </w:rPr>
            </w:pPr>
            <w:r>
              <w:rPr>
                <w:lang w:eastAsia="en-US"/>
              </w:rPr>
              <w:t>Street</w:t>
            </w:r>
          </w:p>
        </w:tc>
        <w:tc>
          <w:tcPr>
            <w:tcW w:w="992" w:type="dxa"/>
            <w:tcBorders/>
          </w:tcPr>
          <w:p>
            <w:pPr>
              <w:pStyle w:val="TAH"/>
              <w:rPr>
                <w:lang w:eastAsia="en-US"/>
              </w:rPr>
            </w:pPr>
            <w:r>
              <w:rPr>
                <w:lang w:eastAsia="en-US"/>
              </w:rPr>
              <w:t>Building</w:t>
            </w:r>
          </w:p>
        </w:tc>
        <w:tc>
          <w:tcPr>
            <w:tcW w:w="992" w:type="dxa"/>
            <w:tcBorders>
              <w:right w:val="single" w:sz="4" w:space="0" w:color="000000"/>
            </w:tcBorders>
          </w:tcPr>
          <w:p>
            <w:pPr>
              <w:pStyle w:val="TAH"/>
              <w:rPr>
                <w:lang w:eastAsia="en-US"/>
              </w:rPr>
            </w:pPr>
            <w:r>
              <w:rPr>
                <w:lang w:eastAsia="en-US"/>
              </w:rPr>
              <w:t xml:space="preserve">Street </w:t>
            </w:r>
          </w:p>
        </w:tc>
      </w:tr>
      <w:tr>
        <w:trPr>
          <w:trHeight w:val="200" w:hRule="atLeast"/>
        </w:trPr>
        <w:tc>
          <w:tcPr>
            <w:tcW w:w="3510" w:type="dxa"/>
            <w:tcBorders>
              <w:left w:val="single" w:sz="4" w:space="0" w:color="000000"/>
              <w:bottom w:val="single" w:sz="6" w:space="0" w:color="000000"/>
            </w:tcBorders>
          </w:tcPr>
          <w:p>
            <w:pPr>
              <w:pStyle w:val="TAH"/>
              <w:snapToGrid w:val="false"/>
              <w:rPr>
                <w:lang w:eastAsia="en-US"/>
              </w:rPr>
            </w:pPr>
            <w:r>
              <w:rPr>
                <w:lang w:eastAsia="en-US"/>
              </w:rPr>
            </w:r>
          </w:p>
        </w:tc>
        <w:tc>
          <w:tcPr>
            <w:tcW w:w="1134" w:type="dxa"/>
            <w:tcBorders>
              <w:left w:val="single" w:sz="4" w:space="0" w:color="000000"/>
              <w:bottom w:val="single" w:sz="6" w:space="0" w:color="000000"/>
            </w:tcBorders>
          </w:tcPr>
          <w:p>
            <w:pPr>
              <w:pStyle w:val="TAH"/>
              <w:snapToGrid w:val="false"/>
              <w:rPr>
                <w:lang w:eastAsia="en-US"/>
              </w:rPr>
            </w:pPr>
            <w:r>
              <w:rPr>
                <w:lang w:eastAsia="en-US"/>
              </w:rPr>
            </w:r>
          </w:p>
        </w:tc>
        <w:tc>
          <w:tcPr>
            <w:tcW w:w="1276" w:type="dxa"/>
            <w:tcBorders>
              <w:bottom w:val="single" w:sz="6" w:space="0" w:color="000000"/>
            </w:tcBorders>
          </w:tcPr>
          <w:p>
            <w:pPr>
              <w:pStyle w:val="TAH"/>
              <w:rPr>
                <w:lang w:eastAsia="en-US"/>
              </w:rPr>
            </w:pPr>
            <w:r>
              <w:rPr>
                <w:lang w:eastAsia="en-US"/>
              </w:rPr>
              <w:t>(note 1)</w:t>
            </w:r>
          </w:p>
        </w:tc>
        <w:tc>
          <w:tcPr>
            <w:tcW w:w="1276" w:type="dxa"/>
            <w:tcBorders>
              <w:left w:val="single" w:sz="4" w:space="0" w:color="000000"/>
              <w:bottom w:val="single" w:sz="6" w:space="0" w:color="000000"/>
            </w:tcBorders>
          </w:tcPr>
          <w:p>
            <w:pPr>
              <w:pStyle w:val="TAH"/>
              <w:snapToGrid w:val="false"/>
              <w:rPr>
                <w:lang w:eastAsia="en-US"/>
              </w:rPr>
            </w:pPr>
            <w:r>
              <w:rPr>
                <w:lang w:eastAsia="en-US"/>
              </w:rPr>
            </w:r>
          </w:p>
        </w:tc>
        <w:tc>
          <w:tcPr>
            <w:tcW w:w="992" w:type="dxa"/>
            <w:tcBorders>
              <w:bottom w:val="single" w:sz="6" w:space="0" w:color="000000"/>
            </w:tcBorders>
          </w:tcPr>
          <w:p>
            <w:pPr>
              <w:pStyle w:val="TAH"/>
              <w:rPr>
                <w:lang w:eastAsia="en-US"/>
              </w:rPr>
            </w:pPr>
            <w:r>
              <w:rPr>
                <w:lang w:eastAsia="en-US"/>
              </w:rPr>
              <w:t>(note 1)</w:t>
            </w:r>
          </w:p>
        </w:tc>
        <w:tc>
          <w:tcPr>
            <w:tcW w:w="992" w:type="dxa"/>
            <w:tcBorders>
              <w:bottom w:val="single" w:sz="6" w:space="0" w:color="000000"/>
              <w:right w:val="single" w:sz="4" w:space="0" w:color="000000"/>
            </w:tcBorders>
          </w:tcPr>
          <w:p>
            <w:pPr>
              <w:pStyle w:val="TAH"/>
              <w:snapToGrid w:val="false"/>
              <w:rPr>
                <w:lang w:eastAsia="en-US"/>
              </w:rPr>
            </w:pPr>
            <w:r>
              <w:rPr>
                <w:lang w:eastAsia="en-US"/>
              </w:rPr>
            </w:r>
          </w:p>
        </w:tc>
      </w:tr>
      <w:tr>
        <w:trPr>
          <w:trHeight w:val="200" w:hRule="atLeast"/>
        </w:trPr>
        <w:tc>
          <w:tcPr>
            <w:tcW w:w="3510" w:type="dxa"/>
            <w:tcBorders>
              <w:left w:val="single" w:sz="4" w:space="0" w:color="000000"/>
            </w:tcBorders>
          </w:tcPr>
          <w:p>
            <w:pPr>
              <w:pStyle w:val="TAL"/>
              <w:rPr/>
            </w:pPr>
            <w:r>
              <w:rPr>
                <w:lang w:val="en-GB"/>
              </w:rPr>
              <w:t>BTS height, H</w:t>
            </w:r>
            <w:r>
              <w:rPr>
                <w:position w:val="-6"/>
                <w:lang w:val="en-GB"/>
              </w:rPr>
              <w:t>b</w:t>
            </w:r>
            <w:r>
              <w:rPr>
                <w:lang w:val="en-GB"/>
              </w:rPr>
              <w:t xml:space="preserve"> (m)</w:t>
            </w:r>
          </w:p>
        </w:tc>
        <w:tc>
          <w:tcPr>
            <w:tcW w:w="1134" w:type="dxa"/>
            <w:tcBorders>
              <w:left w:val="single" w:sz="4" w:space="0" w:color="000000"/>
            </w:tcBorders>
          </w:tcPr>
          <w:p>
            <w:pPr>
              <w:pStyle w:val="TAC"/>
              <w:rPr>
                <w:lang w:val="en-GB"/>
              </w:rPr>
            </w:pPr>
            <w:r>
              <w:rPr>
                <w:lang w:val="en-GB"/>
              </w:rPr>
              <w:t>20</w:t>
            </w:r>
          </w:p>
        </w:tc>
        <w:tc>
          <w:tcPr>
            <w:tcW w:w="1276" w:type="dxa"/>
            <w:tcBorders/>
          </w:tcPr>
          <w:p>
            <w:pPr>
              <w:pStyle w:val="TAC"/>
              <w:rPr>
                <w:lang w:val="en-GB"/>
              </w:rPr>
            </w:pPr>
            <w:r>
              <w:rPr>
                <w:lang w:val="en-GB"/>
              </w:rPr>
              <w:t>15</w:t>
            </w:r>
          </w:p>
        </w:tc>
        <w:tc>
          <w:tcPr>
            <w:tcW w:w="1276" w:type="dxa"/>
            <w:tcBorders>
              <w:left w:val="single" w:sz="4" w:space="0" w:color="000000"/>
            </w:tcBorders>
          </w:tcPr>
          <w:p>
            <w:pPr>
              <w:pStyle w:val="TAC"/>
              <w:rPr>
                <w:lang w:val="en-GB"/>
              </w:rPr>
            </w:pPr>
            <w:r>
              <w:rPr>
                <w:lang w:val="en-GB"/>
              </w:rPr>
              <w:t>15</w:t>
            </w:r>
          </w:p>
        </w:tc>
        <w:tc>
          <w:tcPr>
            <w:tcW w:w="992" w:type="dxa"/>
            <w:tcBorders/>
          </w:tcPr>
          <w:p>
            <w:pPr>
              <w:pStyle w:val="TAC"/>
              <w:rPr>
                <w:lang w:val="en-GB"/>
              </w:rPr>
            </w:pPr>
            <w:r>
              <w:rPr>
                <w:lang w:val="en-GB"/>
              </w:rPr>
              <w:t>30</w:t>
            </w:r>
          </w:p>
        </w:tc>
        <w:tc>
          <w:tcPr>
            <w:tcW w:w="992" w:type="dxa"/>
            <w:tcBorders>
              <w:right w:val="single" w:sz="4" w:space="0" w:color="000000"/>
            </w:tcBorders>
          </w:tcPr>
          <w:p>
            <w:pPr>
              <w:pStyle w:val="TAC"/>
              <w:rPr>
                <w:lang w:val="en-GB"/>
              </w:rPr>
            </w:pPr>
            <w:r>
              <w:rPr>
                <w:lang w:val="en-GB"/>
              </w:rPr>
              <w:t>30</w:t>
            </w:r>
          </w:p>
        </w:tc>
      </w:tr>
      <w:tr>
        <w:trPr>
          <w:trHeight w:val="200" w:hRule="atLeast"/>
        </w:trPr>
        <w:tc>
          <w:tcPr>
            <w:tcW w:w="3510" w:type="dxa"/>
            <w:tcBorders>
              <w:left w:val="single" w:sz="4" w:space="0" w:color="000000"/>
            </w:tcBorders>
          </w:tcPr>
          <w:p>
            <w:pPr>
              <w:pStyle w:val="TAL"/>
              <w:rPr/>
            </w:pPr>
            <w:r>
              <w:rPr>
                <w:lang w:val="en-GB"/>
              </w:rPr>
              <w:t>MS height, H</w:t>
            </w:r>
            <w:r>
              <w:rPr>
                <w:position w:val="-6"/>
                <w:lang w:val="en-GB"/>
              </w:rPr>
              <w:t>m</w:t>
            </w:r>
            <w:r>
              <w:rPr>
                <w:lang w:val="en-GB"/>
              </w:rPr>
              <w:t xml:space="preserve"> (m)</w:t>
            </w:r>
          </w:p>
        </w:tc>
        <w:tc>
          <w:tcPr>
            <w:tcW w:w="1134" w:type="dxa"/>
            <w:tcBorders>
              <w:left w:val="single" w:sz="4" w:space="0" w:color="000000"/>
            </w:tcBorders>
          </w:tcPr>
          <w:p>
            <w:pPr>
              <w:pStyle w:val="TAC"/>
              <w:rPr>
                <w:lang w:val="en-GB"/>
              </w:rPr>
            </w:pPr>
            <w:r>
              <w:rPr>
                <w:lang w:val="en-GB"/>
              </w:rPr>
              <w:t>1.5</w:t>
            </w:r>
          </w:p>
        </w:tc>
        <w:tc>
          <w:tcPr>
            <w:tcW w:w="1276" w:type="dxa"/>
            <w:tcBorders/>
          </w:tcPr>
          <w:p>
            <w:pPr>
              <w:pStyle w:val="TAC"/>
              <w:rPr>
                <w:lang w:val="en-GB"/>
              </w:rPr>
            </w:pPr>
            <w:r>
              <w:rPr>
                <w:lang w:val="en-GB"/>
              </w:rPr>
              <w:t>15</w:t>
            </w:r>
          </w:p>
        </w:tc>
        <w:tc>
          <w:tcPr>
            <w:tcW w:w="1276" w:type="dxa"/>
            <w:tcBorders>
              <w:left w:val="single" w:sz="4" w:space="0" w:color="000000"/>
            </w:tcBorders>
          </w:tcPr>
          <w:p>
            <w:pPr>
              <w:pStyle w:val="TAC"/>
              <w:rPr>
                <w:lang w:val="en-GB"/>
              </w:rPr>
            </w:pPr>
            <w:r>
              <w:rPr>
                <w:lang w:val="en-GB"/>
              </w:rPr>
              <w:t>1.5</w:t>
            </w:r>
          </w:p>
        </w:tc>
        <w:tc>
          <w:tcPr>
            <w:tcW w:w="992" w:type="dxa"/>
            <w:tcBorders/>
          </w:tcPr>
          <w:p>
            <w:pPr>
              <w:pStyle w:val="TAC"/>
              <w:rPr>
                <w:lang w:val="en-GB"/>
              </w:rPr>
            </w:pPr>
            <w:r>
              <w:rPr>
                <w:lang w:val="en-GB"/>
              </w:rPr>
              <w:t>20</w:t>
            </w:r>
          </w:p>
        </w:tc>
        <w:tc>
          <w:tcPr>
            <w:tcW w:w="992" w:type="dxa"/>
            <w:tcBorders>
              <w:right w:val="single" w:sz="4" w:space="0" w:color="000000"/>
            </w:tcBorders>
          </w:tcPr>
          <w:p>
            <w:pPr>
              <w:pStyle w:val="TAC"/>
              <w:rPr>
                <w:lang w:val="en-GB"/>
              </w:rPr>
            </w:pPr>
            <w:r>
              <w:rPr>
                <w:lang w:val="en-GB"/>
              </w:rPr>
              <w:t>1.5</w:t>
            </w:r>
          </w:p>
        </w:tc>
      </w:tr>
      <w:tr>
        <w:trPr>
          <w:trHeight w:val="200" w:hRule="atLeast"/>
        </w:trPr>
        <w:tc>
          <w:tcPr>
            <w:tcW w:w="3510" w:type="dxa"/>
            <w:tcBorders>
              <w:left w:val="single" w:sz="4" w:space="0" w:color="000000"/>
            </w:tcBorders>
          </w:tcPr>
          <w:p>
            <w:pPr>
              <w:pStyle w:val="TAL"/>
              <w:rPr>
                <w:lang w:val="en-GB"/>
              </w:rPr>
            </w:pPr>
            <w:r>
              <w:rPr>
                <w:position w:val="-6"/>
                <w:lang w:val="en-GB"/>
              </w:rPr>
              <w:t>Horizontal separation (m) (note 4)</w:t>
            </w:r>
          </w:p>
        </w:tc>
        <w:tc>
          <w:tcPr>
            <w:tcW w:w="1134" w:type="dxa"/>
            <w:tcBorders>
              <w:left w:val="single" w:sz="4" w:space="0" w:color="000000"/>
            </w:tcBorders>
          </w:tcPr>
          <w:p>
            <w:pPr>
              <w:pStyle w:val="TAC"/>
              <w:rPr>
                <w:lang w:val="en-GB"/>
              </w:rPr>
            </w:pPr>
            <w:r>
              <w:rPr>
                <w:position w:val="-6"/>
                <w:lang w:val="en-GB"/>
              </w:rPr>
              <w:t>30</w:t>
            </w:r>
          </w:p>
        </w:tc>
        <w:tc>
          <w:tcPr>
            <w:tcW w:w="1276" w:type="dxa"/>
            <w:tcBorders/>
          </w:tcPr>
          <w:p>
            <w:pPr>
              <w:pStyle w:val="TAC"/>
              <w:rPr>
                <w:lang w:val="en-GB"/>
              </w:rPr>
            </w:pPr>
            <w:r>
              <w:rPr>
                <w:position w:val="-6"/>
                <w:lang w:val="en-GB"/>
              </w:rPr>
              <w:t>30</w:t>
            </w:r>
          </w:p>
        </w:tc>
        <w:tc>
          <w:tcPr>
            <w:tcW w:w="1276" w:type="dxa"/>
            <w:tcBorders>
              <w:left w:val="single" w:sz="4" w:space="0" w:color="000000"/>
            </w:tcBorders>
          </w:tcPr>
          <w:p>
            <w:pPr>
              <w:pStyle w:val="TAC"/>
              <w:rPr>
                <w:lang w:val="en-GB"/>
              </w:rPr>
            </w:pPr>
            <w:r>
              <w:rPr>
                <w:position w:val="-6"/>
                <w:lang w:val="en-GB"/>
              </w:rPr>
              <w:t>15</w:t>
            </w:r>
          </w:p>
        </w:tc>
        <w:tc>
          <w:tcPr>
            <w:tcW w:w="992" w:type="dxa"/>
            <w:tcBorders/>
          </w:tcPr>
          <w:p>
            <w:pPr>
              <w:pStyle w:val="TAC"/>
              <w:rPr>
                <w:lang w:val="en-GB"/>
              </w:rPr>
            </w:pPr>
            <w:r>
              <w:rPr>
                <w:position w:val="-6"/>
                <w:lang w:val="en-GB"/>
              </w:rPr>
              <w:t>60</w:t>
            </w:r>
          </w:p>
        </w:tc>
        <w:tc>
          <w:tcPr>
            <w:tcW w:w="992" w:type="dxa"/>
            <w:tcBorders>
              <w:right w:val="single" w:sz="4" w:space="0" w:color="000000"/>
            </w:tcBorders>
          </w:tcPr>
          <w:p>
            <w:pPr>
              <w:pStyle w:val="TAC"/>
              <w:rPr>
                <w:lang w:val="en-GB"/>
              </w:rPr>
            </w:pPr>
            <w:r>
              <w:rPr>
                <w:position w:val="-6"/>
                <w:lang w:val="en-GB"/>
              </w:rPr>
              <w:t>15</w:t>
            </w:r>
          </w:p>
        </w:tc>
      </w:tr>
      <w:tr>
        <w:trPr>
          <w:trHeight w:val="200" w:hRule="atLeast"/>
        </w:trPr>
        <w:tc>
          <w:tcPr>
            <w:tcW w:w="3510" w:type="dxa"/>
            <w:tcBorders>
              <w:left w:val="single" w:sz="4" w:space="0" w:color="000000"/>
            </w:tcBorders>
          </w:tcPr>
          <w:p>
            <w:pPr>
              <w:pStyle w:val="TAL"/>
              <w:rPr/>
            </w:pPr>
            <w:r>
              <w:rPr>
                <w:lang w:val="en-GB"/>
              </w:rPr>
              <w:t>BTS antenna gain, G</w:t>
            </w:r>
            <w:r>
              <w:rPr>
                <w:position w:val="-6"/>
                <w:lang w:val="en-GB"/>
              </w:rPr>
              <w:t xml:space="preserve">b </w:t>
            </w:r>
            <w:r>
              <w:rPr>
                <w:lang w:val="en-GB"/>
              </w:rPr>
              <w:t>(dB) (note 2)</w:t>
            </w:r>
          </w:p>
        </w:tc>
        <w:tc>
          <w:tcPr>
            <w:tcW w:w="1134" w:type="dxa"/>
            <w:tcBorders>
              <w:left w:val="single" w:sz="4" w:space="0" w:color="000000"/>
            </w:tcBorders>
          </w:tcPr>
          <w:p>
            <w:pPr>
              <w:pStyle w:val="TAC"/>
              <w:rPr>
                <w:lang w:val="en-GB"/>
              </w:rPr>
            </w:pPr>
            <w:r>
              <w:rPr>
                <w:lang w:val="en-GB"/>
              </w:rPr>
              <w:t>18</w:t>
            </w:r>
          </w:p>
        </w:tc>
        <w:tc>
          <w:tcPr>
            <w:tcW w:w="1276" w:type="dxa"/>
            <w:tcBorders/>
          </w:tcPr>
          <w:p>
            <w:pPr>
              <w:pStyle w:val="TAC"/>
              <w:rPr>
                <w:lang w:val="en-GB"/>
              </w:rPr>
            </w:pPr>
            <w:r>
              <w:rPr>
                <w:lang w:val="en-GB"/>
              </w:rPr>
              <w:t>10</w:t>
            </w:r>
          </w:p>
        </w:tc>
        <w:tc>
          <w:tcPr>
            <w:tcW w:w="1276" w:type="dxa"/>
            <w:tcBorders>
              <w:left w:val="single" w:sz="4" w:space="0" w:color="000000"/>
            </w:tcBorders>
          </w:tcPr>
          <w:p>
            <w:pPr>
              <w:pStyle w:val="TAC"/>
              <w:rPr>
                <w:lang w:val="en-GB"/>
              </w:rPr>
            </w:pPr>
            <w:r>
              <w:rPr>
                <w:lang w:val="en-GB"/>
              </w:rPr>
              <w:t>10</w:t>
            </w:r>
          </w:p>
        </w:tc>
        <w:tc>
          <w:tcPr>
            <w:tcW w:w="992" w:type="dxa"/>
            <w:tcBorders/>
          </w:tcPr>
          <w:p>
            <w:pPr>
              <w:pStyle w:val="TAC"/>
              <w:rPr>
                <w:lang w:val="en-GB"/>
              </w:rPr>
            </w:pPr>
            <w:r>
              <w:rPr>
                <w:lang w:val="en-GB"/>
              </w:rPr>
              <w:t>18</w:t>
            </w:r>
          </w:p>
        </w:tc>
        <w:tc>
          <w:tcPr>
            <w:tcW w:w="992" w:type="dxa"/>
            <w:tcBorders>
              <w:right w:val="single" w:sz="4" w:space="0" w:color="000000"/>
            </w:tcBorders>
          </w:tcPr>
          <w:p>
            <w:pPr>
              <w:pStyle w:val="TAC"/>
              <w:rPr>
                <w:lang w:val="en-GB"/>
              </w:rPr>
            </w:pPr>
            <w:r>
              <w:rPr>
                <w:lang w:val="en-GB"/>
              </w:rPr>
              <w:t>18</w:t>
            </w:r>
          </w:p>
        </w:tc>
      </w:tr>
      <w:tr>
        <w:trPr>
          <w:trHeight w:val="200" w:hRule="atLeast"/>
        </w:trPr>
        <w:tc>
          <w:tcPr>
            <w:tcW w:w="3510" w:type="dxa"/>
            <w:tcBorders>
              <w:left w:val="single" w:sz="4" w:space="0" w:color="000000"/>
            </w:tcBorders>
          </w:tcPr>
          <w:p>
            <w:pPr>
              <w:pStyle w:val="TAL"/>
              <w:rPr/>
            </w:pPr>
            <w:r>
              <w:rPr>
                <w:lang w:val="en-GB"/>
              </w:rPr>
              <w:t>BTS antenna gain, G'</w:t>
            </w:r>
            <w:r>
              <w:rPr>
                <w:position w:val="-6"/>
                <w:lang w:val="en-GB"/>
              </w:rPr>
              <w:t>b</w:t>
            </w:r>
            <w:r>
              <w:rPr>
                <w:lang w:val="en-GB"/>
              </w:rPr>
              <w:t xml:space="preserve"> (dB) (note 3)</w:t>
            </w:r>
          </w:p>
        </w:tc>
        <w:tc>
          <w:tcPr>
            <w:tcW w:w="1134" w:type="dxa"/>
            <w:tcBorders>
              <w:left w:val="single" w:sz="4" w:space="0" w:color="000000"/>
            </w:tcBorders>
          </w:tcPr>
          <w:p>
            <w:pPr>
              <w:pStyle w:val="TAC"/>
              <w:rPr>
                <w:lang w:val="en-GB"/>
              </w:rPr>
            </w:pPr>
            <w:r>
              <w:rPr>
                <w:lang w:val="en-GB"/>
              </w:rPr>
              <w:t>0</w:t>
            </w:r>
          </w:p>
        </w:tc>
        <w:tc>
          <w:tcPr>
            <w:tcW w:w="1276" w:type="dxa"/>
            <w:tcBorders/>
          </w:tcPr>
          <w:p>
            <w:pPr>
              <w:pStyle w:val="TAC"/>
              <w:rPr>
                <w:lang w:val="en-GB"/>
              </w:rPr>
            </w:pPr>
            <w:r>
              <w:rPr>
                <w:lang w:val="en-GB"/>
              </w:rPr>
              <w:t>10</w:t>
            </w:r>
          </w:p>
        </w:tc>
        <w:tc>
          <w:tcPr>
            <w:tcW w:w="1276" w:type="dxa"/>
            <w:tcBorders>
              <w:left w:val="single" w:sz="4" w:space="0" w:color="000000"/>
            </w:tcBorders>
          </w:tcPr>
          <w:p>
            <w:pPr>
              <w:pStyle w:val="TAC"/>
              <w:rPr>
                <w:lang w:val="en-GB"/>
              </w:rPr>
            </w:pPr>
            <w:r>
              <w:rPr>
                <w:lang w:val="en-GB"/>
              </w:rPr>
              <w:t>2</w:t>
            </w:r>
          </w:p>
        </w:tc>
        <w:tc>
          <w:tcPr>
            <w:tcW w:w="992" w:type="dxa"/>
            <w:tcBorders/>
          </w:tcPr>
          <w:p>
            <w:pPr>
              <w:pStyle w:val="TAC"/>
              <w:rPr>
                <w:lang w:val="en-GB"/>
              </w:rPr>
            </w:pPr>
            <w:r>
              <w:rPr>
                <w:lang w:val="en-GB"/>
              </w:rPr>
              <w:t>13</w:t>
            </w:r>
          </w:p>
        </w:tc>
        <w:tc>
          <w:tcPr>
            <w:tcW w:w="992" w:type="dxa"/>
            <w:tcBorders>
              <w:right w:val="single" w:sz="4" w:space="0" w:color="000000"/>
            </w:tcBorders>
          </w:tcPr>
          <w:p>
            <w:pPr>
              <w:pStyle w:val="TAC"/>
              <w:rPr>
                <w:lang w:val="en-GB"/>
              </w:rPr>
            </w:pPr>
            <w:r>
              <w:rPr>
                <w:lang w:val="en-GB"/>
              </w:rPr>
              <w:t>0</w:t>
            </w:r>
          </w:p>
        </w:tc>
      </w:tr>
      <w:tr>
        <w:trPr>
          <w:trHeight w:val="200" w:hRule="atLeast"/>
        </w:trPr>
        <w:tc>
          <w:tcPr>
            <w:tcW w:w="3510" w:type="dxa"/>
            <w:tcBorders>
              <w:left w:val="single" w:sz="4" w:space="0" w:color="000000"/>
            </w:tcBorders>
          </w:tcPr>
          <w:p>
            <w:pPr>
              <w:pStyle w:val="TAL"/>
              <w:rPr/>
            </w:pPr>
            <w:r>
              <w:rPr>
                <w:lang w:val="en-GB"/>
              </w:rPr>
              <w:t>MS antenna gain, G</w:t>
            </w:r>
            <w:r>
              <w:rPr>
                <w:position w:val="-6"/>
                <w:lang w:val="en-GB"/>
              </w:rPr>
              <w:t xml:space="preserve">m </w:t>
            </w:r>
            <w:r>
              <w:rPr>
                <w:lang w:val="en-GB"/>
              </w:rPr>
              <w:t>(dB)</w:t>
            </w:r>
          </w:p>
        </w:tc>
        <w:tc>
          <w:tcPr>
            <w:tcW w:w="1134" w:type="dxa"/>
            <w:tcBorders>
              <w:left w:val="single" w:sz="4" w:space="0" w:color="000000"/>
            </w:tcBorders>
          </w:tcPr>
          <w:p>
            <w:pPr>
              <w:pStyle w:val="TAC"/>
              <w:rPr>
                <w:lang w:val="en-GB"/>
              </w:rPr>
            </w:pPr>
            <w:r>
              <w:rPr>
                <w:lang w:val="en-GB"/>
              </w:rPr>
              <w:t>0</w:t>
            </w:r>
          </w:p>
        </w:tc>
        <w:tc>
          <w:tcPr>
            <w:tcW w:w="1276" w:type="dxa"/>
            <w:tcBorders/>
          </w:tcPr>
          <w:p>
            <w:pPr>
              <w:pStyle w:val="TAC"/>
              <w:rPr>
                <w:lang w:val="en-GB"/>
              </w:rPr>
            </w:pPr>
            <w:r>
              <w:rPr>
                <w:lang w:val="en-GB"/>
              </w:rPr>
              <w:t>0</w:t>
            </w:r>
          </w:p>
        </w:tc>
        <w:tc>
          <w:tcPr>
            <w:tcW w:w="1276" w:type="dxa"/>
            <w:tcBorders>
              <w:left w:val="single" w:sz="4" w:space="0" w:color="000000"/>
            </w:tcBorders>
          </w:tcPr>
          <w:p>
            <w:pPr>
              <w:pStyle w:val="TAC"/>
              <w:rPr>
                <w:lang w:val="en-GB"/>
              </w:rPr>
            </w:pPr>
            <w:r>
              <w:rPr>
                <w:lang w:val="en-GB"/>
              </w:rPr>
              <w:t>0</w:t>
            </w:r>
          </w:p>
        </w:tc>
        <w:tc>
          <w:tcPr>
            <w:tcW w:w="992" w:type="dxa"/>
            <w:tcBorders/>
          </w:tcPr>
          <w:p>
            <w:pPr>
              <w:pStyle w:val="TAC"/>
              <w:rPr>
                <w:lang w:val="en-GB"/>
              </w:rPr>
            </w:pPr>
            <w:r>
              <w:rPr>
                <w:lang w:val="en-GB"/>
              </w:rPr>
              <w:t>0</w:t>
            </w:r>
          </w:p>
        </w:tc>
        <w:tc>
          <w:tcPr>
            <w:tcW w:w="992" w:type="dxa"/>
            <w:tcBorders>
              <w:right w:val="single" w:sz="4" w:space="0" w:color="000000"/>
            </w:tcBorders>
          </w:tcPr>
          <w:p>
            <w:pPr>
              <w:pStyle w:val="TAC"/>
              <w:rPr>
                <w:lang w:val="en-GB"/>
              </w:rPr>
            </w:pPr>
            <w:r>
              <w:rPr>
                <w:lang w:val="en-GB"/>
              </w:rPr>
              <w:t>0</w:t>
            </w:r>
          </w:p>
        </w:tc>
      </w:tr>
      <w:tr>
        <w:trPr>
          <w:trHeight w:val="200" w:hRule="atLeast"/>
        </w:trPr>
        <w:tc>
          <w:tcPr>
            <w:tcW w:w="3510" w:type="dxa"/>
            <w:tcBorders>
              <w:left w:val="single" w:sz="4" w:space="0" w:color="000000"/>
            </w:tcBorders>
          </w:tcPr>
          <w:p>
            <w:pPr>
              <w:pStyle w:val="TAL"/>
              <w:rPr>
                <w:lang w:val="en-GB"/>
              </w:rPr>
            </w:pPr>
            <w:r>
              <w:rPr>
                <w:position w:val="-6"/>
                <w:lang w:val="en-GB"/>
              </w:rPr>
              <w:t>Path loss into building (dB)</w:t>
            </w:r>
          </w:p>
        </w:tc>
        <w:tc>
          <w:tcPr>
            <w:tcW w:w="1134" w:type="dxa"/>
            <w:tcBorders>
              <w:left w:val="single" w:sz="4" w:space="0" w:color="000000"/>
            </w:tcBorders>
          </w:tcPr>
          <w:p>
            <w:pPr>
              <w:pStyle w:val="TAC"/>
              <w:snapToGrid w:val="false"/>
              <w:rPr>
                <w:lang w:val="en-GB"/>
              </w:rPr>
            </w:pPr>
            <w:r>
              <w:rPr>
                <w:lang w:val="en-GB"/>
              </w:rPr>
            </w:r>
          </w:p>
        </w:tc>
        <w:tc>
          <w:tcPr>
            <w:tcW w:w="1276" w:type="dxa"/>
            <w:tcBorders/>
          </w:tcPr>
          <w:p>
            <w:pPr>
              <w:pStyle w:val="TAC"/>
              <w:rPr>
                <w:lang w:val="en-GB"/>
              </w:rPr>
            </w:pPr>
            <w:r>
              <w:rPr>
                <w:position w:val="-6"/>
                <w:lang w:val="en-GB"/>
              </w:rPr>
              <w:t>6</w:t>
            </w:r>
          </w:p>
        </w:tc>
        <w:tc>
          <w:tcPr>
            <w:tcW w:w="1276" w:type="dxa"/>
            <w:tcBorders>
              <w:left w:val="single" w:sz="4" w:space="0" w:color="000000"/>
            </w:tcBorders>
          </w:tcPr>
          <w:p>
            <w:pPr>
              <w:pStyle w:val="TAC"/>
              <w:snapToGrid w:val="false"/>
              <w:rPr>
                <w:lang w:val="en-GB"/>
              </w:rPr>
            </w:pPr>
            <w:r>
              <w:rPr>
                <w:lang w:val="en-GB"/>
              </w:rPr>
            </w:r>
          </w:p>
        </w:tc>
        <w:tc>
          <w:tcPr>
            <w:tcW w:w="992" w:type="dxa"/>
            <w:tcBorders/>
          </w:tcPr>
          <w:p>
            <w:pPr>
              <w:pStyle w:val="TAC"/>
              <w:rPr>
                <w:lang w:val="en-GB"/>
              </w:rPr>
            </w:pPr>
            <w:r>
              <w:rPr>
                <w:position w:val="-6"/>
                <w:lang w:val="en-GB"/>
              </w:rPr>
              <w:t>6</w:t>
            </w:r>
          </w:p>
        </w:tc>
        <w:tc>
          <w:tcPr>
            <w:tcW w:w="992" w:type="dxa"/>
            <w:tcBorders>
              <w:right w:val="single" w:sz="4" w:space="0" w:color="000000"/>
            </w:tcBorders>
          </w:tcPr>
          <w:p>
            <w:pPr>
              <w:pStyle w:val="TAC"/>
              <w:snapToGrid w:val="false"/>
              <w:rPr>
                <w:lang w:val="en-GB"/>
              </w:rPr>
            </w:pPr>
            <w:r>
              <w:rPr>
                <w:lang w:val="en-GB"/>
              </w:rPr>
            </w:r>
          </w:p>
        </w:tc>
      </w:tr>
      <w:tr>
        <w:trPr>
          <w:trHeight w:val="200" w:hRule="atLeast"/>
        </w:trPr>
        <w:tc>
          <w:tcPr>
            <w:tcW w:w="3510" w:type="dxa"/>
            <w:tcBorders>
              <w:left w:val="single" w:sz="4" w:space="0" w:color="000000"/>
            </w:tcBorders>
          </w:tcPr>
          <w:p>
            <w:pPr>
              <w:pStyle w:val="TAL"/>
              <w:rPr>
                <w:lang w:val="en-GB"/>
              </w:rPr>
            </w:pPr>
            <w:r>
              <w:rPr>
                <w:position w:val="-6"/>
                <w:lang w:val="en-GB"/>
              </w:rPr>
              <w:t>Cable/Connector Loss (dB)</w:t>
            </w:r>
          </w:p>
        </w:tc>
        <w:tc>
          <w:tcPr>
            <w:tcW w:w="1134" w:type="dxa"/>
            <w:tcBorders>
              <w:left w:val="single" w:sz="4" w:space="0" w:color="000000"/>
            </w:tcBorders>
          </w:tcPr>
          <w:p>
            <w:pPr>
              <w:pStyle w:val="TAC"/>
              <w:rPr>
                <w:lang w:val="en-GB"/>
              </w:rPr>
            </w:pPr>
            <w:r>
              <w:rPr>
                <w:position w:val="-6"/>
                <w:lang w:val="en-GB"/>
              </w:rPr>
              <w:t>2</w:t>
            </w:r>
          </w:p>
        </w:tc>
        <w:tc>
          <w:tcPr>
            <w:tcW w:w="1276" w:type="dxa"/>
            <w:tcBorders/>
          </w:tcPr>
          <w:p>
            <w:pPr>
              <w:pStyle w:val="TAC"/>
              <w:rPr>
                <w:lang w:val="en-GB"/>
              </w:rPr>
            </w:pPr>
            <w:r>
              <w:rPr>
                <w:position w:val="-6"/>
                <w:lang w:val="en-GB"/>
              </w:rPr>
              <w:t>2</w:t>
            </w:r>
          </w:p>
        </w:tc>
        <w:tc>
          <w:tcPr>
            <w:tcW w:w="1276" w:type="dxa"/>
            <w:tcBorders>
              <w:left w:val="single" w:sz="4" w:space="0" w:color="000000"/>
            </w:tcBorders>
          </w:tcPr>
          <w:p>
            <w:pPr>
              <w:pStyle w:val="TAC"/>
              <w:rPr>
                <w:lang w:val="en-GB"/>
              </w:rPr>
            </w:pPr>
            <w:r>
              <w:rPr>
                <w:position w:val="-6"/>
                <w:lang w:val="en-GB"/>
              </w:rPr>
              <w:t>2</w:t>
            </w:r>
          </w:p>
        </w:tc>
        <w:tc>
          <w:tcPr>
            <w:tcW w:w="992" w:type="dxa"/>
            <w:tcBorders/>
          </w:tcPr>
          <w:p>
            <w:pPr>
              <w:pStyle w:val="TAC"/>
              <w:rPr>
                <w:lang w:val="en-GB"/>
              </w:rPr>
            </w:pPr>
            <w:r>
              <w:rPr>
                <w:position w:val="-6"/>
                <w:lang w:val="en-GB"/>
              </w:rPr>
              <w:t>2</w:t>
            </w:r>
          </w:p>
        </w:tc>
        <w:tc>
          <w:tcPr>
            <w:tcW w:w="992" w:type="dxa"/>
            <w:tcBorders>
              <w:right w:val="single" w:sz="4" w:space="0" w:color="000000"/>
            </w:tcBorders>
          </w:tcPr>
          <w:p>
            <w:pPr>
              <w:pStyle w:val="TAC"/>
              <w:rPr>
                <w:lang w:val="en-GB"/>
              </w:rPr>
            </w:pPr>
            <w:r>
              <w:rPr>
                <w:position w:val="-6"/>
                <w:lang w:val="en-GB"/>
              </w:rPr>
              <w:t>2</w:t>
            </w:r>
          </w:p>
        </w:tc>
      </w:tr>
      <w:tr>
        <w:trPr>
          <w:trHeight w:val="200" w:hRule="atLeast"/>
        </w:trPr>
        <w:tc>
          <w:tcPr>
            <w:tcW w:w="3510" w:type="dxa"/>
            <w:tcBorders>
              <w:left w:val="single" w:sz="4" w:space="0" w:color="000000"/>
            </w:tcBorders>
          </w:tcPr>
          <w:p>
            <w:pPr>
              <w:pStyle w:val="TAL"/>
              <w:rPr>
                <w:lang w:val="en-GB"/>
              </w:rPr>
            </w:pPr>
            <w:r>
              <w:rPr>
                <w:position w:val="-6"/>
                <w:lang w:val="en-GB"/>
              </w:rPr>
              <w:t>Body Loss  (dB)</w:t>
            </w:r>
          </w:p>
        </w:tc>
        <w:tc>
          <w:tcPr>
            <w:tcW w:w="1134" w:type="dxa"/>
            <w:tcBorders>
              <w:left w:val="single" w:sz="4" w:space="0" w:color="000000"/>
            </w:tcBorders>
          </w:tcPr>
          <w:p>
            <w:pPr>
              <w:pStyle w:val="TAC"/>
              <w:rPr>
                <w:lang w:val="en-GB"/>
              </w:rPr>
            </w:pPr>
            <w:r>
              <w:rPr>
                <w:position w:val="-6"/>
                <w:lang w:val="en-GB"/>
              </w:rPr>
              <w:t>1</w:t>
            </w:r>
          </w:p>
        </w:tc>
        <w:tc>
          <w:tcPr>
            <w:tcW w:w="1276" w:type="dxa"/>
            <w:tcBorders/>
          </w:tcPr>
          <w:p>
            <w:pPr>
              <w:pStyle w:val="TAC"/>
              <w:rPr>
                <w:lang w:val="en-GB"/>
              </w:rPr>
            </w:pPr>
            <w:r>
              <w:rPr>
                <w:position w:val="-6"/>
                <w:lang w:val="en-GB"/>
              </w:rPr>
              <w:t>1</w:t>
            </w:r>
          </w:p>
        </w:tc>
        <w:tc>
          <w:tcPr>
            <w:tcW w:w="1276" w:type="dxa"/>
            <w:tcBorders>
              <w:left w:val="single" w:sz="4" w:space="0" w:color="000000"/>
            </w:tcBorders>
          </w:tcPr>
          <w:p>
            <w:pPr>
              <w:pStyle w:val="TAC"/>
              <w:rPr>
                <w:lang w:val="en-GB"/>
              </w:rPr>
            </w:pPr>
            <w:r>
              <w:rPr>
                <w:position w:val="-6"/>
                <w:lang w:val="en-GB"/>
              </w:rPr>
              <w:t>1</w:t>
            </w:r>
          </w:p>
        </w:tc>
        <w:tc>
          <w:tcPr>
            <w:tcW w:w="992" w:type="dxa"/>
            <w:tcBorders/>
          </w:tcPr>
          <w:p>
            <w:pPr>
              <w:pStyle w:val="TAC"/>
              <w:rPr>
                <w:lang w:val="en-GB"/>
              </w:rPr>
            </w:pPr>
            <w:r>
              <w:rPr>
                <w:position w:val="-6"/>
                <w:lang w:val="en-GB"/>
              </w:rPr>
              <w:t>1</w:t>
            </w:r>
          </w:p>
        </w:tc>
        <w:tc>
          <w:tcPr>
            <w:tcW w:w="992" w:type="dxa"/>
            <w:tcBorders>
              <w:right w:val="single" w:sz="4" w:space="0" w:color="000000"/>
            </w:tcBorders>
          </w:tcPr>
          <w:p>
            <w:pPr>
              <w:pStyle w:val="TAC"/>
              <w:rPr>
                <w:lang w:val="en-GB"/>
              </w:rPr>
            </w:pPr>
            <w:r>
              <w:rPr>
                <w:position w:val="-6"/>
                <w:lang w:val="en-GB"/>
              </w:rPr>
              <w:t>1</w:t>
            </w:r>
          </w:p>
        </w:tc>
      </w:tr>
      <w:tr>
        <w:trPr>
          <w:trHeight w:val="200" w:hRule="atLeast"/>
        </w:trPr>
        <w:tc>
          <w:tcPr>
            <w:tcW w:w="3510" w:type="dxa"/>
            <w:tcBorders>
              <w:left w:val="single" w:sz="4" w:space="0" w:color="000000"/>
            </w:tcBorders>
          </w:tcPr>
          <w:p>
            <w:pPr>
              <w:pStyle w:val="TAL"/>
              <w:snapToGrid w:val="false"/>
              <w:rPr>
                <w:lang w:val="en-GB"/>
              </w:rPr>
            </w:pPr>
            <w:r>
              <w:rPr>
                <w:lang w:val="en-GB"/>
              </w:rPr>
            </w:r>
          </w:p>
        </w:tc>
        <w:tc>
          <w:tcPr>
            <w:tcW w:w="1134" w:type="dxa"/>
            <w:tcBorders>
              <w:left w:val="single" w:sz="4" w:space="0" w:color="000000"/>
            </w:tcBorders>
          </w:tcPr>
          <w:p>
            <w:pPr>
              <w:pStyle w:val="TAC"/>
              <w:snapToGrid w:val="false"/>
              <w:rPr>
                <w:lang w:val="en-GB"/>
              </w:rPr>
            </w:pPr>
            <w:r>
              <w:rPr>
                <w:lang w:val="en-GB"/>
              </w:rPr>
            </w:r>
          </w:p>
        </w:tc>
        <w:tc>
          <w:tcPr>
            <w:tcW w:w="1276" w:type="dxa"/>
            <w:tcBorders/>
          </w:tcPr>
          <w:p>
            <w:pPr>
              <w:pStyle w:val="TAC"/>
              <w:snapToGrid w:val="false"/>
              <w:rPr>
                <w:lang w:val="en-GB"/>
              </w:rPr>
            </w:pPr>
            <w:r>
              <w:rPr>
                <w:lang w:val="en-GB"/>
              </w:rPr>
            </w:r>
          </w:p>
        </w:tc>
        <w:tc>
          <w:tcPr>
            <w:tcW w:w="1276" w:type="dxa"/>
            <w:tcBorders>
              <w:left w:val="single" w:sz="4" w:space="0" w:color="000000"/>
            </w:tcBorders>
          </w:tcPr>
          <w:p>
            <w:pPr>
              <w:pStyle w:val="TAC"/>
              <w:snapToGrid w:val="false"/>
              <w:rPr>
                <w:lang w:val="en-GB"/>
              </w:rPr>
            </w:pPr>
            <w:r>
              <w:rPr>
                <w:lang w:val="en-GB"/>
              </w:rPr>
            </w:r>
          </w:p>
        </w:tc>
        <w:tc>
          <w:tcPr>
            <w:tcW w:w="992" w:type="dxa"/>
            <w:tcBorders/>
          </w:tcPr>
          <w:p>
            <w:pPr>
              <w:pStyle w:val="TAC"/>
              <w:snapToGrid w:val="false"/>
              <w:rPr>
                <w:lang w:val="en-GB"/>
              </w:rPr>
            </w:pPr>
            <w:r>
              <w:rPr>
                <w:lang w:val="en-GB"/>
              </w:rPr>
            </w:r>
          </w:p>
        </w:tc>
        <w:tc>
          <w:tcPr>
            <w:tcW w:w="992" w:type="dxa"/>
            <w:tcBorders>
              <w:right w:val="single" w:sz="4" w:space="0" w:color="000000"/>
            </w:tcBorders>
          </w:tcPr>
          <w:p>
            <w:pPr>
              <w:pStyle w:val="TAC"/>
              <w:snapToGrid w:val="false"/>
              <w:rPr>
                <w:lang w:val="en-GB"/>
              </w:rPr>
            </w:pPr>
            <w:r>
              <w:rPr>
                <w:lang w:val="en-GB"/>
              </w:rPr>
            </w:r>
          </w:p>
        </w:tc>
      </w:tr>
      <w:tr>
        <w:trPr>
          <w:trHeight w:val="200" w:hRule="atLeast"/>
        </w:trPr>
        <w:tc>
          <w:tcPr>
            <w:tcW w:w="3510" w:type="dxa"/>
            <w:tcBorders>
              <w:top w:val="single" w:sz="6" w:space="0" w:color="000000"/>
              <w:left w:val="single" w:sz="4" w:space="0" w:color="000000"/>
              <w:bottom w:val="single" w:sz="4" w:space="0" w:color="000000"/>
            </w:tcBorders>
          </w:tcPr>
          <w:p>
            <w:pPr>
              <w:pStyle w:val="TAL"/>
              <w:rPr>
                <w:lang w:val="en-GB"/>
              </w:rPr>
            </w:pPr>
            <w:r>
              <w:rPr>
                <w:position w:val="-6"/>
                <w:lang w:val="en-GB"/>
              </w:rPr>
              <w:t>Path loss - antenna gain (dB)</w:t>
            </w:r>
          </w:p>
        </w:tc>
        <w:tc>
          <w:tcPr>
            <w:tcW w:w="1134" w:type="dxa"/>
            <w:tcBorders>
              <w:top w:val="single" w:sz="6" w:space="0" w:color="000000"/>
              <w:left w:val="single" w:sz="4" w:space="0" w:color="000000"/>
              <w:bottom w:val="single" w:sz="4" w:space="0" w:color="000000"/>
            </w:tcBorders>
          </w:tcPr>
          <w:p>
            <w:pPr>
              <w:pStyle w:val="TAC"/>
              <w:rPr>
                <w:lang w:val="en-GB"/>
              </w:rPr>
            </w:pPr>
            <w:r>
              <w:rPr>
                <w:position w:val="-6"/>
                <w:lang w:val="en-GB"/>
              </w:rPr>
              <w:t>65</w:t>
            </w:r>
          </w:p>
        </w:tc>
        <w:tc>
          <w:tcPr>
            <w:tcW w:w="1276" w:type="dxa"/>
            <w:tcBorders>
              <w:top w:val="single" w:sz="6" w:space="0" w:color="000000"/>
              <w:bottom w:val="single" w:sz="4" w:space="0" w:color="000000"/>
            </w:tcBorders>
          </w:tcPr>
          <w:p>
            <w:pPr>
              <w:pStyle w:val="TAC"/>
              <w:rPr>
                <w:lang w:val="en-GB"/>
              </w:rPr>
            </w:pPr>
            <w:r>
              <w:rPr>
                <w:position w:val="-6"/>
                <w:lang w:val="en-GB"/>
              </w:rPr>
              <w:t>60</w:t>
            </w:r>
          </w:p>
        </w:tc>
        <w:tc>
          <w:tcPr>
            <w:tcW w:w="1276" w:type="dxa"/>
            <w:tcBorders>
              <w:top w:val="single" w:sz="6" w:space="0" w:color="000000"/>
              <w:left w:val="single" w:sz="4" w:space="0" w:color="000000"/>
              <w:bottom w:val="single" w:sz="4" w:space="0" w:color="000000"/>
            </w:tcBorders>
          </w:tcPr>
          <w:p>
            <w:pPr>
              <w:pStyle w:val="TAC"/>
              <w:rPr>
                <w:lang w:val="en-GB"/>
              </w:rPr>
            </w:pPr>
            <w:r>
              <w:rPr>
                <w:position w:val="-6"/>
                <w:lang w:val="en-GB"/>
              </w:rPr>
              <w:t>59</w:t>
            </w:r>
          </w:p>
        </w:tc>
        <w:tc>
          <w:tcPr>
            <w:tcW w:w="992" w:type="dxa"/>
            <w:tcBorders>
              <w:top w:val="single" w:sz="6" w:space="0" w:color="000000"/>
              <w:bottom w:val="single" w:sz="4" w:space="0" w:color="000000"/>
            </w:tcBorders>
          </w:tcPr>
          <w:p>
            <w:pPr>
              <w:pStyle w:val="TAC"/>
              <w:rPr>
                <w:lang w:val="en-GB"/>
              </w:rPr>
            </w:pPr>
            <w:r>
              <w:rPr>
                <w:position w:val="-6"/>
                <w:lang w:val="en-GB"/>
              </w:rPr>
              <w:t>63</w:t>
            </w:r>
          </w:p>
        </w:tc>
        <w:tc>
          <w:tcPr>
            <w:tcW w:w="992" w:type="dxa"/>
            <w:tcBorders>
              <w:top w:val="single" w:sz="6" w:space="0" w:color="000000"/>
              <w:bottom w:val="single" w:sz="4" w:space="0" w:color="000000"/>
              <w:right w:val="single" w:sz="4" w:space="0" w:color="000000"/>
            </w:tcBorders>
          </w:tcPr>
          <w:p>
            <w:pPr>
              <w:pStyle w:val="TAC"/>
              <w:rPr>
                <w:lang w:val="en-GB"/>
              </w:rPr>
            </w:pPr>
            <w:r>
              <w:rPr>
                <w:position w:val="-6"/>
                <w:lang w:val="en-GB"/>
              </w:rPr>
              <w:t>65</w:t>
            </w:r>
          </w:p>
        </w:tc>
      </w:tr>
    </w:tbl>
    <w:p>
      <w:pPr>
        <w:pStyle w:val="Normal"/>
        <w:rPr/>
      </w:pPr>
      <w:r>
        <w:rPr/>
      </w:r>
    </w:p>
    <w:p>
      <w:pPr>
        <w:pStyle w:val="NO"/>
        <w:rPr/>
      </w:pPr>
      <w:r>
        <w:rPr/>
        <w:t>NOTE 1:</w:t>
        <w:tab/>
        <w:t>Handset at height H</w:t>
      </w:r>
      <w:r>
        <w:rPr>
          <w:position w:val="-6"/>
        </w:rPr>
        <w:t>m</w:t>
      </w:r>
      <w:r>
        <w:rPr/>
        <w:t xml:space="preserve"> in building.</w:t>
      </w:r>
    </w:p>
    <w:p>
      <w:pPr>
        <w:pStyle w:val="NO"/>
        <w:rPr/>
      </w:pPr>
      <w:r>
        <w:rPr/>
        <w:t>NOTE 2:</w:t>
        <w:tab/>
        <w:t>Bore-sight gain.</w:t>
      </w:r>
    </w:p>
    <w:p>
      <w:pPr>
        <w:pStyle w:val="NO"/>
        <w:rPr/>
      </w:pPr>
      <w:r>
        <w:rPr/>
        <w:t>NOTE 3:</w:t>
        <w:tab/>
        <w:t>Gain in direction of MS.</w:t>
      </w:r>
    </w:p>
    <w:p>
      <w:pPr>
        <w:pStyle w:val="NO"/>
        <w:rPr/>
      </w:pPr>
      <w:r>
        <w:rPr/>
        <w:t>NOTE 4:</w:t>
        <w:tab/>
        <w:t>Horizontal separation between MS and BTS.</w:t>
      </w:r>
    </w:p>
    <w:p>
      <w:pPr>
        <w:pStyle w:val="Normal"/>
        <w:rPr/>
      </w:pPr>
      <w:r>
        <w:rPr/>
        <w:t>Path loss is assumed to be free space i.e. 25,5 + 20 log d(m) dB for GSM400 systems and 31,5 + 20 log d(m) dB for GSM900 systems, where d is the length of the sloping line connecting the transmit and receive antennas. The coupling loss is defined between antenna connectors. The transmitter power and receiver sensitivity is measured at the respective antenna connectors.</w:t>
      </w:r>
    </w:p>
    <w:p>
      <w:pPr>
        <w:pStyle w:val="Normal"/>
        <w:rPr/>
      </w:pPr>
      <w:r>
        <w:rPr/>
        <w:t>Coupling between BTSs may result either from the co-siting of BTSs or from several BTSs in close proximity with directional antenna. The minimum coupling loss between BTSs is assumed to be 30 dB. This is defined as the loss between the transmitter combiner output and the receiver multi-coupler input.</w:t>
      </w:r>
    </w:p>
    <w:p>
      <w:pPr>
        <w:pStyle w:val="Normal"/>
        <w:rPr/>
      </w:pPr>
      <w:r>
        <w:rPr/>
        <w:t>GSM400 systems are targeted to offer large coverage in rural areas. It is reasonable to assume that BTS heights in rural area are higher than in urban area thus minimum coupling loss (MCL) value of 65 dB between BTS and MS is valid assumption in rural areas. For GSM900 system scenario calculations performed earlier dense urban area MCL value of 59 dB was used. With the identical scenario GSM400 systems will provide 6 dB less MCL thus resulting into the value 53 dB.</w:t>
      </w:r>
    </w:p>
    <w:p>
      <w:pPr>
        <w:pStyle w:val="Normal"/>
        <w:rPr/>
      </w:pPr>
      <w:r>
        <w:rPr/>
        <w:t>MS to MS close proximity MCL for DCS1800 was 40,5 dB and 6 dB less for GSM900. Straightforward calculation suggests using MCL of 28,5 dB for the worst case MS to MS scenario. Recent measures indicate that body loss for small hand sets is rather 10 dB than 1 dB (GSM 05.50 V6.0.2 annex H). By using this higher body loss factor worst case scenario requirements were much milder.</w:t>
      </w:r>
    </w:p>
    <w:p>
      <w:pPr>
        <w:pStyle w:val="Normal"/>
        <w:rPr/>
      </w:pPr>
      <w:r>
        <w:rPr/>
        <w:t>It can be concluded that worst case scenario requirements for GSM400 systems are in some cases 6 dB tighter than for GSM900. This must be considered in cellular planning recommendation GSM 03.30. It may be necessary to recommend to utilise lower output power at GSM400 band BTSs in dense urban area if MCL can be very small (i.e. low antenna heights). This is not a drawback anyway while we remember that a useful carrier too has a smaller path loss at lower frequencies, thus reduced output power is gained back and coverage for urban cells can be maintained the same as at higher bands.</w:t>
      </w:r>
    </w:p>
    <w:p>
      <w:pPr>
        <w:pStyle w:val="Normal"/>
        <w:rPr/>
      </w:pPr>
      <w:r>
        <w:rPr/>
        <w:t>Worst case scenarios usually involve a "near/far" problem of some kind, the component scenario assumptions as given in the scenarios paper for "near" and "far" can be summarised as follows.</w:t>
      </w:r>
    </w:p>
    <w:p>
      <w:pPr>
        <w:pStyle w:val="TH"/>
        <w:rPr/>
      </w:pPr>
      <w:r>
        <w:rPr/>
      </w:r>
    </w:p>
    <w:tbl>
      <w:tblPr>
        <w:tblW w:w="3091" w:type="dxa"/>
        <w:jc w:val="center"/>
        <w:tblInd w:w="0" w:type="dxa"/>
        <w:tblLayout w:type="fixed"/>
        <w:tblCellMar>
          <w:top w:w="0" w:type="dxa"/>
          <w:left w:w="28" w:type="dxa"/>
          <w:bottom w:w="0" w:type="dxa"/>
          <w:right w:w="28" w:type="dxa"/>
        </w:tblCellMar>
      </w:tblPr>
      <w:tblGrid>
        <w:gridCol w:w="1545"/>
        <w:gridCol w:w="1546"/>
      </w:tblGrid>
      <w:tr>
        <w:trPr/>
        <w:tc>
          <w:tcPr>
            <w:tcW w:w="154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"Near"</w:t>
            </w:r>
          </w:p>
        </w:tc>
        <w:tc>
          <w:tcPr>
            <w:tcW w:w="154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MCL [dB]</w:t>
            </w:r>
          </w:p>
        </w:tc>
      </w:tr>
      <w:tr>
        <w:trPr/>
        <w:tc>
          <w:tcPr>
            <w:tcW w:w="154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BTS -&gt; MS</w:t>
            </w:r>
          </w:p>
        </w:tc>
        <w:tc>
          <w:tcPr>
            <w:tcW w:w="1546"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53</w:t>
            </w:r>
          </w:p>
        </w:tc>
      </w:tr>
      <w:tr>
        <w:trPr/>
        <w:tc>
          <w:tcPr>
            <w:tcW w:w="154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MS -&gt; BTS</w:t>
            </w:r>
          </w:p>
        </w:tc>
        <w:tc>
          <w:tcPr>
            <w:tcW w:w="1546"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53</w:t>
            </w:r>
          </w:p>
        </w:tc>
      </w:tr>
      <w:tr>
        <w:trPr/>
        <w:tc>
          <w:tcPr>
            <w:tcW w:w="154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MS -&gt; MS</w:t>
            </w:r>
          </w:p>
        </w:tc>
        <w:tc>
          <w:tcPr>
            <w:tcW w:w="1546"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28.5</w:t>
            </w:r>
          </w:p>
        </w:tc>
      </w:tr>
      <w:tr>
        <w:trPr/>
        <w:tc>
          <w:tcPr>
            <w:tcW w:w="154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BTS -&gt; BTS</w:t>
            </w:r>
          </w:p>
        </w:tc>
        <w:tc>
          <w:tcPr>
            <w:tcW w:w="1546"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30</w:t>
            </w:r>
          </w:p>
        </w:tc>
      </w:tr>
    </w:tbl>
    <w:p>
      <w:pPr>
        <w:pStyle w:val="FP"/>
        <w:rPr/>
      </w:pPr>
      <w:r>
        <w:rPr/>
      </w:r>
    </w:p>
    <w:p>
      <w:pPr>
        <w:pStyle w:val="TH"/>
        <w:rPr/>
      </w:pPr>
      <w:r>
        <w:rPr/>
      </w:r>
    </w:p>
    <w:tbl>
      <w:tblPr>
        <w:tblW w:w="4071" w:type="dxa"/>
        <w:jc w:val="center"/>
        <w:tblInd w:w="0" w:type="dxa"/>
        <w:tblLayout w:type="fixed"/>
        <w:tblCellMar>
          <w:top w:w="0" w:type="dxa"/>
          <w:left w:w="28" w:type="dxa"/>
          <w:bottom w:w="0" w:type="dxa"/>
          <w:right w:w="28" w:type="dxa"/>
        </w:tblCellMar>
      </w:tblPr>
      <w:tblGrid>
        <w:gridCol w:w="1357"/>
        <w:gridCol w:w="1357"/>
        <w:gridCol w:w="1357"/>
      </w:tblGrid>
      <w:tr>
        <w:trPr/>
        <w:tc>
          <w:tcPr>
            <w:tcW w:w="13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"Far"</w:t>
            </w:r>
          </w:p>
        </w:tc>
        <w:tc>
          <w:tcPr>
            <w:tcW w:w="13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TX power [dBm]</w:t>
            </w:r>
          </w:p>
        </w:tc>
        <w:tc>
          <w:tcPr>
            <w:tcW w:w="13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RX Sensitivity [dBm]</w:t>
            </w:r>
          </w:p>
        </w:tc>
      </w:tr>
      <w:tr>
        <w:trPr/>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BTS</w:t>
            </w:r>
          </w:p>
        </w:tc>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39</w:t>
            </w:r>
          </w:p>
        </w:tc>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-104</w:t>
            </w:r>
          </w:p>
        </w:tc>
      </w:tr>
      <w:tr>
        <w:trPr/>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MS</w:t>
            </w:r>
          </w:p>
        </w:tc>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33</w:t>
            </w:r>
          </w:p>
        </w:tc>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-102</w:t>
            </w:r>
          </w:p>
        </w:tc>
      </w:tr>
    </w:tbl>
    <w:p>
      <w:pPr>
        <w:pStyle w:val="FP"/>
        <w:rPr/>
      </w:pPr>
      <w:r>
        <w:rPr/>
      </w:r>
    </w:p>
    <w:p>
      <w:pPr>
        <w:pStyle w:val="Normal"/>
        <w:rPr/>
      </w:pPr>
      <w:r>
        <w:rPr/>
        <w:t>Other parameters used in scenario calculations are:</w:t>
      </w:r>
    </w:p>
    <w:p>
      <w:pPr>
        <w:pStyle w:val="TH"/>
        <w:rPr/>
      </w:pPr>
      <w:r>
        <w:rPr/>
      </w:r>
    </w:p>
    <w:tbl>
      <w:tblPr>
        <w:tblW w:w="5774" w:type="dxa"/>
        <w:jc w:val="center"/>
        <w:tblInd w:w="0" w:type="dxa"/>
        <w:tblLayout w:type="fixed"/>
        <w:tblCellMar>
          <w:top w:w="0" w:type="dxa"/>
          <w:left w:w="108" w:type="dxa"/>
          <w:bottom w:w="0" w:type="dxa"/>
          <w:right w:w="108" w:type="dxa"/>
        </w:tblCellMar>
      </w:tblPr>
      <w:tblGrid>
        <w:gridCol w:w="3506"/>
        <w:gridCol w:w="2268"/>
      </w:tblGrid>
      <w:tr>
        <w:trPr/>
        <w:tc>
          <w:tcPr>
            <w:tcW w:w="350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Value [dB]</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power control range</w:t>
            </w:r>
          </w:p>
        </w:tc>
        <w:tc>
          <w:tcPr>
            <w:tcW w:w="22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power control range</w:t>
            </w:r>
          </w:p>
        </w:tc>
        <w:tc>
          <w:tcPr>
            <w:tcW w:w="22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26</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C/I margin</w:t>
            </w:r>
          </w:p>
        </w:tc>
        <w:tc>
          <w:tcPr>
            <w:tcW w:w="22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Multiple interferers margin (MIM)</w:t>
            </w:r>
          </w:p>
        </w:tc>
        <w:tc>
          <w:tcPr>
            <w:tcW w:w="22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Transient margin</w:t>
            </w:r>
          </w:p>
        </w:tc>
        <w:tc>
          <w:tcPr>
            <w:tcW w:w="22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Margin for other IM's</w:t>
            </w:r>
          </w:p>
        </w:tc>
        <w:tc>
          <w:tcPr>
            <w:tcW w:w="22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r>
    </w:tbl>
    <w:p>
      <w:pPr>
        <w:pStyle w:val="FP"/>
        <w:rPr/>
      </w:pPr>
      <w:r>
        <w:rPr/>
      </w:r>
    </w:p>
    <w:p>
      <w:pPr>
        <w:pStyle w:val="Normal"/>
        <w:rPr/>
      </w:pPr>
      <w:r>
        <w:rPr/>
        <w:t>It can be speculated that MIM for GSM400 should be lower than 10 dB because of lesser amount of carriers, but as was stated in the beginning GSM900 system scenario calculation parameters are chosen for comparison reasons.</w:t>
      </w:r>
    </w:p>
    <w:p>
      <w:pPr>
        <w:pStyle w:val="Heading1"/>
        <w:ind w:left="1134" w:hanging="1134"/>
        <w:rPr/>
      </w:pPr>
      <w:bookmarkStart w:id="510" w:name="__RefHeading___Toc518035928"/>
      <w:bookmarkEnd w:id="510"/>
      <w:r>
        <w:rPr/>
        <w:t>T.3</w:t>
        <w:tab/>
        <w:t>Worst Case Scenario Requirements</w:t>
      </w:r>
    </w:p>
    <w:p>
      <w:pPr>
        <w:pStyle w:val="Heading2"/>
        <w:rPr/>
      </w:pPr>
      <w:bookmarkStart w:id="511" w:name="__RefHeading___Toc518035929"/>
      <w:bookmarkEnd w:id="511"/>
      <w:r>
        <w:rPr/>
        <w:t>T.3.1</w:t>
        <w:tab/>
        <w:t>Transmitter</w:t>
      </w:r>
    </w:p>
    <w:p>
      <w:pPr>
        <w:pStyle w:val="Heading3"/>
        <w:rPr/>
      </w:pPr>
      <w:bookmarkStart w:id="512" w:name="__RefHeading___Toc518035930"/>
      <w:bookmarkEnd w:id="512"/>
      <w:r>
        <w:rPr/>
        <w:t>T.3.1.1</w:t>
        <w:tab/>
        <w:t>Modulation, Spurs and noise</w:t>
      </w:r>
    </w:p>
    <w:p>
      <w:pPr>
        <w:pStyle w:val="Heading4"/>
        <w:ind w:left="1418" w:hanging="1418"/>
        <w:rPr/>
      </w:pPr>
      <w:bookmarkStart w:id="513" w:name="__RefHeading___Toc518035931"/>
      <w:r>
        <w:rPr/>
        <w:t>T.3.1.1.1</w:t>
        <w:tab/>
        <w:t>Co-ordinated BTS -&gt; MS</w:t>
      </w:r>
      <w:bookmarkEnd w:id="513"/>
      <w:r>
        <w:rPr/>
        <w:t xml:space="preserve"> </w:t>
      </w:r>
    </w:p>
    <w:p>
      <w:pPr>
        <w:pStyle w:val="Normal"/>
        <w:rPr/>
      </w:pPr>
      <w:r>
        <w:rPr/>
        <w:t xml:space="preserve">Max. Tx noise level in Rx bandwidth = [BTS power] - [Power control range] - [C/I margin] - [MIM] = </w:t>
        <w:br/>
        <w:t xml:space="preserve">39 </w:t>
        <w:noBreakHyphen/>
        <w:t xml:space="preserve"> 30 </w:t>
        <w:noBreakHyphen/>
        <w:t xml:space="preserve"> 9 </w:t>
        <w:noBreakHyphen/>
        <w:t xml:space="preserve">10 = </w:t>
      </w:r>
      <w:r>
        <w:rPr>
          <w:b/>
        </w:rPr>
        <w:t>- 10 dBm</w:t>
      </w:r>
    </w:p>
    <w:p>
      <w:pPr>
        <w:pStyle w:val="Heading4"/>
        <w:ind w:left="1418" w:hanging="1418"/>
        <w:rPr/>
      </w:pPr>
      <w:bookmarkStart w:id="514" w:name="__RefHeading___Toc518035932"/>
      <w:r>
        <w:rPr/>
        <w:t>T.3.1.1.2</w:t>
        <w:tab/>
        <w:t>Uncoordinated BTS -&gt; MS</w:t>
      </w:r>
      <w:bookmarkEnd w:id="514"/>
      <w:r>
        <w:rPr/>
        <w:t xml:space="preserve"> </w:t>
      </w:r>
    </w:p>
    <w:p>
      <w:pPr>
        <w:pStyle w:val="Normal"/>
        <w:rPr/>
      </w:pPr>
      <w:r>
        <w:rPr/>
        <w:t>Max. Tx. level of noise in Rx. bandwidth = [MS sensitivity] - [C/I margin] - [MIM] + [MCL] =</w:t>
        <w:br/>
        <w:t xml:space="preserve">-102 </w:t>
        <w:noBreakHyphen/>
        <w:t xml:space="preserve"> 9 </w:t>
        <w:noBreakHyphen/>
        <w:t xml:space="preserve"> 10 + 53 =  </w:t>
      </w:r>
      <w:r>
        <w:rPr>
          <w:b/>
        </w:rPr>
        <w:t>-68 dBm</w:t>
      </w:r>
    </w:p>
    <w:p>
      <w:pPr>
        <w:pStyle w:val="Normal"/>
        <w:rPr/>
      </w:pPr>
      <w:r>
        <w:rPr/>
        <w:t xml:space="preserve">Max. Tx level of spur in Rx bandwidth = [MS sensitivity] - [C/I margin] +  [MCL] = </w:t>
        <w:br/>
        <w:t xml:space="preserve">-102 </w:t>
        <w:noBreakHyphen/>
        <w:t xml:space="preserve"> 9 +  53 = </w:t>
      </w:r>
      <w:r>
        <w:rPr>
          <w:b/>
        </w:rPr>
        <w:t>-58 dBm</w:t>
      </w:r>
    </w:p>
    <w:p>
      <w:pPr>
        <w:pStyle w:val="Heading4"/>
        <w:ind w:left="1418" w:hanging="1418"/>
        <w:rPr/>
      </w:pPr>
      <w:bookmarkStart w:id="515" w:name="__RefHeading___Toc518035933"/>
      <w:r>
        <w:rPr/>
        <w:t>T.3.1.1.3</w:t>
        <w:tab/>
        <w:t>Coordinated &amp; Uncoordinated MS -&gt; BTS</w:t>
      </w:r>
      <w:bookmarkEnd w:id="515"/>
      <w:r>
        <w:rPr/>
        <w:t xml:space="preserve"> </w:t>
      </w:r>
    </w:p>
    <w:p>
      <w:pPr>
        <w:pStyle w:val="Normal"/>
        <w:rPr/>
      </w:pPr>
      <w:r>
        <w:rPr/>
        <w:t xml:space="preserve">Max. Tx level in Rx bandwidth = [BTS sensitivity] - [C/I margin] + [MCL] = </w:t>
        <w:br/>
        <w:t xml:space="preserve">-104 </w:t>
        <w:noBreakHyphen/>
        <w:t xml:space="preserve"> 9 + 53 = </w:t>
      </w:r>
      <w:r>
        <w:rPr>
          <w:b/>
        </w:rPr>
        <w:t>-60 dBm</w:t>
      </w:r>
    </w:p>
    <w:p>
      <w:pPr>
        <w:pStyle w:val="Heading4"/>
        <w:ind w:left="1418" w:hanging="1418"/>
        <w:rPr/>
      </w:pPr>
      <w:bookmarkStart w:id="516" w:name="__RefHeading___Toc518035934"/>
      <w:bookmarkEnd w:id="516"/>
      <w:r>
        <w:rPr/>
        <w:t>T.3.1.1.4</w:t>
        <w:tab/>
        <w:t>Coordinated &amp; Uncoordinated MS -&gt; MS</w:t>
      </w:r>
    </w:p>
    <w:p>
      <w:pPr>
        <w:pStyle w:val="Normal"/>
        <w:rPr/>
      </w:pPr>
      <w:r>
        <w:rPr/>
        <w:t xml:space="preserve">Max Tx level in Rx bandwidth = [MS sensitivity] - [C/I margin] + [MCL] = </w:t>
        <w:br/>
        <w:t xml:space="preserve">-102 </w:t>
        <w:noBreakHyphen/>
        <w:t xml:space="preserve"> 9 + 28.5 = </w:t>
      </w:r>
      <w:r>
        <w:rPr>
          <w:b/>
        </w:rPr>
        <w:t>-82.5 dBm</w:t>
      </w:r>
    </w:p>
    <w:p>
      <w:pPr>
        <w:pStyle w:val="Heading4"/>
        <w:ind w:left="1418" w:hanging="1418"/>
        <w:rPr/>
      </w:pPr>
      <w:bookmarkStart w:id="517" w:name="__RefHeading___Toc518035935"/>
      <w:bookmarkEnd w:id="517"/>
      <w:r>
        <w:rPr/>
        <w:t>T.3.1.1.5</w:t>
        <w:tab/>
        <w:t>Coordinated &amp; Uncoordinated  BTS -&gt; BTS</w:t>
      </w:r>
    </w:p>
    <w:p>
      <w:pPr>
        <w:pStyle w:val="Normal"/>
        <w:rPr/>
      </w:pPr>
      <w:r>
        <w:rPr/>
        <w:t xml:space="preserve">Max Tx level noise in Rx bandwidth= [BTS sensitivity] - [C/I margin] - [MIM] + [MCL] = </w:t>
        <w:br/>
        <w:t xml:space="preserve">-104 </w:t>
        <w:noBreakHyphen/>
        <w:t xml:space="preserve"> 9 </w:t>
        <w:noBreakHyphen/>
        <w:t xml:space="preserve">10 + 30 = </w:t>
      </w:r>
      <w:r>
        <w:rPr>
          <w:b/>
        </w:rPr>
        <w:t>-93 dBm</w:t>
      </w:r>
    </w:p>
    <w:p>
      <w:pPr>
        <w:pStyle w:val="Heading3"/>
        <w:rPr/>
      </w:pPr>
      <w:bookmarkStart w:id="518" w:name="__RefHeading___Toc518035936"/>
      <w:bookmarkEnd w:id="518"/>
      <w:r>
        <w:rPr/>
        <w:t>T.3.1.2</w:t>
        <w:tab/>
        <w:t>Switching transients</w:t>
      </w:r>
    </w:p>
    <w:p>
      <w:pPr>
        <w:pStyle w:val="Heading4"/>
        <w:ind w:left="1418" w:hanging="1418"/>
        <w:rPr/>
      </w:pPr>
      <w:bookmarkStart w:id="519" w:name="__RefHeading___Toc518035937"/>
      <w:bookmarkEnd w:id="519"/>
      <w:r>
        <w:rPr/>
        <w:t>T.3.1.2.1</w:t>
        <w:tab/>
        <w:t>Uncoordinated MS -&gt; BTS</w:t>
      </w:r>
    </w:p>
    <w:p>
      <w:pPr>
        <w:pStyle w:val="Normal"/>
        <w:rPr/>
      </w:pPr>
      <w:r>
        <w:rPr/>
        <w:t xml:space="preserve">Max. peak level in effective Rx BW at MS = [BTS sensit.] - [C/I margin] + [MCL] + [Transient margin] = </w:t>
        <w:br/>
        <w:t xml:space="preserve">-104 </w:t>
        <w:noBreakHyphen/>
        <w:t xml:space="preserve"> 9 + 53 + 20 = </w:t>
      </w:r>
      <w:r>
        <w:rPr>
          <w:b/>
        </w:rPr>
        <w:t>-40 dBm</w:t>
      </w:r>
    </w:p>
    <w:p>
      <w:pPr>
        <w:pStyle w:val="Heading4"/>
        <w:ind w:left="1418" w:hanging="1418"/>
        <w:rPr/>
      </w:pPr>
      <w:bookmarkStart w:id="520" w:name="__RefHeading___Toc518035938"/>
      <w:r>
        <w:rPr/>
        <w:t>T.3.1.2.2</w:t>
        <w:tab/>
        <w:t>Uncoordinated BTS -&gt; MS</w:t>
      </w:r>
      <w:bookmarkEnd w:id="520"/>
      <w:r>
        <w:rPr/>
        <w:t xml:space="preserve"> </w:t>
      </w:r>
    </w:p>
    <w:p>
      <w:pPr>
        <w:pStyle w:val="Normal"/>
        <w:rPr/>
      </w:pPr>
      <w:r>
        <w:rPr/>
        <w:t>Max. peak level in effective Rx BW at BTS = [MS sensit.] - [C/I margin] + [MCL] + [Transient margin] =</w:t>
        <w:br/>
        <w:t xml:space="preserve">-102 </w:t>
        <w:noBreakHyphen/>
        <w:t xml:space="preserve"> 9 + 53 + 20 = </w:t>
      </w:r>
      <w:r>
        <w:rPr>
          <w:b/>
        </w:rPr>
        <w:t>-38 dBm</w:t>
      </w:r>
    </w:p>
    <w:p>
      <w:pPr>
        <w:pStyle w:val="Heading3"/>
        <w:rPr/>
      </w:pPr>
      <w:bookmarkStart w:id="521" w:name="__RefHeading___Toc518035939"/>
      <w:bookmarkEnd w:id="521"/>
      <w:r>
        <w:rPr/>
        <w:t>T.3.1.3</w:t>
        <w:tab/>
        <w:t>Intermodulation</w:t>
      </w:r>
    </w:p>
    <w:p>
      <w:pPr>
        <w:pStyle w:val="Heading4"/>
        <w:ind w:left="1418" w:hanging="1418"/>
        <w:rPr/>
      </w:pPr>
      <w:bookmarkStart w:id="522" w:name="__RefHeading___Toc518035940"/>
      <w:bookmarkEnd w:id="522"/>
      <w:r>
        <w:rPr/>
        <w:t>T.3.1.3.1</w:t>
        <w:tab/>
        <w:t>Coordinated BTS -&gt; MS</w:t>
      </w:r>
    </w:p>
    <w:p>
      <w:pPr>
        <w:pStyle w:val="Normal"/>
        <w:rPr/>
      </w:pPr>
      <w:r>
        <w:rPr/>
        <w:t xml:space="preserve">Required IM attenuation in BTS = [C/I margin] + [BTS power ctrl range] + [margin for other IMs] = </w:t>
        <w:br/>
        <w:t xml:space="preserve">9 + 30 + 3 = </w:t>
      </w:r>
      <w:r>
        <w:rPr>
          <w:b/>
        </w:rPr>
        <w:t>42 dB</w:t>
      </w:r>
    </w:p>
    <w:p>
      <w:pPr>
        <w:pStyle w:val="Heading4"/>
        <w:ind w:left="1418" w:hanging="1418"/>
        <w:rPr/>
      </w:pPr>
      <w:bookmarkStart w:id="523" w:name="__RefHeading___Toc518035941"/>
      <w:r>
        <w:rPr/>
        <w:t>T.3.1.3.2</w:t>
        <w:tab/>
        <w:t>Uncoordinated BTS -&gt; MS</w:t>
      </w:r>
      <w:bookmarkEnd w:id="523"/>
      <w:r>
        <w:rPr/>
        <w:t xml:space="preserve"> </w:t>
      </w:r>
    </w:p>
    <w:p>
      <w:pPr>
        <w:pStyle w:val="Normal"/>
        <w:rPr/>
      </w:pPr>
      <w:r>
        <w:rPr/>
        <w:t>Required IM attenuat. in BTS = [BTS power] - {[Max. allowed lev. at MS1] + [MCL BTS2-&gt;MS1]} =</w:t>
        <w:br/>
        <w:t xml:space="preserve">39 - {[-102 </w:t>
        <w:noBreakHyphen/>
        <w:t xml:space="preserve"> 9 </w:t>
        <w:noBreakHyphen/>
        <w:t xml:space="preserve">3] + 53} = </w:t>
      </w:r>
      <w:r>
        <w:rPr>
          <w:b/>
        </w:rPr>
        <w:t>100 dB</w:t>
      </w:r>
    </w:p>
    <w:p>
      <w:pPr>
        <w:pStyle w:val="Heading4"/>
        <w:ind w:left="1418" w:hanging="1418"/>
        <w:rPr/>
      </w:pPr>
      <w:bookmarkStart w:id="524" w:name="__RefHeading___Toc518035942"/>
      <w:bookmarkEnd w:id="524"/>
      <w:r>
        <w:rPr/>
        <w:t>T.3.1.3.3</w:t>
        <w:tab/>
        <w:t>Uncoordinated MSs -&gt; BTS</w:t>
      </w:r>
    </w:p>
    <w:p>
      <w:pPr>
        <w:pStyle w:val="Normal"/>
        <w:rPr/>
      </w:pPr>
      <w:r>
        <w:rPr/>
        <w:t xml:space="preserve">Required IM attenuat. in MS = [MS power] - {[Max. allowed level at BTS2] + [MCL MS-&gt;BTS2]} = </w:t>
        <w:br/>
        <w:t xml:space="preserve">33 </w:t>
        <w:noBreakHyphen/>
        <w:t xml:space="preserve"> {[-104 </w:t>
        <w:noBreakHyphen/>
        <w:t xml:space="preserve">9 </w:t>
        <w:noBreakHyphen/>
        <w:t xml:space="preserve">3] + 53} = </w:t>
      </w:r>
      <w:r>
        <w:rPr>
          <w:b/>
        </w:rPr>
        <w:t>96 dB</w:t>
      </w:r>
    </w:p>
    <w:p>
      <w:pPr>
        <w:pStyle w:val="Heading4"/>
        <w:ind w:left="1418" w:hanging="1418"/>
        <w:rPr/>
      </w:pPr>
      <w:bookmarkStart w:id="525" w:name="__RefHeading___Toc518035943"/>
      <w:r>
        <w:rPr/>
        <w:t>T.3.1.3.4</w:t>
        <w:tab/>
        <w:t>Uncoordinated MS &amp; MS -&gt; MS</w:t>
      </w:r>
      <w:bookmarkEnd w:id="525"/>
      <w:r>
        <w:rPr/>
        <w:t xml:space="preserve"> </w:t>
      </w:r>
    </w:p>
    <w:p>
      <w:pPr>
        <w:pStyle w:val="Normal"/>
        <w:rPr/>
      </w:pPr>
      <w:r>
        <w:rPr/>
        <w:t xml:space="preserve">Required IM attenuat. in MS = [MS power] - {[Max. allowed level at MS3] + [MCL MS-&gt;MS3]} = </w:t>
        <w:br/>
        <w:t xml:space="preserve">33 - {[-102 </w:t>
        <w:noBreakHyphen/>
        <w:t xml:space="preserve">9 </w:t>
        <w:noBreakHyphen/>
        <w:t xml:space="preserve">3] + 28.5} = </w:t>
      </w:r>
      <w:r>
        <w:rPr>
          <w:b/>
        </w:rPr>
        <w:t>118.5 dB</w:t>
      </w:r>
    </w:p>
    <w:p>
      <w:pPr>
        <w:pStyle w:val="Heading2"/>
        <w:rPr/>
      </w:pPr>
      <w:bookmarkStart w:id="526" w:name="__RefHeading___Toc518035944"/>
      <w:bookmarkEnd w:id="526"/>
      <w:r>
        <w:rPr/>
        <w:t>T.3.2</w:t>
        <w:tab/>
        <w:t>Receiver</w:t>
      </w:r>
    </w:p>
    <w:p>
      <w:pPr>
        <w:pStyle w:val="Heading3"/>
        <w:rPr/>
      </w:pPr>
      <w:bookmarkStart w:id="527" w:name="__RefHeading___Toc518035945"/>
      <w:bookmarkEnd w:id="527"/>
      <w:r>
        <w:rPr/>
        <w:t>T.3.2.1</w:t>
        <w:tab/>
        <w:t>Blocking</w:t>
      </w:r>
    </w:p>
    <w:p>
      <w:pPr>
        <w:pStyle w:val="Heading4"/>
        <w:ind w:left="1418" w:hanging="1418"/>
        <w:rPr/>
      </w:pPr>
      <w:bookmarkStart w:id="528" w:name="__RefHeading___Toc518035946"/>
      <w:bookmarkEnd w:id="528"/>
      <w:r>
        <w:rPr/>
        <w:t>T.3.2.1.1</w:t>
        <w:tab/>
        <w:t>Coordinated &amp; Uncoordinated  BTS -&gt; MS</w:t>
      </w:r>
    </w:p>
    <w:p>
      <w:pPr>
        <w:pStyle w:val="Normal"/>
        <w:rPr/>
      </w:pPr>
      <w:r>
        <w:rPr/>
        <w:t xml:space="preserve">Max. level at MS receiver = [BTS power] + [MIM] - [MCL] = 39 + 10 </w:t>
        <w:noBreakHyphen/>
        <w:t xml:space="preserve"> 53 = </w:t>
      </w:r>
      <w:r>
        <w:rPr>
          <w:b/>
        </w:rPr>
        <w:t>-4 dBm</w:t>
      </w:r>
    </w:p>
    <w:p>
      <w:pPr>
        <w:pStyle w:val="Heading4"/>
        <w:ind w:left="1418" w:hanging="1418"/>
        <w:rPr/>
      </w:pPr>
      <w:bookmarkStart w:id="529" w:name="__RefHeading___Toc518035947"/>
      <w:r>
        <w:rPr/>
        <w:t>T.3.2.1.2</w:t>
        <w:tab/>
        <w:t>Coordinated MS -&gt; BTS</w:t>
      </w:r>
      <w:bookmarkEnd w:id="529"/>
      <w:r>
        <w:rPr/>
        <w:t xml:space="preserve"> </w:t>
      </w:r>
    </w:p>
    <w:p>
      <w:pPr>
        <w:pStyle w:val="Normal"/>
        <w:rPr/>
      </w:pPr>
      <w:r>
        <w:rPr/>
        <w:t xml:space="preserve">Max level at BTS receiver = [MS power] - [Power control range] - [MCL] = 33 </w:t>
        <w:noBreakHyphen/>
        <w:t xml:space="preserve"> 26 </w:t>
        <w:noBreakHyphen/>
        <w:t xml:space="preserve"> 53 = </w:t>
      </w:r>
      <w:r>
        <w:rPr>
          <w:b/>
        </w:rPr>
        <w:t>-46 dBm</w:t>
      </w:r>
    </w:p>
    <w:p>
      <w:pPr>
        <w:pStyle w:val="Heading4"/>
        <w:ind w:left="1418" w:hanging="1418"/>
        <w:rPr/>
      </w:pPr>
      <w:bookmarkStart w:id="530" w:name="__RefHeading___Toc518035948"/>
      <w:r>
        <w:rPr/>
        <w:t>T.3.2.1.3</w:t>
        <w:tab/>
        <w:t>Uncoordinated MS -&gt; BTS</w:t>
      </w:r>
      <w:bookmarkEnd w:id="530"/>
      <w:r>
        <w:rPr/>
        <w:t xml:space="preserve"> </w:t>
      </w:r>
    </w:p>
    <w:p>
      <w:pPr>
        <w:pStyle w:val="Normal"/>
        <w:rPr/>
      </w:pPr>
      <w:r>
        <w:rPr/>
        <w:t xml:space="preserve">Max level at BTS receiver = [MS power]  - [MCL] = 33 </w:t>
        <w:noBreakHyphen/>
        <w:t xml:space="preserve"> 53 = </w:t>
      </w:r>
      <w:r>
        <w:rPr>
          <w:b/>
        </w:rPr>
        <w:t>-20 dBm</w:t>
      </w:r>
    </w:p>
    <w:p>
      <w:pPr>
        <w:pStyle w:val="Heading4"/>
        <w:ind w:left="1418" w:hanging="1418"/>
        <w:rPr/>
      </w:pPr>
      <w:bookmarkStart w:id="531" w:name="__RefHeading___Toc518035949"/>
      <w:r>
        <w:rPr/>
        <w:t>T.3.2.1.4</w:t>
        <w:tab/>
        <w:t>Coordinated &amp; Uncoordinated  MS -&gt; MS</w:t>
      </w:r>
      <w:bookmarkEnd w:id="531"/>
      <w:r>
        <w:rPr/>
        <w:t xml:space="preserve"> </w:t>
      </w:r>
    </w:p>
    <w:p>
      <w:pPr>
        <w:pStyle w:val="Normal"/>
        <w:rPr/>
      </w:pPr>
      <w:r>
        <w:rPr/>
        <w:t xml:space="preserve">Max. level at MS receiver = [MS power] - [MCL] = 33 - 28.5 = </w:t>
      </w:r>
      <w:r>
        <w:rPr>
          <w:b/>
        </w:rPr>
        <w:t>4.5 dBm</w:t>
      </w:r>
    </w:p>
    <w:p>
      <w:pPr>
        <w:pStyle w:val="Heading4"/>
        <w:ind w:left="1418" w:hanging="1418"/>
        <w:rPr/>
      </w:pPr>
      <w:bookmarkStart w:id="532" w:name="__RefHeading___Toc518035950"/>
      <w:r>
        <w:rPr/>
        <w:t>T.3.2.1.5</w:t>
        <w:tab/>
        <w:t>Coordinated &amp; Uncoordinated  BTS -&gt; BTS</w:t>
      </w:r>
      <w:bookmarkEnd w:id="532"/>
      <w:r>
        <w:rPr/>
        <w:t xml:space="preserve"> </w:t>
      </w:r>
    </w:p>
    <w:p>
      <w:pPr>
        <w:pStyle w:val="Normal"/>
        <w:rPr/>
      </w:pPr>
      <w:r>
        <w:rPr/>
        <w:t xml:space="preserve">Max. level at BTS receiver = [BTS power] + [Multiple interferers margin] - [MCL] = 39 + 10 </w:t>
        <w:noBreakHyphen/>
        <w:t xml:space="preserve"> 30 = </w:t>
      </w:r>
      <w:r>
        <w:rPr>
          <w:b/>
        </w:rPr>
        <w:t>19 dBm</w:t>
      </w:r>
    </w:p>
    <w:p>
      <w:pPr>
        <w:pStyle w:val="Heading3"/>
        <w:rPr/>
      </w:pPr>
      <w:bookmarkStart w:id="533" w:name="__RefHeading___Toc518035951"/>
      <w:bookmarkEnd w:id="533"/>
      <w:r>
        <w:rPr/>
        <w:t>T.3.2.2</w:t>
        <w:tab/>
        <w:t>Intermodulation</w:t>
      </w:r>
    </w:p>
    <w:p>
      <w:pPr>
        <w:pStyle w:val="Heading4"/>
        <w:ind w:left="1418" w:hanging="1418"/>
        <w:rPr/>
      </w:pPr>
      <w:bookmarkStart w:id="534" w:name="__RefHeading___Toc518035952"/>
      <w:r>
        <w:rPr/>
        <w:t>T.3.2.2.1</w:t>
        <w:tab/>
        <w:t>Coordinated &amp; Uncoordinated  BTS -&gt; MS</w:t>
      </w:r>
      <w:bookmarkEnd w:id="534"/>
      <w:r>
        <w:rPr/>
        <w:t xml:space="preserve"> </w:t>
      </w:r>
    </w:p>
    <w:p>
      <w:pPr>
        <w:pStyle w:val="Normal"/>
        <w:rPr/>
      </w:pPr>
      <w:r>
        <w:rPr/>
        <w:t xml:space="preserve">Max. received level at MS1 = [BTS power] - [MCL BTS2-&gt;MS1] + [Margin for other IMs] = 39 </w:t>
        <w:noBreakHyphen/>
        <w:t xml:space="preserve"> 53 + 3 = </w:t>
      </w:r>
      <w:r>
        <w:rPr>
          <w:b/>
        </w:rPr>
        <w:t>-11 dBm</w:t>
      </w:r>
    </w:p>
    <w:p>
      <w:pPr>
        <w:pStyle w:val="Heading4"/>
        <w:ind w:left="1418" w:hanging="1418"/>
        <w:rPr/>
      </w:pPr>
      <w:bookmarkStart w:id="535" w:name="__RefHeading___Toc518035953"/>
      <w:r>
        <w:rPr/>
        <w:t>T.3.2.2.2</w:t>
        <w:tab/>
        <w:t>Coordinated MS -&gt; BTS</w:t>
      </w:r>
      <w:bookmarkEnd w:id="535"/>
      <w:r>
        <w:rPr/>
        <w:t xml:space="preserve"> </w:t>
      </w:r>
    </w:p>
    <w:p>
      <w:pPr>
        <w:pStyle w:val="Normal"/>
        <w:rPr/>
      </w:pPr>
      <w:r>
        <w:rPr/>
        <w:t xml:space="preserve">Max. received level at BTS1 = [MS power] - [MS power ctrl range] - [MCL MS-&gt; BTS1] + [Margin for other IMs] = </w:t>
        <w:br/>
        <w:t xml:space="preserve">33 </w:t>
        <w:noBreakHyphen/>
        <w:t xml:space="preserve"> 26 </w:t>
        <w:noBreakHyphen/>
        <w:t xml:space="preserve"> 53 + 3 = </w:t>
      </w:r>
      <w:r>
        <w:rPr>
          <w:b/>
        </w:rPr>
        <w:t>-43 dBm</w:t>
      </w:r>
    </w:p>
    <w:p>
      <w:pPr>
        <w:pStyle w:val="Heading4"/>
        <w:ind w:left="1418" w:hanging="1418"/>
        <w:rPr/>
      </w:pPr>
      <w:bookmarkStart w:id="536" w:name="__RefHeading___Toc518035954"/>
      <w:r>
        <w:rPr/>
        <w:t>T.3.2.2.3</w:t>
        <w:tab/>
        <w:t>Uncoordinated MS -&gt; BTS</w:t>
      </w:r>
      <w:bookmarkEnd w:id="536"/>
      <w:r>
        <w:rPr/>
        <w:t xml:space="preserve"> </w:t>
      </w:r>
    </w:p>
    <w:p>
      <w:pPr>
        <w:pStyle w:val="Normal"/>
        <w:rPr/>
      </w:pPr>
      <w:r>
        <w:rPr/>
        <w:t xml:space="preserve">Max. received level at BTS1 = [MS power] - [MCL MS-&gt; BTS1] + [Margin for other IM's] = 33 </w:t>
        <w:noBreakHyphen/>
        <w:t xml:space="preserve"> 53 + 3 =</w:t>
      </w:r>
      <w:r>
        <w:rPr>
          <w:b/>
        </w:rPr>
        <w:t xml:space="preserve"> -17 dBm</w:t>
      </w:r>
    </w:p>
    <w:p>
      <w:pPr>
        <w:pStyle w:val="Heading3"/>
        <w:rPr/>
      </w:pPr>
      <w:bookmarkStart w:id="537" w:name="__RefHeading___Toc518035955"/>
      <w:bookmarkEnd w:id="537"/>
      <w:r>
        <w:rPr/>
        <w:t>T.3.2.3</w:t>
        <w:tab/>
        <w:t>Maximum level</w:t>
      </w:r>
    </w:p>
    <w:p>
      <w:pPr>
        <w:pStyle w:val="Heading4"/>
        <w:ind w:left="1418" w:hanging="1418"/>
        <w:rPr/>
      </w:pPr>
      <w:bookmarkStart w:id="538" w:name="__RefHeading___Toc518035956"/>
      <w:bookmarkStart w:id="539" w:name="_Ref451246579"/>
      <w:r>
        <w:rPr/>
        <w:t>T.3.2.3.1</w:t>
        <w:tab/>
        <w:t>Coordinated MS -&gt; BTS</w:t>
      </w:r>
      <w:bookmarkEnd w:id="538"/>
      <w:bookmarkEnd w:id="539"/>
      <w:r>
        <w:rPr/>
        <w:t xml:space="preserve"> </w:t>
      </w:r>
    </w:p>
    <w:p>
      <w:pPr>
        <w:pStyle w:val="Normal"/>
        <w:rPr/>
      </w:pPr>
      <w:r>
        <w:rPr/>
        <w:t xml:space="preserve">Max level at BTS = [MS power]  - [MCL] =  33 </w:t>
        <w:noBreakHyphen/>
        <w:t xml:space="preserve"> 53 = </w:t>
      </w:r>
      <w:r>
        <w:rPr>
          <w:b/>
        </w:rPr>
        <w:t>-20 dBm</w:t>
      </w:r>
    </w:p>
    <w:p>
      <w:pPr>
        <w:pStyle w:val="Heading4"/>
        <w:ind w:left="1418" w:hanging="1418"/>
        <w:rPr/>
      </w:pPr>
      <w:bookmarkStart w:id="540" w:name="__RefHeading___Toc518035957"/>
      <w:bookmarkStart w:id="541" w:name="_Ref451246596"/>
      <w:r>
        <w:rPr/>
        <w:t>T.3.2.3.2</w:t>
        <w:tab/>
        <w:t>Coordinated  BTS -&gt; MS</w:t>
      </w:r>
      <w:bookmarkEnd w:id="540"/>
      <w:bookmarkEnd w:id="541"/>
      <w:r>
        <w:rPr/>
        <w:t xml:space="preserve"> </w:t>
      </w:r>
    </w:p>
    <w:p>
      <w:pPr>
        <w:pStyle w:val="Normal"/>
        <w:rPr/>
      </w:pPr>
      <w:r>
        <w:rPr/>
        <w:t xml:space="preserve">Max level at MS = [BTS power] - [MCL] = 39 </w:t>
        <w:noBreakHyphen/>
        <w:t xml:space="preserve"> 53 = </w:t>
      </w:r>
      <w:r>
        <w:rPr>
          <w:b/>
        </w:rPr>
        <w:t>-14 dBm</w:t>
      </w:r>
    </w:p>
    <w:p>
      <w:pPr>
        <w:pStyle w:val="Heading1"/>
        <w:ind w:left="1134" w:hanging="1134"/>
        <w:rPr/>
      </w:pPr>
      <w:bookmarkStart w:id="542" w:name="__RefHeading___Toc518035958"/>
      <w:bookmarkEnd w:id="542"/>
      <w:r>
        <w:rPr/>
        <w:t>T.4</w:t>
        <w:tab/>
        <w:t>Transmitter characteristics</w:t>
      </w:r>
    </w:p>
    <w:p>
      <w:pPr>
        <w:pStyle w:val="Normal"/>
        <w:rPr/>
      </w:pPr>
      <w:r>
        <w:rPr/>
        <w:t>For readability the chapter numbering in the transmitter and receiver characteristics chapters are aligned with current GSM 05.05 chapter numbering.</w:t>
      </w:r>
    </w:p>
    <w:p>
      <w:pPr>
        <w:pStyle w:val="Normal"/>
        <w:rPr/>
      </w:pPr>
      <w:r>
        <w:rPr/>
        <w:t>The worst case scenario requirements and current GSM 05.05 specification for GSM900 are summarized in the tables beginning of each relevant chapter. Specification requirements in the table entries are converted to 200 kHz bandwidth to be comparable for scenario calculation results.</w:t>
      </w:r>
    </w:p>
    <w:p>
      <w:pPr>
        <w:pStyle w:val="Heading2"/>
        <w:jc w:val="both"/>
        <w:rPr/>
      </w:pPr>
      <w:bookmarkStart w:id="543" w:name="__RefHeading___Toc518035959"/>
      <w:bookmarkEnd w:id="543"/>
      <w:r>
        <w:rPr/>
        <w:t>T.4.1</w:t>
        <w:tab/>
        <w:t>Output power</w:t>
      </w:r>
    </w:p>
    <w:p>
      <w:pPr>
        <w:pStyle w:val="Heading3"/>
        <w:jc w:val="both"/>
        <w:rPr/>
      </w:pPr>
      <w:bookmarkStart w:id="544" w:name="__RefHeading___Toc518035960"/>
      <w:bookmarkEnd w:id="544"/>
      <w:r>
        <w:rPr/>
        <w:t>T.4.1.1</w:t>
        <w:tab/>
        <w:t>Mobile Station</w:t>
      </w:r>
    </w:p>
    <w:p>
      <w:pPr>
        <w:pStyle w:val="Normal"/>
        <w:rPr/>
      </w:pPr>
      <w:r>
        <w:rPr/>
        <w:t>Coverage gain is seen as one of the major benefits for the down banded GSM system. In order to gain the most of this benefit it was decided to allow the same power classes for GSM400 as was initially chosen for GSM900.</w:t>
      </w:r>
    </w:p>
    <w:p>
      <w:pPr>
        <w:pStyle w:val="Normal"/>
        <w:rPr/>
      </w:pPr>
      <w:r>
        <w:rPr/>
        <w:t>The absolute tolerance on power control levels has been chosen to be the same as with GSM900.</w:t>
      </w:r>
    </w:p>
    <w:p>
      <w:pPr>
        <w:pStyle w:val="Heading3"/>
        <w:jc w:val="both"/>
        <w:rPr/>
      </w:pPr>
      <w:bookmarkStart w:id="545" w:name="__RefHeading___Toc518035961"/>
      <w:bookmarkEnd w:id="545"/>
      <w:r>
        <w:rPr/>
        <w:t>T.4.1.2</w:t>
        <w:tab/>
        <w:t>Base Station</w:t>
      </w:r>
    </w:p>
    <w:p>
      <w:pPr>
        <w:pStyle w:val="Normal"/>
        <w:rPr/>
      </w:pPr>
      <w:r>
        <w:rPr/>
        <w:t>Following GSM900, the BTS power classes are specified at the combiner input. In order to provide the operator some flexibility same power classes as for GSM900 are chosen.</w:t>
      </w:r>
    </w:p>
    <w:p>
      <w:pPr>
        <w:pStyle w:val="Normal"/>
        <w:rPr/>
      </w:pPr>
      <w:r>
        <w:rPr/>
        <w:t>The tolerance on the BTS static power control step size is same as for GSM900.</w:t>
      </w:r>
    </w:p>
    <w:p>
      <w:pPr>
        <w:pStyle w:val="Heading2"/>
        <w:rPr/>
      </w:pPr>
      <w:bookmarkStart w:id="546" w:name="__RefHeading___Toc518035962"/>
      <w:bookmarkEnd w:id="546"/>
      <w:r>
        <w:rPr/>
        <w:t>T.4.2</w:t>
        <w:tab/>
        <w:t>Output RF Spectrum</w:t>
      </w:r>
    </w:p>
    <w:p>
      <w:pPr>
        <w:pStyle w:val="Heading3"/>
        <w:rPr/>
      </w:pPr>
      <w:bookmarkStart w:id="547" w:name="__RefHeading___Toc518035963"/>
      <w:bookmarkEnd w:id="547"/>
      <w:r>
        <w:rPr/>
        <w:t>T.4.2.1</w:t>
        <w:tab/>
        <w:t>Spectrum due to the modulation and wideband noise</w:t>
      </w:r>
    </w:p>
    <w:p>
      <w:pPr>
        <w:pStyle w:val="Normal"/>
        <w:rPr/>
      </w:pPr>
      <w:r>
        <w:rPr/>
        <w:object w:dxaOrig="8302" w:dyaOrig="1151">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414.65pt;height:57.7pt" filled="f" o:ole="">
            <v:imagedata r:id="rId118" o:title=""/>
          </v:shape>
          <o:OLEObject Type="Embed" ProgID="" ShapeID="ole_rId117" DrawAspect="Content" ObjectID="_2066376675" r:id="rId117"/>
        </w:object>
      </w:r>
    </w:p>
    <w:p>
      <w:pPr>
        <w:pStyle w:val="Normal"/>
        <w:rPr>
          <w:i/>
          <w:i/>
        </w:rPr>
      </w:pPr>
      <w:r>
        <w:rPr>
          <w:i/>
        </w:rPr>
        <w:t>Coordinated case</w:t>
      </w:r>
    </w:p>
    <w:p>
      <w:pPr>
        <w:pStyle w:val="Normal"/>
        <w:rPr/>
      </w:pPr>
      <w:r>
        <w:rPr/>
        <w:t xml:space="preserve">In coordinated case BTS wideband noise requirement are fulfilled with both GSM900 and GSM400 systems and thus there is no need to change the specification for BTS TX mask. </w:t>
      </w:r>
    </w:p>
    <w:p>
      <w:pPr>
        <w:pStyle w:val="Normal"/>
        <w:rPr/>
      </w:pPr>
      <w:r>
        <w:rPr/>
        <w:t xml:space="preserve">Worst case scenario requirements for MS wideband noise are tighter than for BTS. Since the table entries in GSM 05.05 are relative, as the level of the transmitter is reduced, the absolute specification becomes tighter. For coordinated MS to BTS interference it is to be noted that power control works and MS will be powered down. For MS close to BTS it is relevant to expect that minimum MS TX power is used. Thus introduced wideband noise is reduced accordingly down to </w:t>
        <w:noBreakHyphen/>
        <w:t>43 dBm at 600 kHz offset. Still there is a gap of 11 dB in GSM900 scenarios and specification.</w:t>
      </w:r>
    </w:p>
    <w:p>
      <w:pPr>
        <w:pStyle w:val="Normal"/>
        <w:rPr/>
      </w:pPr>
      <w:r>
        <w:rPr/>
        <w:t>Probability of this scenario is low and actually allowing this to happen is not practical cellular planning. Low power users operating very close to BTS may block users locating in the edge area of very large cells that operate with full power and still close to sensitivity level. In other words blocking of some users at cell edge would require large cells in dense urban areas with very small handover margin. In sensible cellular planning these should be contradictory occurrences. Thus it was felt that there is no need to make specification too tight because of speculation of some unpractical occurrences.</w:t>
      </w:r>
    </w:p>
    <w:p>
      <w:pPr>
        <w:pStyle w:val="Normal"/>
        <w:rPr>
          <w:i/>
          <w:i/>
        </w:rPr>
      </w:pPr>
      <w:r>
        <w:rPr>
          <w:i/>
        </w:rPr>
        <w:t>Uncoordinated case</w:t>
      </w:r>
    </w:p>
    <w:p>
      <w:pPr>
        <w:pStyle w:val="Normal"/>
        <w:rPr/>
      </w:pPr>
      <w:r>
        <w:rPr/>
        <w:t xml:space="preserve">The theoretical worst case uncoordinated scenarios are missed quite a lot. This was situation also in higher bands. Now the mismatch is about 6 dB worse than in GSM900. In practice this situation is very rare. First as was discussed earlier it is not probable that uncoordinated scenario should happen in narrowband. Secondly the theoretical calculations are done while MS close to disturbing BTS operates at sensitivity level which is not a common situation. </w:t>
      </w:r>
    </w:p>
    <w:p>
      <w:pPr>
        <w:pStyle w:val="Normal"/>
        <w:rPr/>
      </w:pPr>
      <w:r>
        <w:rPr/>
        <w:t>If uncoordinated scenarios are planned it may be decided by the operators that in dense urban areas where MCL may reach low values maximum power level is reduced by 6 dB in respect to those used in GSM900 case. Still due to smaller path loss, low powered GSM400 systems would offer equal coverage than GSM900 system. Down powering of system is a natural choice anyway in urban areas where cellular planning is capacity driven rather than targeting to large cells.</w:t>
      </w:r>
    </w:p>
    <w:p>
      <w:pPr>
        <w:pStyle w:val="Normal"/>
        <w:rPr/>
      </w:pPr>
      <w:r>
        <w:rPr/>
        <w:t>As a conclusion it is seen unnecessary to do any changes to existing GSM900 modulation mask while it is adapted to GSM400 systems.</w:t>
      </w:r>
    </w:p>
    <w:p>
      <w:pPr>
        <w:pStyle w:val="Heading3"/>
        <w:rPr/>
      </w:pPr>
      <w:bookmarkStart w:id="548" w:name="__RefHeading___Toc518035964"/>
      <w:bookmarkEnd w:id="548"/>
      <w:r>
        <w:rPr/>
        <w:t>T.4.2.2</w:t>
        <w:tab/>
        <w:t>Spectrum due to switching transients</w:t>
      </w:r>
    </w:p>
    <w:p>
      <w:pPr>
        <w:pStyle w:val="Normal"/>
        <w:rPr>
          <w:i/>
          <w:i/>
        </w:rPr>
      </w:pPr>
      <w:r>
        <w:rPr>
          <w:i/>
        </w:rPr>
        <w:t>Coordinated case</w:t>
      </w:r>
    </w:p>
    <w:p>
      <w:pPr>
        <w:pStyle w:val="Normal"/>
        <w:rPr/>
      </w:pPr>
      <w:r>
        <w:rPr/>
        <w:t>GSM 05.05 defines modulation mask, switching transients, spurious emissions and intermodulation specifications to be consistent with each other (GSM 05.50 V6.0.2 annex D). In previous it was justified that GSM900 modulation mask is seen to be appropriate at 400 MHz bands. Due the consistence, current switching transient requirements at 900 MHz band are enough at 400 MHz bands also.</w:t>
      </w:r>
    </w:p>
    <w:p>
      <w:pPr>
        <w:pStyle w:val="Normal"/>
        <w:rPr>
          <w:i/>
          <w:i/>
        </w:rPr>
      </w:pPr>
      <w:r>
        <w:rPr>
          <w:i/>
        </w:rPr>
        <w:t>Uncoordinated case</w:t>
      </w:r>
    </w:p>
    <w:p>
      <w:pPr>
        <w:pStyle w:val="Normal"/>
        <w:rPr/>
      </w:pPr>
      <w:r>
        <w:rPr/>
        <w:t>For uncoordinated scenarios down banded system may need to be down powered in dense urban scenarios to fulfil GSM900 performance. Down powering will affect similarly for switching transients also and again it is felt that down powered GSM400 systems perform as well as GSM900.</w:t>
      </w:r>
    </w:p>
    <w:p>
      <w:pPr>
        <w:pStyle w:val="Normal"/>
        <w:rPr/>
      </w:pPr>
      <w:r>
        <w:rPr/>
        <w:t>No changes in respect to GSM900 requirements are thus proposed.</w:t>
      </w:r>
    </w:p>
    <w:p>
      <w:pPr>
        <w:pStyle w:val="Heading2"/>
        <w:rPr/>
      </w:pPr>
      <w:bookmarkStart w:id="549" w:name="__RefHeading___Toc518035965"/>
      <w:bookmarkEnd w:id="549"/>
      <w:r>
        <w:rPr/>
        <w:t>T.4.3</w:t>
        <w:tab/>
        <w:t>Spurious emissions</w:t>
      </w:r>
    </w:p>
    <w:p>
      <w:pPr>
        <w:pStyle w:val="Heading3"/>
        <w:rPr/>
      </w:pPr>
      <w:bookmarkStart w:id="550" w:name="__RefHeading___Toc518035966"/>
      <w:bookmarkEnd w:id="550"/>
      <w:r>
        <w:rPr/>
        <w:t>T.4.3.1</w:t>
        <w:tab/>
        <w:t>Principle of the specification</w:t>
      </w:r>
    </w:p>
    <w:p>
      <w:pPr>
        <w:pStyle w:val="Normal"/>
        <w:rPr/>
      </w:pPr>
      <w:r>
        <w:rPr/>
        <w:t>No changes to measurement conditions are needed.</w:t>
      </w:r>
    </w:p>
    <w:p>
      <w:pPr>
        <w:pStyle w:val="TH"/>
        <w:rPr/>
      </w:pPr>
      <w:r>
        <w:rPr/>
      </w:r>
    </w:p>
    <w:p>
      <w:pPr>
        <w:pStyle w:val="Normal"/>
        <w:ind w:left="284" w:firstLine="284"/>
        <w:rPr>
          <w:color w:val="000000"/>
        </w:rPr>
      </w:pPr>
      <w:r>
        <w:rPr>
          <w:color w:val="000000"/>
        </w:rPr>
        <w:drawing>
          <wp:inline distT="0" distB="0" distL="0" distR="0">
            <wp:extent cx="5477510" cy="438785"/>
            <wp:effectExtent l="0" t="0" r="0" b="0"/>
            <wp:docPr id="121"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45" descr=""/>
                    <pic:cNvPicPr>
                      <a:picLocks noChangeAspect="1" noChangeArrowheads="1"/>
                    </pic:cNvPicPr>
                  </pic:nvPicPr>
                  <pic:blipFill>
                    <a:blip r:embed="rId119"/>
                    <a:srcRect l="-7" t="-82" r="-7" b="-82"/>
                    <a:stretch>
                      <a:fillRect/>
                    </a:stretch>
                  </pic:blipFill>
                  <pic:spPr bwMode="auto">
                    <a:xfrm>
                      <a:off x="0" y="0"/>
                      <a:ext cx="5477510" cy="438785"/>
                    </a:xfrm>
                    <a:prstGeom prst="rect">
                      <a:avLst/>
                    </a:prstGeom>
                  </pic:spPr>
                </pic:pic>
              </a:graphicData>
            </a:graphic>
          </wp:inline>
        </w:drawing>
      </w:r>
      <w:r>
        <w:rPr>
          <w:color w:val="000000"/>
        </w:rPr>
        <w:tab/>
      </w:r>
      <w:r>
        <w:rPr>
          <w:color w:val="000000"/>
        </w:rPr>
        <w:drawing>
          <wp:inline distT="0" distB="0" distL="0" distR="0">
            <wp:extent cx="5478780" cy="855980"/>
            <wp:effectExtent l="0" t="0" r="0" b="0"/>
            <wp:docPr id="122"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46" descr=""/>
                    <pic:cNvPicPr>
                      <a:picLocks noChangeAspect="1" noChangeArrowheads="1"/>
                    </pic:cNvPicPr>
                  </pic:nvPicPr>
                  <pic:blipFill>
                    <a:blip r:embed="rId120"/>
                    <a:srcRect l="-7" t="-42" r="-7" b="-42"/>
                    <a:stretch>
                      <a:fillRect/>
                    </a:stretch>
                  </pic:blipFill>
                  <pic:spPr bwMode="auto">
                    <a:xfrm>
                      <a:off x="0" y="0"/>
                      <a:ext cx="5478780" cy="855980"/>
                    </a:xfrm>
                    <a:prstGeom prst="rect">
                      <a:avLst/>
                    </a:prstGeom>
                  </pic:spPr>
                </pic:pic>
              </a:graphicData>
            </a:graphic>
          </wp:inline>
        </w:drawing>
      </w:r>
    </w:p>
    <w:p>
      <w:pPr>
        <w:pStyle w:val="FP"/>
        <w:rPr>
          <w:color w:val="000000"/>
        </w:rPr>
      </w:pPr>
      <w:r>
        <w:rPr>
          <w:color w:val="000000"/>
        </w:rPr>
      </w:r>
    </w:p>
    <w:p>
      <w:pPr>
        <w:pStyle w:val="Heading3"/>
        <w:rPr/>
      </w:pPr>
      <w:bookmarkStart w:id="551" w:name="__RefHeading___Toc518035967"/>
      <w:bookmarkEnd w:id="551"/>
      <w:r>
        <w:rPr/>
        <w:t>T.4.3.2</w:t>
        <w:tab/>
        <w:t>Base transceiver station</w:t>
      </w:r>
    </w:p>
    <w:p>
      <w:pPr>
        <w:pStyle w:val="Normal"/>
        <w:rPr/>
      </w:pPr>
      <w:r>
        <w:rPr/>
        <w:t xml:space="preserve">Current specification for BTS introduces </w:t>
        <w:noBreakHyphen/>
        <w:t xml:space="preserve">95 dBm level of spurious emissions in 200 kHz BTS RX band. The transition band between TX and RX band is only 3 MHz for GSM400 systems that operate with full bandwidth and thus rather deep sloped filtering is required. Current understanding is that the GSM900 specification can be adopted to GSM400 systems. (For R-GSM the requirement is relaxed down to </w:t>
        <w:noBreakHyphen/>
        <w:t>86 dBm because of low number of carriers expected in R-GSM BTS.)</w:t>
      </w:r>
    </w:p>
    <w:p>
      <w:pPr>
        <w:pStyle w:val="Normal"/>
        <w:rPr/>
      </w:pPr>
      <w:r>
        <w:rPr/>
        <w:t xml:space="preserve">While GSM400 BTS is co-sited with higher bands, measures must be taken for mutual protection of receivers. GSM400 systems must not produce exceeding noise level in relevant up-link bands for GSM900 and DCS1800. GSM900 and DCS1800 are currently specified to allow at maximum </w:t>
        <w:noBreakHyphen/>
        <w:t xml:space="preserve">36 dBm spurious emissions at 400 MHz bands while measured the peak power in 3 MHz band. This corresponds to about </w:t>
        <w:noBreakHyphen/>
        <w:t>56 dBm at 200 kHz peak power value. This does not quite match with the requirements for GSM400 systems. However no changes to higher band specifications are proposed anyway while GSM400 system is specified. If BTSs of different frequency bands are co-sited the coupling loss must be increased by antenna arrangement or with external filters, but this must not be a part of GSM specification.</w:t>
      </w:r>
    </w:p>
    <w:p>
      <w:pPr>
        <w:pStyle w:val="Heading3"/>
        <w:rPr/>
      </w:pPr>
      <w:bookmarkStart w:id="552" w:name="__RefHeading___Toc518035968"/>
      <w:bookmarkEnd w:id="552"/>
      <w:r>
        <w:rPr/>
        <w:t>T.4.3.3</w:t>
        <w:tab/>
        <w:t>Mobile station</w:t>
      </w:r>
    </w:p>
    <w:p>
      <w:pPr>
        <w:pStyle w:val="Normal"/>
        <w:rPr/>
      </w:pPr>
      <w:r>
        <w:rPr/>
        <w:t xml:space="preserve">In idle mode power measured in GSM900 down link band is limited to </w:t>
        <w:noBreakHyphen/>
        <w:t xml:space="preserve">57 dBm at 100 kHz measurement band. In up link band allowed level is </w:t>
        <w:noBreakHyphen/>
        <w:t xml:space="preserve">59 dBm. For uplink the wideband noise scenario requirement is </w:t>
        <w:noBreakHyphen/>
        <w:t>60 dBm at 200 kHz band. Due to different measurement methods (i.e. average vs. peak value) in wideband noise and spurious emission conditions it is reasonable to assume that GSM900 requirements can be adopted to GSM400 systems.</w:t>
      </w:r>
    </w:p>
    <w:p>
      <w:pPr>
        <w:pStyle w:val="Normal"/>
        <w:rPr/>
      </w:pPr>
      <w:r>
        <w:rPr/>
        <w:t xml:space="preserve">When allocated a channel existing GSM900 and DCS1800 are currently specified to allow at maximum </w:t>
        <w:noBreakHyphen/>
        <w:t xml:space="preserve">36 dBm spurious emission peaks at 9 kHz </w:t>
        <w:noBreakHyphen/>
        <w:t xml:space="preserve"> 1 GHz bands with measurement conditions specified in GSM 05.05. No changes is proposed for GSM400 systems.</w:t>
      </w:r>
    </w:p>
    <w:p>
      <w:pPr>
        <w:pStyle w:val="Normal"/>
        <w:rPr/>
      </w:pPr>
      <w:r>
        <w:rPr/>
        <w:t xml:space="preserve">When allocated a channel spurious emission at MS RX band for E-GSM is </w:t>
        <w:noBreakHyphen/>
        <w:t xml:space="preserve">67 dBm at 100 kHz band. This is relaxed from the original P-GSM requirement </w:t>
        <w:noBreakHyphen/>
        <w:t xml:space="preserve">79 dBm. Requirement is further relaxed to </w:t>
        <w:noBreakHyphen/>
        <w:t xml:space="preserve">60 dBm for R-GSM MS. The initial discussions with component manufacturers indicate that TX filter that limits spurious emissions at 3 MHz from the band edge down to </w:t>
        <w:noBreakHyphen/>
        <w:t>67 dBm in GSM400 bands would be feasible. It is considered that -62 dBm for T-GSM 380 &amp; 410 is achievable even with a transition band of only 2 MHz. The requirement is in line with the requirements for existing services in these bands.</w:t>
      </w:r>
    </w:p>
    <w:p>
      <w:pPr>
        <w:pStyle w:val="Heading2"/>
        <w:jc w:val="both"/>
        <w:rPr/>
      </w:pPr>
      <w:bookmarkStart w:id="553" w:name="__RefHeading___Toc518035969"/>
      <w:bookmarkEnd w:id="553"/>
      <w:r>
        <w:rPr/>
        <w:t>T.4.4</w:t>
        <w:tab/>
        <w:t>Radio frequency tolerance</w:t>
      </w:r>
    </w:p>
    <w:p>
      <w:pPr>
        <w:pStyle w:val="Normal"/>
        <w:rPr/>
      </w:pPr>
      <w:r>
        <w:rPr/>
        <w:t>No reason for changes in GSM 05.05 (defined in GSM 05.10).</w:t>
      </w:r>
    </w:p>
    <w:p>
      <w:pPr>
        <w:pStyle w:val="Heading2"/>
        <w:rPr/>
      </w:pPr>
      <w:bookmarkStart w:id="554" w:name="__RefHeading___Toc518035970"/>
      <w:bookmarkEnd w:id="554"/>
      <w:r>
        <w:rPr/>
        <w:t>T.4.5</w:t>
        <w:tab/>
        <w:t>Output level dynamic operation</w:t>
      </w:r>
    </w:p>
    <w:p>
      <w:pPr>
        <w:pStyle w:val="Heading3"/>
        <w:rPr/>
      </w:pPr>
      <w:bookmarkStart w:id="555" w:name="__RefHeading___Toc518035971"/>
      <w:bookmarkEnd w:id="555"/>
      <w:r>
        <w:rPr/>
        <w:t>T.4.5.1</w:t>
        <w:tab/>
        <w:t>Base station</w:t>
      </w:r>
    </w:p>
    <w:p>
      <w:pPr>
        <w:pStyle w:val="Normal"/>
        <w:rPr/>
      </w:pPr>
      <w:r>
        <w:rPr/>
        <w:t>This specification only affects the interference experienced by co-channel cells in the same PLMN. The requirement on the relative power level of unactivated timeslots is -30 dBc that is in line with the BTS power control range.</w:t>
      </w:r>
    </w:p>
    <w:p>
      <w:pPr>
        <w:pStyle w:val="Normal"/>
        <w:rPr/>
      </w:pPr>
      <w:r>
        <w:rPr/>
        <w:t>No reason to modify current specification.</w:t>
      </w:r>
    </w:p>
    <w:p>
      <w:pPr>
        <w:pStyle w:val="Heading3"/>
        <w:jc w:val="both"/>
        <w:rPr/>
      </w:pPr>
      <w:bookmarkStart w:id="556" w:name="__RefHeading___Toc518035972"/>
      <w:bookmarkEnd w:id="556"/>
      <w:r>
        <w:rPr/>
        <w:t>T.4.5.2</w:t>
        <w:tab/>
        <w:t>Mobile station</w:t>
      </w:r>
    </w:p>
    <w:p>
      <w:pPr>
        <w:pStyle w:val="Normal"/>
        <w:rPr/>
      </w:pPr>
      <w:r>
        <w:rPr/>
        <w:t>Tightening this requirement from current GSM900 specification would mean that the requirement for active MS would be about as tight as requirement in idle mode. This is not felt to be a reasonable requirement and thus it is proposed that GSM900 specification is adopted without changes.</w:t>
      </w:r>
    </w:p>
    <w:p>
      <w:pPr>
        <w:pStyle w:val="Normal"/>
        <w:rPr/>
      </w:pPr>
      <w:r>
        <w:rPr/>
        <w:t>The same relaxation as for GSM900 at preceding slot is allowed.</w:t>
      </w:r>
    </w:p>
    <w:p>
      <w:pPr>
        <w:pStyle w:val="Heading2"/>
        <w:jc w:val="both"/>
        <w:rPr/>
      </w:pPr>
      <w:bookmarkStart w:id="557" w:name="__RefHeading___Toc518035973"/>
      <w:bookmarkEnd w:id="557"/>
      <w:r>
        <w:rPr/>
        <w:t>T.4.6</w:t>
        <w:tab/>
        <w:t>Phase accuracy</w:t>
      </w:r>
    </w:p>
    <w:p>
      <w:pPr>
        <w:pStyle w:val="Normal"/>
        <w:rPr/>
      </w:pPr>
      <w:r>
        <w:rPr/>
        <w:t>No reason for changes in GSM 05.05 (defined in GSM 05.04).</w:t>
      </w:r>
    </w:p>
    <w:p>
      <w:pPr>
        <w:pStyle w:val="Heading2"/>
        <w:jc w:val="both"/>
        <w:rPr/>
      </w:pPr>
      <w:bookmarkStart w:id="558" w:name="__RefHeading___Toc518035974"/>
      <w:bookmarkEnd w:id="558"/>
      <w:r>
        <w:rPr/>
        <w:t>T.4.7</w:t>
        <w:tab/>
        <w:t>Intermodulation attenuation</w:t>
      </w:r>
    </w:p>
    <w:p>
      <w:pPr>
        <w:pStyle w:val="Normal"/>
        <w:rPr/>
      </w:pPr>
      <w:r>
        <w:rPr/>
        <w:t>For GSM900 system intermodulation attenuation is specified only for BTS. Required intermodulation attenuation in coordinated case for both GSM900 and GSM400 systems is 42 dB while current specification states that attenuation is 70 dB.</w:t>
      </w:r>
    </w:p>
    <w:p>
      <w:pPr>
        <w:pStyle w:val="Normal"/>
        <w:rPr/>
      </w:pPr>
      <w:r>
        <w:rPr/>
        <w:t>No changes are proposed for intermodulation attenuation specification.</w:t>
      </w:r>
    </w:p>
    <w:p>
      <w:pPr>
        <w:pStyle w:val="Heading1"/>
        <w:ind w:left="1134" w:hanging="1134"/>
        <w:rPr/>
      </w:pPr>
      <w:bookmarkStart w:id="559" w:name="__RefHeading___Toc518035975"/>
      <w:bookmarkEnd w:id="559"/>
      <w:r>
        <w:rPr/>
        <w:t>T.5</w:t>
        <w:tab/>
        <w:t>Receiver characteristics</w:t>
      </w:r>
    </w:p>
    <w:p>
      <w:pPr>
        <w:pStyle w:val="Heading2"/>
        <w:ind w:left="0" w:hanging="0"/>
        <w:rPr/>
      </w:pPr>
      <w:bookmarkStart w:id="560" w:name="__RefHeading___Toc518035976"/>
      <w:bookmarkEnd w:id="560"/>
      <w:r>
        <w:rPr/>
        <w:t>T.5.1</w:t>
        <w:tab/>
        <w:t>Blocking characteristics</w:t>
      </w:r>
    </w:p>
    <w:p>
      <w:pPr>
        <w:pStyle w:val="TH"/>
        <w:rPr/>
      </w:pPr>
      <w:r>
        <w:rPr/>
      </w:r>
    </w:p>
    <w:p>
      <w:pPr>
        <w:pStyle w:val="Normal"/>
        <w:rPr>
          <w:color w:val="FF0000"/>
        </w:rPr>
      </w:pPr>
      <w:r>
        <w:rPr>
          <w:color w:val="FF0000"/>
        </w:rPr>
        <w:drawing>
          <wp:inline distT="0" distB="0" distL="0" distR="0">
            <wp:extent cx="5477510" cy="438785"/>
            <wp:effectExtent l="0" t="0" r="0" b="0"/>
            <wp:docPr id="123"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47" descr=""/>
                    <pic:cNvPicPr>
                      <a:picLocks noChangeAspect="1" noChangeArrowheads="1"/>
                    </pic:cNvPicPr>
                  </pic:nvPicPr>
                  <pic:blipFill>
                    <a:blip r:embed="rId121"/>
                    <a:srcRect l="-7" t="-82" r="-7" b="-82"/>
                    <a:stretch>
                      <a:fillRect/>
                    </a:stretch>
                  </pic:blipFill>
                  <pic:spPr bwMode="auto">
                    <a:xfrm>
                      <a:off x="0" y="0"/>
                      <a:ext cx="5477510" cy="438785"/>
                    </a:xfrm>
                    <a:prstGeom prst="rect">
                      <a:avLst/>
                    </a:prstGeom>
                  </pic:spPr>
                </pic:pic>
              </a:graphicData>
            </a:graphic>
          </wp:inline>
        </w:drawing>
      </w:r>
    </w:p>
    <w:p>
      <w:pPr>
        <w:pStyle w:val="Normal"/>
        <w:rPr>
          <w:color w:val="FF0000"/>
        </w:rPr>
      </w:pPr>
      <w:r>
        <w:rPr>
          <w:color w:val="FF0000"/>
        </w:rPr>
        <w:drawing>
          <wp:inline distT="0" distB="0" distL="0" distR="0">
            <wp:extent cx="5478780" cy="855980"/>
            <wp:effectExtent l="0" t="0" r="0" b="0"/>
            <wp:docPr id="124"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48" descr=""/>
                    <pic:cNvPicPr>
                      <a:picLocks noChangeAspect="1" noChangeArrowheads="1"/>
                    </pic:cNvPicPr>
                  </pic:nvPicPr>
                  <pic:blipFill>
                    <a:blip r:embed="rId122"/>
                    <a:srcRect l="-7" t="-42" r="-7" b="-42"/>
                    <a:stretch>
                      <a:fillRect/>
                    </a:stretch>
                  </pic:blipFill>
                  <pic:spPr bwMode="auto">
                    <a:xfrm>
                      <a:off x="0" y="0"/>
                      <a:ext cx="5478780" cy="855980"/>
                    </a:xfrm>
                    <a:prstGeom prst="rect">
                      <a:avLst/>
                    </a:prstGeom>
                  </pic:spPr>
                </pic:pic>
              </a:graphicData>
            </a:graphic>
          </wp:inline>
        </w:drawing>
      </w:r>
    </w:p>
    <w:p>
      <w:pPr>
        <w:pStyle w:val="FP"/>
        <w:rPr/>
      </w:pPr>
      <w:r>
        <w:rPr/>
      </w:r>
    </w:p>
    <w:p>
      <w:pPr>
        <w:pStyle w:val="Normal"/>
        <w:rPr/>
      </w:pPr>
      <w:r>
        <w:rPr/>
        <w:t>GSM400 system passband and transition band between TX and RX bands are much smaller than in GSM900 system. While determining out-of-band limits it was decided to keep the ratio of passband and transition band about the same as for GSM900 system. Thus out-of-band transition bandwidth at high frequencies is chosen to be 6 MHz, which is relatively the same as for GSM where 20 MHz was chosen. Passband to transition band ratio for GSM400 system is quite close to the respective ratio in E-GSM, thus E-GSM has been chosen as a reference system for low out-of-band blocking requirements.</w:t>
      </w:r>
    </w:p>
    <w:p>
      <w:pPr>
        <w:pStyle w:val="TH"/>
        <w:rPr/>
      </w:pPr>
      <w:r>
        <w:rPr/>
      </w:r>
    </w:p>
    <w:tbl>
      <w:tblPr>
        <w:tblW w:w="8071" w:type="dxa"/>
        <w:jc w:val="center"/>
        <w:tblInd w:w="0" w:type="dxa"/>
        <w:tblLayout w:type="fixed"/>
        <w:tblCellMar>
          <w:top w:w="0" w:type="dxa"/>
          <w:left w:w="28" w:type="dxa"/>
          <w:bottom w:w="0" w:type="dxa"/>
          <w:right w:w="28" w:type="dxa"/>
        </w:tblCellMar>
      </w:tblPr>
      <w:tblGrid>
        <w:gridCol w:w="1626"/>
        <w:gridCol w:w="1608"/>
        <w:gridCol w:w="1511"/>
        <w:gridCol w:w="1608"/>
        <w:gridCol w:w="1718"/>
      </w:tblGrid>
      <w:tr>
        <w:trPr/>
        <w:tc>
          <w:tcPr>
            <w:tcW w:w="1626" w:type="dxa"/>
            <w:tcBorders>
              <w:top w:val="single" w:sz="6" w:space="0" w:color="000000"/>
              <w:left w:val="single" w:sz="6" w:space="0" w:color="000000"/>
            </w:tcBorders>
          </w:tcPr>
          <w:p>
            <w:pPr>
              <w:pStyle w:val="TAH"/>
              <w:rPr>
                <w:lang w:eastAsia="en-US"/>
              </w:rPr>
            </w:pPr>
            <w:r>
              <w:rPr>
                <w:lang w:eastAsia="en-US"/>
              </w:rPr>
              <w:t>Frequency</w:t>
            </w:r>
          </w:p>
        </w:tc>
        <w:tc>
          <w:tcPr>
            <w:tcW w:w="6445" w:type="dxa"/>
            <w:gridSpan w:val="4"/>
            <w:tcBorders>
              <w:top w:val="single" w:sz="6" w:space="0" w:color="000000"/>
              <w:left w:val="single" w:sz="6" w:space="0" w:color="000000"/>
              <w:right w:val="single" w:sz="6" w:space="0" w:color="000000"/>
            </w:tcBorders>
          </w:tcPr>
          <w:p>
            <w:pPr>
              <w:pStyle w:val="TAH"/>
              <w:rPr/>
            </w:pPr>
            <w:r>
              <w:rPr>
                <w:lang w:eastAsia="en-US"/>
              </w:rPr>
              <w:t>Frequency range (MHz)</w:t>
            </w:r>
          </w:p>
        </w:tc>
      </w:tr>
      <w:tr>
        <w:trPr>
          <w:cantSplit w:val="true"/>
        </w:trPr>
        <w:tc>
          <w:tcPr>
            <w:tcW w:w="1626" w:type="dxa"/>
            <w:tcBorders>
              <w:left w:val="single" w:sz="6" w:space="0" w:color="000000"/>
            </w:tcBorders>
          </w:tcPr>
          <w:p>
            <w:pPr>
              <w:pStyle w:val="TAH"/>
              <w:rPr>
                <w:lang w:eastAsia="en-US"/>
              </w:rPr>
            </w:pPr>
            <w:r>
              <w:rPr>
                <w:lang w:eastAsia="en-US"/>
              </w:rPr>
              <w:t>band</w:t>
            </w:r>
          </w:p>
        </w:tc>
        <w:tc>
          <w:tcPr>
            <w:tcW w:w="3119" w:type="dxa"/>
            <w:gridSpan w:val="2"/>
            <w:tcBorders>
              <w:left w:val="single" w:sz="6" w:space="0" w:color="000000"/>
              <w:right w:val="single" w:sz="6" w:space="0" w:color="000000"/>
            </w:tcBorders>
          </w:tcPr>
          <w:p>
            <w:pPr>
              <w:pStyle w:val="TAH"/>
              <w:rPr>
                <w:lang w:eastAsia="en-US"/>
              </w:rPr>
            </w:pPr>
            <w:r>
              <w:rPr>
                <w:lang w:eastAsia="en-US"/>
              </w:rPr>
              <w:t>T-GSM 380</w:t>
            </w:r>
          </w:p>
        </w:tc>
        <w:tc>
          <w:tcPr>
            <w:tcW w:w="3326" w:type="dxa"/>
            <w:gridSpan w:val="2"/>
            <w:tcBorders>
              <w:left w:val="single" w:sz="6" w:space="0" w:color="000000"/>
              <w:right w:val="single" w:sz="6" w:space="0" w:color="000000"/>
            </w:tcBorders>
          </w:tcPr>
          <w:p>
            <w:pPr>
              <w:pStyle w:val="TAH"/>
              <w:rPr>
                <w:lang w:val="fr-FR" w:eastAsia="en-US"/>
              </w:rPr>
            </w:pPr>
            <w:r>
              <w:rPr>
                <w:lang w:val="fr-FR" w:eastAsia="en-US"/>
              </w:rPr>
              <w:t>T-GSM 410</w:t>
            </w:r>
          </w:p>
        </w:tc>
      </w:tr>
      <w:tr>
        <w:trPr/>
        <w:tc>
          <w:tcPr>
            <w:tcW w:w="1626" w:type="dxa"/>
            <w:tcBorders>
              <w:left w:val="single" w:sz="6" w:space="0" w:color="000000"/>
            </w:tcBorders>
          </w:tcPr>
          <w:p>
            <w:pPr>
              <w:pStyle w:val="TAH"/>
              <w:snapToGrid w:val="false"/>
              <w:rPr>
                <w:b/>
                <w:b/>
                <w:lang w:val="fr-FR" w:eastAsia="en-US"/>
              </w:rPr>
            </w:pPr>
            <w:r>
              <w:rPr>
                <w:b/>
                <w:lang w:val="fr-FR" w:eastAsia="en-US"/>
              </w:rPr>
            </w:r>
          </w:p>
        </w:tc>
        <w:tc>
          <w:tcPr>
            <w:tcW w:w="1608" w:type="dxa"/>
            <w:tcBorders>
              <w:left w:val="single" w:sz="6" w:space="0" w:color="000000"/>
              <w:right w:val="single" w:sz="6" w:space="0" w:color="000000"/>
            </w:tcBorders>
          </w:tcPr>
          <w:p>
            <w:pPr>
              <w:pStyle w:val="TAH"/>
              <w:rPr>
                <w:lang w:val="fr-FR" w:eastAsia="en-US"/>
              </w:rPr>
            </w:pPr>
            <w:r>
              <w:rPr>
                <w:lang w:val="fr-FR" w:eastAsia="en-US"/>
              </w:rPr>
              <w:t>MS</w:t>
            </w:r>
          </w:p>
        </w:tc>
        <w:tc>
          <w:tcPr>
            <w:tcW w:w="1511" w:type="dxa"/>
            <w:tcBorders>
              <w:left w:val="single" w:sz="6" w:space="0" w:color="000000"/>
              <w:right w:val="single" w:sz="6" w:space="0" w:color="000000"/>
            </w:tcBorders>
          </w:tcPr>
          <w:p>
            <w:pPr>
              <w:pStyle w:val="TAH"/>
              <w:rPr>
                <w:lang w:eastAsia="en-US"/>
              </w:rPr>
            </w:pPr>
            <w:r>
              <w:rPr>
                <w:lang w:eastAsia="en-US"/>
              </w:rPr>
              <w:t>BTS</w:t>
            </w:r>
          </w:p>
        </w:tc>
        <w:tc>
          <w:tcPr>
            <w:tcW w:w="1608" w:type="dxa"/>
            <w:tcBorders>
              <w:left w:val="single" w:sz="6" w:space="0" w:color="000000"/>
              <w:right w:val="single" w:sz="6" w:space="0" w:color="000000"/>
            </w:tcBorders>
          </w:tcPr>
          <w:p>
            <w:pPr>
              <w:pStyle w:val="TAH"/>
              <w:rPr>
                <w:lang w:eastAsia="en-US"/>
              </w:rPr>
            </w:pPr>
            <w:r>
              <w:rPr>
                <w:lang w:eastAsia="en-US"/>
              </w:rPr>
              <w:t>MS</w:t>
            </w:r>
          </w:p>
        </w:tc>
        <w:tc>
          <w:tcPr>
            <w:tcW w:w="1718" w:type="dxa"/>
            <w:tcBorders>
              <w:left w:val="single" w:sz="6" w:space="0" w:color="000000"/>
              <w:right w:val="single" w:sz="6" w:space="0" w:color="000000"/>
            </w:tcBorders>
          </w:tcPr>
          <w:p>
            <w:pPr>
              <w:pStyle w:val="TAH"/>
              <w:rPr>
                <w:lang w:eastAsia="en-US"/>
              </w:rPr>
            </w:pPr>
            <w:r>
              <w:rPr>
                <w:lang w:eastAsia="en-US"/>
              </w:rPr>
              <w:t>BTS</w:t>
            </w:r>
          </w:p>
        </w:tc>
      </w:tr>
      <w:tr>
        <w:trPr/>
        <w:tc>
          <w:tcPr>
            <w:tcW w:w="1626" w:type="dxa"/>
            <w:tcBorders>
              <w:top w:val="single" w:sz="6" w:space="0" w:color="000000"/>
              <w:left w:val="single" w:sz="6" w:space="0" w:color="000000"/>
              <w:right w:val="single" w:sz="6" w:space="0" w:color="000000"/>
            </w:tcBorders>
          </w:tcPr>
          <w:p>
            <w:pPr>
              <w:pStyle w:val="TAC"/>
              <w:rPr>
                <w:lang w:val="en-GB"/>
              </w:rPr>
            </w:pPr>
            <w:r>
              <w:rPr>
                <w:lang w:val="en-GB"/>
              </w:rPr>
              <w:t>in</w:t>
              <w:noBreakHyphen/>
              <w:t>band</w:t>
            </w:r>
          </w:p>
        </w:tc>
        <w:tc>
          <w:tcPr>
            <w:tcW w:w="1608" w:type="dxa"/>
            <w:tcBorders>
              <w:top w:val="single" w:sz="6" w:space="0" w:color="000000"/>
              <w:left w:val="single" w:sz="6" w:space="0" w:color="000000"/>
              <w:right w:val="single" w:sz="6" w:space="0" w:color="000000"/>
            </w:tcBorders>
          </w:tcPr>
          <w:p>
            <w:pPr>
              <w:pStyle w:val="TAC"/>
              <w:rPr>
                <w:lang w:val="en-GB"/>
              </w:rPr>
            </w:pPr>
            <w:r>
              <w:rPr>
                <w:lang w:val="en-GB"/>
              </w:rPr>
              <w:t>389.6 – 405.6</w:t>
            </w:r>
          </w:p>
        </w:tc>
        <w:tc>
          <w:tcPr>
            <w:tcW w:w="1511" w:type="dxa"/>
            <w:tcBorders>
              <w:top w:val="single" w:sz="6" w:space="0" w:color="000000"/>
              <w:left w:val="single" w:sz="6" w:space="0" w:color="000000"/>
              <w:right w:val="single" w:sz="6" w:space="0" w:color="000000"/>
            </w:tcBorders>
          </w:tcPr>
          <w:p>
            <w:pPr>
              <w:pStyle w:val="TAC"/>
              <w:rPr>
                <w:lang w:val="en-GB"/>
              </w:rPr>
            </w:pPr>
            <w:r>
              <w:rPr>
                <w:lang w:val="en-GB"/>
              </w:rPr>
              <w:t>374.4 – 390.4</w:t>
            </w:r>
          </w:p>
        </w:tc>
        <w:tc>
          <w:tcPr>
            <w:tcW w:w="1608" w:type="dxa"/>
            <w:tcBorders>
              <w:top w:val="single" w:sz="6" w:space="0" w:color="000000"/>
              <w:left w:val="single" w:sz="6" w:space="0" w:color="000000"/>
              <w:right w:val="single" w:sz="6" w:space="0" w:color="000000"/>
            </w:tcBorders>
          </w:tcPr>
          <w:p>
            <w:pPr>
              <w:pStyle w:val="TAC"/>
              <w:rPr>
                <w:lang w:val="en-GB"/>
              </w:rPr>
            </w:pPr>
            <w:r>
              <w:rPr>
                <w:lang w:val="en-GB"/>
              </w:rPr>
              <w:t>419.6 – 435.6</w:t>
            </w:r>
          </w:p>
        </w:tc>
        <w:tc>
          <w:tcPr>
            <w:tcW w:w="1718" w:type="dxa"/>
            <w:tcBorders>
              <w:top w:val="single" w:sz="6" w:space="0" w:color="000000"/>
              <w:left w:val="single" w:sz="6" w:space="0" w:color="000000"/>
              <w:right w:val="single" w:sz="6" w:space="0" w:color="000000"/>
            </w:tcBorders>
          </w:tcPr>
          <w:p>
            <w:pPr>
              <w:pStyle w:val="TAC"/>
              <w:rPr>
                <w:lang w:val="en-GB"/>
              </w:rPr>
            </w:pPr>
            <w:r>
              <w:rPr>
                <w:lang w:val="en-GB"/>
              </w:rPr>
              <w:t>404.4 – 420.4</w:t>
            </w:r>
          </w:p>
        </w:tc>
      </w:tr>
      <w:tr>
        <w:trPr/>
        <w:tc>
          <w:tcPr>
            <w:tcW w:w="1626" w:type="dxa"/>
            <w:tcBorders>
              <w:left w:val="single" w:sz="6" w:space="0" w:color="000000"/>
              <w:right w:val="single" w:sz="6" w:space="0" w:color="000000"/>
            </w:tcBorders>
          </w:tcPr>
          <w:p>
            <w:pPr>
              <w:pStyle w:val="TAC"/>
              <w:rPr>
                <w:lang w:val="en-GB"/>
              </w:rPr>
            </w:pPr>
            <w:r>
              <w:rPr>
                <w:lang w:val="en-GB"/>
              </w:rPr>
              <w:t>out</w:t>
              <w:noBreakHyphen/>
              <w:t>of</w:t>
              <w:noBreakHyphen/>
              <w:t>band (a)</w:t>
            </w:r>
          </w:p>
        </w:tc>
        <w:tc>
          <w:tcPr>
            <w:tcW w:w="1608" w:type="dxa"/>
            <w:tcBorders>
              <w:left w:val="single" w:sz="6" w:space="0" w:color="000000"/>
              <w:right w:val="single" w:sz="6" w:space="0" w:color="000000"/>
            </w:tcBorders>
          </w:tcPr>
          <w:p>
            <w:pPr>
              <w:pStyle w:val="TAC"/>
              <w:rPr>
                <w:lang w:val="en-GB"/>
              </w:rPr>
            </w:pPr>
            <w:r>
              <w:rPr>
                <w:lang w:val="en-GB"/>
              </w:rPr>
              <w:t xml:space="preserve">0.1 </w:t>
              <w:noBreakHyphen/>
              <w:t xml:space="preserve"> &lt; 390.4</w:t>
            </w:r>
          </w:p>
        </w:tc>
        <w:tc>
          <w:tcPr>
            <w:tcW w:w="1511" w:type="dxa"/>
            <w:tcBorders>
              <w:left w:val="single" w:sz="6" w:space="0" w:color="000000"/>
              <w:right w:val="single" w:sz="6" w:space="0" w:color="000000"/>
            </w:tcBorders>
          </w:tcPr>
          <w:p>
            <w:pPr>
              <w:pStyle w:val="TAC"/>
              <w:rPr>
                <w:lang w:val="en-GB"/>
              </w:rPr>
            </w:pPr>
            <w:r>
              <w:rPr>
                <w:lang w:val="en-GB"/>
              </w:rPr>
              <w:t xml:space="preserve">0.1 </w:t>
              <w:noBreakHyphen/>
              <w:t xml:space="preserve"> &lt; 374.4</w:t>
            </w:r>
          </w:p>
        </w:tc>
        <w:tc>
          <w:tcPr>
            <w:tcW w:w="1608" w:type="dxa"/>
            <w:tcBorders>
              <w:left w:val="single" w:sz="6" w:space="0" w:color="000000"/>
              <w:right w:val="single" w:sz="6" w:space="0" w:color="000000"/>
            </w:tcBorders>
          </w:tcPr>
          <w:p>
            <w:pPr>
              <w:pStyle w:val="TAC"/>
              <w:rPr>
                <w:lang w:val="en-GB"/>
              </w:rPr>
            </w:pPr>
            <w:r>
              <w:rPr>
                <w:lang w:val="en-GB"/>
              </w:rPr>
              <w:t xml:space="preserve">0.1 </w:t>
              <w:noBreakHyphen/>
              <w:t xml:space="preserve"> &lt; 420.4</w:t>
            </w:r>
          </w:p>
        </w:tc>
        <w:tc>
          <w:tcPr>
            <w:tcW w:w="1718" w:type="dxa"/>
            <w:tcBorders>
              <w:left w:val="single" w:sz="6" w:space="0" w:color="000000"/>
              <w:right w:val="single" w:sz="6" w:space="0" w:color="000000"/>
            </w:tcBorders>
          </w:tcPr>
          <w:p>
            <w:pPr>
              <w:pStyle w:val="TAC"/>
              <w:rPr>
                <w:lang w:val="en-GB"/>
              </w:rPr>
            </w:pPr>
            <w:r>
              <w:rPr>
                <w:lang w:val="en-GB"/>
              </w:rPr>
              <w:t xml:space="preserve">0.1 </w:t>
              <w:noBreakHyphen/>
              <w:t xml:space="preserve"> &lt; 404.4</w:t>
            </w:r>
          </w:p>
        </w:tc>
      </w:tr>
      <w:tr>
        <w:trPr/>
        <w:tc>
          <w:tcPr>
            <w:tcW w:w="1626" w:type="dxa"/>
            <w:tcBorders>
              <w:left w:val="single" w:sz="6" w:space="0" w:color="000000"/>
              <w:right w:val="single" w:sz="6" w:space="0" w:color="000000"/>
            </w:tcBorders>
          </w:tcPr>
          <w:p>
            <w:pPr>
              <w:pStyle w:val="TAC"/>
              <w:rPr>
                <w:lang w:val="en-GB"/>
              </w:rPr>
            </w:pPr>
            <w:r>
              <w:rPr>
                <w:lang w:val="en-GB"/>
              </w:rPr>
              <w:t>out</w:t>
              <w:noBreakHyphen/>
              <w:t>of</w:t>
              <w:noBreakHyphen/>
              <w:t>band (b)</w:t>
            </w:r>
          </w:p>
        </w:tc>
        <w:tc>
          <w:tcPr>
            <w:tcW w:w="1608" w:type="dxa"/>
            <w:tcBorders>
              <w:left w:val="single" w:sz="6" w:space="0" w:color="000000"/>
              <w:right w:val="single" w:sz="6" w:space="0" w:color="000000"/>
            </w:tcBorders>
          </w:tcPr>
          <w:p>
            <w:pPr>
              <w:pStyle w:val="TAC"/>
              <w:rPr>
                <w:lang w:val="en-GB"/>
              </w:rPr>
            </w:pPr>
            <w:r>
              <w:rPr>
                <w:lang w:val="en-GB"/>
              </w:rPr>
              <w:t>N/A</w:t>
            </w:r>
          </w:p>
        </w:tc>
        <w:tc>
          <w:tcPr>
            <w:tcW w:w="1511" w:type="dxa"/>
            <w:tcBorders>
              <w:left w:val="single" w:sz="6" w:space="0" w:color="000000"/>
              <w:right w:val="single" w:sz="6" w:space="0" w:color="000000"/>
            </w:tcBorders>
          </w:tcPr>
          <w:p>
            <w:pPr>
              <w:pStyle w:val="TAC"/>
              <w:rPr>
                <w:lang w:val="en-GB"/>
              </w:rPr>
            </w:pPr>
            <w:r>
              <w:rPr>
                <w:lang w:val="en-GB"/>
              </w:rPr>
              <w:t>N/A</w:t>
            </w:r>
          </w:p>
        </w:tc>
        <w:tc>
          <w:tcPr>
            <w:tcW w:w="1608" w:type="dxa"/>
            <w:tcBorders>
              <w:left w:val="single" w:sz="6" w:space="0" w:color="000000"/>
              <w:right w:val="single" w:sz="6" w:space="0" w:color="000000"/>
            </w:tcBorders>
          </w:tcPr>
          <w:p>
            <w:pPr>
              <w:pStyle w:val="TAC"/>
              <w:rPr>
                <w:lang w:val="en-GB"/>
              </w:rPr>
            </w:pPr>
            <w:r>
              <w:rPr>
                <w:lang w:val="en-GB"/>
              </w:rPr>
              <w:t>N/A</w:t>
            </w:r>
          </w:p>
        </w:tc>
        <w:tc>
          <w:tcPr>
            <w:tcW w:w="1718" w:type="dxa"/>
            <w:tcBorders>
              <w:left w:val="single" w:sz="6" w:space="0" w:color="000000"/>
              <w:right w:val="single" w:sz="6" w:space="0" w:color="000000"/>
            </w:tcBorders>
          </w:tcPr>
          <w:p>
            <w:pPr>
              <w:pStyle w:val="TAC"/>
              <w:rPr>
                <w:lang w:val="en-GB"/>
              </w:rPr>
            </w:pPr>
            <w:r>
              <w:rPr>
                <w:lang w:val="en-GB"/>
              </w:rPr>
              <w:t>N/A</w:t>
            </w:r>
          </w:p>
        </w:tc>
      </w:tr>
      <w:tr>
        <w:trPr/>
        <w:tc>
          <w:tcPr>
            <w:tcW w:w="1626" w:type="dxa"/>
            <w:tcBorders>
              <w:left w:val="single" w:sz="6" w:space="0" w:color="000000"/>
              <w:right w:val="single" w:sz="6" w:space="0" w:color="000000"/>
            </w:tcBorders>
          </w:tcPr>
          <w:p>
            <w:pPr>
              <w:pStyle w:val="TAC"/>
              <w:rPr>
                <w:lang w:val="en-GB"/>
              </w:rPr>
            </w:pPr>
            <w:r>
              <w:rPr>
                <w:lang w:val="en-GB"/>
              </w:rPr>
              <w:t>out</w:t>
              <w:noBreakHyphen/>
              <w:t>of band (c)</w:t>
            </w:r>
          </w:p>
        </w:tc>
        <w:tc>
          <w:tcPr>
            <w:tcW w:w="1608" w:type="dxa"/>
            <w:tcBorders>
              <w:left w:val="single" w:sz="6" w:space="0" w:color="000000"/>
              <w:right w:val="single" w:sz="6" w:space="0" w:color="000000"/>
            </w:tcBorders>
          </w:tcPr>
          <w:p>
            <w:pPr>
              <w:pStyle w:val="TAC"/>
              <w:rPr>
                <w:lang w:val="en-GB"/>
              </w:rPr>
            </w:pPr>
            <w:r>
              <w:rPr>
                <w:lang w:val="en-GB"/>
              </w:rPr>
              <w:t>N/A</w:t>
            </w:r>
          </w:p>
        </w:tc>
        <w:tc>
          <w:tcPr>
            <w:tcW w:w="1511" w:type="dxa"/>
            <w:tcBorders>
              <w:left w:val="single" w:sz="6" w:space="0" w:color="000000"/>
              <w:right w:val="single" w:sz="6" w:space="0" w:color="000000"/>
            </w:tcBorders>
          </w:tcPr>
          <w:p>
            <w:pPr>
              <w:pStyle w:val="TAC"/>
              <w:rPr>
                <w:lang w:val="en-GB"/>
              </w:rPr>
            </w:pPr>
            <w:r>
              <w:rPr>
                <w:lang w:val="en-GB"/>
              </w:rPr>
              <w:t>N/A</w:t>
            </w:r>
          </w:p>
        </w:tc>
        <w:tc>
          <w:tcPr>
            <w:tcW w:w="1608" w:type="dxa"/>
            <w:tcBorders>
              <w:left w:val="single" w:sz="6" w:space="0" w:color="000000"/>
              <w:right w:val="single" w:sz="6" w:space="0" w:color="000000"/>
            </w:tcBorders>
          </w:tcPr>
          <w:p>
            <w:pPr>
              <w:pStyle w:val="TAC"/>
              <w:rPr/>
            </w:pPr>
            <w:r>
              <w:rPr>
                <w:lang w:val="en-GB"/>
              </w:rPr>
              <w:t>N/A</w:t>
            </w:r>
          </w:p>
        </w:tc>
        <w:tc>
          <w:tcPr>
            <w:tcW w:w="1718" w:type="dxa"/>
            <w:tcBorders>
              <w:left w:val="single" w:sz="6" w:space="0" w:color="000000"/>
              <w:right w:val="single" w:sz="6" w:space="0" w:color="000000"/>
            </w:tcBorders>
          </w:tcPr>
          <w:p>
            <w:pPr>
              <w:pStyle w:val="TAC"/>
              <w:rPr>
                <w:lang w:val="en-GB"/>
              </w:rPr>
            </w:pPr>
            <w:r>
              <w:rPr>
                <w:lang w:val="en-GB"/>
              </w:rPr>
              <w:t>N/A</w:t>
            </w:r>
          </w:p>
        </w:tc>
      </w:tr>
      <w:tr>
        <w:trPr/>
        <w:tc>
          <w:tcPr>
            <w:tcW w:w="1626" w:type="dxa"/>
            <w:tcBorders>
              <w:left w:val="single" w:sz="6" w:space="0" w:color="000000"/>
              <w:bottom w:val="single" w:sz="6" w:space="0" w:color="000000"/>
              <w:right w:val="single" w:sz="6" w:space="0" w:color="000000"/>
            </w:tcBorders>
          </w:tcPr>
          <w:p>
            <w:pPr>
              <w:pStyle w:val="TAC"/>
              <w:rPr>
                <w:lang w:val="en-GB"/>
              </w:rPr>
            </w:pPr>
            <w:r>
              <w:rPr>
                <w:lang w:val="en-GB"/>
              </w:rPr>
              <w:t>out</w:t>
              <w:noBreakHyphen/>
              <w:t>of band (d)</w:t>
            </w:r>
          </w:p>
        </w:tc>
        <w:tc>
          <w:tcPr>
            <w:tcW w:w="1608" w:type="dxa"/>
            <w:tcBorders>
              <w:left w:val="single" w:sz="6" w:space="0" w:color="000000"/>
              <w:bottom w:val="single" w:sz="6" w:space="0" w:color="000000"/>
              <w:right w:val="single" w:sz="6" w:space="0" w:color="000000"/>
            </w:tcBorders>
          </w:tcPr>
          <w:p>
            <w:pPr>
              <w:pStyle w:val="TAC"/>
              <w:rPr>
                <w:lang w:val="en-GB"/>
              </w:rPr>
            </w:pPr>
            <w:r>
              <w:rPr>
                <w:lang w:val="en-GB"/>
              </w:rPr>
              <w:t xml:space="preserve">&gt; 405.6 </w:t>
              <w:noBreakHyphen/>
              <w:t xml:space="preserve"> 12,750</w:t>
            </w:r>
          </w:p>
        </w:tc>
        <w:tc>
          <w:tcPr>
            <w:tcW w:w="1511" w:type="dxa"/>
            <w:tcBorders>
              <w:left w:val="single" w:sz="6" w:space="0" w:color="000000"/>
              <w:bottom w:val="single" w:sz="6" w:space="0" w:color="000000"/>
              <w:right w:val="single" w:sz="6" w:space="0" w:color="000000"/>
            </w:tcBorders>
          </w:tcPr>
          <w:p>
            <w:pPr>
              <w:pStyle w:val="TAC"/>
              <w:rPr>
                <w:lang w:val="en-GB"/>
              </w:rPr>
            </w:pPr>
            <w:r>
              <w:rPr>
                <w:lang w:val="en-GB"/>
              </w:rPr>
              <w:t xml:space="preserve">&gt; 390.4 </w:t>
              <w:noBreakHyphen/>
              <w:t xml:space="preserve"> 12,750</w:t>
            </w:r>
          </w:p>
        </w:tc>
        <w:tc>
          <w:tcPr>
            <w:tcW w:w="1608" w:type="dxa"/>
            <w:tcBorders>
              <w:left w:val="single" w:sz="6" w:space="0" w:color="000000"/>
              <w:bottom w:val="single" w:sz="6" w:space="0" w:color="000000"/>
              <w:right w:val="single" w:sz="6" w:space="0" w:color="000000"/>
            </w:tcBorders>
          </w:tcPr>
          <w:p>
            <w:pPr>
              <w:pStyle w:val="TAC"/>
              <w:rPr>
                <w:lang w:val="en-GB"/>
              </w:rPr>
            </w:pPr>
            <w:r>
              <w:rPr>
                <w:lang w:val="en-GB"/>
              </w:rPr>
              <w:t xml:space="preserve">&gt; 435.6 </w:t>
              <w:noBreakHyphen/>
              <w:t xml:space="preserve"> 12,750</w:t>
            </w:r>
          </w:p>
        </w:tc>
        <w:tc>
          <w:tcPr>
            <w:tcW w:w="1718" w:type="dxa"/>
            <w:tcBorders>
              <w:left w:val="single" w:sz="6" w:space="0" w:color="000000"/>
              <w:bottom w:val="single" w:sz="6" w:space="0" w:color="000000"/>
              <w:right w:val="single" w:sz="6" w:space="0" w:color="000000"/>
            </w:tcBorders>
          </w:tcPr>
          <w:p>
            <w:pPr>
              <w:pStyle w:val="TAC"/>
              <w:rPr>
                <w:lang w:val="en-GB"/>
              </w:rPr>
            </w:pPr>
            <w:r>
              <w:rPr>
                <w:lang w:val="en-GB"/>
              </w:rPr>
              <w:t xml:space="preserve">&gt; 420.4 </w:t>
              <w:noBreakHyphen/>
              <w:t xml:space="preserve"> 12,750</w:t>
            </w:r>
          </w:p>
        </w:tc>
      </w:tr>
    </w:tbl>
    <w:p>
      <w:pPr>
        <w:pStyle w:val="FP"/>
        <w:rPr/>
      </w:pPr>
      <w:r>
        <w:rPr/>
      </w:r>
    </w:p>
    <w:p>
      <w:pPr>
        <w:pStyle w:val="Normal"/>
        <w:rPr/>
      </w:pPr>
      <w:r>
        <w:rPr/>
        <w:t>NOTE:</w:t>
        <w:tab/>
        <w:t>Although the T-GSM 380 and T-GSM 410 bands are 10 MHz wide, because a transition band of at least 2 MHz is needed, a maximum allocation is limited to approximately 8 MHz within the 10 MHz band. The allocated frequencies may be selected from any part of the band consistent with this transition band.</w:t>
      </w:r>
    </w:p>
    <w:p>
      <w:pPr>
        <w:pStyle w:val="TH"/>
        <w:rPr/>
      </w:pPr>
      <w:r>
        <w:rPr/>
      </w:r>
    </w:p>
    <w:tbl>
      <w:tblPr>
        <w:tblW w:w="5594" w:type="dxa"/>
        <w:jc w:val="center"/>
        <w:tblInd w:w="0" w:type="dxa"/>
        <w:tblLayout w:type="fixed"/>
        <w:tblCellMar>
          <w:top w:w="0" w:type="dxa"/>
          <w:left w:w="28" w:type="dxa"/>
          <w:bottom w:w="0" w:type="dxa"/>
          <w:right w:w="28" w:type="dxa"/>
        </w:tblCellMar>
      </w:tblPr>
      <w:tblGrid>
        <w:gridCol w:w="1990"/>
        <w:gridCol w:w="1761"/>
        <w:gridCol w:w="1843"/>
      </w:tblGrid>
      <w:tr>
        <w:trPr>
          <w:cantSplit w:val="true"/>
        </w:trPr>
        <w:tc>
          <w:tcPr>
            <w:tcW w:w="1990" w:type="dxa"/>
            <w:tcBorders>
              <w:top w:val="single" w:sz="6" w:space="0" w:color="000000"/>
              <w:left w:val="single" w:sz="6" w:space="0" w:color="000000"/>
            </w:tcBorders>
          </w:tcPr>
          <w:p>
            <w:pPr>
              <w:pStyle w:val="TAH"/>
              <w:rPr>
                <w:lang w:eastAsia="en-US"/>
              </w:rPr>
            </w:pPr>
            <w:r>
              <w:rPr>
                <w:lang w:eastAsia="en-US"/>
              </w:rPr>
              <w:t>Frequency</w:t>
            </w:r>
          </w:p>
        </w:tc>
        <w:tc>
          <w:tcPr>
            <w:tcW w:w="3604" w:type="dxa"/>
            <w:gridSpan w:val="2"/>
            <w:tcBorders>
              <w:top w:val="single" w:sz="6" w:space="0" w:color="000000"/>
              <w:left w:val="single" w:sz="6" w:space="0" w:color="000000"/>
              <w:right w:val="single" w:sz="6" w:space="0" w:color="000000"/>
            </w:tcBorders>
          </w:tcPr>
          <w:p>
            <w:pPr>
              <w:pStyle w:val="TAH"/>
              <w:rPr>
                <w:lang w:eastAsia="en-US"/>
              </w:rPr>
            </w:pPr>
            <w:r>
              <w:rPr>
                <w:lang w:eastAsia="en-US"/>
              </w:rPr>
              <w:t>Frequency range (MHz)</w:t>
            </w:r>
          </w:p>
        </w:tc>
      </w:tr>
      <w:tr>
        <w:trPr/>
        <w:tc>
          <w:tcPr>
            <w:tcW w:w="1990" w:type="dxa"/>
            <w:tcBorders>
              <w:left w:val="single" w:sz="6" w:space="0" w:color="000000"/>
            </w:tcBorders>
          </w:tcPr>
          <w:p>
            <w:pPr>
              <w:pStyle w:val="TAH"/>
              <w:rPr>
                <w:lang w:eastAsia="en-US"/>
              </w:rPr>
            </w:pPr>
            <w:r>
              <w:rPr>
                <w:lang w:eastAsia="en-US"/>
              </w:rPr>
              <w:t>Band</w:t>
            </w:r>
          </w:p>
        </w:tc>
        <w:tc>
          <w:tcPr>
            <w:tcW w:w="3604" w:type="dxa"/>
            <w:gridSpan w:val="2"/>
            <w:tcBorders>
              <w:left w:val="single" w:sz="6" w:space="0" w:color="000000"/>
              <w:right w:val="single" w:sz="6" w:space="0" w:color="000000"/>
            </w:tcBorders>
          </w:tcPr>
          <w:p>
            <w:pPr>
              <w:pStyle w:val="TAH"/>
              <w:rPr>
                <w:lang w:eastAsia="en-US"/>
              </w:rPr>
            </w:pPr>
            <w:r>
              <w:rPr>
                <w:lang w:eastAsia="en-US"/>
              </w:rPr>
              <w:t>GSM 450</w:t>
            </w:r>
          </w:p>
        </w:tc>
      </w:tr>
      <w:tr>
        <w:trPr/>
        <w:tc>
          <w:tcPr>
            <w:tcW w:w="1990" w:type="dxa"/>
            <w:tcBorders>
              <w:left w:val="single" w:sz="6" w:space="0" w:color="000000"/>
            </w:tcBorders>
          </w:tcPr>
          <w:p>
            <w:pPr>
              <w:pStyle w:val="TAH"/>
              <w:snapToGrid w:val="false"/>
              <w:rPr>
                <w:lang w:eastAsia="en-US"/>
              </w:rPr>
            </w:pPr>
            <w:r>
              <w:rPr>
                <w:lang w:eastAsia="en-US"/>
              </w:rPr>
            </w:r>
          </w:p>
        </w:tc>
        <w:tc>
          <w:tcPr>
            <w:tcW w:w="1761" w:type="dxa"/>
            <w:tcBorders>
              <w:left w:val="single" w:sz="6" w:space="0" w:color="000000"/>
              <w:right w:val="single" w:sz="6" w:space="0" w:color="000000"/>
            </w:tcBorders>
          </w:tcPr>
          <w:p>
            <w:pPr>
              <w:pStyle w:val="TAH"/>
              <w:rPr>
                <w:lang w:eastAsia="en-US"/>
              </w:rPr>
            </w:pPr>
            <w:r>
              <w:rPr>
                <w:lang w:eastAsia="en-US"/>
              </w:rPr>
              <w:t>MS</w:t>
            </w:r>
          </w:p>
        </w:tc>
        <w:tc>
          <w:tcPr>
            <w:tcW w:w="1843" w:type="dxa"/>
            <w:tcBorders>
              <w:left w:val="single" w:sz="6" w:space="0" w:color="000000"/>
              <w:right w:val="single" w:sz="6" w:space="0" w:color="000000"/>
            </w:tcBorders>
          </w:tcPr>
          <w:p>
            <w:pPr>
              <w:pStyle w:val="TAH"/>
              <w:rPr>
                <w:lang w:eastAsia="en-US"/>
              </w:rPr>
            </w:pPr>
            <w:r>
              <w:rPr>
                <w:lang w:eastAsia="en-US"/>
              </w:rPr>
              <w:t>BTS</w:t>
            </w:r>
          </w:p>
        </w:tc>
      </w:tr>
      <w:tr>
        <w:trPr/>
        <w:tc>
          <w:tcPr>
            <w:tcW w:w="1990" w:type="dxa"/>
            <w:tcBorders>
              <w:top w:val="single" w:sz="6" w:space="0" w:color="000000"/>
              <w:left w:val="single" w:sz="6" w:space="0" w:color="000000"/>
              <w:right w:val="single" w:sz="6" w:space="0" w:color="000000"/>
            </w:tcBorders>
          </w:tcPr>
          <w:p>
            <w:pPr>
              <w:pStyle w:val="TAL"/>
              <w:rPr>
                <w:lang w:val="en-GB"/>
              </w:rPr>
            </w:pPr>
            <w:r>
              <w:rPr>
                <w:lang w:val="en-GB"/>
              </w:rPr>
              <w:t>In</w:t>
              <w:noBreakHyphen/>
              <w:t>band</w:t>
            </w:r>
          </w:p>
        </w:tc>
        <w:tc>
          <w:tcPr>
            <w:tcW w:w="1761" w:type="dxa"/>
            <w:tcBorders>
              <w:top w:val="single" w:sz="6" w:space="0" w:color="000000"/>
              <w:left w:val="single" w:sz="6" w:space="0" w:color="000000"/>
              <w:right w:val="single" w:sz="6" w:space="0" w:color="000000"/>
            </w:tcBorders>
          </w:tcPr>
          <w:p>
            <w:pPr>
              <w:pStyle w:val="TAC"/>
              <w:rPr>
                <w:lang w:val="en-GB"/>
              </w:rPr>
            </w:pPr>
            <w:r>
              <w:rPr>
                <w:lang w:val="en-GB"/>
              </w:rPr>
              <w:t xml:space="preserve">457,6 </w:t>
              <w:noBreakHyphen/>
              <w:t xml:space="preserve"> 473,6</w:t>
            </w:r>
          </w:p>
        </w:tc>
        <w:tc>
          <w:tcPr>
            <w:tcW w:w="1843" w:type="dxa"/>
            <w:tcBorders>
              <w:top w:val="single" w:sz="6" w:space="0" w:color="000000"/>
              <w:left w:val="single" w:sz="6" w:space="0" w:color="000000"/>
              <w:right w:val="single" w:sz="6" w:space="0" w:color="000000"/>
            </w:tcBorders>
          </w:tcPr>
          <w:p>
            <w:pPr>
              <w:pStyle w:val="TAC"/>
              <w:rPr>
                <w:lang w:val="en-GB"/>
              </w:rPr>
            </w:pPr>
            <w:r>
              <w:rPr>
                <w:lang w:val="en-GB"/>
              </w:rPr>
              <w:t xml:space="preserve">444,4 </w:t>
              <w:noBreakHyphen/>
              <w:t xml:space="preserve"> 460,4</w:t>
            </w:r>
          </w:p>
        </w:tc>
      </w:tr>
      <w:tr>
        <w:trPr/>
        <w:tc>
          <w:tcPr>
            <w:tcW w:w="1990" w:type="dxa"/>
            <w:tcBorders>
              <w:left w:val="single" w:sz="6" w:space="0" w:color="000000"/>
              <w:right w:val="single" w:sz="6" w:space="0" w:color="000000"/>
            </w:tcBorders>
          </w:tcPr>
          <w:p>
            <w:pPr>
              <w:pStyle w:val="TAL"/>
              <w:rPr>
                <w:lang w:val="en-GB"/>
              </w:rPr>
            </w:pPr>
            <w:r>
              <w:rPr>
                <w:lang w:val="en-GB"/>
              </w:rPr>
              <w:t>out</w:t>
              <w:noBreakHyphen/>
              <w:t>of</w:t>
              <w:noBreakHyphen/>
              <w:t>band (a)</w:t>
            </w:r>
          </w:p>
        </w:tc>
        <w:tc>
          <w:tcPr>
            <w:tcW w:w="1761" w:type="dxa"/>
            <w:tcBorders>
              <w:left w:val="single" w:sz="6" w:space="0" w:color="000000"/>
              <w:right w:val="single" w:sz="6" w:space="0" w:color="000000"/>
            </w:tcBorders>
          </w:tcPr>
          <w:p>
            <w:pPr>
              <w:pStyle w:val="TAC"/>
              <w:rPr/>
            </w:pPr>
            <w:r>
              <w:rPr>
                <w:lang w:val="en-GB"/>
              </w:rPr>
              <w:t xml:space="preserve">0,1 </w:t>
              <w:noBreakHyphen/>
              <w:t xml:space="preserve"> &lt; 457,6</w:t>
            </w:r>
          </w:p>
        </w:tc>
        <w:tc>
          <w:tcPr>
            <w:tcW w:w="1843" w:type="dxa"/>
            <w:tcBorders>
              <w:left w:val="single" w:sz="6" w:space="0" w:color="000000"/>
              <w:right w:val="single" w:sz="6" w:space="0" w:color="000000"/>
            </w:tcBorders>
          </w:tcPr>
          <w:p>
            <w:pPr>
              <w:pStyle w:val="TAC"/>
              <w:rPr>
                <w:lang w:val="en-GB"/>
              </w:rPr>
            </w:pPr>
            <w:r>
              <w:rPr>
                <w:lang w:val="en-GB"/>
              </w:rPr>
              <w:t xml:space="preserve">0,1 </w:t>
              <w:noBreakHyphen/>
              <w:t xml:space="preserve"> &lt; 444,4</w:t>
            </w:r>
          </w:p>
        </w:tc>
      </w:tr>
      <w:tr>
        <w:trPr/>
        <w:tc>
          <w:tcPr>
            <w:tcW w:w="1990" w:type="dxa"/>
            <w:tcBorders>
              <w:left w:val="single" w:sz="6" w:space="0" w:color="000000"/>
              <w:right w:val="single" w:sz="6" w:space="0" w:color="000000"/>
            </w:tcBorders>
          </w:tcPr>
          <w:p>
            <w:pPr>
              <w:pStyle w:val="TAL"/>
              <w:rPr>
                <w:lang w:val="en-GB"/>
              </w:rPr>
            </w:pPr>
            <w:r>
              <w:rPr>
                <w:lang w:val="en-GB"/>
              </w:rPr>
              <w:t>out</w:t>
              <w:noBreakHyphen/>
              <w:t>of</w:t>
              <w:noBreakHyphen/>
              <w:t>band (b)</w:t>
            </w:r>
          </w:p>
        </w:tc>
        <w:tc>
          <w:tcPr>
            <w:tcW w:w="1761" w:type="dxa"/>
            <w:tcBorders>
              <w:left w:val="single" w:sz="6" w:space="0" w:color="000000"/>
              <w:right w:val="single" w:sz="6" w:space="0" w:color="000000"/>
            </w:tcBorders>
          </w:tcPr>
          <w:p>
            <w:pPr>
              <w:pStyle w:val="TAC"/>
              <w:rPr>
                <w:lang w:val="en-GB"/>
              </w:rPr>
            </w:pPr>
            <w:r>
              <w:rPr>
                <w:lang w:val="en-GB"/>
              </w:rPr>
              <w:t>N/A</w:t>
            </w:r>
          </w:p>
        </w:tc>
        <w:tc>
          <w:tcPr>
            <w:tcW w:w="1843" w:type="dxa"/>
            <w:tcBorders>
              <w:left w:val="single" w:sz="6" w:space="0" w:color="000000"/>
              <w:right w:val="single" w:sz="6" w:space="0" w:color="000000"/>
            </w:tcBorders>
          </w:tcPr>
          <w:p>
            <w:pPr>
              <w:pStyle w:val="TAC"/>
              <w:rPr>
                <w:lang w:val="en-GB"/>
              </w:rPr>
            </w:pPr>
            <w:r>
              <w:rPr>
                <w:lang w:val="en-GB"/>
              </w:rPr>
              <w:t>N/A</w:t>
            </w:r>
          </w:p>
        </w:tc>
      </w:tr>
      <w:tr>
        <w:trPr/>
        <w:tc>
          <w:tcPr>
            <w:tcW w:w="1990" w:type="dxa"/>
            <w:tcBorders>
              <w:left w:val="single" w:sz="6" w:space="0" w:color="000000"/>
              <w:right w:val="single" w:sz="6" w:space="0" w:color="000000"/>
            </w:tcBorders>
          </w:tcPr>
          <w:p>
            <w:pPr>
              <w:pStyle w:val="TAL"/>
              <w:rPr>
                <w:lang w:val="en-GB"/>
              </w:rPr>
            </w:pPr>
            <w:r>
              <w:rPr>
                <w:lang w:val="en-GB"/>
              </w:rPr>
              <w:t>out</w:t>
              <w:noBreakHyphen/>
              <w:t>of band (c)</w:t>
            </w:r>
          </w:p>
        </w:tc>
        <w:tc>
          <w:tcPr>
            <w:tcW w:w="1761" w:type="dxa"/>
            <w:tcBorders>
              <w:left w:val="single" w:sz="6" w:space="0" w:color="000000"/>
              <w:right w:val="single" w:sz="6" w:space="0" w:color="000000"/>
            </w:tcBorders>
          </w:tcPr>
          <w:p>
            <w:pPr>
              <w:pStyle w:val="TAC"/>
              <w:rPr>
                <w:lang w:val="en-GB"/>
              </w:rPr>
            </w:pPr>
            <w:r>
              <w:rPr>
                <w:lang w:val="en-GB"/>
              </w:rPr>
              <w:t>N/A</w:t>
            </w:r>
          </w:p>
        </w:tc>
        <w:tc>
          <w:tcPr>
            <w:tcW w:w="1843" w:type="dxa"/>
            <w:tcBorders>
              <w:left w:val="single" w:sz="6" w:space="0" w:color="000000"/>
              <w:right w:val="single" w:sz="6" w:space="0" w:color="000000"/>
            </w:tcBorders>
          </w:tcPr>
          <w:p>
            <w:pPr>
              <w:pStyle w:val="TAC"/>
              <w:rPr>
                <w:lang w:val="en-GB"/>
              </w:rPr>
            </w:pPr>
            <w:r>
              <w:rPr>
                <w:lang w:val="en-GB"/>
              </w:rPr>
              <w:t>N/A</w:t>
            </w:r>
          </w:p>
        </w:tc>
      </w:tr>
      <w:tr>
        <w:trPr/>
        <w:tc>
          <w:tcPr>
            <w:tcW w:w="1990" w:type="dxa"/>
            <w:tcBorders>
              <w:left w:val="single" w:sz="6" w:space="0" w:color="000000"/>
              <w:bottom w:val="single" w:sz="6" w:space="0" w:color="000000"/>
              <w:right w:val="single" w:sz="6" w:space="0" w:color="000000"/>
            </w:tcBorders>
          </w:tcPr>
          <w:p>
            <w:pPr>
              <w:pStyle w:val="TAL"/>
              <w:rPr>
                <w:lang w:val="en-GB"/>
              </w:rPr>
            </w:pPr>
            <w:r>
              <w:rPr>
                <w:lang w:val="en-GB"/>
              </w:rPr>
              <w:t>out</w:t>
              <w:noBreakHyphen/>
              <w:t>of band (d)</w:t>
            </w:r>
          </w:p>
        </w:tc>
        <w:tc>
          <w:tcPr>
            <w:tcW w:w="1761" w:type="dxa"/>
            <w:tcBorders>
              <w:left w:val="single" w:sz="6" w:space="0" w:color="000000"/>
              <w:bottom w:val="single" w:sz="6" w:space="0" w:color="000000"/>
              <w:right w:val="single" w:sz="6" w:space="0" w:color="000000"/>
            </w:tcBorders>
          </w:tcPr>
          <w:p>
            <w:pPr>
              <w:pStyle w:val="TAC"/>
              <w:rPr>
                <w:lang w:val="en-GB"/>
              </w:rPr>
            </w:pPr>
            <w:r>
              <w:rPr>
                <w:lang w:val="en-GB"/>
              </w:rPr>
              <w:t xml:space="preserve">&gt; 473,6 </w:t>
              <w:noBreakHyphen/>
              <w:t xml:space="preserve"> 12,750</w:t>
            </w:r>
          </w:p>
        </w:tc>
        <w:tc>
          <w:tcPr>
            <w:tcW w:w="1843" w:type="dxa"/>
            <w:tcBorders>
              <w:left w:val="single" w:sz="6" w:space="0" w:color="000000"/>
              <w:bottom w:val="single" w:sz="6" w:space="0" w:color="000000"/>
              <w:right w:val="single" w:sz="6" w:space="0" w:color="000000"/>
            </w:tcBorders>
          </w:tcPr>
          <w:p>
            <w:pPr>
              <w:pStyle w:val="TAC"/>
              <w:rPr>
                <w:lang w:val="en-GB"/>
              </w:rPr>
            </w:pPr>
            <w:r>
              <w:rPr>
                <w:lang w:val="en-GB"/>
              </w:rPr>
              <w:t xml:space="preserve">&gt; 460,4 </w:t>
              <w:noBreakHyphen/>
              <w:t xml:space="preserve"> 12,750</w:t>
            </w:r>
          </w:p>
        </w:tc>
      </w:tr>
    </w:tbl>
    <w:p>
      <w:pPr>
        <w:pStyle w:val="FP"/>
        <w:rPr/>
      </w:pPr>
      <w:r>
        <w:rPr/>
      </w:r>
    </w:p>
    <w:p>
      <w:pPr>
        <w:pStyle w:val="TH"/>
        <w:rPr/>
      </w:pPr>
      <w:r>
        <w:rPr/>
      </w:r>
    </w:p>
    <w:tbl>
      <w:tblPr>
        <w:tblW w:w="5594" w:type="dxa"/>
        <w:jc w:val="center"/>
        <w:tblInd w:w="0" w:type="dxa"/>
        <w:tblLayout w:type="fixed"/>
        <w:tblCellMar>
          <w:top w:w="0" w:type="dxa"/>
          <w:left w:w="28" w:type="dxa"/>
          <w:bottom w:w="0" w:type="dxa"/>
          <w:right w:w="28" w:type="dxa"/>
        </w:tblCellMar>
      </w:tblPr>
      <w:tblGrid>
        <w:gridCol w:w="1990"/>
        <w:gridCol w:w="1761"/>
        <w:gridCol w:w="1843"/>
      </w:tblGrid>
      <w:tr>
        <w:trPr>
          <w:cantSplit w:val="true"/>
        </w:trPr>
        <w:tc>
          <w:tcPr>
            <w:tcW w:w="1990" w:type="dxa"/>
            <w:tcBorders>
              <w:top w:val="single" w:sz="6" w:space="0" w:color="000000"/>
              <w:left w:val="single" w:sz="6" w:space="0" w:color="000000"/>
            </w:tcBorders>
          </w:tcPr>
          <w:p>
            <w:pPr>
              <w:pStyle w:val="TAH"/>
              <w:rPr>
                <w:lang w:eastAsia="en-US"/>
              </w:rPr>
            </w:pPr>
            <w:r>
              <w:rPr>
                <w:lang w:eastAsia="en-US"/>
              </w:rPr>
              <w:t>Frequency</w:t>
            </w:r>
          </w:p>
        </w:tc>
        <w:tc>
          <w:tcPr>
            <w:tcW w:w="3604" w:type="dxa"/>
            <w:gridSpan w:val="2"/>
            <w:tcBorders>
              <w:top w:val="single" w:sz="6" w:space="0" w:color="000000"/>
              <w:left w:val="single" w:sz="6" w:space="0" w:color="000000"/>
              <w:right w:val="single" w:sz="6" w:space="0" w:color="000000"/>
            </w:tcBorders>
          </w:tcPr>
          <w:p>
            <w:pPr>
              <w:pStyle w:val="TAH"/>
              <w:rPr>
                <w:lang w:eastAsia="en-US"/>
              </w:rPr>
            </w:pPr>
            <w:r>
              <w:rPr>
                <w:lang w:eastAsia="en-US"/>
              </w:rPr>
              <w:t>Frequency range (MHz)</w:t>
            </w:r>
          </w:p>
        </w:tc>
      </w:tr>
      <w:tr>
        <w:trPr/>
        <w:tc>
          <w:tcPr>
            <w:tcW w:w="1990" w:type="dxa"/>
            <w:tcBorders>
              <w:left w:val="single" w:sz="6" w:space="0" w:color="000000"/>
            </w:tcBorders>
          </w:tcPr>
          <w:p>
            <w:pPr>
              <w:pStyle w:val="TAH"/>
              <w:rPr>
                <w:lang w:eastAsia="en-US"/>
              </w:rPr>
            </w:pPr>
            <w:r>
              <w:rPr>
                <w:lang w:eastAsia="en-US"/>
              </w:rPr>
              <w:t>Band</w:t>
            </w:r>
          </w:p>
        </w:tc>
        <w:tc>
          <w:tcPr>
            <w:tcW w:w="3604" w:type="dxa"/>
            <w:gridSpan w:val="2"/>
            <w:tcBorders>
              <w:left w:val="single" w:sz="6" w:space="0" w:color="000000"/>
              <w:right w:val="single" w:sz="6" w:space="0" w:color="000000"/>
            </w:tcBorders>
          </w:tcPr>
          <w:p>
            <w:pPr>
              <w:pStyle w:val="TAH"/>
              <w:rPr>
                <w:lang w:eastAsia="en-US"/>
              </w:rPr>
            </w:pPr>
            <w:r>
              <w:rPr>
                <w:lang w:eastAsia="en-US"/>
              </w:rPr>
              <w:t>GSM 480</w:t>
            </w:r>
          </w:p>
        </w:tc>
      </w:tr>
      <w:tr>
        <w:trPr/>
        <w:tc>
          <w:tcPr>
            <w:tcW w:w="1990" w:type="dxa"/>
            <w:tcBorders>
              <w:left w:val="single" w:sz="6" w:space="0" w:color="000000"/>
            </w:tcBorders>
          </w:tcPr>
          <w:p>
            <w:pPr>
              <w:pStyle w:val="TAH"/>
              <w:snapToGrid w:val="false"/>
              <w:rPr>
                <w:lang w:eastAsia="en-US"/>
              </w:rPr>
            </w:pPr>
            <w:r>
              <w:rPr>
                <w:lang w:eastAsia="en-US"/>
              </w:rPr>
            </w:r>
          </w:p>
        </w:tc>
        <w:tc>
          <w:tcPr>
            <w:tcW w:w="1761" w:type="dxa"/>
            <w:tcBorders>
              <w:left w:val="single" w:sz="6" w:space="0" w:color="000000"/>
              <w:right w:val="single" w:sz="6" w:space="0" w:color="000000"/>
            </w:tcBorders>
          </w:tcPr>
          <w:p>
            <w:pPr>
              <w:pStyle w:val="TAH"/>
              <w:rPr>
                <w:lang w:eastAsia="en-US"/>
              </w:rPr>
            </w:pPr>
            <w:r>
              <w:rPr>
                <w:lang w:eastAsia="en-US"/>
              </w:rPr>
              <w:t>MS</w:t>
            </w:r>
          </w:p>
        </w:tc>
        <w:tc>
          <w:tcPr>
            <w:tcW w:w="1843" w:type="dxa"/>
            <w:tcBorders>
              <w:left w:val="single" w:sz="6" w:space="0" w:color="000000"/>
              <w:right w:val="single" w:sz="6" w:space="0" w:color="000000"/>
            </w:tcBorders>
          </w:tcPr>
          <w:p>
            <w:pPr>
              <w:pStyle w:val="TAH"/>
              <w:rPr>
                <w:lang w:eastAsia="en-US"/>
              </w:rPr>
            </w:pPr>
            <w:r>
              <w:rPr>
                <w:lang w:eastAsia="en-US"/>
              </w:rPr>
              <w:t>BTS</w:t>
            </w:r>
          </w:p>
        </w:tc>
      </w:tr>
      <w:tr>
        <w:trPr/>
        <w:tc>
          <w:tcPr>
            <w:tcW w:w="1990" w:type="dxa"/>
            <w:tcBorders>
              <w:top w:val="single" w:sz="6" w:space="0" w:color="000000"/>
              <w:left w:val="single" w:sz="6" w:space="0" w:color="000000"/>
              <w:right w:val="single" w:sz="6" w:space="0" w:color="000000"/>
            </w:tcBorders>
          </w:tcPr>
          <w:p>
            <w:pPr>
              <w:pStyle w:val="TAL"/>
              <w:rPr>
                <w:lang w:val="en-GB"/>
              </w:rPr>
            </w:pPr>
            <w:r>
              <w:rPr>
                <w:lang w:val="en-GB"/>
              </w:rPr>
              <w:t>In</w:t>
              <w:noBreakHyphen/>
              <w:t>band</w:t>
            </w:r>
          </w:p>
        </w:tc>
        <w:tc>
          <w:tcPr>
            <w:tcW w:w="1761" w:type="dxa"/>
            <w:tcBorders>
              <w:top w:val="single" w:sz="6" w:space="0" w:color="000000"/>
              <w:left w:val="single" w:sz="6" w:space="0" w:color="000000"/>
              <w:right w:val="single" w:sz="6" w:space="0" w:color="000000"/>
            </w:tcBorders>
          </w:tcPr>
          <w:p>
            <w:pPr>
              <w:pStyle w:val="TAC"/>
              <w:rPr>
                <w:lang w:val="en-GB"/>
              </w:rPr>
            </w:pPr>
            <w:r>
              <w:rPr>
                <w:lang w:val="en-GB"/>
              </w:rPr>
              <w:t xml:space="preserve">486.0 </w:t>
              <w:noBreakHyphen/>
              <w:t xml:space="preserve"> 502.0</w:t>
            </w:r>
          </w:p>
        </w:tc>
        <w:tc>
          <w:tcPr>
            <w:tcW w:w="1843" w:type="dxa"/>
            <w:tcBorders>
              <w:top w:val="single" w:sz="6" w:space="0" w:color="000000"/>
              <w:left w:val="single" w:sz="6" w:space="0" w:color="000000"/>
              <w:right w:val="single" w:sz="6" w:space="0" w:color="000000"/>
            </w:tcBorders>
          </w:tcPr>
          <w:p>
            <w:pPr>
              <w:pStyle w:val="TAC"/>
              <w:rPr>
                <w:lang w:val="en-GB"/>
              </w:rPr>
            </w:pPr>
            <w:r>
              <w:rPr>
                <w:lang w:val="en-GB"/>
              </w:rPr>
              <w:t xml:space="preserve">472.8 </w:t>
              <w:noBreakHyphen/>
              <w:t xml:space="preserve"> 488.8</w:t>
            </w:r>
          </w:p>
        </w:tc>
      </w:tr>
      <w:tr>
        <w:trPr/>
        <w:tc>
          <w:tcPr>
            <w:tcW w:w="1990" w:type="dxa"/>
            <w:tcBorders>
              <w:left w:val="single" w:sz="6" w:space="0" w:color="000000"/>
              <w:right w:val="single" w:sz="6" w:space="0" w:color="000000"/>
            </w:tcBorders>
          </w:tcPr>
          <w:p>
            <w:pPr>
              <w:pStyle w:val="TAL"/>
              <w:rPr>
                <w:lang w:val="en-GB"/>
              </w:rPr>
            </w:pPr>
            <w:r>
              <w:rPr>
                <w:lang w:val="en-GB"/>
              </w:rPr>
              <w:t>out</w:t>
              <w:noBreakHyphen/>
              <w:t>of</w:t>
              <w:noBreakHyphen/>
              <w:t>band (a)</w:t>
            </w:r>
          </w:p>
        </w:tc>
        <w:tc>
          <w:tcPr>
            <w:tcW w:w="1761" w:type="dxa"/>
            <w:tcBorders>
              <w:left w:val="single" w:sz="6" w:space="0" w:color="000000"/>
              <w:right w:val="single" w:sz="6" w:space="0" w:color="000000"/>
            </w:tcBorders>
          </w:tcPr>
          <w:p>
            <w:pPr>
              <w:pStyle w:val="TAC"/>
              <w:rPr>
                <w:lang w:val="en-GB"/>
              </w:rPr>
            </w:pPr>
            <w:r>
              <w:rPr>
                <w:lang w:val="en-GB"/>
              </w:rPr>
              <w:t xml:space="preserve">0.1 </w:t>
              <w:noBreakHyphen/>
              <w:t xml:space="preserve"> &lt; 486.0</w:t>
            </w:r>
          </w:p>
        </w:tc>
        <w:tc>
          <w:tcPr>
            <w:tcW w:w="1843" w:type="dxa"/>
            <w:tcBorders>
              <w:left w:val="single" w:sz="6" w:space="0" w:color="000000"/>
              <w:right w:val="single" w:sz="6" w:space="0" w:color="000000"/>
            </w:tcBorders>
          </w:tcPr>
          <w:p>
            <w:pPr>
              <w:pStyle w:val="TAC"/>
              <w:rPr/>
            </w:pPr>
            <w:r>
              <w:rPr>
                <w:lang w:val="en-GB"/>
              </w:rPr>
              <w:t xml:space="preserve">0.1 </w:t>
              <w:noBreakHyphen/>
              <w:t xml:space="preserve"> &lt; 472.8</w:t>
            </w:r>
          </w:p>
        </w:tc>
      </w:tr>
      <w:tr>
        <w:trPr/>
        <w:tc>
          <w:tcPr>
            <w:tcW w:w="1990" w:type="dxa"/>
            <w:tcBorders>
              <w:left w:val="single" w:sz="6" w:space="0" w:color="000000"/>
              <w:right w:val="single" w:sz="6" w:space="0" w:color="000000"/>
            </w:tcBorders>
          </w:tcPr>
          <w:p>
            <w:pPr>
              <w:pStyle w:val="TAL"/>
              <w:rPr>
                <w:lang w:val="en-GB"/>
              </w:rPr>
            </w:pPr>
            <w:r>
              <w:rPr>
                <w:lang w:val="en-GB"/>
              </w:rPr>
              <w:t>out</w:t>
              <w:noBreakHyphen/>
              <w:t>of</w:t>
              <w:noBreakHyphen/>
              <w:t>band (b)</w:t>
            </w:r>
          </w:p>
        </w:tc>
        <w:tc>
          <w:tcPr>
            <w:tcW w:w="1761" w:type="dxa"/>
            <w:tcBorders>
              <w:left w:val="single" w:sz="6" w:space="0" w:color="000000"/>
              <w:right w:val="single" w:sz="6" w:space="0" w:color="000000"/>
            </w:tcBorders>
          </w:tcPr>
          <w:p>
            <w:pPr>
              <w:pStyle w:val="TAC"/>
              <w:rPr>
                <w:lang w:val="en-GB"/>
              </w:rPr>
            </w:pPr>
            <w:r>
              <w:rPr>
                <w:lang w:val="en-GB"/>
              </w:rPr>
              <w:t>N/A</w:t>
            </w:r>
          </w:p>
        </w:tc>
        <w:tc>
          <w:tcPr>
            <w:tcW w:w="1843" w:type="dxa"/>
            <w:tcBorders>
              <w:left w:val="single" w:sz="6" w:space="0" w:color="000000"/>
              <w:right w:val="single" w:sz="6" w:space="0" w:color="000000"/>
            </w:tcBorders>
          </w:tcPr>
          <w:p>
            <w:pPr>
              <w:pStyle w:val="TAC"/>
              <w:rPr>
                <w:lang w:val="en-GB"/>
              </w:rPr>
            </w:pPr>
            <w:r>
              <w:rPr>
                <w:lang w:val="en-GB"/>
              </w:rPr>
              <w:t>N/A</w:t>
            </w:r>
          </w:p>
        </w:tc>
      </w:tr>
      <w:tr>
        <w:trPr/>
        <w:tc>
          <w:tcPr>
            <w:tcW w:w="1990" w:type="dxa"/>
            <w:tcBorders>
              <w:left w:val="single" w:sz="6" w:space="0" w:color="000000"/>
              <w:right w:val="single" w:sz="6" w:space="0" w:color="000000"/>
            </w:tcBorders>
          </w:tcPr>
          <w:p>
            <w:pPr>
              <w:pStyle w:val="TAL"/>
              <w:rPr>
                <w:lang w:val="en-GB"/>
              </w:rPr>
            </w:pPr>
            <w:r>
              <w:rPr>
                <w:lang w:val="en-GB"/>
              </w:rPr>
              <w:t>out</w:t>
              <w:noBreakHyphen/>
              <w:t>of band (c)</w:t>
            </w:r>
          </w:p>
        </w:tc>
        <w:tc>
          <w:tcPr>
            <w:tcW w:w="1761" w:type="dxa"/>
            <w:tcBorders>
              <w:left w:val="single" w:sz="6" w:space="0" w:color="000000"/>
              <w:right w:val="single" w:sz="6" w:space="0" w:color="000000"/>
            </w:tcBorders>
          </w:tcPr>
          <w:p>
            <w:pPr>
              <w:pStyle w:val="TAC"/>
              <w:rPr>
                <w:lang w:val="en-GB"/>
              </w:rPr>
            </w:pPr>
            <w:r>
              <w:rPr>
                <w:lang w:val="en-GB"/>
              </w:rPr>
              <w:t>N/A</w:t>
            </w:r>
          </w:p>
        </w:tc>
        <w:tc>
          <w:tcPr>
            <w:tcW w:w="1843" w:type="dxa"/>
            <w:tcBorders>
              <w:left w:val="single" w:sz="6" w:space="0" w:color="000000"/>
              <w:right w:val="single" w:sz="6" w:space="0" w:color="000000"/>
            </w:tcBorders>
          </w:tcPr>
          <w:p>
            <w:pPr>
              <w:pStyle w:val="TAC"/>
              <w:rPr>
                <w:lang w:val="en-GB"/>
              </w:rPr>
            </w:pPr>
            <w:r>
              <w:rPr>
                <w:lang w:val="en-GB"/>
              </w:rPr>
              <w:t>N/A</w:t>
            </w:r>
          </w:p>
        </w:tc>
      </w:tr>
      <w:tr>
        <w:trPr/>
        <w:tc>
          <w:tcPr>
            <w:tcW w:w="1990" w:type="dxa"/>
            <w:tcBorders>
              <w:left w:val="single" w:sz="6" w:space="0" w:color="000000"/>
              <w:bottom w:val="single" w:sz="6" w:space="0" w:color="000000"/>
              <w:right w:val="single" w:sz="6" w:space="0" w:color="000000"/>
            </w:tcBorders>
          </w:tcPr>
          <w:p>
            <w:pPr>
              <w:pStyle w:val="TAL"/>
              <w:rPr>
                <w:lang w:val="en-GB"/>
              </w:rPr>
            </w:pPr>
            <w:r>
              <w:rPr>
                <w:lang w:val="en-GB"/>
              </w:rPr>
              <w:t>out</w:t>
              <w:noBreakHyphen/>
              <w:t>of band (d)</w:t>
            </w:r>
          </w:p>
        </w:tc>
        <w:tc>
          <w:tcPr>
            <w:tcW w:w="1761" w:type="dxa"/>
            <w:tcBorders>
              <w:left w:val="single" w:sz="6" w:space="0" w:color="000000"/>
              <w:bottom w:val="single" w:sz="6" w:space="0" w:color="000000"/>
              <w:right w:val="single" w:sz="6" w:space="0" w:color="000000"/>
            </w:tcBorders>
          </w:tcPr>
          <w:p>
            <w:pPr>
              <w:pStyle w:val="TAC"/>
              <w:rPr>
                <w:lang w:val="en-GB"/>
              </w:rPr>
            </w:pPr>
            <w:r>
              <w:rPr>
                <w:lang w:val="en-GB"/>
              </w:rPr>
              <w:t xml:space="preserve">&gt; 502.0 </w:t>
              <w:noBreakHyphen/>
              <w:t xml:space="preserve"> 12,750</w:t>
            </w:r>
          </w:p>
        </w:tc>
        <w:tc>
          <w:tcPr>
            <w:tcW w:w="1843" w:type="dxa"/>
            <w:tcBorders>
              <w:left w:val="single" w:sz="6" w:space="0" w:color="000000"/>
              <w:bottom w:val="single" w:sz="6" w:space="0" w:color="000000"/>
              <w:right w:val="single" w:sz="6" w:space="0" w:color="000000"/>
            </w:tcBorders>
          </w:tcPr>
          <w:p>
            <w:pPr>
              <w:pStyle w:val="TAC"/>
              <w:rPr>
                <w:lang w:val="en-GB"/>
              </w:rPr>
            </w:pPr>
            <w:r>
              <w:rPr>
                <w:lang w:val="en-GB"/>
              </w:rPr>
              <w:t xml:space="preserve">&gt; 488.8 </w:t>
              <w:noBreakHyphen/>
              <w:t xml:space="preserve"> 12,750</w:t>
            </w:r>
          </w:p>
        </w:tc>
      </w:tr>
    </w:tbl>
    <w:p>
      <w:pPr>
        <w:pStyle w:val="FP"/>
        <w:rPr/>
      </w:pPr>
      <w:r>
        <w:rPr/>
      </w:r>
    </w:p>
    <w:p>
      <w:pPr>
        <w:pStyle w:val="Normal"/>
        <w:rPr/>
      </w:pPr>
      <w:r>
        <w:rPr/>
        <w:t xml:space="preserve">The out-of-band blocking specification relates to the GSM400 band and the feasibility of the receiver filter. Due to narrow gap between TX and RX bands at low frequency side of the MS out-of-band blocking requirement is chosen to be same as for EGSM i.e. </w:t>
        <w:noBreakHyphen/>
        <w:t>5 dBm. At the high frequency side of the MS GSM900 out-of-band blocking requirement of value 0 dBm has been chosen.</w:t>
      </w:r>
    </w:p>
    <w:p>
      <w:pPr>
        <w:pStyle w:val="Normal"/>
        <w:keepNext w:val="true"/>
        <w:keepLines/>
        <w:rPr/>
      </w:pPr>
      <w:r>
        <w:rPr/>
        <w:t>The MS in-band blocking specification close to the received channel has not been changed, this is limited by the receiver synthesizer phase noise. The blocking specification at &gt; 3 MHz offset still misses the scenario requirements T.3.2.1.1 and T.3.2.1.4. Power consumption considerations make it anyway undesirable to further tighten the specification. Power consumption would grow, because of the extra current needed to compensate the losses in filters. While considering the low amount of interfering carriers in GSM400 systems the scenario is in practice very close to current GSM900 scenario.</w:t>
      </w:r>
    </w:p>
    <w:p>
      <w:pPr>
        <w:pStyle w:val="Normal"/>
        <w:rPr>
          <w:lang w:val="en-AU"/>
        </w:rPr>
      </w:pPr>
      <w:r>
        <w:rPr/>
        <w:t>The combinations of these proposal amounts to a filter specification over the MS receive band as shown below.</w:t>
      </w:r>
    </w:p>
    <w:p>
      <w:pPr>
        <w:pStyle w:val="TH"/>
        <w:rPr/>
      </w:pPr>
      <w:r>
        <w:rPr/>
        <w:drawing>
          <wp:inline distT="0" distB="0" distL="0" distR="0">
            <wp:extent cx="5267960" cy="2162810"/>
            <wp:effectExtent l="0" t="0" r="0" b="0"/>
            <wp:docPr id="125"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49" descr=""/>
                    <pic:cNvPicPr>
                      <a:picLocks noChangeAspect="1" noChangeArrowheads="1"/>
                    </pic:cNvPicPr>
                  </pic:nvPicPr>
                  <pic:blipFill>
                    <a:blip r:embed="rId123"/>
                    <a:srcRect l="-7" t="-17" r="-7" b="-17"/>
                    <a:stretch>
                      <a:fillRect/>
                    </a:stretch>
                  </pic:blipFill>
                  <pic:spPr bwMode="auto">
                    <a:xfrm>
                      <a:off x="0" y="0"/>
                      <a:ext cx="5267960" cy="2162810"/>
                    </a:xfrm>
                    <a:prstGeom prst="rect">
                      <a:avLst/>
                    </a:prstGeom>
                  </pic:spPr>
                </pic:pic>
              </a:graphicData>
            </a:graphic>
          </wp:inline>
        </w:drawing>
      </w:r>
    </w:p>
    <w:p>
      <w:pPr>
        <w:pStyle w:val="FP"/>
        <w:rPr/>
      </w:pPr>
      <w:r>
        <w:rPr/>
      </w:r>
    </w:p>
    <w:p>
      <w:pPr>
        <w:pStyle w:val="TH"/>
        <w:rPr/>
      </w:pPr>
      <w:r>
        <w:rPr/>
      </w:r>
    </w:p>
    <w:tbl>
      <w:tblPr>
        <w:tblW w:w="5298" w:type="dxa"/>
        <w:jc w:val="center"/>
        <w:tblInd w:w="0" w:type="dxa"/>
        <w:tblLayout w:type="fixed"/>
        <w:tblCellMar>
          <w:top w:w="0" w:type="dxa"/>
          <w:left w:w="28" w:type="dxa"/>
          <w:bottom w:w="0" w:type="dxa"/>
          <w:right w:w="28" w:type="dxa"/>
        </w:tblCellMar>
      </w:tblPr>
      <w:tblGrid>
        <w:gridCol w:w="2511"/>
        <w:gridCol w:w="696"/>
        <w:gridCol w:w="697"/>
        <w:gridCol w:w="697"/>
        <w:gridCol w:w="697"/>
      </w:tblGrid>
      <w:tr>
        <w:trPr>
          <w:trHeight w:val="225" w:hRule="atLeast"/>
          <w:cantSplit w:val="true"/>
        </w:trPr>
        <w:tc>
          <w:tcPr>
            <w:tcW w:w="2511" w:type="dxa"/>
            <w:vMerge w:val="restart"/>
            <w:tcBorders>
              <w:top w:val="single" w:sz="4" w:space="0" w:color="000000"/>
              <w:left w:val="single" w:sz="4" w:space="0" w:color="000000"/>
              <w:right w:val="single" w:sz="6" w:space="0" w:color="000000"/>
            </w:tcBorders>
          </w:tcPr>
          <w:p>
            <w:pPr>
              <w:pStyle w:val="TAH"/>
              <w:snapToGrid w:val="false"/>
              <w:rPr>
                <w:lang w:eastAsia="en-US"/>
              </w:rPr>
            </w:pPr>
            <w:r>
              <w:rPr>
                <w:lang w:eastAsia="en-US"/>
              </w:rPr>
            </w:r>
          </w:p>
          <w:p>
            <w:pPr>
              <w:pStyle w:val="TAH"/>
              <w:rPr>
                <w:lang w:eastAsia="en-US"/>
              </w:rPr>
            </w:pPr>
            <w:r>
              <w:rPr>
                <w:lang w:eastAsia="en-US"/>
              </w:rPr>
              <w:t>Frequency band</w:t>
            </w:r>
          </w:p>
        </w:tc>
        <w:tc>
          <w:tcPr>
            <w:tcW w:w="1393" w:type="dxa"/>
            <w:gridSpan w:val="2"/>
            <w:vMerge w:val="restart"/>
            <w:tcBorders>
              <w:top w:val="single" w:sz="4" w:space="0" w:color="000000"/>
              <w:left w:val="single" w:sz="6" w:space="0" w:color="000000"/>
              <w:right w:val="single" w:sz="6" w:space="0" w:color="000000"/>
            </w:tcBorders>
          </w:tcPr>
          <w:p>
            <w:pPr>
              <w:pStyle w:val="TAH"/>
              <w:rPr>
                <w:lang w:eastAsia="en-US"/>
              </w:rPr>
            </w:pPr>
            <w:r>
              <w:rPr>
                <w:lang w:eastAsia="en-US"/>
              </w:rPr>
              <w:t>E-GSM900</w:t>
            </w:r>
          </w:p>
        </w:tc>
        <w:tc>
          <w:tcPr>
            <w:tcW w:w="1394" w:type="dxa"/>
            <w:gridSpan w:val="2"/>
            <w:vMerge w:val="restart"/>
            <w:tcBorders>
              <w:top w:val="single" w:sz="4" w:space="0" w:color="000000"/>
              <w:left w:val="single" w:sz="6" w:space="0" w:color="000000"/>
              <w:right w:val="single" w:sz="4" w:space="0" w:color="000000"/>
            </w:tcBorders>
          </w:tcPr>
          <w:p>
            <w:pPr>
              <w:pStyle w:val="TAH"/>
              <w:rPr>
                <w:lang w:eastAsia="en-US"/>
              </w:rPr>
            </w:pPr>
            <w:r>
              <w:rPr>
                <w:lang w:eastAsia="en-US"/>
              </w:rPr>
              <w:t>GSM 450 and GSM 480</w:t>
            </w:r>
          </w:p>
        </w:tc>
      </w:tr>
      <w:tr>
        <w:trPr>
          <w:trHeight w:val="225" w:hRule="atLeast"/>
          <w:cantSplit w:val="true"/>
        </w:trPr>
        <w:tc>
          <w:tcPr>
            <w:tcW w:w="2511" w:type="dxa"/>
            <w:vMerge w:val="continue"/>
            <w:tcBorders>
              <w:top w:val="single" w:sz="4" w:space="0" w:color="000000"/>
              <w:left w:val="single" w:sz="4" w:space="0" w:color="000000"/>
              <w:right w:val="single" w:sz="6" w:space="0" w:color="000000"/>
            </w:tcBorders>
          </w:tcPr>
          <w:p>
            <w:pPr>
              <w:pStyle w:val="TAH"/>
              <w:snapToGrid w:val="false"/>
              <w:rPr>
                <w:lang w:eastAsia="en-US"/>
              </w:rPr>
            </w:pPr>
            <w:r>
              <w:rPr>
                <w:lang w:eastAsia="en-US"/>
              </w:rPr>
            </w:r>
          </w:p>
        </w:tc>
        <w:tc>
          <w:tcPr>
            <w:tcW w:w="1393" w:type="dxa"/>
            <w:gridSpan w:val="2"/>
            <w:vMerge w:val="continue"/>
            <w:tcBorders>
              <w:top w:val="single" w:sz="4" w:space="0" w:color="000000"/>
              <w:left w:val="single" w:sz="6" w:space="0" w:color="000000"/>
              <w:right w:val="single" w:sz="6" w:space="0" w:color="000000"/>
            </w:tcBorders>
          </w:tcPr>
          <w:p>
            <w:pPr>
              <w:pStyle w:val="TAH"/>
              <w:snapToGrid w:val="false"/>
              <w:rPr>
                <w:lang w:eastAsia="en-US"/>
              </w:rPr>
            </w:pPr>
            <w:r>
              <w:rPr>
                <w:lang w:eastAsia="en-US"/>
              </w:rPr>
            </w:r>
          </w:p>
        </w:tc>
        <w:tc>
          <w:tcPr>
            <w:tcW w:w="1394" w:type="dxa"/>
            <w:gridSpan w:val="2"/>
            <w:vMerge w:val="continue"/>
            <w:tcBorders>
              <w:top w:val="single" w:sz="4" w:space="0" w:color="000000"/>
              <w:left w:val="single" w:sz="6" w:space="0" w:color="000000"/>
              <w:right w:val="single" w:sz="4" w:space="0" w:color="000000"/>
            </w:tcBorders>
          </w:tcPr>
          <w:p>
            <w:pPr>
              <w:pStyle w:val="TAH"/>
              <w:snapToGrid w:val="false"/>
              <w:rPr>
                <w:lang w:eastAsia="en-US"/>
              </w:rPr>
            </w:pPr>
            <w:r>
              <w:rPr>
                <w:lang w:eastAsia="en-US"/>
              </w:rPr>
            </w:r>
          </w:p>
        </w:tc>
      </w:tr>
      <w:tr>
        <w:trPr>
          <w:cantSplit w:val="true"/>
        </w:trPr>
        <w:tc>
          <w:tcPr>
            <w:tcW w:w="2511" w:type="dxa"/>
            <w:vMerge w:val="continue"/>
            <w:tcBorders>
              <w:top w:val="single" w:sz="4" w:space="0" w:color="000000"/>
              <w:left w:val="single" w:sz="4" w:space="0" w:color="000000"/>
              <w:right w:val="single" w:sz="6" w:space="0" w:color="000000"/>
            </w:tcBorders>
          </w:tcPr>
          <w:p>
            <w:pPr>
              <w:pStyle w:val="TAH"/>
              <w:snapToGrid w:val="false"/>
              <w:rPr>
                <w:lang w:eastAsia="en-US"/>
              </w:rPr>
            </w:pPr>
            <w:r>
              <w:rPr>
                <w:lang w:eastAsia="en-US"/>
              </w:rPr>
            </w:r>
          </w:p>
        </w:tc>
        <w:tc>
          <w:tcPr>
            <w:tcW w:w="696" w:type="dxa"/>
            <w:tcBorders>
              <w:left w:val="single" w:sz="6" w:space="0" w:color="000000"/>
              <w:right w:val="single" w:sz="6" w:space="0" w:color="000000"/>
            </w:tcBorders>
          </w:tcPr>
          <w:p>
            <w:pPr>
              <w:pStyle w:val="TAH"/>
              <w:rPr>
                <w:lang w:eastAsia="en-US"/>
              </w:rPr>
            </w:pPr>
            <w:r>
              <w:rPr>
                <w:lang w:eastAsia="en-US"/>
              </w:rPr>
              <w:t>MS</w:t>
            </w:r>
          </w:p>
        </w:tc>
        <w:tc>
          <w:tcPr>
            <w:tcW w:w="697" w:type="dxa"/>
            <w:tcBorders>
              <w:left w:val="single" w:sz="6" w:space="0" w:color="000000"/>
              <w:right w:val="single" w:sz="6" w:space="0" w:color="000000"/>
            </w:tcBorders>
          </w:tcPr>
          <w:p>
            <w:pPr>
              <w:pStyle w:val="TAH"/>
              <w:rPr>
                <w:lang w:eastAsia="en-US"/>
              </w:rPr>
            </w:pPr>
            <w:r>
              <w:rPr>
                <w:lang w:eastAsia="en-US"/>
              </w:rPr>
              <w:t>BTS</w:t>
            </w:r>
          </w:p>
        </w:tc>
        <w:tc>
          <w:tcPr>
            <w:tcW w:w="697" w:type="dxa"/>
            <w:tcBorders>
              <w:left w:val="single" w:sz="6" w:space="0" w:color="000000"/>
              <w:right w:val="single" w:sz="6" w:space="0" w:color="000000"/>
            </w:tcBorders>
          </w:tcPr>
          <w:p>
            <w:pPr>
              <w:pStyle w:val="TAH"/>
              <w:rPr>
                <w:lang w:eastAsia="en-US"/>
              </w:rPr>
            </w:pPr>
            <w:r>
              <w:rPr>
                <w:lang w:eastAsia="en-US"/>
              </w:rPr>
              <w:t>MS</w:t>
            </w:r>
          </w:p>
        </w:tc>
        <w:tc>
          <w:tcPr>
            <w:tcW w:w="697" w:type="dxa"/>
            <w:tcBorders>
              <w:left w:val="single" w:sz="6" w:space="0" w:color="000000"/>
              <w:right w:val="single" w:sz="4" w:space="0" w:color="000000"/>
            </w:tcBorders>
          </w:tcPr>
          <w:p>
            <w:pPr>
              <w:pStyle w:val="TAH"/>
              <w:rPr>
                <w:lang w:eastAsia="en-US"/>
              </w:rPr>
            </w:pPr>
            <w:r>
              <w:rPr>
                <w:lang w:eastAsia="en-US"/>
              </w:rPr>
              <w:t>BTS</w:t>
            </w:r>
          </w:p>
        </w:tc>
      </w:tr>
      <w:tr>
        <w:trPr>
          <w:cantSplit w:val="true"/>
        </w:trPr>
        <w:tc>
          <w:tcPr>
            <w:tcW w:w="2511" w:type="dxa"/>
            <w:vMerge w:val="continue"/>
            <w:tcBorders>
              <w:top w:val="single" w:sz="4" w:space="0" w:color="000000"/>
              <w:left w:val="single" w:sz="4" w:space="0" w:color="000000"/>
              <w:right w:val="single" w:sz="6" w:space="0" w:color="000000"/>
            </w:tcBorders>
          </w:tcPr>
          <w:p>
            <w:pPr>
              <w:pStyle w:val="TAH"/>
              <w:snapToGrid w:val="false"/>
              <w:rPr>
                <w:lang w:eastAsia="en-US"/>
              </w:rPr>
            </w:pPr>
            <w:r>
              <w:rPr>
                <w:lang w:eastAsia="en-US"/>
              </w:rPr>
            </w:r>
          </w:p>
        </w:tc>
        <w:tc>
          <w:tcPr>
            <w:tcW w:w="696" w:type="dxa"/>
            <w:tcBorders>
              <w:left w:val="single" w:sz="6" w:space="0" w:color="000000"/>
              <w:bottom w:val="single" w:sz="6" w:space="0" w:color="000000"/>
              <w:right w:val="single" w:sz="6" w:space="0" w:color="000000"/>
            </w:tcBorders>
          </w:tcPr>
          <w:p>
            <w:pPr>
              <w:pStyle w:val="TAH"/>
              <w:rPr>
                <w:lang w:eastAsia="en-US"/>
              </w:rPr>
            </w:pPr>
            <w:r>
              <w:rPr>
                <w:lang w:eastAsia="en-US"/>
              </w:rPr>
              <w:t>dBm</w:t>
            </w:r>
          </w:p>
        </w:tc>
        <w:tc>
          <w:tcPr>
            <w:tcW w:w="697" w:type="dxa"/>
            <w:tcBorders>
              <w:left w:val="single" w:sz="6" w:space="0" w:color="000000"/>
              <w:bottom w:val="single" w:sz="6" w:space="0" w:color="000000"/>
              <w:right w:val="single" w:sz="6" w:space="0" w:color="000000"/>
            </w:tcBorders>
          </w:tcPr>
          <w:p>
            <w:pPr>
              <w:pStyle w:val="TAH"/>
              <w:rPr>
                <w:lang w:eastAsia="en-US"/>
              </w:rPr>
            </w:pPr>
            <w:r>
              <w:rPr>
                <w:lang w:eastAsia="en-US"/>
              </w:rPr>
              <w:t>dBm</w:t>
            </w:r>
          </w:p>
        </w:tc>
        <w:tc>
          <w:tcPr>
            <w:tcW w:w="697" w:type="dxa"/>
            <w:tcBorders>
              <w:left w:val="single" w:sz="6" w:space="0" w:color="000000"/>
              <w:bottom w:val="single" w:sz="6" w:space="0" w:color="000000"/>
              <w:right w:val="single" w:sz="6" w:space="0" w:color="000000"/>
            </w:tcBorders>
          </w:tcPr>
          <w:p>
            <w:pPr>
              <w:pStyle w:val="TAH"/>
              <w:rPr>
                <w:lang w:eastAsia="en-US"/>
              </w:rPr>
            </w:pPr>
            <w:r>
              <w:rPr>
                <w:lang w:eastAsia="en-US"/>
              </w:rPr>
              <w:t>dBm</w:t>
            </w:r>
          </w:p>
        </w:tc>
        <w:tc>
          <w:tcPr>
            <w:tcW w:w="697" w:type="dxa"/>
            <w:tcBorders>
              <w:left w:val="single" w:sz="6" w:space="0" w:color="000000"/>
              <w:bottom w:val="single" w:sz="6" w:space="0" w:color="000000"/>
              <w:right w:val="single" w:sz="4" w:space="0" w:color="000000"/>
            </w:tcBorders>
          </w:tcPr>
          <w:p>
            <w:pPr>
              <w:pStyle w:val="TAH"/>
              <w:rPr>
                <w:lang w:eastAsia="en-US"/>
              </w:rPr>
            </w:pPr>
            <w:r>
              <w:rPr>
                <w:lang w:eastAsia="en-US"/>
              </w:rPr>
              <w:t>dBm</w:t>
            </w:r>
          </w:p>
        </w:tc>
      </w:tr>
      <w:tr>
        <w:trPr>
          <w:cantSplit w:val="true"/>
        </w:trPr>
        <w:tc>
          <w:tcPr>
            <w:tcW w:w="2511" w:type="dxa"/>
            <w:tcBorders>
              <w:top w:val="single" w:sz="6" w:space="0" w:color="000000"/>
              <w:left w:val="single" w:sz="4" w:space="0" w:color="000000"/>
              <w:right w:val="single" w:sz="6" w:space="0" w:color="000000"/>
            </w:tcBorders>
          </w:tcPr>
          <w:p>
            <w:pPr>
              <w:pStyle w:val="TAL"/>
              <w:rPr>
                <w:lang w:val="en-GB"/>
              </w:rPr>
            </w:pPr>
            <w:r>
              <w:rPr>
                <w:lang w:val="en-GB"/>
              </w:rPr>
              <w:t>in</w:t>
              <w:noBreakHyphen/>
              <w:t>band</w:t>
            </w:r>
          </w:p>
        </w:tc>
        <w:tc>
          <w:tcPr>
            <w:tcW w:w="696" w:type="dxa"/>
            <w:tcBorders>
              <w:left w:val="single" w:sz="6" w:space="0" w:color="000000"/>
              <w:right w:val="single" w:sz="6" w:space="0" w:color="000000"/>
            </w:tcBorders>
          </w:tcPr>
          <w:p>
            <w:pPr>
              <w:pStyle w:val="TAC"/>
              <w:snapToGrid w:val="false"/>
              <w:rPr>
                <w:lang w:val="en-GB"/>
              </w:rPr>
            </w:pPr>
            <w:r>
              <w:rPr>
                <w:lang w:val="en-GB"/>
              </w:rPr>
            </w:r>
          </w:p>
        </w:tc>
        <w:tc>
          <w:tcPr>
            <w:tcW w:w="697" w:type="dxa"/>
            <w:tcBorders>
              <w:left w:val="single" w:sz="6" w:space="0" w:color="000000"/>
              <w:right w:val="single" w:sz="6" w:space="0" w:color="000000"/>
            </w:tcBorders>
          </w:tcPr>
          <w:p>
            <w:pPr>
              <w:pStyle w:val="TAC"/>
              <w:snapToGrid w:val="false"/>
              <w:rPr>
                <w:lang w:val="en-GB"/>
              </w:rPr>
            </w:pPr>
            <w:r>
              <w:rPr>
                <w:lang w:val="en-GB"/>
              </w:rPr>
            </w:r>
          </w:p>
        </w:tc>
        <w:tc>
          <w:tcPr>
            <w:tcW w:w="697" w:type="dxa"/>
            <w:tcBorders>
              <w:left w:val="single" w:sz="6" w:space="0" w:color="000000"/>
              <w:right w:val="single" w:sz="6" w:space="0" w:color="000000"/>
            </w:tcBorders>
          </w:tcPr>
          <w:p>
            <w:pPr>
              <w:pStyle w:val="TAC"/>
              <w:snapToGrid w:val="false"/>
              <w:rPr>
                <w:lang w:val="en-GB"/>
              </w:rPr>
            </w:pPr>
            <w:r>
              <w:rPr>
                <w:lang w:val="en-GB"/>
              </w:rPr>
            </w:r>
          </w:p>
        </w:tc>
        <w:tc>
          <w:tcPr>
            <w:tcW w:w="697" w:type="dxa"/>
            <w:tcBorders>
              <w:left w:val="single" w:sz="6" w:space="0" w:color="000000"/>
              <w:right w:val="single" w:sz="4" w:space="0" w:color="000000"/>
            </w:tcBorders>
          </w:tcPr>
          <w:p>
            <w:pPr>
              <w:pStyle w:val="TAC"/>
              <w:snapToGrid w:val="false"/>
              <w:rPr>
                <w:lang w:val="en-GB"/>
              </w:rPr>
            </w:pPr>
            <w:r>
              <w:rPr>
                <w:lang w:val="en-GB"/>
              </w:rPr>
            </w:r>
          </w:p>
        </w:tc>
      </w:tr>
      <w:tr>
        <w:trPr>
          <w:cantSplit w:val="true"/>
        </w:trPr>
        <w:tc>
          <w:tcPr>
            <w:tcW w:w="2511" w:type="dxa"/>
            <w:tcBorders>
              <w:left w:val="single" w:sz="4" w:space="0" w:color="000000"/>
              <w:right w:val="single" w:sz="6" w:space="0" w:color="000000"/>
            </w:tcBorders>
          </w:tcPr>
          <w:p>
            <w:pPr>
              <w:pStyle w:val="TAL"/>
              <w:rPr/>
            </w:pPr>
            <w:r>
              <w:rPr>
                <w:lang w:val="en-GB"/>
              </w:rPr>
              <w:t xml:space="preserve">600 kHz </w:t>
            </w:r>
            <w:r>
              <w:rPr>
                <w:rFonts w:eastAsia="Symbol" w:cs="Symbol" w:ascii="Symbol" w:hAnsi="Symbol"/>
                <w:lang w:val="en-GB"/>
              </w:rPr>
              <w:t></w:t>
            </w:r>
            <w:r>
              <w:rPr>
                <w:lang w:val="en-GB"/>
              </w:rPr>
              <w:t> |f</w:t>
              <w:noBreakHyphen/>
              <w:t>f</w:t>
            </w:r>
            <w:r>
              <w:rPr>
                <w:position w:val="-6"/>
                <w:lang w:val="en-GB"/>
              </w:rPr>
              <w:t>o</w:t>
            </w:r>
            <w:r>
              <w:rPr>
                <w:lang w:val="en-GB"/>
              </w:rPr>
              <w:t xml:space="preserve"> | &lt; 800 kHz</w:t>
            </w:r>
          </w:p>
        </w:tc>
        <w:tc>
          <w:tcPr>
            <w:tcW w:w="696" w:type="dxa"/>
            <w:tcBorders>
              <w:left w:val="single" w:sz="6" w:space="0" w:color="000000"/>
              <w:right w:val="single" w:sz="6" w:space="0" w:color="000000"/>
            </w:tcBorders>
          </w:tcPr>
          <w:p>
            <w:pPr>
              <w:pStyle w:val="TAC"/>
              <w:rPr>
                <w:lang w:val="en-GB"/>
              </w:rPr>
            </w:pPr>
            <w:r>
              <w:rPr>
                <w:lang w:val="en-GB"/>
              </w:rPr>
              <w:noBreakHyphen/>
            </w:r>
            <w:r>
              <w:rPr>
                <w:lang w:val="en-GB"/>
              </w:rPr>
              <w:t>43</w:t>
            </w:r>
          </w:p>
        </w:tc>
        <w:tc>
          <w:tcPr>
            <w:tcW w:w="697" w:type="dxa"/>
            <w:tcBorders>
              <w:left w:val="single" w:sz="6" w:space="0" w:color="000000"/>
              <w:right w:val="single" w:sz="6" w:space="0" w:color="000000"/>
            </w:tcBorders>
          </w:tcPr>
          <w:p>
            <w:pPr>
              <w:pStyle w:val="TAC"/>
              <w:rPr>
                <w:lang w:val="en-GB"/>
              </w:rPr>
            </w:pPr>
            <w:r>
              <w:rPr>
                <w:lang w:val="en-GB"/>
              </w:rPr>
              <w:noBreakHyphen/>
            </w:r>
            <w:r>
              <w:rPr>
                <w:lang w:val="en-GB"/>
              </w:rPr>
              <w:t>26</w:t>
            </w:r>
          </w:p>
        </w:tc>
        <w:tc>
          <w:tcPr>
            <w:tcW w:w="697" w:type="dxa"/>
            <w:tcBorders>
              <w:left w:val="single" w:sz="6" w:space="0" w:color="000000"/>
              <w:right w:val="single" w:sz="6" w:space="0" w:color="000000"/>
            </w:tcBorders>
          </w:tcPr>
          <w:p>
            <w:pPr>
              <w:pStyle w:val="TAC"/>
              <w:rPr>
                <w:lang w:val="en-GB"/>
              </w:rPr>
            </w:pPr>
            <w:r>
              <w:rPr>
                <w:lang w:val="en-GB"/>
              </w:rPr>
              <w:noBreakHyphen/>
            </w:r>
            <w:r>
              <w:rPr>
                <w:lang w:val="en-GB"/>
              </w:rPr>
              <w:t>43</w:t>
            </w:r>
          </w:p>
        </w:tc>
        <w:tc>
          <w:tcPr>
            <w:tcW w:w="697" w:type="dxa"/>
            <w:tcBorders>
              <w:left w:val="single" w:sz="6" w:space="0" w:color="000000"/>
              <w:right w:val="single" w:sz="4" w:space="0" w:color="000000"/>
            </w:tcBorders>
          </w:tcPr>
          <w:p>
            <w:pPr>
              <w:pStyle w:val="TAC"/>
              <w:rPr>
                <w:lang w:val="en-GB"/>
              </w:rPr>
            </w:pPr>
            <w:r>
              <w:rPr>
                <w:lang w:val="en-GB"/>
              </w:rPr>
              <w:noBreakHyphen/>
            </w:r>
            <w:r>
              <w:rPr>
                <w:lang w:val="en-GB"/>
              </w:rPr>
              <w:t>26</w:t>
            </w:r>
          </w:p>
        </w:tc>
      </w:tr>
      <w:tr>
        <w:trPr>
          <w:cantSplit w:val="true"/>
        </w:trPr>
        <w:tc>
          <w:tcPr>
            <w:tcW w:w="2511" w:type="dxa"/>
            <w:tcBorders>
              <w:left w:val="single" w:sz="4" w:space="0" w:color="000000"/>
              <w:right w:val="single" w:sz="6" w:space="0" w:color="000000"/>
            </w:tcBorders>
          </w:tcPr>
          <w:p>
            <w:pPr>
              <w:pStyle w:val="TAL"/>
              <w:rPr/>
            </w:pPr>
            <w:r>
              <w:rPr>
                <w:lang w:val="en-GB"/>
              </w:rPr>
              <w:t xml:space="preserve">800 kHz </w:t>
            </w:r>
            <w:r>
              <w:rPr>
                <w:rFonts w:eastAsia="Symbol" w:cs="Symbol" w:ascii="Symbol" w:hAnsi="Symbol"/>
                <w:lang w:val="en-GB"/>
              </w:rPr>
              <w:t></w:t>
            </w:r>
            <w:r>
              <w:rPr>
                <w:lang w:val="en-GB"/>
              </w:rPr>
              <w:t> |f</w:t>
              <w:noBreakHyphen/>
              <w:t>f</w:t>
            </w:r>
            <w:r>
              <w:rPr>
                <w:position w:val="-6"/>
                <w:lang w:val="en-GB"/>
              </w:rPr>
              <w:t>o</w:t>
            </w:r>
            <w:r>
              <w:rPr>
                <w:lang w:val="en-GB"/>
              </w:rPr>
              <w:t xml:space="preserve"> | &lt; 1.6 MHz</w:t>
            </w:r>
          </w:p>
        </w:tc>
        <w:tc>
          <w:tcPr>
            <w:tcW w:w="696" w:type="dxa"/>
            <w:tcBorders>
              <w:left w:val="single" w:sz="6" w:space="0" w:color="000000"/>
              <w:right w:val="single" w:sz="6" w:space="0" w:color="000000"/>
            </w:tcBorders>
          </w:tcPr>
          <w:p>
            <w:pPr>
              <w:pStyle w:val="TAC"/>
              <w:rPr>
                <w:lang w:val="en-GB"/>
              </w:rPr>
            </w:pPr>
            <w:r>
              <w:rPr>
                <w:lang w:val="en-GB"/>
              </w:rPr>
              <w:noBreakHyphen/>
            </w:r>
            <w:r>
              <w:rPr>
                <w:lang w:val="en-GB"/>
              </w:rPr>
              <w:t>43</w:t>
            </w:r>
          </w:p>
        </w:tc>
        <w:tc>
          <w:tcPr>
            <w:tcW w:w="697" w:type="dxa"/>
            <w:tcBorders>
              <w:left w:val="single" w:sz="6" w:space="0" w:color="000000"/>
              <w:right w:val="single" w:sz="6" w:space="0" w:color="000000"/>
            </w:tcBorders>
          </w:tcPr>
          <w:p>
            <w:pPr>
              <w:pStyle w:val="TAC"/>
              <w:rPr>
                <w:lang w:val="en-GB"/>
              </w:rPr>
            </w:pPr>
            <w:r>
              <w:rPr>
                <w:lang w:val="en-GB"/>
              </w:rPr>
              <w:noBreakHyphen/>
            </w:r>
            <w:r>
              <w:rPr>
                <w:lang w:val="en-GB"/>
              </w:rPr>
              <w:t>16</w:t>
            </w:r>
          </w:p>
        </w:tc>
        <w:tc>
          <w:tcPr>
            <w:tcW w:w="697" w:type="dxa"/>
            <w:tcBorders>
              <w:left w:val="single" w:sz="6" w:space="0" w:color="000000"/>
              <w:right w:val="single" w:sz="6" w:space="0" w:color="000000"/>
            </w:tcBorders>
          </w:tcPr>
          <w:p>
            <w:pPr>
              <w:pStyle w:val="TAC"/>
              <w:rPr>
                <w:lang w:val="en-GB"/>
              </w:rPr>
            </w:pPr>
            <w:r>
              <w:rPr>
                <w:lang w:val="en-GB"/>
              </w:rPr>
              <w:noBreakHyphen/>
            </w:r>
            <w:r>
              <w:rPr>
                <w:lang w:val="en-GB"/>
              </w:rPr>
              <w:t>43</w:t>
            </w:r>
          </w:p>
        </w:tc>
        <w:tc>
          <w:tcPr>
            <w:tcW w:w="697" w:type="dxa"/>
            <w:tcBorders>
              <w:left w:val="single" w:sz="6" w:space="0" w:color="000000"/>
              <w:right w:val="single" w:sz="4" w:space="0" w:color="000000"/>
            </w:tcBorders>
          </w:tcPr>
          <w:p>
            <w:pPr>
              <w:pStyle w:val="TAC"/>
              <w:rPr>
                <w:lang w:val="en-GB"/>
              </w:rPr>
            </w:pPr>
            <w:r>
              <w:rPr>
                <w:lang w:val="en-GB"/>
              </w:rPr>
              <w:noBreakHyphen/>
            </w:r>
            <w:r>
              <w:rPr>
                <w:lang w:val="en-GB"/>
              </w:rPr>
              <w:t>16</w:t>
            </w:r>
          </w:p>
        </w:tc>
      </w:tr>
      <w:tr>
        <w:trPr>
          <w:cantSplit w:val="true"/>
        </w:trPr>
        <w:tc>
          <w:tcPr>
            <w:tcW w:w="2511" w:type="dxa"/>
            <w:tcBorders>
              <w:left w:val="single" w:sz="4" w:space="0" w:color="000000"/>
              <w:right w:val="single" w:sz="6" w:space="0" w:color="000000"/>
            </w:tcBorders>
          </w:tcPr>
          <w:p>
            <w:pPr>
              <w:pStyle w:val="TAL"/>
              <w:rPr/>
            </w:pPr>
            <w:r>
              <w:rPr>
                <w:lang w:val="en-GB"/>
              </w:rPr>
              <w:t xml:space="preserve">1.6 MHz </w:t>
            </w:r>
            <w:r>
              <w:rPr>
                <w:rFonts w:eastAsia="Symbol" w:cs="Symbol" w:ascii="Symbol" w:hAnsi="Symbol"/>
                <w:lang w:val="en-GB"/>
              </w:rPr>
              <w:t></w:t>
            </w:r>
            <w:r>
              <w:rPr>
                <w:lang w:val="en-GB"/>
              </w:rPr>
              <w:t> |f</w:t>
              <w:noBreakHyphen/>
              <w:t>f</w:t>
            </w:r>
            <w:r>
              <w:rPr>
                <w:position w:val="-6"/>
                <w:lang w:val="en-GB"/>
              </w:rPr>
              <w:t>o</w:t>
            </w:r>
            <w:r>
              <w:rPr>
                <w:lang w:val="en-GB"/>
              </w:rPr>
              <w:t xml:space="preserve"> | &lt; 3 MHz</w:t>
            </w:r>
          </w:p>
        </w:tc>
        <w:tc>
          <w:tcPr>
            <w:tcW w:w="696" w:type="dxa"/>
            <w:tcBorders>
              <w:left w:val="single" w:sz="6" w:space="0" w:color="000000"/>
              <w:right w:val="single" w:sz="6" w:space="0" w:color="000000"/>
            </w:tcBorders>
          </w:tcPr>
          <w:p>
            <w:pPr>
              <w:pStyle w:val="TAC"/>
              <w:rPr>
                <w:lang w:val="en-GB"/>
              </w:rPr>
            </w:pPr>
            <w:r>
              <w:rPr>
                <w:lang w:val="en-GB"/>
              </w:rPr>
              <w:noBreakHyphen/>
            </w:r>
            <w:r>
              <w:rPr>
                <w:lang w:val="en-GB"/>
              </w:rPr>
              <w:t>33</w:t>
            </w:r>
          </w:p>
        </w:tc>
        <w:tc>
          <w:tcPr>
            <w:tcW w:w="697" w:type="dxa"/>
            <w:tcBorders>
              <w:left w:val="single" w:sz="6" w:space="0" w:color="000000"/>
              <w:right w:val="single" w:sz="6" w:space="0" w:color="000000"/>
            </w:tcBorders>
          </w:tcPr>
          <w:p>
            <w:pPr>
              <w:pStyle w:val="TAC"/>
              <w:rPr>
                <w:lang w:val="en-GB"/>
              </w:rPr>
            </w:pPr>
            <w:r>
              <w:rPr>
                <w:lang w:val="en-GB"/>
              </w:rPr>
              <w:noBreakHyphen/>
            </w:r>
            <w:r>
              <w:rPr>
                <w:lang w:val="en-GB"/>
              </w:rPr>
              <w:t>16</w:t>
            </w:r>
          </w:p>
        </w:tc>
        <w:tc>
          <w:tcPr>
            <w:tcW w:w="697" w:type="dxa"/>
            <w:tcBorders>
              <w:left w:val="single" w:sz="6" w:space="0" w:color="000000"/>
              <w:right w:val="single" w:sz="6" w:space="0" w:color="000000"/>
            </w:tcBorders>
          </w:tcPr>
          <w:p>
            <w:pPr>
              <w:pStyle w:val="TAC"/>
              <w:rPr>
                <w:lang w:val="en-GB"/>
              </w:rPr>
            </w:pPr>
            <w:r>
              <w:rPr>
                <w:lang w:val="en-GB"/>
              </w:rPr>
              <w:noBreakHyphen/>
            </w:r>
            <w:r>
              <w:rPr>
                <w:lang w:val="en-GB"/>
              </w:rPr>
              <w:t>33</w:t>
            </w:r>
          </w:p>
        </w:tc>
        <w:tc>
          <w:tcPr>
            <w:tcW w:w="697" w:type="dxa"/>
            <w:tcBorders>
              <w:left w:val="single" w:sz="6" w:space="0" w:color="000000"/>
              <w:right w:val="single" w:sz="4" w:space="0" w:color="000000"/>
            </w:tcBorders>
          </w:tcPr>
          <w:p>
            <w:pPr>
              <w:pStyle w:val="TAC"/>
              <w:rPr>
                <w:lang w:val="en-GB"/>
              </w:rPr>
            </w:pPr>
            <w:r>
              <w:rPr>
                <w:lang w:val="en-GB"/>
              </w:rPr>
              <w:noBreakHyphen/>
            </w:r>
            <w:r>
              <w:rPr>
                <w:lang w:val="en-GB"/>
              </w:rPr>
              <w:t>16</w:t>
            </w:r>
          </w:p>
        </w:tc>
      </w:tr>
      <w:tr>
        <w:trPr>
          <w:cantSplit w:val="true"/>
        </w:trPr>
        <w:tc>
          <w:tcPr>
            <w:tcW w:w="2511" w:type="dxa"/>
            <w:tcBorders>
              <w:left w:val="single" w:sz="4" w:space="0" w:color="000000"/>
              <w:right w:val="single" w:sz="6" w:space="0" w:color="000000"/>
            </w:tcBorders>
          </w:tcPr>
          <w:p>
            <w:pPr>
              <w:pStyle w:val="TAL"/>
              <w:rPr/>
            </w:pPr>
            <w:r>
              <w:rPr>
                <w:lang w:val="en-GB"/>
              </w:rPr>
              <w:t xml:space="preserve">3 MHz </w:t>
            </w:r>
            <w:r>
              <w:rPr>
                <w:rFonts w:eastAsia="Symbol" w:cs="Symbol" w:ascii="Symbol" w:hAnsi="Symbol"/>
                <w:lang w:val="en-GB"/>
              </w:rPr>
              <w:t></w:t>
            </w:r>
            <w:r>
              <w:rPr>
                <w:lang w:val="en-GB"/>
              </w:rPr>
              <w:t> |f</w:t>
              <w:noBreakHyphen/>
              <w:t>f</w:t>
            </w:r>
            <w:r>
              <w:rPr>
                <w:position w:val="-6"/>
                <w:lang w:val="en-GB"/>
              </w:rPr>
              <w:t>o</w:t>
            </w:r>
            <w:r>
              <w:rPr>
                <w:lang w:val="en-GB"/>
              </w:rPr>
              <w:t xml:space="preserve"> | </w:t>
            </w:r>
          </w:p>
        </w:tc>
        <w:tc>
          <w:tcPr>
            <w:tcW w:w="696" w:type="dxa"/>
            <w:tcBorders>
              <w:left w:val="single" w:sz="6" w:space="0" w:color="000000"/>
              <w:right w:val="single" w:sz="6" w:space="0" w:color="000000"/>
            </w:tcBorders>
          </w:tcPr>
          <w:p>
            <w:pPr>
              <w:pStyle w:val="TAC"/>
              <w:rPr>
                <w:lang w:val="en-GB"/>
              </w:rPr>
            </w:pPr>
            <w:r>
              <w:rPr>
                <w:lang w:val="en-GB"/>
              </w:rPr>
              <w:noBreakHyphen/>
            </w:r>
            <w:r>
              <w:rPr>
                <w:lang w:val="en-GB"/>
              </w:rPr>
              <w:t>23</w:t>
            </w:r>
          </w:p>
        </w:tc>
        <w:tc>
          <w:tcPr>
            <w:tcW w:w="697" w:type="dxa"/>
            <w:tcBorders>
              <w:left w:val="single" w:sz="6" w:space="0" w:color="000000"/>
              <w:right w:val="single" w:sz="6" w:space="0" w:color="000000"/>
            </w:tcBorders>
          </w:tcPr>
          <w:p>
            <w:pPr>
              <w:pStyle w:val="TAC"/>
              <w:rPr>
                <w:lang w:val="en-GB"/>
              </w:rPr>
            </w:pPr>
            <w:r>
              <w:rPr>
                <w:lang w:val="en-GB"/>
              </w:rPr>
              <w:noBreakHyphen/>
            </w:r>
            <w:r>
              <w:rPr>
                <w:lang w:val="en-GB"/>
              </w:rPr>
              <w:t>13</w:t>
            </w:r>
          </w:p>
        </w:tc>
        <w:tc>
          <w:tcPr>
            <w:tcW w:w="697" w:type="dxa"/>
            <w:tcBorders>
              <w:left w:val="single" w:sz="6" w:space="0" w:color="000000"/>
              <w:right w:val="single" w:sz="6" w:space="0" w:color="000000"/>
            </w:tcBorders>
          </w:tcPr>
          <w:p>
            <w:pPr>
              <w:pStyle w:val="TAC"/>
              <w:rPr>
                <w:lang w:val="en-GB"/>
              </w:rPr>
            </w:pPr>
            <w:r>
              <w:rPr>
                <w:lang w:val="en-GB"/>
              </w:rPr>
              <w:noBreakHyphen/>
            </w:r>
            <w:r>
              <w:rPr>
                <w:lang w:val="en-GB"/>
              </w:rPr>
              <w:t>23</w:t>
            </w:r>
          </w:p>
        </w:tc>
        <w:tc>
          <w:tcPr>
            <w:tcW w:w="697" w:type="dxa"/>
            <w:tcBorders>
              <w:left w:val="single" w:sz="6" w:space="0" w:color="000000"/>
              <w:right w:val="single" w:sz="4" w:space="0" w:color="000000"/>
            </w:tcBorders>
          </w:tcPr>
          <w:p>
            <w:pPr>
              <w:pStyle w:val="TAC"/>
              <w:rPr>
                <w:lang w:val="en-GB"/>
              </w:rPr>
            </w:pPr>
            <w:r>
              <w:rPr>
                <w:lang w:val="en-GB"/>
              </w:rPr>
              <w:noBreakHyphen/>
            </w:r>
            <w:r>
              <w:rPr>
                <w:lang w:val="en-GB"/>
              </w:rPr>
              <w:t>13</w:t>
            </w:r>
          </w:p>
        </w:tc>
      </w:tr>
      <w:tr>
        <w:trPr>
          <w:cantSplit w:val="true"/>
        </w:trPr>
        <w:tc>
          <w:tcPr>
            <w:tcW w:w="2511" w:type="dxa"/>
            <w:tcBorders>
              <w:top w:val="single" w:sz="6" w:space="0" w:color="000000"/>
              <w:left w:val="single" w:sz="4" w:space="0" w:color="000000"/>
              <w:right w:val="single" w:sz="6" w:space="0" w:color="000000"/>
            </w:tcBorders>
          </w:tcPr>
          <w:p>
            <w:pPr>
              <w:pStyle w:val="TAL"/>
              <w:rPr>
                <w:lang w:val="en-GB"/>
              </w:rPr>
            </w:pPr>
            <w:r>
              <w:rPr>
                <w:lang w:val="en-GB"/>
              </w:rPr>
              <w:t>out</w:t>
              <w:noBreakHyphen/>
              <w:t>of</w:t>
              <w:noBreakHyphen/>
              <w:t>band</w:t>
            </w:r>
          </w:p>
        </w:tc>
        <w:tc>
          <w:tcPr>
            <w:tcW w:w="696"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697"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697" w:type="dxa"/>
            <w:tcBorders>
              <w:top w:val="single" w:sz="6" w:space="0" w:color="000000"/>
              <w:left w:val="single" w:sz="6" w:space="0" w:color="000000"/>
              <w:right w:val="single" w:sz="6" w:space="0" w:color="000000"/>
            </w:tcBorders>
          </w:tcPr>
          <w:p>
            <w:pPr>
              <w:pStyle w:val="TAC"/>
              <w:snapToGrid w:val="false"/>
              <w:rPr>
                <w:lang w:val="en-GB"/>
              </w:rPr>
            </w:pPr>
            <w:r>
              <w:rPr>
                <w:lang w:val="en-GB"/>
              </w:rPr>
            </w:r>
          </w:p>
        </w:tc>
        <w:tc>
          <w:tcPr>
            <w:tcW w:w="697" w:type="dxa"/>
            <w:tcBorders>
              <w:top w:val="single" w:sz="6" w:space="0" w:color="000000"/>
              <w:left w:val="single" w:sz="6" w:space="0" w:color="000000"/>
              <w:right w:val="single" w:sz="4" w:space="0" w:color="000000"/>
            </w:tcBorders>
          </w:tcPr>
          <w:p>
            <w:pPr>
              <w:pStyle w:val="TAC"/>
              <w:snapToGrid w:val="false"/>
              <w:rPr>
                <w:lang w:val="en-GB"/>
              </w:rPr>
            </w:pPr>
            <w:r>
              <w:rPr>
                <w:lang w:val="en-GB"/>
              </w:rPr>
            </w:r>
          </w:p>
        </w:tc>
      </w:tr>
      <w:tr>
        <w:trPr>
          <w:cantSplit w:val="true"/>
        </w:trPr>
        <w:tc>
          <w:tcPr>
            <w:tcW w:w="2511" w:type="dxa"/>
            <w:tcBorders>
              <w:left w:val="single" w:sz="4" w:space="0" w:color="000000"/>
              <w:right w:val="single" w:sz="6" w:space="0" w:color="000000"/>
            </w:tcBorders>
          </w:tcPr>
          <w:p>
            <w:pPr>
              <w:pStyle w:val="TAL"/>
              <w:rPr>
                <w:lang w:val="en-GB"/>
              </w:rPr>
            </w:pPr>
            <w:r>
              <w:rPr>
                <w:lang w:val="en-GB"/>
              </w:rPr>
              <w:t>(a) (see note)</w:t>
            </w:r>
          </w:p>
        </w:tc>
        <w:tc>
          <w:tcPr>
            <w:tcW w:w="696" w:type="dxa"/>
            <w:tcBorders>
              <w:left w:val="single" w:sz="6" w:space="0" w:color="000000"/>
              <w:right w:val="single" w:sz="6" w:space="0" w:color="000000"/>
            </w:tcBorders>
          </w:tcPr>
          <w:p>
            <w:pPr>
              <w:pStyle w:val="TAC"/>
              <w:rPr>
                <w:lang w:val="en-GB"/>
              </w:rPr>
            </w:pPr>
            <w:r>
              <w:rPr>
                <w:lang w:val="en-GB"/>
              </w:rPr>
              <w:t>-5</w:t>
            </w:r>
          </w:p>
        </w:tc>
        <w:tc>
          <w:tcPr>
            <w:tcW w:w="697" w:type="dxa"/>
            <w:tcBorders>
              <w:left w:val="single" w:sz="6" w:space="0" w:color="000000"/>
              <w:right w:val="single" w:sz="6" w:space="0" w:color="000000"/>
            </w:tcBorders>
          </w:tcPr>
          <w:p>
            <w:pPr>
              <w:pStyle w:val="TAC"/>
              <w:rPr>
                <w:lang w:val="en-GB"/>
              </w:rPr>
            </w:pPr>
            <w:r>
              <w:rPr>
                <w:lang w:val="en-GB"/>
              </w:rPr>
              <w:t>8</w:t>
            </w:r>
          </w:p>
        </w:tc>
        <w:tc>
          <w:tcPr>
            <w:tcW w:w="697" w:type="dxa"/>
            <w:tcBorders>
              <w:left w:val="single" w:sz="6" w:space="0" w:color="000000"/>
              <w:right w:val="single" w:sz="6" w:space="0" w:color="000000"/>
            </w:tcBorders>
          </w:tcPr>
          <w:p>
            <w:pPr>
              <w:pStyle w:val="TAC"/>
              <w:rPr>
                <w:lang w:val="en-GB"/>
              </w:rPr>
            </w:pPr>
            <w:r>
              <w:rPr>
                <w:lang w:val="en-GB"/>
              </w:rPr>
              <w:t>-5</w:t>
            </w:r>
          </w:p>
        </w:tc>
        <w:tc>
          <w:tcPr>
            <w:tcW w:w="697" w:type="dxa"/>
            <w:tcBorders>
              <w:left w:val="single" w:sz="6" w:space="0" w:color="000000"/>
              <w:right w:val="single" w:sz="4" w:space="0" w:color="000000"/>
            </w:tcBorders>
          </w:tcPr>
          <w:p>
            <w:pPr>
              <w:pStyle w:val="TAC"/>
              <w:rPr>
                <w:lang w:val="en-GB"/>
              </w:rPr>
            </w:pPr>
            <w:r>
              <w:rPr>
                <w:lang w:val="en-GB"/>
              </w:rPr>
              <w:t>8</w:t>
            </w:r>
          </w:p>
        </w:tc>
      </w:tr>
      <w:tr>
        <w:trPr>
          <w:cantSplit w:val="true"/>
        </w:trPr>
        <w:tc>
          <w:tcPr>
            <w:tcW w:w="2511" w:type="dxa"/>
            <w:tcBorders>
              <w:left w:val="single" w:sz="4" w:space="0" w:color="000000"/>
              <w:right w:val="single" w:sz="6" w:space="0" w:color="000000"/>
            </w:tcBorders>
          </w:tcPr>
          <w:p>
            <w:pPr>
              <w:pStyle w:val="TAL"/>
              <w:rPr>
                <w:lang w:val="en-GB"/>
              </w:rPr>
            </w:pPr>
            <w:r>
              <w:rPr>
                <w:lang w:val="en-GB"/>
              </w:rPr>
              <w:t>(b)</w:t>
            </w:r>
          </w:p>
        </w:tc>
        <w:tc>
          <w:tcPr>
            <w:tcW w:w="696" w:type="dxa"/>
            <w:tcBorders>
              <w:left w:val="single" w:sz="6" w:space="0" w:color="000000"/>
              <w:right w:val="single" w:sz="6" w:space="0" w:color="000000"/>
            </w:tcBorders>
          </w:tcPr>
          <w:p>
            <w:pPr>
              <w:pStyle w:val="TAC"/>
              <w:rPr>
                <w:lang w:val="en-GB"/>
              </w:rPr>
            </w:pPr>
            <w:r>
              <w:rPr>
                <w:lang w:val="en-GB"/>
              </w:rPr>
              <w:noBreakHyphen/>
            </w:r>
          </w:p>
        </w:tc>
        <w:tc>
          <w:tcPr>
            <w:tcW w:w="697" w:type="dxa"/>
            <w:tcBorders>
              <w:left w:val="single" w:sz="6" w:space="0" w:color="000000"/>
              <w:right w:val="single" w:sz="6" w:space="0" w:color="000000"/>
            </w:tcBorders>
          </w:tcPr>
          <w:p>
            <w:pPr>
              <w:pStyle w:val="TAC"/>
              <w:rPr>
                <w:lang w:val="en-GB"/>
              </w:rPr>
            </w:pPr>
            <w:r>
              <w:rPr>
                <w:lang w:val="en-GB"/>
              </w:rPr>
              <w:noBreakHyphen/>
            </w:r>
          </w:p>
        </w:tc>
        <w:tc>
          <w:tcPr>
            <w:tcW w:w="697" w:type="dxa"/>
            <w:tcBorders>
              <w:left w:val="single" w:sz="6" w:space="0" w:color="000000"/>
              <w:right w:val="single" w:sz="6" w:space="0" w:color="000000"/>
            </w:tcBorders>
          </w:tcPr>
          <w:p>
            <w:pPr>
              <w:pStyle w:val="TAC"/>
              <w:rPr>
                <w:lang w:val="en-GB"/>
              </w:rPr>
            </w:pPr>
            <w:r>
              <w:rPr>
                <w:lang w:val="en-GB"/>
              </w:rPr>
              <w:noBreakHyphen/>
            </w:r>
          </w:p>
        </w:tc>
        <w:tc>
          <w:tcPr>
            <w:tcW w:w="697" w:type="dxa"/>
            <w:tcBorders>
              <w:left w:val="single" w:sz="6" w:space="0" w:color="000000"/>
              <w:right w:val="single" w:sz="4" w:space="0" w:color="000000"/>
            </w:tcBorders>
          </w:tcPr>
          <w:p>
            <w:pPr>
              <w:pStyle w:val="TAC"/>
              <w:rPr>
                <w:lang w:val="en-GB"/>
              </w:rPr>
            </w:pPr>
            <w:r>
              <w:rPr>
                <w:lang w:val="en-GB"/>
              </w:rPr>
              <w:noBreakHyphen/>
            </w:r>
          </w:p>
        </w:tc>
      </w:tr>
      <w:tr>
        <w:trPr>
          <w:cantSplit w:val="true"/>
        </w:trPr>
        <w:tc>
          <w:tcPr>
            <w:tcW w:w="2511" w:type="dxa"/>
            <w:tcBorders>
              <w:left w:val="single" w:sz="4" w:space="0" w:color="000000"/>
              <w:right w:val="single" w:sz="6" w:space="0" w:color="000000"/>
            </w:tcBorders>
          </w:tcPr>
          <w:p>
            <w:pPr>
              <w:pStyle w:val="TAL"/>
              <w:rPr>
                <w:lang w:val="en-GB"/>
              </w:rPr>
            </w:pPr>
            <w:r>
              <w:rPr>
                <w:lang w:val="en-GB"/>
              </w:rPr>
              <w:t>(c)</w:t>
            </w:r>
          </w:p>
        </w:tc>
        <w:tc>
          <w:tcPr>
            <w:tcW w:w="696" w:type="dxa"/>
            <w:tcBorders>
              <w:left w:val="single" w:sz="6" w:space="0" w:color="000000"/>
              <w:right w:val="single" w:sz="6" w:space="0" w:color="000000"/>
            </w:tcBorders>
          </w:tcPr>
          <w:p>
            <w:pPr>
              <w:pStyle w:val="TAC"/>
              <w:rPr>
                <w:lang w:val="en-GB"/>
              </w:rPr>
            </w:pPr>
            <w:r>
              <w:rPr>
                <w:lang w:val="en-GB"/>
              </w:rPr>
              <w:noBreakHyphen/>
            </w:r>
          </w:p>
        </w:tc>
        <w:tc>
          <w:tcPr>
            <w:tcW w:w="697" w:type="dxa"/>
            <w:tcBorders>
              <w:left w:val="single" w:sz="6" w:space="0" w:color="000000"/>
              <w:right w:val="single" w:sz="6" w:space="0" w:color="000000"/>
            </w:tcBorders>
          </w:tcPr>
          <w:p>
            <w:pPr>
              <w:pStyle w:val="TAC"/>
              <w:rPr>
                <w:lang w:val="en-GB"/>
              </w:rPr>
            </w:pPr>
            <w:r>
              <w:rPr>
                <w:lang w:val="en-GB"/>
              </w:rPr>
              <w:noBreakHyphen/>
            </w:r>
          </w:p>
        </w:tc>
        <w:tc>
          <w:tcPr>
            <w:tcW w:w="697" w:type="dxa"/>
            <w:tcBorders>
              <w:left w:val="single" w:sz="6" w:space="0" w:color="000000"/>
              <w:right w:val="single" w:sz="6" w:space="0" w:color="000000"/>
            </w:tcBorders>
          </w:tcPr>
          <w:p>
            <w:pPr>
              <w:pStyle w:val="TAC"/>
              <w:rPr>
                <w:lang w:val="en-GB"/>
              </w:rPr>
            </w:pPr>
            <w:r>
              <w:rPr>
                <w:lang w:val="en-GB"/>
              </w:rPr>
              <w:noBreakHyphen/>
            </w:r>
          </w:p>
        </w:tc>
        <w:tc>
          <w:tcPr>
            <w:tcW w:w="697" w:type="dxa"/>
            <w:tcBorders>
              <w:left w:val="single" w:sz="6" w:space="0" w:color="000000"/>
              <w:right w:val="single" w:sz="4" w:space="0" w:color="000000"/>
            </w:tcBorders>
          </w:tcPr>
          <w:p>
            <w:pPr>
              <w:pStyle w:val="TAC"/>
              <w:rPr>
                <w:lang w:val="en-GB"/>
              </w:rPr>
            </w:pPr>
            <w:r>
              <w:rPr>
                <w:lang w:val="en-GB"/>
              </w:rPr>
              <w:noBreakHyphen/>
            </w:r>
          </w:p>
        </w:tc>
      </w:tr>
      <w:tr>
        <w:trPr>
          <w:cantSplit w:val="true"/>
        </w:trPr>
        <w:tc>
          <w:tcPr>
            <w:tcW w:w="2511" w:type="dxa"/>
            <w:tcBorders>
              <w:left w:val="single" w:sz="4" w:space="0" w:color="000000"/>
              <w:bottom w:val="single" w:sz="4" w:space="0" w:color="000000"/>
              <w:right w:val="single" w:sz="6" w:space="0" w:color="000000"/>
            </w:tcBorders>
          </w:tcPr>
          <w:p>
            <w:pPr>
              <w:pStyle w:val="TAL"/>
              <w:rPr>
                <w:lang w:val="en-GB"/>
              </w:rPr>
            </w:pPr>
            <w:r>
              <w:rPr>
                <w:lang w:val="en-GB"/>
              </w:rPr>
              <w:t>(d)</w:t>
            </w:r>
          </w:p>
        </w:tc>
        <w:tc>
          <w:tcPr>
            <w:tcW w:w="696" w:type="dxa"/>
            <w:tcBorders>
              <w:left w:val="single" w:sz="6" w:space="0" w:color="000000"/>
              <w:bottom w:val="single" w:sz="4" w:space="0" w:color="000000"/>
              <w:right w:val="single" w:sz="6" w:space="0" w:color="000000"/>
            </w:tcBorders>
          </w:tcPr>
          <w:p>
            <w:pPr>
              <w:pStyle w:val="TAC"/>
              <w:rPr>
                <w:lang w:val="en-GB"/>
              </w:rPr>
            </w:pPr>
            <w:r>
              <w:rPr>
                <w:lang w:val="en-GB"/>
              </w:rPr>
              <w:t>0</w:t>
            </w:r>
          </w:p>
        </w:tc>
        <w:tc>
          <w:tcPr>
            <w:tcW w:w="697" w:type="dxa"/>
            <w:tcBorders>
              <w:left w:val="single" w:sz="6" w:space="0" w:color="000000"/>
              <w:bottom w:val="single" w:sz="4" w:space="0" w:color="000000"/>
              <w:right w:val="single" w:sz="6" w:space="0" w:color="000000"/>
            </w:tcBorders>
          </w:tcPr>
          <w:p>
            <w:pPr>
              <w:pStyle w:val="TAC"/>
              <w:rPr>
                <w:lang w:val="en-GB"/>
              </w:rPr>
            </w:pPr>
            <w:r>
              <w:rPr>
                <w:lang w:val="en-GB"/>
              </w:rPr>
              <w:t>8</w:t>
            </w:r>
          </w:p>
        </w:tc>
        <w:tc>
          <w:tcPr>
            <w:tcW w:w="697" w:type="dxa"/>
            <w:tcBorders>
              <w:left w:val="single" w:sz="6" w:space="0" w:color="000000"/>
              <w:bottom w:val="single" w:sz="4" w:space="0" w:color="000000"/>
              <w:right w:val="single" w:sz="6" w:space="0" w:color="000000"/>
            </w:tcBorders>
          </w:tcPr>
          <w:p>
            <w:pPr>
              <w:pStyle w:val="TAC"/>
              <w:rPr>
                <w:lang w:val="en-GB"/>
              </w:rPr>
            </w:pPr>
            <w:r>
              <w:rPr>
                <w:lang w:val="en-GB"/>
              </w:rPr>
              <w:t>0</w:t>
            </w:r>
          </w:p>
        </w:tc>
        <w:tc>
          <w:tcPr>
            <w:tcW w:w="697" w:type="dxa"/>
            <w:tcBorders>
              <w:left w:val="single" w:sz="6" w:space="0" w:color="000000"/>
              <w:bottom w:val="single" w:sz="4" w:space="0" w:color="000000"/>
              <w:right w:val="single" w:sz="4" w:space="0" w:color="000000"/>
            </w:tcBorders>
          </w:tcPr>
          <w:p>
            <w:pPr>
              <w:pStyle w:val="TAC"/>
              <w:rPr>
                <w:lang w:val="en-GB"/>
              </w:rPr>
            </w:pPr>
            <w:r>
              <w:rPr>
                <w:lang w:val="en-GB"/>
              </w:rPr>
              <w:t>8</w:t>
            </w:r>
          </w:p>
        </w:tc>
      </w:tr>
      <w:tr>
        <w:trPr>
          <w:cantSplit w:val="true"/>
        </w:trPr>
        <w:tc>
          <w:tcPr>
            <w:tcW w:w="5298" w:type="dxa"/>
            <w:gridSpan w:val="5"/>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Relaxation for E-GSM MS is in the band 905 MHz to 915 MHz.</w:t>
            </w:r>
          </w:p>
        </w:tc>
      </w:tr>
    </w:tbl>
    <w:p>
      <w:pPr>
        <w:pStyle w:val="FP"/>
        <w:rPr/>
      </w:pPr>
      <w:r>
        <w:rPr/>
      </w:r>
    </w:p>
    <w:p>
      <w:pPr>
        <w:pStyle w:val="Normal"/>
        <w:keepNext w:val="true"/>
        <w:rPr/>
      </w:pPr>
      <w:r>
        <w:rPr/>
        <w:t>The following table gives the figures for the small MS for the T-GSM 380 and T-GSM 410 bands:</w:t>
      </w:r>
    </w:p>
    <w:p>
      <w:pPr>
        <w:pStyle w:val="TH"/>
        <w:rPr/>
      </w:pPr>
      <w:r>
        <w:rPr/>
      </w:r>
    </w:p>
    <w:tbl>
      <w:tblPr>
        <w:tblW w:w="4236" w:type="dxa"/>
        <w:jc w:val="center"/>
        <w:tblInd w:w="0" w:type="dxa"/>
        <w:tblLayout w:type="fixed"/>
        <w:tblCellMar>
          <w:top w:w="0" w:type="dxa"/>
          <w:left w:w="108" w:type="dxa"/>
          <w:bottom w:w="0" w:type="dxa"/>
          <w:right w:w="108" w:type="dxa"/>
        </w:tblCellMar>
      </w:tblPr>
      <w:tblGrid>
        <w:gridCol w:w="2536"/>
        <w:gridCol w:w="850"/>
        <w:gridCol w:w="850"/>
      </w:tblGrid>
      <w:tr>
        <w:trPr>
          <w:cantSplit w:val="true"/>
        </w:trPr>
        <w:tc>
          <w:tcPr>
            <w:tcW w:w="2536" w:type="dxa"/>
            <w:tcBorders>
              <w:top w:val="single" w:sz="4" w:space="0" w:color="000000"/>
              <w:left w:val="single" w:sz="4" w:space="0" w:color="000000"/>
              <w:bottom w:val="single" w:sz="4" w:space="0" w:color="000000"/>
              <w:right w:val="single" w:sz="4" w:space="0" w:color="000000"/>
            </w:tcBorders>
          </w:tcPr>
          <w:p>
            <w:pPr>
              <w:pStyle w:val="TAH"/>
              <w:rPr>
                <w:u w:val="single"/>
                <w:lang w:eastAsia="en-US"/>
              </w:rPr>
            </w:pPr>
            <w:r>
              <w:rPr>
                <w:lang w:eastAsia="en-US"/>
              </w:rPr>
              <w:t>Frequency band</w:t>
            </w:r>
          </w:p>
        </w:tc>
        <w:tc>
          <w:tcPr>
            <w:tcW w:w="1700" w:type="dxa"/>
            <w:gridSpan w:val="2"/>
            <w:tcBorders>
              <w:top w:val="single" w:sz="4" w:space="0" w:color="000000"/>
              <w:left w:val="single" w:sz="4" w:space="0" w:color="000000"/>
              <w:bottom w:val="single" w:sz="4" w:space="0" w:color="000000"/>
              <w:right w:val="single" w:sz="4" w:space="0" w:color="000000"/>
            </w:tcBorders>
          </w:tcPr>
          <w:p>
            <w:pPr>
              <w:pStyle w:val="TAH"/>
              <w:rPr>
                <w:lang w:val="de-DE" w:eastAsia="en-US"/>
              </w:rPr>
            </w:pPr>
            <w:r>
              <w:rPr>
                <w:lang w:val="de-DE" w:eastAsia="en-US"/>
              </w:rPr>
              <w:t xml:space="preserve">T-GSM 380 and T-GSM 410 </w:t>
            </w:r>
          </w:p>
          <w:p>
            <w:pPr>
              <w:pStyle w:val="TAH"/>
              <w:rPr>
                <w:u w:val="thick"/>
                <w:lang w:eastAsia="en-US"/>
              </w:rPr>
            </w:pPr>
            <w:r>
              <w:rPr>
                <w:lang w:eastAsia="en-US"/>
              </w:rPr>
              <w:t>small MS</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L"/>
              <w:snapToGrid w:val="false"/>
              <w:rPr>
                <w:u w:val="single"/>
                <w:lang w:val="en-GB" w:eastAsia="en-US"/>
              </w:rPr>
            </w:pPr>
            <w:r>
              <w:rPr>
                <w:u w:val="single"/>
                <w:lang w:val="en-GB"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H"/>
              <w:rPr>
                <w:u w:val="single"/>
                <w:lang w:eastAsia="en-US"/>
              </w:rPr>
            </w:pPr>
            <w:r>
              <w:rPr>
                <w:lang w:eastAsia="en-US"/>
              </w:rPr>
              <w:t>dBµV (emf)</w:t>
            </w:r>
          </w:p>
        </w:tc>
        <w:tc>
          <w:tcPr>
            <w:tcW w:w="850" w:type="dxa"/>
            <w:tcBorders>
              <w:top w:val="single" w:sz="4" w:space="0" w:color="000000"/>
              <w:left w:val="single" w:sz="4" w:space="0" w:color="000000"/>
              <w:bottom w:val="single" w:sz="4" w:space="0" w:color="000000"/>
              <w:right w:val="single" w:sz="4" w:space="0" w:color="000000"/>
            </w:tcBorders>
          </w:tcPr>
          <w:p>
            <w:pPr>
              <w:pStyle w:val="TAH"/>
              <w:rPr>
                <w:u w:val="single"/>
                <w:lang w:eastAsia="en-US"/>
              </w:rPr>
            </w:pPr>
            <w:r>
              <w:rPr>
                <w:lang w:eastAsia="en-US"/>
              </w:rPr>
              <w:t>dBm</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thick"/>
                <w:lang w:val="en-GB"/>
              </w:rPr>
            </w:pPr>
            <w:r>
              <w:rPr>
                <w:lang w:val="en-GB"/>
              </w:rPr>
              <w:t>in-band</w:t>
            </w:r>
          </w:p>
        </w:tc>
        <w:tc>
          <w:tcPr>
            <w:tcW w:w="850" w:type="dxa"/>
            <w:tcBorders>
              <w:top w:val="single" w:sz="4" w:space="0" w:color="000000"/>
              <w:left w:val="single" w:sz="4" w:space="0" w:color="000000"/>
              <w:bottom w:val="single" w:sz="4" w:space="0" w:color="000000"/>
              <w:right w:val="single" w:sz="4" w:space="0" w:color="000000"/>
            </w:tcBorders>
          </w:tcPr>
          <w:p>
            <w:pPr>
              <w:pStyle w:val="TAH"/>
              <w:snapToGrid w:val="false"/>
              <w:rPr>
                <w:u w:val="thick"/>
                <w:lang w:val="en-GB" w:eastAsia="en-US"/>
              </w:rPr>
            </w:pPr>
            <w:r>
              <w:rPr>
                <w:u w:val="thick"/>
                <w:lang w:val="en-GB" w:eastAsia="en-US"/>
              </w:rPr>
            </w:r>
          </w:p>
        </w:tc>
        <w:tc>
          <w:tcPr>
            <w:tcW w:w="850" w:type="dxa"/>
            <w:tcBorders>
              <w:top w:val="single" w:sz="4" w:space="0" w:color="000000"/>
              <w:left w:val="single" w:sz="4" w:space="0" w:color="000000"/>
              <w:bottom w:val="single" w:sz="4" w:space="0" w:color="000000"/>
              <w:right w:val="single" w:sz="4" w:space="0" w:color="000000"/>
            </w:tcBorders>
          </w:tcPr>
          <w:p>
            <w:pPr>
              <w:pStyle w:val="TAH"/>
              <w:snapToGrid w:val="false"/>
              <w:rPr>
                <w:u w:val="single"/>
                <w:lang w:eastAsia="en-US"/>
              </w:rPr>
            </w:pPr>
            <w:r>
              <w:rPr>
                <w:u w:val="single"/>
                <w:lang w:eastAsia="en-US"/>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600 kHz</w:t>
              <w:tab/>
            </w:r>
            <w:r>
              <w:rPr>
                <w:rFonts w:eastAsia="Symbol" w:cs="Symbol" w:ascii="Symbol" w:hAnsi="Symbol"/>
                <w:lang w:val="en-GB"/>
              </w:rPr>
              <w:t></w:t>
            </w:r>
            <w:r>
              <w:rPr>
                <w:lang w:val="en-GB"/>
              </w:rPr>
              <w:t> |f-f</w:t>
            </w:r>
            <w:r>
              <w:rPr>
                <w:vertAlign w:val="subscript"/>
                <w:lang w:val="en-GB"/>
              </w:rPr>
              <w:t>o</w:t>
            </w:r>
            <w:r>
              <w:rPr>
                <w:lang w:val="en-GB"/>
              </w:rPr>
              <w:t>| &lt; 800 kHz</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70</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-43</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800 kHz</w:t>
              <w:tab/>
            </w:r>
            <w:r>
              <w:rPr>
                <w:rFonts w:eastAsia="Symbol" w:cs="Symbol" w:ascii="Symbol" w:hAnsi="Symbol"/>
                <w:lang w:val="en-GB"/>
              </w:rPr>
              <w:t></w:t>
            </w:r>
            <w:r>
              <w:rPr>
                <w:lang w:val="en-GB"/>
              </w:rPr>
              <w:t> |f-f</w:t>
            </w:r>
            <w:r>
              <w:rPr>
                <w:vertAlign w:val="subscript"/>
                <w:lang w:val="en-GB"/>
              </w:rPr>
              <w:t>o</w:t>
            </w:r>
            <w:r>
              <w:rPr>
                <w:lang w:val="en-GB"/>
              </w:rPr>
              <w:t>| &lt; 1,6 MHz</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70</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-43</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1,6 MHz</w:t>
              <w:tab/>
            </w:r>
            <w:r>
              <w:rPr>
                <w:rFonts w:eastAsia="Symbol" w:cs="Symbol" w:ascii="Symbol" w:hAnsi="Symbol"/>
                <w:lang w:val="en-GB"/>
              </w:rPr>
              <w:t></w:t>
            </w:r>
            <w:r>
              <w:rPr>
                <w:lang w:val="en-GB"/>
              </w:rPr>
              <w:t> |f-f</w:t>
            </w:r>
            <w:r>
              <w:rPr>
                <w:vertAlign w:val="subscript"/>
                <w:lang w:val="en-GB"/>
              </w:rPr>
              <w:t>o</w:t>
            </w:r>
            <w:r>
              <w:rPr>
                <w:lang w:val="en-GB"/>
              </w:rPr>
              <w:t>| &lt; 3 MHz</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80</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-33</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3 MHz</w:t>
              <w:tab/>
            </w:r>
            <w:r>
              <w:rPr>
                <w:rFonts w:eastAsia="Symbol" w:cs="Symbol" w:ascii="Symbol" w:hAnsi="Symbol"/>
                <w:lang w:val="en-GB"/>
              </w:rPr>
              <w:t></w:t>
            </w:r>
            <w:r>
              <w:rPr>
                <w:lang w:val="en-GB"/>
              </w:rPr>
              <w:t> |f-f</w:t>
            </w:r>
            <w:r>
              <w:rPr>
                <w:vertAlign w:val="subscript"/>
                <w:lang w:val="en-GB"/>
              </w:rPr>
              <w:t>o</w:t>
            </w:r>
            <w:r>
              <w:rPr>
                <w:lang w:val="en-GB"/>
              </w:rPr>
              <w:t xml:space="preserve">| </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90</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-23</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thick"/>
                <w:lang w:val="en-GB"/>
              </w:rPr>
            </w:pPr>
            <w:r>
              <w:rPr>
                <w:lang w:val="en-GB"/>
              </w:rPr>
              <w:t>out-of-band</w:t>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u w:val="thick"/>
                <w:lang w:val="en-GB"/>
              </w:rPr>
            </w:pPr>
            <w:r>
              <w:rPr>
                <w:u w:val="thick"/>
                <w:lang w:val="en-GB"/>
              </w:rPr>
            </w:r>
          </w:p>
        </w:tc>
        <w:tc>
          <w:tcPr>
            <w:tcW w:w="850" w:type="dxa"/>
            <w:tcBorders>
              <w:top w:val="single" w:sz="4" w:space="0" w:color="000000"/>
              <w:left w:val="single" w:sz="4" w:space="0" w:color="000000"/>
              <w:bottom w:val="single" w:sz="4" w:space="0" w:color="000000"/>
              <w:right w:val="single" w:sz="4" w:space="0" w:color="000000"/>
            </w:tcBorders>
          </w:tcPr>
          <w:p>
            <w:pPr>
              <w:pStyle w:val="TAL"/>
              <w:snapToGrid w:val="false"/>
              <w:rPr>
                <w:u w:val="single"/>
                <w:lang w:val="en-GB"/>
              </w:rPr>
            </w:pPr>
            <w:r>
              <w:rPr>
                <w:u w:val="single"/>
                <w:lang w:val="en-GB"/>
              </w:rPr>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(a)</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90</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-23</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(b)</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(c)</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w:t>
            </w:r>
          </w:p>
        </w:tc>
      </w:tr>
      <w:tr>
        <w:trPr/>
        <w:tc>
          <w:tcPr>
            <w:tcW w:w="2536"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(d)</w:t>
            </w:r>
          </w:p>
        </w:tc>
        <w:tc>
          <w:tcPr>
            <w:tcW w:w="850" w:type="dxa"/>
            <w:tcBorders>
              <w:top w:val="single" w:sz="4" w:space="0" w:color="000000"/>
              <w:left w:val="single" w:sz="4" w:space="0" w:color="000000"/>
              <w:bottom w:val="single" w:sz="4" w:space="0" w:color="000000"/>
              <w:right w:val="single" w:sz="4" w:space="0" w:color="000000"/>
            </w:tcBorders>
          </w:tcPr>
          <w:p>
            <w:pPr>
              <w:pStyle w:val="TAC"/>
              <w:rPr>
                <w:u w:val="single"/>
                <w:lang w:val="en-GB"/>
              </w:rPr>
            </w:pPr>
            <w:r>
              <w:rPr>
                <w:lang w:val="en-GB"/>
              </w:rPr>
              <w:t>90</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w:t>
            </w:r>
          </w:p>
        </w:tc>
      </w:tr>
    </w:tbl>
    <w:p>
      <w:pPr>
        <w:pStyle w:val="FP"/>
        <w:rPr/>
      </w:pPr>
      <w:r>
        <w:rPr/>
      </w:r>
    </w:p>
    <w:p>
      <w:pPr>
        <w:pStyle w:val="Normal"/>
        <w:rPr/>
      </w:pPr>
      <w:r>
        <w:rPr/>
        <w:t xml:space="preserve">The BTS in-band blocking requirement has kept same as for GSM900 system. Scenario requirement T.3.2.1.2 is </w:t>
        <w:noBreakHyphen/>
        <w:t>46 dBm that considers blocking from the BTS own MSs. The proposal meets the scenario requirements even at 600 kHz offset. Requirement T.3.2.1.3 is -20 dBm, which is for mobiles from other operators. This is missed at 600 kHz but it is met at 800 kHz offset. No changes are recommended due to the non-probable occurrence of un-coordinated scenario and especially with full power, small MCL and small frequency offset.</w:t>
      </w:r>
    </w:p>
    <w:p>
      <w:pPr>
        <w:pStyle w:val="Normal"/>
        <w:rPr/>
      </w:pPr>
      <w:r>
        <w:rPr/>
        <w:t>The out-of-band specification has not been changed, although it does not meet scenario requirement T.3.2.1.5 (19 dBm). This is because the 30 dB coupling loss assumption between base stations is rather pessimistic, it corresponds to two 14 dBi antennas on boresight 26 m apart. Under these circumstances, operators may need to adopt specific mutual arrangements (e.g. antenna arrangements or extra operator specific receive filters) which need not form part of the GSM standard.</w:t>
      </w:r>
    </w:p>
    <w:p>
      <w:pPr>
        <w:pStyle w:val="Normal"/>
        <w:jc w:val="both"/>
        <w:rPr/>
      </w:pPr>
      <w:r>
        <w:rPr/>
        <w:t>The out-of-band blocking specification of T-GSM 380 and 410 is matched to the requirements to other services in these bands. The relaxed specification is possible because of the low density of users anticipated in these bands.</w:t>
      </w:r>
    </w:p>
    <w:p>
      <w:pPr>
        <w:pStyle w:val="Heading2"/>
        <w:rPr/>
      </w:pPr>
      <w:bookmarkStart w:id="561" w:name="__RefHeading___Toc518035977"/>
      <w:bookmarkEnd w:id="561"/>
      <w:r>
        <w:rPr/>
        <w:t>T.5.2</w:t>
        <w:tab/>
        <w:t>AM suppression characteristics</w:t>
      </w:r>
    </w:p>
    <w:p>
      <w:pPr>
        <w:pStyle w:val="Normal"/>
        <w:rPr/>
      </w:pPr>
      <w:r>
        <w:rPr/>
        <w:t>AM suppression requirement is targeted for uncoordinated operation where two operators share the band. Current requirements are about the same for both GSM900 and DCS1800 systems. Even though it is assumed that uncoordinated scenarios are rare for GSM400 still AM suppression specification is written for GSM400 system for the specification to be consistent with GSM systems in other bands. It is suggested that GSM900 system requirement is applied for GSM400 systems.</w:t>
      </w:r>
    </w:p>
    <w:p>
      <w:pPr>
        <w:pStyle w:val="Heading2"/>
        <w:rPr/>
      </w:pPr>
      <w:bookmarkStart w:id="562" w:name="__RefHeading___Toc518035978"/>
      <w:bookmarkEnd w:id="562"/>
      <w:r>
        <w:rPr/>
        <w:t>T.5.3</w:t>
        <w:tab/>
        <w:t>Intermodulation Characteristics</w:t>
      </w:r>
    </w:p>
    <w:p>
      <w:pPr>
        <w:pStyle w:val="TH"/>
        <w:rPr/>
      </w:pPr>
      <w:r>
        <w:rPr/>
        <w:drawing>
          <wp:inline distT="0" distB="0" distL="0" distR="0">
            <wp:extent cx="5477510" cy="324485"/>
            <wp:effectExtent l="0" t="0" r="0" b="0"/>
            <wp:docPr id="126"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50" descr=""/>
                    <pic:cNvPicPr>
                      <a:picLocks noChangeAspect="1" noChangeArrowheads="1"/>
                    </pic:cNvPicPr>
                  </pic:nvPicPr>
                  <pic:blipFill>
                    <a:blip r:embed="rId124"/>
                    <a:srcRect l="-7" t="-111" r="-7" b="-111"/>
                    <a:stretch>
                      <a:fillRect/>
                    </a:stretch>
                  </pic:blipFill>
                  <pic:spPr bwMode="auto">
                    <a:xfrm>
                      <a:off x="0" y="0"/>
                      <a:ext cx="5477510" cy="324485"/>
                    </a:xfrm>
                    <a:prstGeom prst="rect">
                      <a:avLst/>
                    </a:prstGeom>
                  </pic:spPr>
                </pic:pic>
              </a:graphicData>
            </a:graphic>
          </wp:inline>
        </w:drawing>
      </w:r>
      <w:r>
        <w:rPr/>
        <w:drawing>
          <wp:inline distT="0" distB="0" distL="0" distR="0">
            <wp:extent cx="5483225" cy="326390"/>
            <wp:effectExtent l="0" t="0" r="0" b="0"/>
            <wp:docPr id="127"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51" descr=""/>
                    <pic:cNvPicPr>
                      <a:picLocks noChangeAspect="1" noChangeArrowheads="1"/>
                    </pic:cNvPicPr>
                  </pic:nvPicPr>
                  <pic:blipFill>
                    <a:blip r:embed="rId125"/>
                    <a:srcRect l="-4" t="-67" r="-4" b="-67"/>
                    <a:stretch>
                      <a:fillRect/>
                    </a:stretch>
                  </pic:blipFill>
                  <pic:spPr bwMode="auto">
                    <a:xfrm>
                      <a:off x="0" y="0"/>
                      <a:ext cx="5483225" cy="326390"/>
                    </a:xfrm>
                    <a:prstGeom prst="rect">
                      <a:avLst/>
                    </a:prstGeom>
                  </pic:spPr>
                </pic:pic>
              </a:graphicData>
            </a:graphic>
          </wp:inline>
        </w:drawing>
      </w:r>
    </w:p>
    <w:p>
      <w:pPr>
        <w:pStyle w:val="FP"/>
        <w:rPr/>
      </w:pPr>
      <w:r>
        <w:rPr/>
      </w:r>
    </w:p>
    <w:p>
      <w:pPr>
        <w:pStyle w:val="Normal"/>
        <w:rPr/>
      </w:pPr>
      <w:r>
        <w:rPr/>
        <w:t>The GSM900 specification for handportables limits the maximum level to -49 dBm. Any tightening of this specification will increase the power consumption of the receiver. The proposed level of -49 dBm for the MS fails to meet scenario requirement T.3.2.2.1, but the only consequence is that the MS is de-sensed when close to a BTS with the appropriate transmitters active. Statistical probabilities of occurrence of this situation is highest in dense urban areas and while GSM400 BTS power level is recommended to be reduced the scenario is similar to GSM900 system. In rural areas MCL is easily higher than 53 dB.</w:t>
      </w:r>
    </w:p>
    <w:p>
      <w:pPr>
        <w:pStyle w:val="Normal"/>
        <w:rPr/>
      </w:pPr>
      <w:r>
        <w:rPr/>
        <w:t>The worst case for BTS receiver IMs is when two MSs approach the base station, the scenario requirement is covered in sections T.3.2.2.2 and T.3.2.2.3 and is -43 dBm for coordinated mobiles and -17 dBm for uncoordinated.</w:t>
      </w:r>
    </w:p>
    <w:p>
      <w:pPr>
        <w:pStyle w:val="Normal"/>
        <w:rPr/>
      </w:pPr>
      <w:r>
        <w:rPr/>
        <w:t>The GSM900 system requirement -43 dBm has been proposed since the probability of the uncoordinated scenario with maximum power and minimal MCL is low both spatially and spectrally. If the coupling loss between both MSs and the BTS increases by 1dB the level of a third order IM product will reduce by 3 dB.</w:t>
      </w:r>
    </w:p>
    <w:p>
      <w:pPr>
        <w:pStyle w:val="Heading2"/>
        <w:rPr/>
      </w:pPr>
      <w:bookmarkStart w:id="563" w:name="__RefHeading___Toc518035979"/>
      <w:bookmarkEnd w:id="563"/>
      <w:r>
        <w:rPr/>
        <w:t>T.5.4</w:t>
        <w:tab/>
        <w:t>Spurious emissions</w:t>
      </w:r>
    </w:p>
    <w:p>
      <w:pPr>
        <w:pStyle w:val="Normal"/>
        <w:rPr/>
      </w:pPr>
      <w:r>
        <w:rPr/>
        <w:t>Current requirements are the same for both GSM900 and DCS1800 systems. It is suggested that the same is adopted to GSM400 systems. No changes are proposed for this requirement.</w:t>
      </w:r>
    </w:p>
    <w:p>
      <w:pPr>
        <w:pStyle w:val="Heading1"/>
        <w:ind w:left="1134" w:hanging="1134"/>
        <w:rPr/>
      </w:pPr>
      <w:bookmarkStart w:id="564" w:name="__RefHeading___Toc518035980"/>
      <w:bookmarkEnd w:id="564"/>
      <w:r>
        <w:rPr/>
        <w:t>T.6</w:t>
        <w:tab/>
        <w:t>Receiver performance</w:t>
      </w:r>
    </w:p>
    <w:p>
      <w:pPr>
        <w:pStyle w:val="Normal"/>
        <w:rPr/>
      </w:pPr>
      <w:r>
        <w:rPr/>
        <w:t>Reference sensitivity levels for GSM400 are determined to be equal to those of GSM900. The reference sensitivity performance specified in table 1 and table 1a [GSM 05.05] for GSM900 may be taken as GSM400 reference sensitivity performance requirement while the MS speed is doubled. The same applies for reference interference performance in table 2 and table 2a [GSM 05.05].</w:t>
      </w:r>
    </w:p>
    <w:p>
      <w:pPr>
        <w:pStyle w:val="Normal"/>
        <w:rPr/>
      </w:pPr>
      <w:r>
        <w:rPr/>
        <w:t xml:space="preserve">Current specification states that for static conditions, a bit error rate of 10exp-3 shall be maintained up to </w:t>
        <w:noBreakHyphen/>
        <w:t xml:space="preserve">15 dBm for GSM900. From GSM400 scenario calculations T.3.2.3.1 and T.3.2.3.2 it can be seen that maximum signal level expected in BTS antenna is </w:t>
        <w:noBreakHyphen/>
        <w:t xml:space="preserve">20 dBm and in MS antenna </w:t>
        <w:noBreakHyphen/>
        <w:t xml:space="preserve">14 dBm. These being calculated with pessimistic MCL values it may be concluded that current GSM900 performance requirement with </w:t>
        <w:noBreakHyphen/>
        <w:t>15 dBm received power level should be applicable also for GSM400 systems.</w:t>
      </w:r>
    </w:p>
    <w:p>
      <w:pPr>
        <w:pStyle w:val="Normal"/>
        <w:rPr/>
      </w:pPr>
      <w:r>
        <w:rPr/>
        <w:t>Chip error rate for GSM900 has been defined for static channel and EQ50 channel. It is reasonable to assume that in static conditions the performance of GSM400 and GSM900 are equal and no changes are proposed. EQ50 channel for GSM900 corresponds about to EQ100 in case of GSM400. Thus it is decided to keep the performance requirement equal while doubling the speed.</w:t>
      </w:r>
      <w:r>
        <w:br w:type="page"/>
      </w:r>
    </w:p>
    <w:p>
      <w:pPr>
        <w:pStyle w:val="Heading9"/>
        <w:rPr/>
      </w:pPr>
      <w:bookmarkStart w:id="565" w:name="__RefHeading___Toc518035981"/>
      <w:bookmarkEnd w:id="565"/>
      <w:r>
        <w:rPr/>
        <w:t>Annex U:</w:t>
        <w:br/>
        <w:t>850 MHz and 1 900 MHz Mixed-Mode Scenarios</w:t>
      </w:r>
    </w:p>
    <w:p>
      <w:pPr>
        <w:pStyle w:val="Heading1"/>
        <w:ind w:left="1134" w:hanging="1134"/>
        <w:rPr/>
      </w:pPr>
      <w:bookmarkStart w:id="566" w:name="__RefHeading___Toc518035982"/>
      <w:bookmarkEnd w:id="566"/>
      <w:r>
        <w:rPr/>
        <w:t>U.1</w:t>
        <w:tab/>
        <w:t>Introduction</w:t>
      </w:r>
    </w:p>
    <w:p>
      <w:pPr>
        <w:pStyle w:val="Normal"/>
        <w:rPr/>
      </w:pPr>
      <w:r>
        <w:rPr/>
        <w:t>850 MHz and 1 900 MHz mixed-mode is defined as a network that deploys both 30 kHz RF carriers and 200 kHz RF carriers in geographic regions where the Federal Communications Commission (FCC) regulations are applied. There are two scenarios in these regions:</w:t>
      </w:r>
    </w:p>
    <w:p>
      <w:pPr>
        <w:pStyle w:val="B1"/>
        <w:rPr/>
      </w:pPr>
      <w:r>
        <w:rPr/>
        <w:t>-</w:t>
        <w:tab/>
        <w:t>Mixed-mode multi-carrier BTS in FCC regulated environment.</w:t>
      </w:r>
    </w:p>
    <w:p>
      <w:pPr>
        <w:pStyle w:val="B1"/>
        <w:rPr/>
      </w:pPr>
      <w:r>
        <w:rPr/>
        <w:t>-</w:t>
        <w:tab/>
        <w:t>Mixed-mode multiple MS and BTS, uncoordinated close proximity.</w:t>
      </w:r>
    </w:p>
    <w:p>
      <w:pPr>
        <w:pStyle w:val="Normal"/>
        <w:rPr/>
      </w:pPr>
      <w:r>
        <w:rPr/>
        <w:t>The following documents describe the basis for the 850 MHz and 1900 MHz mixed-mode base station RF requirements:</w:t>
      </w:r>
    </w:p>
    <w:p>
      <w:pPr>
        <w:pStyle w:val="EX"/>
        <w:rPr/>
      </w:pPr>
      <w:r>
        <w:rPr/>
        <w:t>[1]</w:t>
        <w:tab/>
        <w:t>TIA/EIA-136-280: "Base Station Minimum Performance".</w:t>
      </w:r>
    </w:p>
    <w:p>
      <w:pPr>
        <w:pStyle w:val="EX"/>
        <w:rPr/>
      </w:pPr>
      <w:r>
        <w:rPr/>
        <w:t>[2]</w:t>
        <w:tab/>
        <w:t>Federal Communications Commission (FCC) Code of Federal Regulations (CFR), Title 47, Part 22 "Public Mobile Service", Subpart C and H.</w:t>
      </w:r>
    </w:p>
    <w:p>
      <w:pPr>
        <w:pStyle w:val="EX"/>
        <w:rPr/>
      </w:pPr>
      <w:r>
        <w:rPr/>
        <w:t>[3]</w:t>
        <w:tab/>
        <w:t>Federal Communications Commission (FCC) Code of Federal Regulations (CFR), Title 47, Part 24 "Personal Communications Services (PCS)", Subpart E.</w:t>
      </w:r>
    </w:p>
    <w:p>
      <w:pPr>
        <w:pStyle w:val="EX"/>
        <w:rPr/>
      </w:pPr>
      <w:r>
        <w:rPr/>
        <w:t>[4]</w:t>
        <w:tab/>
        <w:t>Tdoc ETSI SMG2 EDGE 44/99, Source: TIA TR45.3 AHIC, Title: Liaison Statement to ETSI SMG2 WPB Regarding ETSI SMG2 WPB's Response to TIA TR45.3 AHIC's Tdoc SMG2 WPB 30/99 "EDGE Blocking Specifications".</w:t>
      </w:r>
    </w:p>
    <w:p>
      <w:pPr>
        <w:pStyle w:val="EX"/>
        <w:rPr/>
      </w:pPr>
      <w:r>
        <w:rPr/>
        <w:t>[5]</w:t>
        <w:tab/>
        <w:t>TR45.3.AHIC/99.02.18.04, Source: Nortel Networks, Title: Proposed Liaison Statement to ETSI SMG2 WPB Regarding ETSI SMG2 WPB Response to TR45.3 AHIC Tdoc SMG2 WPB 30/99 "EDGE Blocking Specifications".</w:t>
      </w:r>
    </w:p>
    <w:p>
      <w:pPr>
        <w:pStyle w:val="EX"/>
        <w:rPr/>
      </w:pPr>
      <w:r>
        <w:rPr/>
        <w:t>[6]</w:t>
        <w:tab/>
        <w:t>GSM 05.05: "Radio Transmission and Reception", Release 1997.</w:t>
      </w:r>
    </w:p>
    <w:p>
      <w:pPr>
        <w:pStyle w:val="Heading1"/>
        <w:ind w:left="1134" w:hanging="1134"/>
        <w:rPr/>
      </w:pPr>
      <w:bookmarkStart w:id="567" w:name="__RefHeading___Toc518035983"/>
      <w:r>
        <w:rPr/>
        <w:t>U.2</w:t>
        <w:tab/>
        <w:t>BTS Wide Band Noise and Intra BTS Intermodulation Attenuation</w:t>
      </w:r>
      <w:bookmarkEnd w:id="567"/>
      <w:r>
        <w:rPr/>
        <w:t xml:space="preserve"> </w:t>
      </w:r>
    </w:p>
    <w:p>
      <w:pPr>
        <w:pStyle w:val="Heading2"/>
        <w:rPr/>
      </w:pPr>
      <w:bookmarkStart w:id="568" w:name="__RefHeading___Toc518035984"/>
      <w:bookmarkEnd w:id="568"/>
      <w:r>
        <w:rPr/>
        <w:t>U.2.1</w:t>
        <w:tab/>
        <w:t>Overview</w:t>
      </w:r>
    </w:p>
    <w:p>
      <w:pPr>
        <w:pStyle w:val="Heading3"/>
        <w:rPr/>
      </w:pPr>
      <w:bookmarkStart w:id="569" w:name="__RefHeading___Toc518035985"/>
      <w:bookmarkEnd w:id="569"/>
      <w:r>
        <w:rPr/>
        <w:t>U.2.1.1</w:t>
        <w:tab/>
        <w:t>TIA/EIA-136</w:t>
      </w:r>
    </w:p>
    <w:p>
      <w:pPr>
        <w:pStyle w:val="Normal"/>
        <w:rPr/>
      </w:pPr>
      <w:r>
        <w:rPr/>
        <w:t>In TIA/EIA-136, the conducted spurious emissions limits are specified as -13 dBm peak measured in 30 kHz outside the authorized transmit band (see TIA/EIA-136-280, §3.4.2.2.1). This includes conducted spurious energy from spurs and intermodulation products in addition to the wideband noise.</w:t>
      </w:r>
    </w:p>
    <w:p>
      <w:pPr>
        <w:pStyle w:val="Normal"/>
        <w:keepNext w:val="true"/>
        <w:keepLines/>
        <w:rPr>
          <w:i/>
          <w:i/>
        </w:rPr>
      </w:pPr>
      <w:r>
        <w:rPr>
          <w:i/>
        </w:rPr>
        <w:t>850 MHz:</w:t>
      </w:r>
    </w:p>
    <w:p>
      <w:pPr>
        <w:pStyle w:val="Normal"/>
        <w:rPr/>
      </w:pPr>
      <w:r>
        <w:rPr/>
        <w:t>For output powers 50 W or less, the peak power level of any emissions within the base station transmit band between 869 MHz and 894 MHz, measured using a 30 kHz bandwidth centered 120 kHz or more from the carrier frequency, shall not exceed a level of 45 dB below the mean carrier output power or -13 dBm, whichever is the lower power. For output powers greater than 50 W, the peak power level of any emissions within the base station transmit band between 869 MHz and 894 MHz, measured using a 30 kHz bandwidth centered 120 kHz or more from the carrier frequency, shall not exceed a level of 60 dB below the mean carrier power output power (see TIA/EIA-136-280 §3.4.2.2.3.1).</w:t>
      </w:r>
    </w:p>
    <w:p>
      <w:pPr>
        <w:pStyle w:val="Normal"/>
        <w:keepNext w:val="true"/>
        <w:keepLines/>
        <w:rPr>
          <w:i/>
          <w:i/>
        </w:rPr>
      </w:pPr>
      <w:r>
        <w:rPr>
          <w:i/>
        </w:rPr>
        <w:t>1 900 MHz</w:t>
      </w:r>
    </w:p>
    <w:p>
      <w:pPr>
        <w:pStyle w:val="Normal"/>
        <w:rPr/>
      </w:pPr>
      <w:r>
        <w:rPr/>
        <w:t>For output powers 50 W or less, the peak power level of any emissions within the base station transmit band between 1 930 MHz and 1 990 MHz, measured using a 30 kHz bandwidth centered 120 kHz or more from the carrier frequency, shall not exceed a level of 45 dB below the mean carrier output power or -13 dBm, whichever is the lower power. For output powers greater than 50 W, the peak power level of any emissions within the base station transmit band between 1 930 MHz and 1 990 MHz, measured using a 30 kHz bandwidth centered 120 kHz or more from the carrier frequency, shall not exceed a level of 60 dB below the mean carrier power output power (see TIA/EIA-136-280 §3.4.2.2.3.2).</w:t>
      </w:r>
    </w:p>
    <w:p>
      <w:pPr>
        <w:pStyle w:val="Normal"/>
        <w:rPr/>
      </w:pPr>
      <w:r>
        <w:rPr/>
        <w:t>Also, the radiated products from co-located transmitters must not exceed FCC spurious and harmonic level requirements that would apply to a single transmitter (see TIA/EIA-136-280, §3.4.4.1.1).</w:t>
      </w:r>
    </w:p>
    <w:p>
      <w:pPr>
        <w:pStyle w:val="Normal"/>
        <w:rPr/>
      </w:pPr>
      <w:r>
        <w:rPr/>
        <w:t>Finally, TIA/EIA-136 provides an additional requirement for intermodulation performance such that transmit intermodulation products must not exceed -60 dBc relative to the per carrier power in a multi-carrier BTS environment.</w:t>
      </w:r>
    </w:p>
    <w:p>
      <w:pPr>
        <w:pStyle w:val="Heading3"/>
        <w:rPr/>
      </w:pPr>
      <w:bookmarkStart w:id="570" w:name="__RefHeading___Toc518035986"/>
      <w:bookmarkEnd w:id="570"/>
      <w:r>
        <w:rPr/>
        <w:t>U.2.1.2</w:t>
        <w:tab/>
        <w:t>ETSI GSM</w:t>
      </w:r>
    </w:p>
    <w:p>
      <w:pPr>
        <w:pStyle w:val="Normal"/>
        <w:rPr/>
      </w:pPr>
      <w:r>
        <w:rPr/>
        <w:t>In GSM 05.05, the wideband noise specification is defined for a single RF carrier. GSM 05.05 does not make any specific provisions for the stackup of noise power. For example, a 10 RF carrier BTS would be allowed to radiate wideband noise levels that are 10 dB above those of a single RF carrier BTS.</w:t>
      </w:r>
    </w:p>
    <w:p>
      <w:pPr>
        <w:pStyle w:val="Normal"/>
        <w:rPr/>
      </w:pPr>
      <w:r>
        <w:rPr/>
        <w:t>Transmit spurs are specified separately from wideband noise in GSM 05.05 and are allowed to be up to -36 dBm rms measured in 200 kHz (see GSM 05.05, §4.2.1). The specification allows for: 3 spurs in the range of 600 kHz to 6 MHz offset from the carrier, and 12 more spurs in the range from 6 MHz offset from the carrier to the edges of the relevant transmit band.</w:t>
      </w:r>
    </w:p>
    <w:p>
      <w:pPr>
        <w:pStyle w:val="Normal"/>
        <w:rPr/>
      </w:pPr>
      <w:r>
        <w:rPr/>
        <w:t>Finally, intra BTS intermodulation levels are allowed to be -70 dBc peak with all the carriers on.</w:t>
      </w:r>
    </w:p>
    <w:p>
      <w:pPr>
        <w:pStyle w:val="Heading2"/>
        <w:rPr/>
      </w:pPr>
      <w:bookmarkStart w:id="571" w:name="__RefHeading___Toc518035987"/>
      <w:bookmarkEnd w:id="571"/>
      <w:r>
        <w:rPr/>
        <w:t>U.2.2</w:t>
        <w:tab/>
        <w:t>Scenario - Mixed-Mode Multi-Carrier BTS in FCC Regulated Environment</w:t>
      </w:r>
    </w:p>
    <w:p>
      <w:pPr>
        <w:pStyle w:val="Normal"/>
        <w:rPr/>
      </w:pPr>
      <w:r>
        <w:rPr/>
        <w:t>Aside from the frequency bands, the main constraint is the number of RF carriers in the BTS. The extreme condition occurs when there are a large number of RF carriers in the BTS.</w:t>
      </w:r>
    </w:p>
    <w:p>
      <w:pPr>
        <w:pStyle w:val="Normal"/>
        <w:rPr/>
      </w:pPr>
      <w:r>
        <w:rPr/>
        <w:t>The 850 MHz mixed-mode system is required to operate in the following frequency bands:</w:t>
      </w:r>
    </w:p>
    <w:p>
      <w:pPr>
        <w:pStyle w:val="B1"/>
        <w:rPr/>
      </w:pPr>
      <w:r>
        <w:rPr/>
        <w:t>-</w:t>
        <w:tab/>
        <w:t>824 MHz to 849 MHz: mobile transmit, base receive;</w:t>
      </w:r>
    </w:p>
    <w:p>
      <w:pPr>
        <w:pStyle w:val="B1"/>
        <w:rPr/>
      </w:pPr>
      <w:r>
        <w:rPr/>
        <w:t>-</w:t>
        <w:tab/>
        <w:t>869 MHz to 894 MHz: base transmit, mobile receive.</w:t>
      </w:r>
    </w:p>
    <w:p>
      <w:pPr>
        <w:pStyle w:val="Normal"/>
        <w:rPr/>
      </w:pPr>
      <w:r>
        <w:rPr/>
        <w:t>The 1 900 MHz mixed-mode system is required to operate in the following frequency bands:</w:t>
      </w:r>
    </w:p>
    <w:p>
      <w:pPr>
        <w:pStyle w:val="B1"/>
        <w:rPr/>
      </w:pPr>
      <w:r>
        <w:rPr/>
        <w:t>-</w:t>
        <w:tab/>
        <w:t>1 850 MHz to 1 910 MHz: mobile transmit, base receive;</w:t>
      </w:r>
    </w:p>
    <w:p>
      <w:pPr>
        <w:pStyle w:val="B1"/>
        <w:rPr/>
      </w:pPr>
      <w:r>
        <w:rPr/>
        <w:t>-</w:t>
        <w:tab/>
        <w:t>1 930 MHz to 1 990 MHz: base transmit, mobile receive.</w:t>
      </w:r>
    </w:p>
    <w:p>
      <w:pPr>
        <w:pStyle w:val="Normal"/>
        <w:rPr/>
      </w:pPr>
      <w:r>
        <w:rPr/>
        <w:t>with a carrier spacing of 200 kHz for GPRS-136HS and 30 kHz for TIA/EIA-136. Also, the 200 kHz GPRS-136HS carriers and 30 kHz TIA/EIA-136 carriers can be deployed at different power levels and may use portions of the existing Tx chain.</w:t>
      </w:r>
    </w:p>
    <w:p>
      <w:pPr>
        <w:pStyle w:val="Normal"/>
        <w:rPr/>
      </w:pPr>
      <w:r>
        <w:rPr/>
        <w:t>As the number of RF carriers in a BTS increases, the wideband noise requirements become more stringent vis-à-vis a single RF carrier BTS. For example, with 40 RF carriers transmitted via a single antenna subsystem (i.e. a multi-carrier BTS), the wideband noise performance of a single transceiver in such a case would have to be at least 16 dB tighter than a single transceiver in a one-carrier BTS.</w:t>
      </w:r>
    </w:p>
    <w:p>
      <w:pPr>
        <w:pStyle w:val="Normal"/>
        <w:rPr/>
      </w:pPr>
      <w:r>
        <w:rPr/>
        <w:t>NOTE: The scenario description in subclause 2.3 of GSM 05.50 annex A investigates the potential impact of intra BTS intermodulation products contributing to interference between uncoordinated service providers. Specifically, as a mobile station accepting service from a service provider approaches within close proximity of an uncoordinated BTS, the intra BTS intermodulation products may introduce an added source of interference.</w:t>
      </w:r>
    </w:p>
    <w:p>
      <w:pPr>
        <w:pStyle w:val="Normal"/>
        <w:rPr/>
      </w:pPr>
      <w:r>
        <w:rPr/>
        <w:t>In geographic regions governed by FCC regulations, inter-licensee interference is regulated by CFR, Title 47, Part 22 for 850 MHz systems and CFR, Title 47, Part 24 for PCS 1900 MHz systems.  CFR, Title 47, Parts 22 and 24 describe emission limits on any frequency outside a service provider's licensed frequency block. These emission limits include the intra BTS intermodulation products that fall within an adjacent service provider's licensed frequency block.</w:t>
      </w:r>
    </w:p>
    <w:p>
      <w:pPr>
        <w:pStyle w:val="Normal"/>
        <w:rPr/>
      </w:pPr>
      <w:r>
        <w:rPr/>
        <w:t>These emissions limits and the conditions imposed by the FCC must be considered when establishing intra BTS intermodulation attenuation performance in geographic regions governed by FCC regulations.</w:t>
      </w:r>
    </w:p>
    <w:p>
      <w:pPr>
        <w:pStyle w:val="Heading2"/>
        <w:rPr/>
      </w:pPr>
      <w:bookmarkStart w:id="572" w:name="__RefHeading___Toc518035988"/>
      <w:bookmarkEnd w:id="572"/>
      <w:r>
        <w:rPr/>
        <w:t>U.2.3</w:t>
        <w:tab/>
        <w:t>BTS Wide Band Noise and Intra BTS Intermodulation Attenuation Analysis</w:t>
      </w:r>
    </w:p>
    <w:p>
      <w:pPr>
        <w:pStyle w:val="Normal"/>
        <w:rPr>
          <w:lang w:val="fr-FR"/>
        </w:rPr>
      </w:pPr>
      <w:r>
        <w:rPr>
          <w:i/>
          <w:lang w:val="fr-FR"/>
        </w:rPr>
        <w:t>850 MHz and 1 900 MHz Non-Mixed Mode</w:t>
      </w:r>
    </w:p>
    <w:p>
      <w:pPr>
        <w:pStyle w:val="Normal"/>
        <w:rPr/>
      </w:pPr>
      <w:r>
        <w:rPr/>
        <w:t>This analysis examines the total conducted spurious emissions that would be radiated from a BTS that is compliant with TIA/EIA-136-280 (i.e., for 850 MHz or 1 900 MHz non-mixed-mode operation).</w:t>
      </w:r>
    </w:p>
    <w:p>
      <w:pPr>
        <w:pStyle w:val="Normal"/>
        <w:rPr/>
      </w:pPr>
      <w:r>
        <w:rPr/>
        <w:t>For this analysis, it is assumed that the BTS that transmits 39 dBm rms per 30 kHz carrier. As noted in subclause 1.1.1, the BTS total conducted spurious emissions are limited to -13 dBm peak measured in 30 kHz. The conversion factor between peak and rms power level is taken to be 10 dB. Therefore, the summation of wideband noise and intermodulation products (i.e., the total noise budget) is limited to -23 dBm rms measured in 30 kHz. The total noise budget can be tailored to meet the needs of a particular system. For the purposes of this analysis, equal amounts of power (i.e. -26 dBm rms) are budgeted to the wideband noise and intermodulation products.</w:t>
      </w:r>
    </w:p>
    <w:p>
      <w:pPr>
        <w:pStyle w:val="Normal"/>
        <w:rPr/>
      </w:pPr>
      <w:r>
        <w:rPr/>
        <w:t>As an example, for a sector that is deployed with 20 RF carriers, the wideband noise would be restricted to -39 dBm rms measured in 30 kHz (-26 dBm rms - 10log</w:t>
      </w:r>
      <w:r>
        <w:rPr>
          <w:vertAlign w:val="subscript"/>
        </w:rPr>
        <w:t>10</w:t>
      </w:r>
      <w:r>
        <w:rPr/>
        <w:t xml:space="preserve"> 20). This represents -78 dBc measured in 30 kHz [39 dBm rms per 30 kHz carrier - (-39 dBm rms)].</w:t>
      </w:r>
    </w:p>
    <w:p>
      <w:pPr>
        <w:pStyle w:val="Normal"/>
        <w:rPr/>
      </w:pPr>
      <w:r>
        <w:rPr/>
        <w:t>Using the same example, this represents -65 dBc measured in 30 kHz for intermodulation products [39 dBm rms per 30 kHz carrier - (-26 dBm rms)]. This particular example (i.e., a BTS that transmits 39 dBm rms per 30 kHz carrier with 20 carriers) results in an intermodulation attenuation requirement which exceeds the -60 dBc stipulated in TIA/EIA</w:t>
        <w:noBreakHyphen/>
        <w:t xml:space="preserve">136-280. However, in conjunction with the wideband noise component, the system meets the -13 dBm peak total conducted spurious emissions requirement (i.e., for high BTS power levels, the -13 dBm specification applies). For a BTS that transmits </w:t>
      </w:r>
      <w:r>
        <w:rPr>
          <w:rFonts w:eastAsia="Symbol" w:cs="Symbol" w:ascii="Symbol" w:hAnsi="Symbol"/>
        </w:rPr>
        <w:t></w:t>
      </w:r>
      <w:r>
        <w:rPr/>
        <w:t xml:space="preserve"> 34 dBm rms per 30 kHz carrier (i.e. for low BTS power levels), the -60 dBc requirement applies.</w:t>
      </w:r>
    </w:p>
    <w:p>
      <w:pPr>
        <w:pStyle w:val="Normal"/>
        <w:rPr/>
      </w:pPr>
      <w:r>
        <w:rPr/>
        <w:t>NOTE: This assumed the use of an A+B band transmit filter for 850 MHz operation and an A+B+C+D+E+F band transmit filter for 1 900 MHz operation. If an A or B band transmit filter were to be used separately instead for 850 MHz operation, then the power levels of the out-of-band intermodulation products would be attenuated even further. The same holds true if an A or B or C or D or E or F band transmit filter were to be used separately instead for 1 900 MHz operation.</w:t>
      </w:r>
    </w:p>
    <w:p>
      <w:pPr>
        <w:pStyle w:val="Normal"/>
        <w:rPr>
          <w:i/>
          <w:i/>
        </w:rPr>
      </w:pPr>
      <w:r>
        <w:rPr>
          <w:i/>
        </w:rPr>
        <w:t>850 MHz and 1 900 MHz Mixed Mode</w:t>
      </w:r>
    </w:p>
    <w:p>
      <w:pPr>
        <w:pStyle w:val="Normal"/>
        <w:rPr/>
      </w:pPr>
      <w:r>
        <w:rPr/>
        <w:t>For 850 MHz and 1 900 MHz mixed-mode operation, the addition of GPRS-136HS 200 kHz RF carriers must be done in a way that is consistent with the existing non-mixed mode specification environment. Referring to the above analysis, the mixed-mode intra BTS intermodulation specifications become:</w:t>
      </w:r>
    </w:p>
    <w:p>
      <w:pPr>
        <w:pStyle w:val="B1"/>
        <w:rPr/>
      </w:pPr>
      <w:r>
        <w:rPr/>
        <w:t>-</w:t>
        <w:tab/>
        <w:t>For 30 kHz channel alone, the intermodulation products must be at least -60 dBc measured in a 30 kHz bandwidth relative to the 30 kHz channel carrier power measured in a 30 kHz bandwidth.</w:t>
      </w:r>
    </w:p>
    <w:p>
      <w:pPr>
        <w:pStyle w:val="B1"/>
        <w:rPr/>
      </w:pPr>
      <w:r>
        <w:rPr/>
        <w:t>-</w:t>
        <w:tab/>
        <w:t>For 200 kHz channel alone, the intermodulation products must be at least -60 dBc measured in a 200 kHz bandwidth relative to the 200 kHz carrier power measured in a 200 kHz bandwidth.</w:t>
      </w:r>
    </w:p>
    <w:p>
      <w:pPr>
        <w:pStyle w:val="B1"/>
        <w:keepNext w:val="true"/>
        <w:keepLines/>
        <w:rPr/>
      </w:pPr>
      <w:r>
        <w:rPr/>
        <w:t>-</w:t>
        <w:tab/>
        <w:t>For 30 kHz channel mixed with 200 kHz channel, two measurements must be made and both of the following limits satisfied:</w:t>
      </w:r>
    </w:p>
    <w:p>
      <w:pPr>
        <w:pStyle w:val="B2"/>
        <w:keepNext w:val="true"/>
        <w:keepLines/>
        <w:rPr/>
      </w:pPr>
      <w:r>
        <w:rPr/>
        <w:t>a)</w:t>
        <w:tab/>
        <w:t>All intermodulation products must be at least -60 dBc measured in a 30 kHz bandwidth relative to the 30 kHz channel carrier power measured in a 30 kHz bandwidth; and</w:t>
      </w:r>
    </w:p>
    <w:p>
      <w:pPr>
        <w:pStyle w:val="B2"/>
        <w:keepNext w:val="true"/>
        <w:keepLines/>
        <w:rPr/>
      </w:pPr>
      <w:r>
        <w:rPr/>
        <w:t>b)</w:t>
        <w:tab/>
        <w:t>All intermodulation products must be at least -60 dBc measured in a 200 kHz bandwidth relative to the 200 kHz carrier power measured in a 200 kHz bandwidth.</w:t>
      </w:r>
    </w:p>
    <w:p>
      <w:pPr>
        <w:pStyle w:val="Normal"/>
        <w:keepNext w:val="true"/>
        <w:keepLines/>
        <w:rPr/>
      </w:pPr>
      <w:r>
        <w:rPr/>
        <w:t>The measurement of intermodulation products can be expressed in peak or average values, provided that they are expressed in the same parameters as the per carrier power.</w:t>
      </w:r>
    </w:p>
    <w:p>
      <w:pPr>
        <w:pStyle w:val="Normal"/>
        <w:rPr/>
      </w:pPr>
      <w:r>
        <w:rPr/>
        <w:t>In terms of their effect on adjacent band systems, these specifications imply no worse performance than existing non-mixed mode TIA/EIA-136 systems.</w:t>
      </w:r>
    </w:p>
    <w:p>
      <w:pPr>
        <w:pStyle w:val="NO"/>
        <w:rPr/>
      </w:pPr>
      <w:r>
        <w:rPr/>
        <w:t>NOTE:</w:t>
        <w:tab/>
        <w:t>A manufacturer, whose transmitters are to be used with another manufacturer's combining and isolation equipment, may choose to specify a different intermodulation performance for the transmitter itself with the understanding that the overall goal of 60 dB attenuation is to be achieved when all combining and isolation equipment is in place in a normal installation.</w:t>
      </w:r>
    </w:p>
    <w:p>
      <w:pPr>
        <w:pStyle w:val="Normal"/>
        <w:rPr>
          <w:i/>
          <w:i/>
        </w:rPr>
      </w:pPr>
      <w:r>
        <w:rPr>
          <w:i/>
        </w:rPr>
        <w:t>Impact on Performance</w:t>
      </w:r>
    </w:p>
    <w:p>
      <w:pPr>
        <w:pStyle w:val="Normal"/>
        <w:rPr/>
      </w:pPr>
      <w:r>
        <w:rPr/>
        <w:t>The following analysis examines the impact on performance of -60 dBc intra BTS intermodulation on 850 MHz and 1900 MHz mixed mode (while the calculations make use of absolute values for distance, the results are dependent upon relative geometry). See figure U.2.1.</w:t>
      </w:r>
    </w:p>
    <w:p>
      <w:pPr>
        <w:pStyle w:val="TH"/>
        <w:rPr>
          <w:lang w:val="en-US" w:eastAsia="en-US"/>
        </w:rPr>
      </w:pPr>
      <w:r>
        <w:rPr>
          <w:lang w:val="en-US" w:eastAsia="en-US"/>
        </w:rPr>
        <w:drawing>
          <wp:inline distT="0" distB="0" distL="0" distR="0">
            <wp:extent cx="4389755" cy="708025"/>
            <wp:effectExtent l="0" t="0" r="0" b="0"/>
            <wp:docPr id="128"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52" descr=""/>
                    <pic:cNvPicPr>
                      <a:picLocks noChangeAspect="1" noChangeArrowheads="1"/>
                    </pic:cNvPicPr>
                  </pic:nvPicPr>
                  <pic:blipFill>
                    <a:blip r:embed="rId126"/>
                    <a:srcRect l="-8" t="-51" r="-8" b="-51"/>
                    <a:stretch>
                      <a:fillRect/>
                    </a:stretch>
                  </pic:blipFill>
                  <pic:spPr bwMode="auto">
                    <a:xfrm>
                      <a:off x="0" y="0"/>
                      <a:ext cx="4389755" cy="708025"/>
                    </a:xfrm>
                    <a:prstGeom prst="rect">
                      <a:avLst/>
                    </a:prstGeom>
                  </pic:spPr>
                </pic:pic>
              </a:graphicData>
            </a:graphic>
          </wp:inline>
        </w:drawing>
      </w:r>
    </w:p>
    <w:p>
      <w:pPr>
        <w:pStyle w:val="TF"/>
        <w:rPr/>
      </w:pPr>
      <w:r>
        <w:rPr/>
        <w:t>Figure U.2.1: Intra BTS intermodulation performance analysis</w:t>
      </w:r>
    </w:p>
    <w:p>
      <w:pPr>
        <w:pStyle w:val="Normal"/>
        <w:rPr/>
      </w:pPr>
      <w:r>
        <w:rPr/>
        <w:t>The parameters are:</w:t>
      </w:r>
    </w:p>
    <w:p>
      <w:pPr>
        <w:pStyle w:val="EX"/>
        <w:rPr/>
      </w:pPr>
      <w:r>
        <w:rPr>
          <w:i/>
        </w:rPr>
        <w:t>IMD</w:t>
      </w:r>
      <w:r>
        <w:rPr/>
        <w:t xml:space="preserve"> = -60 dBc (intra BTS intermodulation attentuation level).</w:t>
      </w:r>
    </w:p>
    <w:p>
      <w:pPr>
        <w:pStyle w:val="EX"/>
        <w:rPr/>
      </w:pPr>
      <w:r>
        <w:rPr>
          <w:rFonts w:eastAsia="Symbol" w:cs="Symbol" w:ascii="Symbol" w:hAnsi="Symbol"/>
        </w:rPr>
        <w:t></w:t>
      </w:r>
      <w:r>
        <w:rPr/>
        <w:t xml:space="preserve"> </w:t>
      </w:r>
      <w:r>
        <w:rPr/>
        <w:t>= -38 (decade loss figure).</w:t>
      </w:r>
    </w:p>
    <w:p>
      <w:pPr>
        <w:pStyle w:val="EX"/>
        <w:rPr/>
      </w:pPr>
      <w:r>
        <w:rPr/>
        <w:drawing>
          <wp:inline distT="0" distB="0" distL="0" distR="0">
            <wp:extent cx="533400" cy="152400"/>
            <wp:effectExtent l="0" t="0" r="0" b="0"/>
            <wp:docPr id="129"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53" descr=""/>
                    <pic:cNvPicPr>
                      <a:picLocks noChangeAspect="1" noChangeArrowheads="1"/>
                    </pic:cNvPicPr>
                  </pic:nvPicPr>
                  <pic:blipFill>
                    <a:blip r:embed="rId127"/>
                    <a:srcRect l="-68" t="-236" r="-68" b="-236"/>
                    <a:stretch>
                      <a:fillRect/>
                    </a:stretch>
                  </pic:blipFill>
                  <pic:spPr bwMode="auto">
                    <a:xfrm>
                      <a:off x="0" y="0"/>
                      <a:ext cx="533400" cy="152400"/>
                    </a:xfrm>
                    <a:prstGeom prst="rect">
                      <a:avLst/>
                    </a:prstGeom>
                  </pic:spPr>
                </pic:pic>
              </a:graphicData>
            </a:graphic>
          </wp:inline>
        </w:drawing>
      </w:r>
      <w:r>
        <w:rPr/>
        <w:t xml:space="preserve"> </w:t>
      </w:r>
      <w:r>
        <w:rPr/>
        <w:t>dB (minimum C/I).</w:t>
      </w:r>
    </w:p>
    <w:p>
      <w:pPr>
        <w:pStyle w:val="EX"/>
        <w:rPr/>
      </w:pPr>
      <w:r>
        <w:rPr/>
        <w:drawing>
          <wp:inline distT="0" distB="0" distL="0" distR="0">
            <wp:extent cx="1270000" cy="316865"/>
            <wp:effectExtent l="0" t="0" r="0" b="0"/>
            <wp:docPr id="130"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54" descr=""/>
                    <pic:cNvPicPr>
                      <a:picLocks noChangeAspect="1" noChangeArrowheads="1"/>
                    </pic:cNvPicPr>
                  </pic:nvPicPr>
                  <pic:blipFill>
                    <a:blip r:embed="rId128"/>
                    <a:srcRect l="-28" t="-114" r="-28" b="-114"/>
                    <a:stretch>
                      <a:fillRect/>
                    </a:stretch>
                  </pic:blipFill>
                  <pic:spPr bwMode="auto">
                    <a:xfrm>
                      <a:off x="0" y="0"/>
                      <a:ext cx="1270000" cy="316865"/>
                    </a:xfrm>
                    <a:prstGeom prst="rect">
                      <a:avLst/>
                    </a:prstGeom>
                  </pic:spPr>
                </pic:pic>
              </a:graphicData>
            </a:graphic>
          </wp:inline>
        </w:drawing>
      </w:r>
      <w:r>
        <w:rPr/>
        <w:t>(distance ratio which will meet desired C/I given IMD).</w:t>
      </w:r>
    </w:p>
    <w:p>
      <w:pPr>
        <w:pStyle w:val="EX"/>
        <w:rPr/>
      </w:pPr>
      <w:r>
        <w:rPr/>
        <w:drawing>
          <wp:inline distT="0" distB="0" distL="0" distR="0">
            <wp:extent cx="825500" cy="190500"/>
            <wp:effectExtent l="0" t="0" r="0" b="0"/>
            <wp:docPr id="131"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55" descr=""/>
                    <pic:cNvPicPr>
                      <a:picLocks noChangeAspect="1" noChangeArrowheads="1"/>
                    </pic:cNvPicPr>
                  </pic:nvPicPr>
                  <pic:blipFill>
                    <a:blip r:embed="rId129"/>
                    <a:srcRect l="-44" t="-189" r="-44" b="-189"/>
                    <a:stretch>
                      <a:fillRect/>
                    </a:stretch>
                  </pic:blipFill>
                  <pic:spPr bwMode="auto">
                    <a:xfrm>
                      <a:off x="0" y="0"/>
                      <a:ext cx="825500" cy="190500"/>
                    </a:xfrm>
                    <a:prstGeom prst="rect">
                      <a:avLst/>
                    </a:prstGeom>
                  </pic:spPr>
                </pic:pic>
              </a:graphicData>
            </a:graphic>
          </wp:inline>
        </w:drawing>
      </w:r>
      <w:r>
        <w:rPr/>
        <w:t>m (maximum cell site radius).</w:t>
      </w:r>
    </w:p>
    <w:p>
      <w:pPr>
        <w:pStyle w:val="EX"/>
        <w:rPr/>
      </w:pPr>
      <w:r>
        <w:rPr/>
        <w:drawing>
          <wp:inline distT="0" distB="0" distL="0" distR="0">
            <wp:extent cx="533400" cy="381000"/>
            <wp:effectExtent l="0" t="0" r="0" b="0"/>
            <wp:docPr id="132"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56" descr=""/>
                    <pic:cNvPicPr>
                      <a:picLocks noChangeAspect="1" noChangeArrowheads="1"/>
                    </pic:cNvPicPr>
                  </pic:nvPicPr>
                  <pic:blipFill>
                    <a:blip r:embed="rId130"/>
                    <a:srcRect l="-68" t="-95" r="-68" b="-95"/>
                    <a:stretch>
                      <a:fillRect/>
                    </a:stretch>
                  </pic:blipFill>
                  <pic:spPr bwMode="auto">
                    <a:xfrm>
                      <a:off x="0" y="0"/>
                      <a:ext cx="533400" cy="381000"/>
                    </a:xfrm>
                    <a:prstGeom prst="rect">
                      <a:avLst/>
                    </a:prstGeom>
                  </pic:spPr>
                </pic:pic>
              </a:graphicData>
            </a:graphic>
          </wp:inline>
        </w:drawing>
      </w:r>
      <w:r>
        <w:rPr/>
        <w:t xml:space="preserve"> </w:t>
      </w:r>
      <w:r>
        <w:rPr/>
        <w:t>(base to coordinated mobile R</w:t>
      </w:r>
      <w:r>
        <w:rPr>
          <w:vertAlign w:val="subscript"/>
        </w:rPr>
        <w:t>2</w:t>
      </w:r>
      <w:r>
        <w:rPr/>
        <w:t xml:space="preserve"> / interfering base to mobile R</w:t>
      </w:r>
      <w:r>
        <w:rPr>
          <w:vertAlign w:val="subscript"/>
        </w:rPr>
        <w:t>1</w:t>
      </w:r>
      <w:r>
        <w:rPr/>
        <w:t>).</w:t>
      </w:r>
    </w:p>
    <w:p>
      <w:pPr>
        <w:pStyle w:val="EX"/>
        <w:rPr/>
      </w:pPr>
      <w:r>
        <w:rPr/>
        <w:drawing>
          <wp:inline distT="0" distB="0" distL="0" distR="0">
            <wp:extent cx="1548765" cy="330200"/>
            <wp:effectExtent l="0" t="0" r="0" b="0"/>
            <wp:docPr id="133"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57" descr=""/>
                    <pic:cNvPicPr>
                      <a:picLocks noChangeAspect="1" noChangeArrowheads="1"/>
                    </pic:cNvPicPr>
                  </pic:nvPicPr>
                  <pic:blipFill>
                    <a:blip r:embed="rId131"/>
                    <a:srcRect l="-23" t="-109" r="-23" b="-109"/>
                    <a:stretch>
                      <a:fillRect/>
                    </a:stretch>
                  </pic:blipFill>
                  <pic:spPr bwMode="auto">
                    <a:xfrm>
                      <a:off x="0" y="0"/>
                      <a:ext cx="1548765" cy="330200"/>
                    </a:xfrm>
                    <a:prstGeom prst="rect">
                      <a:avLst/>
                    </a:prstGeom>
                  </pic:spPr>
                </pic:pic>
              </a:graphicData>
            </a:graphic>
          </wp:inline>
        </w:drawing>
      </w:r>
      <w:r>
        <w:rPr/>
        <w:t>m (R where C/I due to interfering base meets required minimum C/I).</w:t>
      </w:r>
    </w:p>
    <w:p>
      <w:pPr>
        <w:pStyle w:val="Normal"/>
        <w:rPr/>
      </w:pPr>
      <w:r>
        <w:rPr/>
        <w:t>Because the distance to the interfering base station is small, the reduction in antenna gain has to be accounted for. An additional factor of 10 dB needs to be accounted for.</w:t>
      </w:r>
    </w:p>
    <w:p>
      <w:pPr>
        <w:pStyle w:val="Normal"/>
        <w:rPr/>
      </w:pPr>
      <w:r>
        <w:rPr/>
        <w:t>Therefore, the region below 10 dB is restricted to:</w:t>
      </w:r>
    </w:p>
    <w:p>
      <w:pPr>
        <w:pStyle w:val="EX"/>
        <w:rPr/>
      </w:pPr>
      <w:r>
        <w:rPr/>
        <w:drawing>
          <wp:inline distT="0" distB="0" distL="0" distR="0">
            <wp:extent cx="1002665" cy="177165"/>
            <wp:effectExtent l="0" t="0" r="0" b="0"/>
            <wp:docPr id="134"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58" descr=""/>
                    <pic:cNvPicPr>
                      <a:picLocks noChangeAspect="1" noChangeArrowheads="1"/>
                    </pic:cNvPicPr>
                  </pic:nvPicPr>
                  <pic:blipFill>
                    <a:blip r:embed="rId132"/>
                    <a:srcRect l="-36" t="-203" r="-36" b="-203"/>
                    <a:stretch>
                      <a:fillRect/>
                    </a:stretch>
                  </pic:blipFill>
                  <pic:spPr bwMode="auto">
                    <a:xfrm>
                      <a:off x="0" y="0"/>
                      <a:ext cx="1002665" cy="177165"/>
                    </a:xfrm>
                    <a:prstGeom prst="rect">
                      <a:avLst/>
                    </a:prstGeom>
                  </pic:spPr>
                </pic:pic>
              </a:graphicData>
            </a:graphic>
          </wp:inline>
        </w:drawing>
      </w:r>
      <w:r>
        <w:rPr/>
        <w:t xml:space="preserve"> </w:t>
      </w:r>
      <w:r>
        <w:rPr/>
        <w:t>dB (assumed antenna gain correction).</w:t>
      </w:r>
    </w:p>
    <w:p>
      <w:pPr>
        <w:pStyle w:val="EX"/>
        <w:rPr/>
      </w:pPr>
      <w:r>
        <w:rPr/>
        <w:drawing>
          <wp:inline distT="0" distB="0" distL="0" distR="0">
            <wp:extent cx="1816100" cy="316865"/>
            <wp:effectExtent l="0" t="0" r="0" b="0"/>
            <wp:docPr id="135"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59" descr=""/>
                    <pic:cNvPicPr>
                      <a:picLocks noChangeAspect="1" noChangeArrowheads="1"/>
                    </pic:cNvPicPr>
                  </pic:nvPicPr>
                  <pic:blipFill>
                    <a:blip r:embed="rId133"/>
                    <a:srcRect l="-20" t="-114" r="-20" b="-114"/>
                    <a:stretch>
                      <a:fillRect/>
                    </a:stretch>
                  </pic:blipFill>
                  <pic:spPr bwMode="auto">
                    <a:xfrm>
                      <a:off x="0" y="0"/>
                      <a:ext cx="1816100" cy="316865"/>
                    </a:xfrm>
                    <a:prstGeom prst="rect">
                      <a:avLst/>
                    </a:prstGeom>
                  </pic:spPr>
                </pic:pic>
              </a:graphicData>
            </a:graphic>
          </wp:inline>
        </w:drawing>
      </w:r>
    </w:p>
    <w:p>
      <w:pPr>
        <w:pStyle w:val="EX"/>
        <w:rPr/>
      </w:pPr>
      <w:r>
        <w:rPr/>
        <w:drawing>
          <wp:inline distT="0" distB="0" distL="0" distR="0">
            <wp:extent cx="1536700" cy="330200"/>
            <wp:effectExtent l="0" t="0" r="0" b="0"/>
            <wp:docPr id="136"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60" descr=""/>
                    <pic:cNvPicPr>
                      <a:picLocks noChangeAspect="1" noChangeArrowheads="1"/>
                    </pic:cNvPicPr>
                  </pic:nvPicPr>
                  <pic:blipFill>
                    <a:blip r:embed="rId134"/>
                    <a:srcRect l="-23" t="-109" r="-23" b="-109"/>
                    <a:stretch>
                      <a:fillRect/>
                    </a:stretch>
                  </pic:blipFill>
                  <pic:spPr bwMode="auto">
                    <a:xfrm>
                      <a:off x="0" y="0"/>
                      <a:ext cx="1536700" cy="330200"/>
                    </a:xfrm>
                    <a:prstGeom prst="rect">
                      <a:avLst/>
                    </a:prstGeom>
                  </pic:spPr>
                </pic:pic>
              </a:graphicData>
            </a:graphic>
          </wp:inline>
        </w:drawing>
      </w:r>
      <w:r>
        <w:rPr/>
        <w:t xml:space="preserve"> </w:t>
      </w:r>
      <w:r>
        <w:rPr/>
        <w:t>m</w:t>
      </w:r>
    </w:p>
    <w:p>
      <w:pPr>
        <w:pStyle w:val="Normal"/>
        <w:rPr/>
      </w:pPr>
      <w:r>
        <w:rPr/>
        <w:t>So in this case, it has been shown that only the last 2,6% of the range is potentially exposed.</w:t>
      </w:r>
    </w:p>
    <w:p>
      <w:pPr>
        <w:pStyle w:val="EX"/>
        <w:rPr/>
      </w:pPr>
      <w:r>
        <w:rPr/>
        <w:drawing>
          <wp:inline distT="0" distB="0" distL="0" distR="0">
            <wp:extent cx="622300" cy="381000"/>
            <wp:effectExtent l="0" t="0" r="0" b="0"/>
            <wp:docPr id="137"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61" descr=""/>
                    <pic:cNvPicPr>
                      <a:picLocks noChangeAspect="1" noChangeArrowheads="1"/>
                    </pic:cNvPicPr>
                  </pic:nvPicPr>
                  <pic:blipFill>
                    <a:blip r:embed="rId135"/>
                    <a:srcRect l="-58" t="-95" r="-58" b="-95"/>
                    <a:stretch>
                      <a:fillRect/>
                    </a:stretch>
                  </pic:blipFill>
                  <pic:spPr bwMode="auto">
                    <a:xfrm>
                      <a:off x="0" y="0"/>
                      <a:ext cx="622300" cy="381000"/>
                    </a:xfrm>
                    <a:prstGeom prst="rect">
                      <a:avLst/>
                    </a:prstGeom>
                  </pic:spPr>
                </pic:pic>
              </a:graphicData>
            </a:graphic>
          </wp:inline>
        </w:drawing>
      </w:r>
    </w:p>
    <w:p>
      <w:pPr>
        <w:pStyle w:val="Normal"/>
        <w:rPr/>
      </w:pPr>
      <w:r>
        <w:rPr/>
        <w:t>This is 0,07% of the area.</w:t>
      </w:r>
    </w:p>
    <w:p>
      <w:pPr>
        <w:pStyle w:val="EX"/>
        <w:rPr/>
      </w:pPr>
      <w:r>
        <w:rPr/>
        <w:drawing>
          <wp:inline distT="0" distB="0" distL="0" distR="0">
            <wp:extent cx="876300" cy="444500"/>
            <wp:effectExtent l="0" t="0" r="0" b="0"/>
            <wp:docPr id="138"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62" descr=""/>
                    <pic:cNvPicPr>
                      <a:picLocks noChangeAspect="1" noChangeArrowheads="1"/>
                    </pic:cNvPicPr>
                  </pic:nvPicPr>
                  <pic:blipFill>
                    <a:blip r:embed="rId136"/>
                    <a:srcRect l="-41" t="-81" r="-41" b="-81"/>
                    <a:stretch>
                      <a:fillRect/>
                    </a:stretch>
                  </pic:blipFill>
                  <pic:spPr bwMode="auto">
                    <a:xfrm>
                      <a:off x="0" y="0"/>
                      <a:ext cx="876300" cy="444500"/>
                    </a:xfrm>
                    <a:prstGeom prst="rect">
                      <a:avLst/>
                    </a:prstGeom>
                  </pic:spPr>
                </pic:pic>
              </a:graphicData>
            </a:graphic>
          </wp:inline>
        </w:drawing>
      </w:r>
    </w:p>
    <w:p>
      <w:pPr>
        <w:pStyle w:val="Normal"/>
        <w:rPr/>
      </w:pPr>
      <w:r>
        <w:rPr/>
        <w:t>Where power control is used and when less than the maximum number of channels is operating, the actual IMD levels will be significantly reduced.</w:t>
      </w:r>
    </w:p>
    <w:p>
      <w:pPr>
        <w:pStyle w:val="Heading1"/>
        <w:ind w:left="1134" w:hanging="1134"/>
        <w:rPr/>
      </w:pPr>
      <w:bookmarkStart w:id="573" w:name="__RefHeading___Toc518035989"/>
      <w:bookmarkEnd w:id="573"/>
      <w:r>
        <w:rPr/>
        <w:t>U.3</w:t>
        <w:tab/>
        <w:t>BTS Blocking and AM Suppression Characteristics</w:t>
      </w:r>
    </w:p>
    <w:p>
      <w:pPr>
        <w:pStyle w:val="Normal"/>
        <w:rPr/>
      </w:pPr>
      <w:r>
        <w:rPr/>
        <w:t>Blocking and AM suppression characteristics are closely related and must be examined together. The primary difference between the two is that the blocking test uses a CW tone while the AM suppression test uses a modulated signal.</w:t>
      </w:r>
    </w:p>
    <w:p>
      <w:pPr>
        <w:pStyle w:val="Heading2"/>
        <w:rPr/>
      </w:pPr>
      <w:bookmarkStart w:id="574" w:name="__RefHeading___Toc518035990"/>
      <w:bookmarkEnd w:id="574"/>
      <w:r>
        <w:rPr/>
        <w:t>U.3.1</w:t>
        <w:tab/>
        <w:t>Overview</w:t>
      </w:r>
    </w:p>
    <w:p>
      <w:pPr>
        <w:pStyle w:val="Heading3"/>
        <w:rPr/>
      </w:pPr>
      <w:bookmarkStart w:id="575" w:name="__RefHeading___Toc518035991"/>
      <w:bookmarkEnd w:id="575"/>
      <w:r>
        <w:rPr/>
        <w:t>U.3.1.1</w:t>
        <w:tab/>
        <w:t>TIA/EIA-136</w:t>
      </w:r>
    </w:p>
    <w:p>
      <w:pPr>
        <w:pStyle w:val="Normal"/>
        <w:rPr/>
      </w:pPr>
      <w:r>
        <w:rPr/>
        <w:t>TIA/EIA-136 specifications do not include BTS blocking or AM suppression specifications in the fashion of GSM 05.05. The closest equivalent is the protection against spurious response interference requirement (see TIA/EIA</w:t>
        <w:noBreakHyphen/>
        <w:t xml:space="preserve">136-280, §2.3.2.4). For this test, an interfering </w:t>
      </w:r>
      <w:r>
        <w:rPr>
          <w:rFonts w:eastAsia="Symbol" w:cs="Symbol" w:ascii="Symbol" w:hAnsi="Symbol"/>
        </w:rPr>
        <w:t></w:t>
      </w:r>
      <w:r>
        <w:rPr/>
        <w:t xml:space="preserve">/4 DQPSK modulated signal is injected into the system at </w:t>
        <w:noBreakHyphen/>
        <w:t xml:space="preserve">50 dBm along with a desired </w:t>
      </w:r>
      <w:r>
        <w:rPr>
          <w:rFonts w:eastAsia="Symbol" w:cs="Symbol" w:ascii="Symbol" w:hAnsi="Symbol"/>
        </w:rPr>
        <w:t></w:t>
      </w:r>
      <w:r>
        <w:rPr/>
        <w:t>/4 DQPSK modulated signal 3 dB above the receiver reference RF sensitivity. The ability of the BTS receiver to discriminate between these two signals is then determined.</w:t>
      </w:r>
    </w:p>
    <w:p>
      <w:pPr>
        <w:pStyle w:val="Heading3"/>
        <w:rPr/>
      </w:pPr>
      <w:bookmarkStart w:id="576" w:name="__RefHeading___Toc518035992"/>
      <w:bookmarkEnd w:id="576"/>
      <w:r>
        <w:rPr/>
        <w:t>U.3.1.2</w:t>
        <w:tab/>
        <w:t>ETSI GSM</w:t>
      </w:r>
    </w:p>
    <w:p>
      <w:pPr>
        <w:pStyle w:val="Normal"/>
        <w:rPr/>
      </w:pPr>
      <w:r>
        <w:rPr/>
        <w:t>In GSM 05.50, the approach for determining blocking requirements is to identify the minimum coupling loss for a particular scenario and then use the resulting signal level to define the blocking test.</w:t>
      </w:r>
    </w:p>
    <w:p>
      <w:pPr>
        <w:pStyle w:val="Heading2"/>
        <w:rPr/>
      </w:pPr>
      <w:bookmarkStart w:id="577" w:name="__RefHeading___Toc518035993"/>
      <w:bookmarkEnd w:id="577"/>
      <w:r>
        <w:rPr/>
        <w:t>U.3.2</w:t>
        <w:tab/>
        <w:t>Scenario - Mixed-Mode Multiple MS and BTS, Uncoordinated Close Proximity</w:t>
      </w:r>
    </w:p>
    <w:p>
      <w:pPr>
        <w:pStyle w:val="Normal"/>
        <w:rPr/>
      </w:pPr>
      <w:r>
        <w:rPr/>
        <w:t>Aside from the frequency bands, the main constraint is the separation of the uncoordinated MS and BTS. The extreme condition is the case where the MS is close to the uncoordinated BTS and far from its coordinated BTS.</w:t>
      </w:r>
    </w:p>
    <w:p>
      <w:pPr>
        <w:pStyle w:val="Normal"/>
        <w:rPr/>
      </w:pPr>
      <w:r>
        <w:rPr/>
        <w:t>The 850 MHz mixed-mode system is required to operate in the following frequency bands:</w:t>
      </w:r>
    </w:p>
    <w:p>
      <w:pPr>
        <w:pStyle w:val="B1"/>
        <w:rPr/>
      </w:pPr>
      <w:r>
        <w:rPr/>
        <w:t>-</w:t>
        <w:tab/>
        <w:t>824 MHz to 849 MHz: mobile transmit, base receive;</w:t>
      </w:r>
    </w:p>
    <w:p>
      <w:pPr>
        <w:pStyle w:val="B1"/>
        <w:rPr/>
      </w:pPr>
      <w:r>
        <w:rPr/>
        <w:t>-</w:t>
        <w:tab/>
        <w:t>869 MHz to 894 MHz: base transmit, mobile receive.</w:t>
      </w:r>
    </w:p>
    <w:p>
      <w:pPr>
        <w:pStyle w:val="Normal"/>
        <w:rPr/>
      </w:pPr>
      <w:r>
        <w:rPr/>
        <w:t>The 1900 MHz mixed-mode system is required to operate in the following frequency bands:</w:t>
      </w:r>
    </w:p>
    <w:p>
      <w:pPr>
        <w:pStyle w:val="B1"/>
        <w:rPr/>
      </w:pPr>
      <w:r>
        <w:rPr/>
        <w:t>-</w:t>
        <w:tab/>
        <w:t>1 850 MHz to 1 910 MHz: mobile transmit, base receive;</w:t>
      </w:r>
    </w:p>
    <w:p>
      <w:pPr>
        <w:pStyle w:val="B1"/>
        <w:rPr/>
      </w:pPr>
      <w:r>
        <w:rPr/>
        <w:t>-</w:t>
        <w:tab/>
        <w:t>1 930 MHz to 1 990 MHz: base transmit, mobile receive.</w:t>
      </w:r>
    </w:p>
    <w:p>
      <w:pPr>
        <w:pStyle w:val="Normal"/>
        <w:rPr/>
      </w:pPr>
      <w:r>
        <w:rPr/>
        <w:t>With a carrier spacing of 200 kHz for GPRS-136HS and 30 kHz for TIA/EIA-136. Also, portions of the existing Rx chain may be used.</w:t>
      </w:r>
    </w:p>
    <w:p>
      <w:pPr>
        <w:pStyle w:val="Normal"/>
        <w:rPr/>
      </w:pPr>
      <w:r>
        <w:rPr/>
        <w:t>Since TIA/EIA-136 specifications do not include BTS blocking and AM suppression specifications in the fashion of GSM 05.05, this scenario (see figure U.3.1) will be used to generate these specifications for mixed-mode operation.</w:t>
      </w:r>
    </w:p>
    <w:p>
      <w:pPr>
        <w:pStyle w:val="TH"/>
        <w:rPr/>
      </w:pPr>
      <w:r>
        <w:rPr/>
        <w:drawing>
          <wp:inline distT="0" distB="0" distL="0" distR="0">
            <wp:extent cx="5864860" cy="1533525"/>
            <wp:effectExtent l="0" t="0" r="0" b="0"/>
            <wp:docPr id="139"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63" descr=""/>
                    <pic:cNvPicPr>
                      <a:picLocks noChangeAspect="1" noChangeArrowheads="1"/>
                    </pic:cNvPicPr>
                  </pic:nvPicPr>
                  <pic:blipFill>
                    <a:blip r:embed="rId137"/>
                    <a:srcRect l="-8" t="-30" r="-8" b="-30"/>
                    <a:stretch>
                      <a:fillRect/>
                    </a:stretch>
                  </pic:blipFill>
                  <pic:spPr bwMode="auto">
                    <a:xfrm>
                      <a:off x="0" y="0"/>
                      <a:ext cx="5864860" cy="1533525"/>
                    </a:xfrm>
                    <a:prstGeom prst="rect">
                      <a:avLst/>
                    </a:prstGeom>
                  </pic:spPr>
                </pic:pic>
              </a:graphicData>
            </a:graphic>
          </wp:inline>
        </w:drawing>
      </w:r>
    </w:p>
    <w:p>
      <w:pPr>
        <w:pStyle w:val="TF"/>
        <w:rPr/>
      </w:pPr>
      <w:r>
        <w:rPr/>
        <w:t>Figure U.3.1: Blocking and AM suppression</w:t>
      </w:r>
    </w:p>
    <w:p>
      <w:pPr>
        <w:pStyle w:val="Heading2"/>
        <w:rPr/>
      </w:pPr>
      <w:bookmarkStart w:id="578" w:name="__RefHeading___Toc518035994"/>
      <w:bookmarkEnd w:id="578"/>
      <w:r>
        <w:rPr/>
        <w:t>U.3.3</w:t>
        <w:tab/>
        <w:t>Blocking Analysis</w:t>
      </w:r>
    </w:p>
    <w:p>
      <w:pPr>
        <w:pStyle w:val="Normal"/>
        <w:rPr/>
      </w:pPr>
      <w:r>
        <w:rPr/>
        <w:t>For this analysis, it is assumed that GPRS-136HS mobiles at 850 MHz and 1900 MHz will have similar "spectrum due to the modulation and wide band noise" (see GSM 05.05, subclause 4.2.1) performance characteristics as their GSM900 and DCS1800 counterparts, respectively. Also, a 29 dBm mobile transmit power level is assumed at 850 MHz while a 30 dBm mobile transmit power level is assumed at 1 900 MHz.</w:t>
      </w:r>
    </w:p>
    <w:p>
      <w:pPr>
        <w:pStyle w:val="Heading3"/>
        <w:rPr/>
      </w:pPr>
      <w:bookmarkStart w:id="579" w:name="__RefHeading___Toc518035995"/>
      <w:bookmarkEnd w:id="579"/>
      <w:r>
        <w:rPr/>
        <w:t>U.3.3.1</w:t>
        <w:tab/>
        <w:t>Definition</w:t>
      </w:r>
    </w:p>
    <w:p>
      <w:pPr>
        <w:pStyle w:val="Normal"/>
        <w:rPr/>
      </w:pPr>
      <w:r>
        <w:rPr/>
        <w:t>The receiver system noise floor of a GPRS-136HS channel is assumed to be -112 dBm. This is derived by the summation of kTB (-120 dBm) and NF (GSM 05.50 Annex A suggests NF value of 8 dB; however, current technology suggest a more appropriate number such as 4 dB for this analysis) of the system. Operationally, blocking is defined as the situation where a combination of MS noise, BTS noise, and BTS LO noise results in desensitization of the receiver by more than 3 dB. The LO noise performance is budgeted to contribute 0,5 dB to the desensitization. See figure U.3.2.</w:t>
      </w:r>
    </w:p>
    <w:p>
      <w:pPr>
        <w:pStyle w:val="TH"/>
        <w:rPr>
          <w:lang w:val="en-US" w:eastAsia="en-US"/>
        </w:rPr>
      </w:pPr>
      <w:r>
        <w:rPr>
          <w:lang w:val="en-US" w:eastAsia="en-US"/>
        </w:rPr>
        <w:drawing>
          <wp:inline distT="0" distB="0" distL="0" distR="0">
            <wp:extent cx="3657600" cy="2820670"/>
            <wp:effectExtent l="0" t="0" r="0" b="0"/>
            <wp:docPr id="140"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64" descr=""/>
                    <pic:cNvPicPr>
                      <a:picLocks noChangeAspect="1" noChangeArrowheads="1"/>
                    </pic:cNvPicPr>
                  </pic:nvPicPr>
                  <pic:blipFill>
                    <a:blip r:embed="rId138"/>
                    <a:srcRect l="-5" t="-6" r="-5" b="-6"/>
                    <a:stretch>
                      <a:fillRect/>
                    </a:stretch>
                  </pic:blipFill>
                  <pic:spPr bwMode="auto">
                    <a:xfrm>
                      <a:off x="0" y="0"/>
                      <a:ext cx="3657600" cy="2820670"/>
                    </a:xfrm>
                    <a:prstGeom prst="rect">
                      <a:avLst/>
                    </a:prstGeom>
                  </pic:spPr>
                </pic:pic>
              </a:graphicData>
            </a:graphic>
          </wp:inline>
        </w:drawing>
      </w:r>
    </w:p>
    <w:p>
      <w:pPr>
        <w:pStyle w:val="TF"/>
        <w:rPr/>
      </w:pPr>
      <w:r>
        <w:rPr/>
        <w:t>Figure U.3.2: Operational definition of blocking</w:t>
      </w:r>
    </w:p>
    <w:p>
      <w:pPr>
        <w:pStyle w:val="Heading3"/>
        <w:rPr/>
      </w:pPr>
      <w:bookmarkStart w:id="580" w:name="__RefHeading___Toc518035996"/>
      <w:bookmarkEnd w:id="580"/>
      <w:r>
        <w:rPr/>
        <w:t>U.3.3.2</w:t>
        <w:tab/>
        <w:t>Calculation</w:t>
      </w:r>
    </w:p>
    <w:p>
      <w:pPr>
        <w:pStyle w:val="B1"/>
        <w:rPr/>
      </w:pPr>
      <w:r>
        <w:rPr/>
        <w:t>-</w:t>
        <w:tab/>
        <w:t>Step 1 - Receiver system noise floor:</w:t>
      </w:r>
    </w:p>
    <w:p>
      <w:pPr>
        <w:pStyle w:val="B3"/>
        <w:rPr/>
      </w:pPr>
      <w:r>
        <w:rPr/>
        <w:drawing>
          <wp:inline distT="0" distB="0" distL="0" distR="0">
            <wp:extent cx="304800" cy="139700"/>
            <wp:effectExtent l="0" t="0" r="0" b="0"/>
            <wp:docPr id="141"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65" descr=""/>
                    <pic:cNvPicPr>
                      <a:picLocks noChangeAspect="1" noChangeArrowheads="1"/>
                    </pic:cNvPicPr>
                  </pic:nvPicPr>
                  <pic:blipFill>
                    <a:blip r:embed="rId139"/>
                    <a:srcRect l="-118" t="-258" r="-118" b="-258"/>
                    <a:stretch>
                      <a:fillRect/>
                    </a:stretch>
                  </pic:blipFill>
                  <pic:spPr bwMode="auto">
                    <a:xfrm>
                      <a:off x="0" y="0"/>
                      <a:ext cx="304800" cy="139700"/>
                    </a:xfrm>
                    <a:prstGeom prst="rect">
                      <a:avLst/>
                    </a:prstGeom>
                  </pic:spPr>
                </pic:pic>
              </a:graphicData>
            </a:graphic>
          </wp:inline>
        </w:drawing>
      </w:r>
      <w:r>
        <w:rPr/>
        <w:t xml:space="preserve"> </w:t>
      </w:r>
      <w:r>
        <w:rPr/>
        <w:t>dBm</w:t>
      </w:r>
    </w:p>
    <w:p>
      <w:pPr>
        <w:pStyle w:val="B1"/>
        <w:rPr/>
      </w:pPr>
      <w:r>
        <w:rPr/>
        <w:t>-</w:t>
        <w:tab/>
        <w:t>Step 2 - Acceptable 850 MHz MS wideband noise in 200 kHz:</w:t>
      </w:r>
    </w:p>
    <w:p>
      <w:pPr>
        <w:pStyle w:val="B3"/>
        <w:rPr/>
      </w:pPr>
      <w:r>
        <w:rPr/>
        <w:drawing>
          <wp:inline distT="0" distB="0" distL="0" distR="0">
            <wp:extent cx="2794000" cy="545465"/>
            <wp:effectExtent l="0" t="0" r="0" b="0"/>
            <wp:docPr id="142"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66" descr=""/>
                    <pic:cNvPicPr>
                      <a:picLocks noChangeAspect="1" noChangeArrowheads="1"/>
                    </pic:cNvPicPr>
                  </pic:nvPicPr>
                  <pic:blipFill>
                    <a:blip r:embed="rId140"/>
                    <a:srcRect l="-13" t="-66" r="-13" b="-66"/>
                    <a:stretch>
                      <a:fillRect/>
                    </a:stretch>
                  </pic:blipFill>
                  <pic:spPr bwMode="auto">
                    <a:xfrm>
                      <a:off x="0" y="0"/>
                      <a:ext cx="2794000" cy="545465"/>
                    </a:xfrm>
                    <a:prstGeom prst="rect">
                      <a:avLst/>
                    </a:prstGeom>
                  </pic:spPr>
                </pic:pic>
              </a:graphicData>
            </a:graphic>
          </wp:inline>
        </w:drawing>
      </w:r>
      <w:r>
        <w:rPr/>
        <w:t xml:space="preserve"> </w:t>
      </w:r>
      <w:r>
        <w:rPr/>
        <w:t>dBm</w:t>
      </w:r>
    </w:p>
    <w:p>
      <w:pPr>
        <w:pStyle w:val="B1"/>
        <w:rPr/>
      </w:pPr>
      <w:r>
        <w:rPr/>
        <w:t>-</w:t>
        <w:tab/>
        <w:t>Step 3 - Resulting BTS LO phase noise power for 0.5 dB degradation in BTS receiver sensitivity:</w:t>
      </w:r>
    </w:p>
    <w:p>
      <w:pPr>
        <w:pStyle w:val="B3"/>
        <w:rPr/>
      </w:pPr>
      <w:r>
        <w:rPr/>
        <w:drawing>
          <wp:inline distT="0" distB="0" distL="0" distR="0">
            <wp:extent cx="2933700" cy="545465"/>
            <wp:effectExtent l="0" t="0" r="0" b="0"/>
            <wp:docPr id="143"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67" descr=""/>
                    <pic:cNvPicPr>
                      <a:picLocks noChangeAspect="1" noChangeArrowheads="1"/>
                    </pic:cNvPicPr>
                  </pic:nvPicPr>
                  <pic:blipFill>
                    <a:blip r:embed="rId141"/>
                    <a:srcRect l="-12" t="-66" r="-12" b="-66"/>
                    <a:stretch>
                      <a:fillRect/>
                    </a:stretch>
                  </pic:blipFill>
                  <pic:spPr bwMode="auto">
                    <a:xfrm>
                      <a:off x="0" y="0"/>
                      <a:ext cx="2933700" cy="545465"/>
                    </a:xfrm>
                    <a:prstGeom prst="rect">
                      <a:avLst/>
                    </a:prstGeom>
                  </pic:spPr>
                </pic:pic>
              </a:graphicData>
            </a:graphic>
          </wp:inline>
        </w:drawing>
      </w:r>
      <w:r>
        <w:rPr/>
        <w:t xml:space="preserve"> </w:t>
      </w:r>
      <w:r>
        <w:rPr/>
        <w:t>dBm</w:t>
      </w:r>
    </w:p>
    <w:p>
      <w:pPr>
        <w:pStyle w:val="B1"/>
        <w:rPr/>
      </w:pPr>
      <w:r>
        <w:rPr/>
        <w:t>-</w:t>
        <w:tab/>
        <w:t>Step 4 - 850 MHz MS wideband noise in 100 kHz (i.e., MS wideband noise is measured using a 100 kHz filter):</w:t>
      </w:r>
    </w:p>
    <w:p>
      <w:pPr>
        <w:pStyle w:val="B3"/>
        <w:rPr/>
      </w:pPr>
      <w:r>
        <w:rPr/>
        <w:drawing>
          <wp:inline distT="0" distB="0" distL="0" distR="0">
            <wp:extent cx="1651000" cy="152400"/>
            <wp:effectExtent l="0" t="0" r="0" b="0"/>
            <wp:docPr id="144"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68" descr=""/>
                    <pic:cNvPicPr>
                      <a:picLocks noChangeAspect="1" noChangeArrowheads="1"/>
                    </pic:cNvPicPr>
                  </pic:nvPicPr>
                  <pic:blipFill>
                    <a:blip r:embed="rId142"/>
                    <a:srcRect l="-22" t="-236" r="-22" b="-236"/>
                    <a:stretch>
                      <a:fillRect/>
                    </a:stretch>
                  </pic:blipFill>
                  <pic:spPr bwMode="auto">
                    <a:xfrm>
                      <a:off x="0" y="0"/>
                      <a:ext cx="1651000" cy="152400"/>
                    </a:xfrm>
                    <a:prstGeom prst="rect">
                      <a:avLst/>
                    </a:prstGeom>
                  </pic:spPr>
                </pic:pic>
              </a:graphicData>
            </a:graphic>
          </wp:inline>
        </w:drawing>
      </w:r>
      <w:r>
        <w:rPr/>
        <w:t xml:space="preserve"> </w:t>
      </w:r>
      <w:r>
        <w:rPr/>
        <w:t>dBm</w:t>
      </w:r>
    </w:p>
    <w:p>
      <w:pPr>
        <w:pStyle w:val="B1"/>
        <w:rPr/>
      </w:pPr>
      <w:r>
        <w:rPr/>
        <w:t>-</w:t>
        <w:tab/>
        <w:t>Step 5 - Calculate the Associated Blocking Tone Level (ABTL), given -114 dBm received noise level:</w:t>
      </w:r>
    </w:p>
    <w:p>
      <w:pPr>
        <w:pStyle w:val="B3"/>
        <w:rPr/>
      </w:pPr>
      <w:r>
        <w:rPr/>
        <w:drawing>
          <wp:inline distT="0" distB="0" distL="0" distR="0">
            <wp:extent cx="1663700" cy="152400"/>
            <wp:effectExtent l="0" t="0" r="0" b="0"/>
            <wp:docPr id="145"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69" descr=""/>
                    <pic:cNvPicPr>
                      <a:picLocks noChangeAspect="1" noChangeArrowheads="1"/>
                    </pic:cNvPicPr>
                  </pic:nvPicPr>
                  <pic:blipFill>
                    <a:blip r:embed="rId143"/>
                    <a:srcRect l="-22" t="-236" r="-22" b="-236"/>
                    <a:stretch>
                      <a:fillRect/>
                    </a:stretch>
                  </pic:blipFill>
                  <pic:spPr bwMode="auto">
                    <a:xfrm>
                      <a:off x="0" y="0"/>
                      <a:ext cx="1663700" cy="152400"/>
                    </a:xfrm>
                    <a:prstGeom prst="rect">
                      <a:avLst/>
                    </a:prstGeom>
                  </pic:spPr>
                </pic:pic>
              </a:graphicData>
            </a:graphic>
          </wp:inline>
        </w:drawing>
      </w:r>
      <w:r>
        <w:rPr/>
        <w:t xml:space="preserve"> </w:t>
      </w:r>
      <w:r>
        <w:rPr/>
        <w:t>dBm</w:t>
      </w:r>
    </w:p>
    <w:p>
      <w:pPr>
        <w:pStyle w:val="B1"/>
        <w:rPr/>
      </w:pPr>
      <w:r>
        <w:rPr/>
        <w:tab/>
        <w:t>where 71 dBc is relative to desired signal's carrier power in 30 kHz [for 850 MHz MS (</w:t>
      </w:r>
      <w:r>
        <w:rPr>
          <w:rFonts w:eastAsia="Symbol" w:cs="Symbol" w:ascii="Symbol" w:hAnsi="Symbol"/>
        </w:rPr>
        <w:t></w:t>
      </w:r>
      <w:r>
        <w:rPr/>
        <w:t xml:space="preserve"> 33 dBm transmit power GSM 05.05 subclause 4.2.1) wideband noise at </w:t>
      </w:r>
      <w:r>
        <w:rPr>
          <w:rFonts w:eastAsia="Symbol" w:cs="Symbol" w:ascii="Symbol" w:hAnsi="Symbol"/>
        </w:rPr>
        <w:t></w:t>
      </w:r>
      <w:r>
        <w:rPr/>
        <w:t xml:space="preserve"> 6 000 kHz] and 8 dB is 30 kHz to 200 kHz conversion factor from GSM 05.50 clause 6.</w:t>
      </w:r>
    </w:p>
    <w:p>
      <w:pPr>
        <w:pStyle w:val="Normal"/>
        <w:rPr/>
      </w:pPr>
      <w:r>
        <w:rPr/>
        <w:t>To account for MS and BTS performance margins it is proposed that the blocking test level be increased to -33 dBm for the larger frequency offsets. In addition the same value will be applied to 1900 MHz mixed mode as well.</w:t>
      </w:r>
    </w:p>
    <w:p>
      <w:pPr>
        <w:pStyle w:val="Normal"/>
        <w:rPr/>
      </w:pPr>
      <w:r>
        <w:rPr/>
        <w:t>The reference sensitivity performance as specified in the above example shall be met when the following signals are simultaneously input to the receiver:</w:t>
      </w:r>
    </w:p>
    <w:p>
      <w:pPr>
        <w:pStyle w:val="Normal"/>
        <w:rPr/>
      </w:pPr>
      <w:r>
        <w:rPr/>
        <w:t>a useful signal at frequency fo, 1 dB above the reference sensitivity level as specified in subclause 6.2 in GSM 05.05;</w:t>
      </w:r>
    </w:p>
    <w:p>
      <w:pPr>
        <w:pStyle w:val="Normal"/>
        <w:rPr/>
      </w:pPr>
      <w:r>
        <w:rPr/>
        <w:t>a continuous, static sine wave signal at a level as in the table below and at a frequency (f) which is an integer multiple of 200 kHz.</w:t>
      </w:r>
    </w:p>
    <w:p>
      <w:pPr>
        <w:pStyle w:val="Heading2"/>
        <w:rPr/>
      </w:pPr>
      <w:bookmarkStart w:id="581" w:name="__RefHeading___Toc518035997"/>
      <w:bookmarkEnd w:id="581"/>
      <w:r>
        <w:rPr/>
        <w:t>U.3.4</w:t>
        <w:tab/>
        <w:t>AM Suppression Analysis</w:t>
      </w:r>
    </w:p>
    <w:p>
      <w:pPr>
        <w:pStyle w:val="Normal"/>
        <w:rPr/>
      </w:pPr>
      <w:r>
        <w:rPr/>
        <w:t>Since blocking and AM suppression characteristics are closely related, the analysis used in the previous section can be used to determine the AM suppression requirement.</w:t>
      </w:r>
      <w:r>
        <w:br w:type="page"/>
      </w:r>
    </w:p>
    <w:p>
      <w:pPr>
        <w:pStyle w:val="Heading9"/>
        <w:rPr>
          <w:lang w:val="fr-FR"/>
        </w:rPr>
      </w:pPr>
      <w:bookmarkStart w:id="582" w:name="__RefHeading___Toc518035998"/>
      <w:bookmarkEnd w:id="582"/>
      <w:r>
        <w:rPr>
          <w:lang w:val="fr-FR"/>
        </w:rPr>
        <w:t>Annex V:</w:t>
        <w:br/>
        <w:t>LCS scenarios</w:t>
      </w:r>
    </w:p>
    <w:p>
      <w:pPr>
        <w:pStyle w:val="Heading1"/>
        <w:ind w:left="1134" w:hanging="1134"/>
        <w:rPr>
          <w:lang w:val="fr-FR"/>
        </w:rPr>
      </w:pPr>
      <w:bookmarkStart w:id="583" w:name="__RefHeading___Toc518035999"/>
      <w:bookmarkEnd w:id="583"/>
      <w:r>
        <w:rPr>
          <w:lang w:val="fr-FR"/>
        </w:rPr>
        <w:t>V.1</w:t>
        <w:tab/>
        <w:t>Introduction</w:t>
      </w:r>
    </w:p>
    <w:p>
      <w:pPr>
        <w:pStyle w:val="Normal"/>
        <w:rPr/>
      </w:pPr>
      <w:r>
        <w:rPr/>
        <w:t>The purpose of the documents in this annex is to give background information about LCS requirements in GSM 05.05/05.10.</w:t>
      </w:r>
    </w:p>
    <w:p>
      <w:pPr>
        <w:pStyle w:val="Normal"/>
        <w:rPr/>
      </w:pPr>
      <w:r>
        <w:rPr/>
        <w:t>Clause V.2 defines the worst case proximity scenario for the control mobile station of a TOA Type A LMU which is colocated at a BTS (a TOA Type A LMU is an LMU which is accessed over the normal GSM air interface as described in GSM 03.71).</w:t>
      </w:r>
    </w:p>
    <w:p>
      <w:pPr>
        <w:pStyle w:val="Normal"/>
        <w:rPr/>
      </w:pPr>
      <w:r>
        <w:rPr/>
        <w:t>Clause V.3 discusses the TOA LMU (Type A and B) RF requirements as specified in annex H.1.2 of GSM 05.05.</w:t>
      </w:r>
    </w:p>
    <w:p>
      <w:pPr>
        <w:pStyle w:val="Normal"/>
        <w:rPr/>
      </w:pPr>
      <w:r>
        <w:rPr/>
        <w:t>Clause V.4 presents simulation results of TOA LMU performance as specified in annex H.1.3 of GSM 05.05.</w:t>
      </w:r>
    </w:p>
    <w:p>
      <w:pPr>
        <w:pStyle w:val="Normal"/>
        <w:rPr/>
      </w:pPr>
      <w:r>
        <w:rPr/>
        <w:t>Clause V.5 discusses the RIT measurement requirements for a TOA LMU as specified in annex H.1.4.</w:t>
      </w:r>
    </w:p>
    <w:p>
      <w:pPr>
        <w:pStyle w:val="Normal"/>
        <w:rPr/>
      </w:pPr>
      <w:r>
        <w:rPr/>
        <w:t>Clause V.6 presents simulation results of an E-OTD LMU and an E-OTD capable mobile station as specified in annex H.2 and I of GSM 05.05, respectively.</w:t>
      </w:r>
    </w:p>
    <w:p>
      <w:pPr>
        <w:pStyle w:val="Normal"/>
        <w:rPr/>
      </w:pPr>
      <w:r>
        <w:rPr/>
        <w:t>Clause V.7 discusses the relationship between BTS frequency source stability, location estimate accuracy and LMU update rates as described in annex C of GSM 05.10.</w:t>
      </w:r>
    </w:p>
    <w:p>
      <w:pPr>
        <w:pStyle w:val="Normal"/>
        <w:rPr/>
      </w:pPr>
      <w:r>
        <w:rPr/>
        <w:t>Annex V.A gives background information about the channel models and system simulator parameters used for performance evaluation of mobile positioning methods.</w:t>
      </w:r>
    </w:p>
    <w:p>
      <w:pPr>
        <w:pStyle w:val="Normal"/>
        <w:rPr/>
      </w:pPr>
      <w:r>
        <w:rPr/>
        <w:t>Annex V.B gives simulation results about coexistence of EDGE and GSM modulated signals for E-OTD positioning.</w:t>
      </w:r>
    </w:p>
    <w:p>
      <w:pPr>
        <w:pStyle w:val="Heading1"/>
        <w:ind w:left="1134" w:hanging="1134"/>
        <w:rPr/>
      </w:pPr>
      <w:bookmarkStart w:id="584" w:name="__RefHeading___Toc518036000"/>
      <w:bookmarkEnd w:id="584"/>
      <w:r>
        <w:rPr/>
        <w:t>V.2</w:t>
        <w:tab/>
        <w:t>TOA Type A LMU in a Co-Located Deployment</w:t>
      </w:r>
    </w:p>
    <w:p>
      <w:pPr>
        <w:pStyle w:val="Heading2"/>
        <w:rPr/>
      </w:pPr>
      <w:bookmarkStart w:id="585" w:name="__RefHeading___Toc518036001"/>
      <w:bookmarkEnd w:id="585"/>
      <w:r>
        <w:rPr/>
        <w:t>V.2.1</w:t>
        <w:tab/>
        <w:t>Constraints</w:t>
      </w:r>
    </w:p>
    <w:p>
      <w:pPr>
        <w:pStyle w:val="Normal"/>
        <w:rPr/>
      </w:pPr>
      <w:r>
        <w:rPr/>
        <w:t>Aside from the frequency bands, the main constraint is the physical separation of the Type A LMU and BTS. The extreme conditions are when the Type A LMU is close to or remote from the BTS.</w:t>
      </w:r>
    </w:p>
    <w:p>
      <w:pPr>
        <w:pStyle w:val="Heading2"/>
        <w:rPr/>
      </w:pPr>
      <w:bookmarkStart w:id="586" w:name="__RefHeading___Toc518036002"/>
      <w:bookmarkEnd w:id="586"/>
      <w:r>
        <w:rPr/>
        <w:t>V.2.2</w:t>
        <w:tab/>
        <w:t>Frequency Bands and Channel Arrangement (clause 2 of GSM 05.05)</w:t>
      </w:r>
    </w:p>
    <w:p>
      <w:pPr>
        <w:pStyle w:val="Normal"/>
        <w:rPr/>
      </w:pPr>
      <w:r>
        <w:rPr/>
        <w:t>The system is required to operate in at least one of the following frequency bands.</w:t>
      </w:r>
    </w:p>
    <w:p>
      <w:pPr>
        <w:pStyle w:val="Normal"/>
        <w:rPr>
          <w:i/>
          <w:i/>
        </w:rPr>
      </w:pPr>
      <w:r>
        <w:rPr>
          <w:i/>
        </w:rPr>
        <w:t>PCS1900</w:t>
      </w:r>
    </w:p>
    <w:p>
      <w:pPr>
        <w:pStyle w:val="B1"/>
        <w:rPr/>
      </w:pPr>
      <w:r>
        <w:rPr/>
        <w:t>-</w:t>
        <w:tab/>
        <w:t>1 850 MHz to 1 910 MHz: LMU transmit, base receive;</w:t>
      </w:r>
    </w:p>
    <w:p>
      <w:pPr>
        <w:pStyle w:val="B1"/>
        <w:rPr/>
      </w:pPr>
      <w:r>
        <w:rPr/>
        <w:t>-</w:t>
        <w:tab/>
        <w:t>1 930 MHz to 1 990 MHz: base transmit, LMU receive;</w:t>
      </w:r>
    </w:p>
    <w:p>
      <w:pPr>
        <w:pStyle w:val="Normal"/>
        <w:rPr/>
      </w:pPr>
      <w:r>
        <w:rPr/>
        <w:t>with a carrier spacing of 200 kHz.</w:t>
      </w:r>
    </w:p>
    <w:p>
      <w:pPr>
        <w:pStyle w:val="Normal"/>
        <w:rPr/>
      </w:pPr>
      <w:r>
        <w:rPr/>
        <w:t>In order to ensure the compliance with the radio regulations outside the band, a guard band of 200 kHz between the edge of the band and the first carrier is needed at the bottom of each of the two subbands.</w:t>
      </w:r>
    </w:p>
    <w:p>
      <w:pPr>
        <w:pStyle w:val="Heading2"/>
        <w:rPr/>
      </w:pPr>
      <w:bookmarkStart w:id="587" w:name="__RefHeading___Toc518036003"/>
      <w:bookmarkEnd w:id="587"/>
      <w:r>
        <w:rPr/>
        <w:t>V.2.3</w:t>
        <w:tab/>
        <w:t>Proximity for DCS1800/PCS1900</w:t>
      </w:r>
    </w:p>
    <w:p>
      <w:pPr>
        <w:pStyle w:val="Normal"/>
        <w:rPr/>
      </w:pPr>
      <w:r>
        <w:rPr/>
        <w:t>Table V.1 shows the worst-case coupling-loss example that might be encountered in a colocated deployment.</w:t>
      </w:r>
    </w:p>
    <w:p>
      <w:pPr>
        <w:pStyle w:val="TH"/>
        <w:numPr>
          <w:ilvl w:val="0"/>
          <w:numId w:val="0"/>
        </w:numPr>
        <w:outlineLvl w:val="0"/>
        <w:rPr/>
      </w:pPr>
      <w:r>
        <w:rPr/>
        <w:t>Table V.1: Worst case proximity scenario for co-located deployment</w:t>
      </w:r>
    </w:p>
    <w:tbl>
      <w:tblPr>
        <w:tblW w:w="4503" w:type="dxa"/>
        <w:jc w:val="center"/>
        <w:tblInd w:w="0" w:type="dxa"/>
        <w:tblLayout w:type="fixed"/>
        <w:tblCellMar>
          <w:top w:w="0" w:type="dxa"/>
          <w:left w:w="28" w:type="dxa"/>
          <w:bottom w:w="0" w:type="dxa"/>
          <w:right w:w="28" w:type="dxa"/>
        </w:tblCellMar>
      </w:tblPr>
      <w:tblGrid>
        <w:gridCol w:w="3385"/>
        <w:gridCol w:w="1118"/>
      </w:tblGrid>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Characteristic</w:t>
            </w:r>
          </w:p>
        </w:tc>
        <w:tc>
          <w:tcPr>
            <w:tcW w:w="1118" w:type="dxa"/>
            <w:tcBorders>
              <w:top w:val="single" w:sz="6" w:space="0" w:color="000000"/>
              <w:left w:val="single" w:sz="6" w:space="0" w:color="000000"/>
              <w:bottom w:val="single" w:sz="6" w:space="0" w:color="000000"/>
              <w:right w:val="single" w:sz="6" w:space="0" w:color="000000"/>
            </w:tcBorders>
          </w:tcPr>
          <w:p>
            <w:pPr>
              <w:pStyle w:val="TAH"/>
              <w:rPr>
                <w:rFonts w:ascii="Times New Roman" w:hAnsi="Times New Roman" w:cs="Times New Roman"/>
                <w:lang w:eastAsia="en-US"/>
              </w:rPr>
            </w:pPr>
            <w:r>
              <w:rPr>
                <w:rFonts w:cs="Times New Roman" w:ascii="Times New Roman" w:hAnsi="Times New Roman"/>
                <w:lang w:eastAsia="en-US"/>
              </w:rPr>
              <w:t>Value</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pPr>
            <w:r>
              <w:rPr>
                <w:lang w:val="en-GB"/>
              </w:rPr>
              <w:t>BTS height, H</w:t>
            </w:r>
            <w:r>
              <w:rPr>
                <w:position w:val="-6"/>
                <w:lang w:val="en-GB"/>
              </w:rPr>
              <w:t>b</w:t>
            </w:r>
            <w:r>
              <w:rPr>
                <w:lang w:val="en-GB"/>
              </w:rPr>
              <w:t xml:space="preserve"> (m)</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pPr>
            <w:r>
              <w:rPr>
                <w:lang w:val="fi-FI"/>
              </w:rPr>
              <w:t>LMU OTA antenna height, H</w:t>
            </w:r>
            <w:r>
              <w:rPr>
                <w:position w:val="-6"/>
                <w:lang w:val="fi-FI"/>
              </w:rPr>
              <w:t>m</w:t>
            </w:r>
            <w:r>
              <w:rPr>
                <w:lang w:val="fi-FI"/>
              </w:rPr>
              <w:t xml:space="preserve"> (m) [4]</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lang w:val="en-GB"/>
              </w:rPr>
            </w:pPr>
            <w:r>
              <w:rPr>
                <w:position w:val="-6"/>
                <w:lang w:val="en-GB"/>
              </w:rPr>
              <w:t>Horizontal separation (m) [3]</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position w:val="-6"/>
                <w:lang w:val="en-GB"/>
              </w:rPr>
              <w:t>6</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pPr>
            <w:r>
              <w:rPr>
                <w:lang w:val="en-GB"/>
              </w:rPr>
              <w:t>BTS antenna gain, G</w:t>
            </w:r>
            <w:r>
              <w:rPr>
                <w:position w:val="-6"/>
                <w:lang w:val="en-GB"/>
              </w:rPr>
              <w:t xml:space="preserve">b </w:t>
            </w:r>
            <w:r>
              <w:rPr>
                <w:lang w:val="en-GB"/>
              </w:rPr>
              <w:t>(dB) [1]</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pPr>
            <w:r>
              <w:rPr>
                <w:lang w:val="en-GB"/>
              </w:rPr>
              <w:t>BTS antenna gain, G'</w:t>
            </w:r>
            <w:r>
              <w:rPr>
                <w:position w:val="-6"/>
                <w:lang w:val="en-GB"/>
              </w:rPr>
              <w:t>b</w:t>
            </w:r>
            <w:r>
              <w:rPr>
                <w:lang w:val="en-GB"/>
              </w:rPr>
              <w:t xml:space="preserve"> (dB) [2]</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pPr>
            <w:r>
              <w:rPr>
                <w:lang w:val="en-GB"/>
              </w:rPr>
              <w:t>LMU OTA antenna gain, G</w:t>
            </w:r>
            <w:r>
              <w:rPr>
                <w:position w:val="-6"/>
                <w:lang w:val="en-GB"/>
              </w:rPr>
              <w:t xml:space="preserve">m </w:t>
            </w:r>
            <w:r>
              <w:rPr>
                <w:lang w:val="en-GB"/>
              </w:rPr>
              <w:t>(dB)</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lang w:val="en-GB"/>
              </w:rPr>
            </w:pPr>
            <w:r>
              <w:rPr>
                <w:position w:val="-6"/>
                <w:lang w:val="en-GB"/>
              </w:rPr>
              <w:t>Path loss into building (dB)</w:t>
            </w:r>
          </w:p>
        </w:tc>
        <w:tc>
          <w:tcPr>
            <w:tcW w:w="111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lang w:val="en-GB"/>
              </w:rPr>
            </w:pPr>
            <w:r>
              <w:rPr>
                <w:position w:val="-6"/>
                <w:lang w:val="en-GB"/>
              </w:rPr>
              <w:t>Cable/Connector Loss (dB)</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position w:val="-6"/>
                <w:lang w:val="en-GB"/>
              </w:rPr>
              <w:t>2</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lang w:val="en-GB"/>
              </w:rPr>
            </w:pPr>
            <w:r>
              <w:rPr>
                <w:position w:val="-6"/>
                <w:lang w:val="en-GB"/>
              </w:rPr>
              <w:t>Body Loss  (dB)</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position w:val="-6"/>
                <w:lang w:val="en-GB"/>
              </w:rPr>
              <w:t>N/A</w:t>
            </w:r>
          </w:p>
        </w:tc>
      </w:tr>
      <w:tr>
        <w:trPr>
          <w:trHeight w:val="200" w:hRule="atLeast"/>
        </w:trPr>
        <w:tc>
          <w:tcPr>
            <w:tcW w:w="3385" w:type="dxa"/>
            <w:tcBorders>
              <w:top w:val="single" w:sz="6" w:space="0" w:color="000000"/>
              <w:left w:val="single" w:sz="6" w:space="0" w:color="000000"/>
              <w:bottom w:val="single" w:sz="6" w:space="0" w:color="000000"/>
              <w:right w:val="single" w:sz="6" w:space="0" w:color="000000"/>
            </w:tcBorders>
          </w:tcPr>
          <w:p>
            <w:pPr>
              <w:pStyle w:val="TAL"/>
              <w:rPr>
                <w:lang w:val="en-GB"/>
              </w:rPr>
            </w:pPr>
            <w:r>
              <w:rPr>
                <w:position w:val="-6"/>
                <w:lang w:val="en-GB"/>
              </w:rPr>
              <w:t xml:space="preserve">Path loss </w:t>
              <w:noBreakHyphen/>
              <w:t xml:space="preserve"> antenna gain (dB)</w:t>
            </w:r>
          </w:p>
        </w:tc>
        <w:tc>
          <w:tcPr>
            <w:tcW w:w="1118" w:type="dxa"/>
            <w:tcBorders>
              <w:top w:val="single" w:sz="6" w:space="0" w:color="000000"/>
              <w:left w:val="single" w:sz="6" w:space="0" w:color="000000"/>
              <w:bottom w:val="single" w:sz="6" w:space="0" w:color="000000"/>
              <w:right w:val="single" w:sz="6" w:space="0" w:color="000000"/>
            </w:tcBorders>
          </w:tcPr>
          <w:p>
            <w:pPr>
              <w:pStyle w:val="TAC"/>
              <w:rPr>
                <w:lang w:val="en-GB"/>
              </w:rPr>
            </w:pPr>
            <w:r>
              <w:rPr>
                <w:position w:val="-6"/>
                <w:lang w:val="en-GB"/>
              </w:rPr>
              <w:t>62.6</w:t>
            </w:r>
          </w:p>
        </w:tc>
      </w:tr>
      <w:tr>
        <w:trPr>
          <w:trHeight w:val="200" w:hRule="atLeast"/>
        </w:trPr>
        <w:tc>
          <w:tcPr>
            <w:tcW w:w="4503" w:type="dxa"/>
            <w:gridSpan w:val="2"/>
            <w:tcBorders>
              <w:top w:val="single" w:sz="6" w:space="0" w:color="000000"/>
              <w:left w:val="single" w:sz="6" w:space="0" w:color="000000"/>
              <w:bottom w:val="single" w:sz="6" w:space="0" w:color="000000"/>
              <w:right w:val="single" w:sz="6" w:space="0" w:color="000000"/>
            </w:tcBorders>
          </w:tcPr>
          <w:p>
            <w:pPr>
              <w:pStyle w:val="TAN"/>
              <w:rPr>
                <w:lang w:val="en-GB"/>
              </w:rPr>
            </w:pPr>
            <w:r>
              <w:rPr>
                <w:lang w:val="en-GB"/>
              </w:rPr>
              <w:t>NOTE 1:</w:t>
              <w:tab/>
              <w:t>Bore-sight gain.</w:t>
            </w:r>
          </w:p>
          <w:p>
            <w:pPr>
              <w:pStyle w:val="TAN"/>
              <w:rPr>
                <w:lang w:val="en-GB"/>
              </w:rPr>
            </w:pPr>
            <w:r>
              <w:rPr>
                <w:lang w:val="en-GB"/>
              </w:rPr>
              <w:t>NOTE 2:</w:t>
              <w:tab/>
              <w:t>Gain in direction of LMU OTA antenna.</w:t>
            </w:r>
          </w:p>
          <w:p>
            <w:pPr>
              <w:pStyle w:val="TAN"/>
              <w:rPr>
                <w:lang w:val="en-GB"/>
              </w:rPr>
            </w:pPr>
            <w:r>
              <w:rPr>
                <w:lang w:val="en-GB"/>
              </w:rPr>
              <w:t>NOTE 3:</w:t>
              <w:tab/>
              <w:t>Horizontal separation between LMU OTA antenna and BTS.</w:t>
            </w:r>
          </w:p>
          <w:p>
            <w:pPr>
              <w:pStyle w:val="TAN"/>
              <w:rPr/>
            </w:pPr>
            <w:r>
              <w:rPr>
                <w:lang w:val="en-GB"/>
              </w:rPr>
              <w:t>NOTE 4:</w:t>
              <w:tab/>
              <w:t>The LMU OTA (Over The Air) antenna is the Rx/Tx antenna the Type A LMU is using to communicate with the GSM network ("control mobile station").</w:t>
            </w:r>
          </w:p>
          <w:p>
            <w:pPr>
              <w:pStyle w:val="TAN"/>
              <w:rPr/>
            </w:pPr>
            <w:r>
              <w:rPr>
                <w:lang w:val="en-GB"/>
              </w:rPr>
              <w:tab/>
              <w:t>Path loss is assumed to be free space i.e. 38,0 + 20 log d(m) dB, where d is the length of the sloping line connecting the transmit and receive antennas.</w:t>
            </w:r>
          </w:p>
        </w:tc>
      </w:tr>
    </w:tbl>
    <w:p>
      <w:pPr>
        <w:pStyle w:val="FP"/>
        <w:rPr/>
      </w:pPr>
      <w:r>
        <w:rPr/>
      </w:r>
    </w:p>
    <w:p>
      <w:pPr>
        <w:pStyle w:val="Normal"/>
        <w:rPr/>
      </w:pPr>
      <w:r>
        <w:rPr/>
        <w:t xml:space="preserve">These examples suggest that the worst (ie lowest) coupling loss is 62,6 dB. This is about 2,5 dB less than the minimum coupling loss (MCL) of 65 dB that is assumed for a standard MS </w:t>
        <w:noBreakHyphen/>
        <w:t xml:space="preserve"> BTS configuration. The coupling loss is defined as that between the transmit and receive antenna connectors. To ensure that no degradation or saturation effects occur, the LMU OTA antenna should have appropriate attenuation added to its output such that the MCL is maintained at or above 65 dB.</w:t>
      </w:r>
    </w:p>
    <w:p>
      <w:pPr>
        <w:pStyle w:val="Heading2"/>
        <w:rPr/>
      </w:pPr>
      <w:bookmarkStart w:id="588" w:name="__RefHeading___Toc518036004"/>
      <w:bookmarkEnd w:id="588"/>
      <w:r>
        <w:rPr/>
        <w:t>V.2.4</w:t>
        <w:tab/>
        <w:t>Inputs needed</w:t>
      </w:r>
    </w:p>
    <w:p>
      <w:pPr>
        <w:pStyle w:val="B1"/>
        <w:rPr/>
      </w:pPr>
      <w:r>
        <w:rPr/>
        <w:t>Working assumptions</w:t>
      </w:r>
    </w:p>
    <w:p>
      <w:pPr>
        <w:pStyle w:val="B1"/>
        <w:tabs>
          <w:tab w:val="clear" w:pos="284"/>
          <w:tab w:val="left" w:pos="3402" w:leader="none"/>
        </w:tabs>
        <w:rPr/>
      </w:pPr>
      <w:r>
        <w:rPr/>
        <w:tab/>
        <w:t>Propagation model</w:t>
        <w:tab/>
        <w:t>Free space (up to [200] m maximum)</w:t>
      </w:r>
    </w:p>
    <w:p>
      <w:pPr>
        <w:pStyle w:val="Heading2"/>
        <w:rPr/>
      </w:pPr>
      <w:bookmarkStart w:id="589" w:name="__RefHeading___Toc518036005"/>
      <w:bookmarkEnd w:id="589"/>
      <w:r>
        <w:rPr/>
        <w:t>V.2.5</w:t>
        <w:tab/>
        <w:t>Conclusion</w:t>
      </w:r>
    </w:p>
    <w:p>
      <w:pPr>
        <w:pStyle w:val="Normal"/>
        <w:rPr/>
      </w:pPr>
      <w:r>
        <w:rPr/>
        <w:t>Colocating a TOA Type A LMU causes the current assumptions about minimum coupling loss between the BTS and the control mobile station of the LMU (OTA Rx/Tx antenna) to be violated by about 2,5 dB (in the worst case). This number is so low that no additional standardization is required.  Appropriate attenuation should be added to its output port such that the MCL is maintained at or above 65 dB.</w:t>
      </w:r>
    </w:p>
    <w:p>
      <w:pPr>
        <w:pStyle w:val="Heading1"/>
        <w:ind w:left="1134" w:hanging="1134"/>
        <w:rPr/>
      </w:pPr>
      <w:bookmarkStart w:id="590" w:name="__RefHeading___Toc518036006"/>
      <w:bookmarkEnd w:id="590"/>
      <w:r>
        <w:rPr/>
        <w:t>V.3</w:t>
        <w:tab/>
        <w:t>Discussion of TOA LMU RF Specification</w:t>
      </w:r>
    </w:p>
    <w:p>
      <w:pPr>
        <w:pStyle w:val="Heading2"/>
        <w:rPr/>
      </w:pPr>
      <w:bookmarkStart w:id="591" w:name="__RefHeading___Toc518036007"/>
      <w:bookmarkEnd w:id="591"/>
      <w:r>
        <w:rPr/>
        <w:t>V.3.1</w:t>
        <w:tab/>
        <w:t>Introduction</w:t>
      </w:r>
    </w:p>
    <w:p>
      <w:pPr>
        <w:pStyle w:val="Normal"/>
        <w:rPr/>
      </w:pPr>
      <w:r>
        <w:rPr/>
        <w:t>Two physical configurations of the uplink TOA (UL-TOA) location measurement unit (LMU) installation are expected; stand alone, and shared. A stand-alone LMU is defined as an LMU unit external to a GSM base station cabinet with its own set of antennas.  This stand-alone unit may be co-located with a GSM base station, or deployed at a remote location.  While this is the most desirable implementation from a performance and deployment flexibility standpoint, it is recognized that for aesthetic and economic reasons, an LMU which shares the existing base station antenna infrastructure may be required.  This sharing can be accomplished for an LMU placed inside the base station cabinet, or for an LMU external to the cabinet.</w:t>
      </w:r>
    </w:p>
    <w:p>
      <w:pPr>
        <w:pStyle w:val="Normal"/>
        <w:rPr/>
      </w:pPr>
      <w:r>
        <w:rPr/>
        <w:t>To maintain the noise figure of the GSM base station when a stand-alone LMU is coupled into the BTS antenna, a remote LNA will be required at the antennas to compensate for the excess insertion loss introduced.   If the LMU resides within the BTS cabinet, it is assumed that the coupling will occur within the RF distribution chain for the GSM TRX modules.  For this case, the coupling will most likely occur after the duplexor and pre-amplification, and either side of the internal multi-couplers.</w:t>
      </w:r>
    </w:p>
    <w:p>
      <w:pPr>
        <w:pStyle w:val="Normal"/>
        <w:rPr/>
      </w:pPr>
      <w:r>
        <w:rPr/>
        <w:t>For either the external or internal coupling case, the LMU TOA receiver may be exposed to RF input signals, which are amplified to a level that is greater than that required to compensate for the losses incurred in the system. This has a twofold effect; 1) it will improve the system input sensitivity, and 2) it will increase the input power level of in-band and out-of-band interference and blocking sources. These two effects combined will result in an increase in the required dynamic range of the TOA receiver, resulting in increased implementation complexity and cost.  Proposed here is a simple method of maintaining the stand- alone LMU TOA receiver sensitivity and dynamic range when configured with a shared antenna configuration.</w:t>
      </w:r>
    </w:p>
    <w:p>
      <w:pPr>
        <w:pStyle w:val="Normal"/>
        <w:rPr/>
      </w:pPr>
      <w:r>
        <w:rPr/>
        <w:t>The solution suggested, takes advantage of the fact that the front end gain block can set the system noise figure (and hence sensitivity of the LMU) if there is sufficient gain in the block to overcome all of the losses that occur between the gain block and the LMU front end.  It will be shown, that for a given LNA noise figure, there is a unique excess gain allowed, at the input to the LMU, which results in no change to the LMU input sensitivity for a shared unit versus a stand alone unit.  Simultaneously, for reasonable LMU and LNA receiver design parameters, this excess gain is small enough to not significantly change the design requirements for the upper end of the stand-alone LMU receiver dynamic range.</w:t>
      </w:r>
    </w:p>
    <w:p>
      <w:pPr>
        <w:pStyle w:val="Heading2"/>
        <w:rPr/>
      </w:pPr>
      <w:bookmarkStart w:id="592" w:name="__RefHeading___Toc518036008"/>
      <w:bookmarkEnd w:id="592"/>
      <w:r>
        <w:rPr/>
        <w:t>V.3.2</w:t>
        <w:tab/>
        <w:t>Analysis Model</w:t>
      </w:r>
    </w:p>
    <w:p>
      <w:pPr>
        <w:pStyle w:val="Normal"/>
        <w:rPr/>
      </w:pPr>
      <w:r>
        <w:rPr/>
        <w:t>Figure V.3.1 illustrates the block diagram for a generic (coupling either internal or external to the BTS cabinet) shared antenna installation.  In this figure, the gain element is represented by the block containing GainLNA/NFLNA. After this gain block is a coupling element which divides the input signal into the BTS and LMU paths. The coupling ratio of this element should be determined based on the excess gain available to the LMU as described below. Should the coupling ratio not be sufficient to "pad" the input RF signal into the LMU to an acceptable level, then an in-line attenuator can be inserted between the coupling device and LMU.</w:t>
      </w:r>
    </w:p>
    <w:p>
      <w:pPr>
        <w:pStyle w:val="TH"/>
        <w:rPr>
          <w:lang w:val="en-US" w:eastAsia="en-US"/>
        </w:rPr>
      </w:pPr>
      <w:r>
        <w:rPr>
          <w:lang w:val="en-US" w:eastAsia="en-US"/>
        </w:rPr>
        <w:drawing>
          <wp:inline distT="0" distB="0" distL="0" distR="0">
            <wp:extent cx="4864735" cy="2585085"/>
            <wp:effectExtent l="0" t="0" r="0" b="0"/>
            <wp:docPr id="146"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70" descr=""/>
                    <pic:cNvPicPr>
                      <a:picLocks noChangeAspect="1" noChangeArrowheads="1"/>
                    </pic:cNvPicPr>
                  </pic:nvPicPr>
                  <pic:blipFill>
                    <a:blip r:embed="rId144"/>
                    <a:srcRect l="-5" t="-10" r="-5" b="-10"/>
                    <a:stretch>
                      <a:fillRect/>
                    </a:stretch>
                  </pic:blipFill>
                  <pic:spPr bwMode="auto">
                    <a:xfrm>
                      <a:off x="0" y="0"/>
                      <a:ext cx="4864735" cy="2585085"/>
                    </a:xfrm>
                    <a:prstGeom prst="rect">
                      <a:avLst/>
                    </a:prstGeom>
                  </pic:spPr>
                </pic:pic>
              </a:graphicData>
            </a:graphic>
          </wp:inline>
        </w:drawing>
      </w:r>
    </w:p>
    <w:p>
      <w:pPr>
        <w:pStyle w:val="TF"/>
        <w:rPr/>
      </w:pPr>
      <w:r>
        <w:rPr/>
        <w:t>Figure V.3.</w:t>
      </w:r>
      <w:r>
        <w:rPr>
          <w:lang w:val="en-US" w:eastAsia="en-US"/>
        </w:rPr>
        <w:t>31</w:t>
      </w:r>
      <w:r>
        <w:rPr/>
        <w:t>: Analysis Block Diagram</w:t>
      </w:r>
    </w:p>
    <w:p>
      <w:pPr>
        <w:pStyle w:val="Heading2"/>
        <w:rPr/>
      </w:pPr>
      <w:bookmarkStart w:id="593" w:name="__RefHeading___Toc518036009"/>
      <w:bookmarkEnd w:id="593"/>
      <w:r>
        <w:rPr/>
        <w:t>V.3.3</w:t>
        <w:tab/>
        <w:t>Results</w:t>
      </w:r>
    </w:p>
    <w:p>
      <w:pPr>
        <w:pStyle w:val="Normal"/>
        <w:rPr/>
      </w:pPr>
      <w:r>
        <w:rPr/>
        <w:t>Figure V.3.2 illustrates the excess gain allowed, at the LMU receiver input, which results in a minimal degradation of the stand alone LMU input noise figure, when the LNA noise figure is 4 dB.  As shown, an LMU receiver with an input noise figure of 6 dB can tolerate an excess gain of 4 dB before any change in the receiver sensitivity is seen.  For this configuration, an excess gain of 6 dB would result in an improvement in the receiver sensitivity of 2 dB, while at the same time requiring that the receiver high power RF input characteristics (blocking, inter-modulation, AM suppression) be designed with a minimum margin of 6 dB. For an LMU receiver with a 5 dB noise figure, 6 dB of excess gain at the input will have no effect on the receiver sensitivity performance, while requiring a 6 dB increase in the high RF input power receiver characteristic margins.  However, if the LMU noise figure is 8 dB, then a 6 dB excess gain at the input will result in a 4 dB increase in receiver sensitivity and a minimum 6 dB increase in the margin required for the high power RF input characteristics.</w:t>
      </w:r>
    </w:p>
    <w:p>
      <w:pPr>
        <w:pStyle w:val="TH"/>
        <w:rPr>
          <w:lang w:val="en-US" w:eastAsia="en-US"/>
        </w:rPr>
      </w:pPr>
      <w:r>
        <w:rPr>
          <w:lang w:val="en-US" w:eastAsia="en-US"/>
        </w:rPr>
        <w:drawing>
          <wp:inline distT="0" distB="0" distL="0" distR="0">
            <wp:extent cx="4493260" cy="2644775"/>
            <wp:effectExtent l="0" t="0" r="0" b="0"/>
            <wp:docPr id="147"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71" descr=""/>
                    <pic:cNvPicPr>
                      <a:picLocks noChangeAspect="1" noChangeArrowheads="1"/>
                    </pic:cNvPicPr>
                  </pic:nvPicPr>
                  <pic:blipFill>
                    <a:blip r:embed="rId145"/>
                    <a:srcRect l="-5" t="-9" r="-5" b="-9"/>
                    <a:stretch>
                      <a:fillRect/>
                    </a:stretch>
                  </pic:blipFill>
                  <pic:spPr bwMode="auto">
                    <a:xfrm>
                      <a:off x="0" y="0"/>
                      <a:ext cx="4493260" cy="2644775"/>
                    </a:xfrm>
                    <a:prstGeom prst="rect">
                      <a:avLst/>
                    </a:prstGeom>
                  </pic:spPr>
                </pic:pic>
              </a:graphicData>
            </a:graphic>
          </wp:inline>
        </w:drawing>
      </w:r>
    </w:p>
    <w:p>
      <w:pPr>
        <w:pStyle w:val="TF"/>
        <w:keepLines w:val="false"/>
        <w:rPr/>
      </w:pPr>
      <w:r>
        <w:rPr/>
        <w:t>Figure V.3.</w:t>
      </w:r>
      <w:r>
        <w:rPr>
          <w:lang w:val="en-US" w:eastAsia="en-US"/>
        </w:rPr>
        <w:t>32</w:t>
      </w:r>
      <w:r>
        <w:rPr/>
        <w:t>: Excess Gain allowable versus Input LNA gain for various LMU noise figure values</w:t>
      </w:r>
    </w:p>
    <w:p>
      <w:pPr>
        <w:pStyle w:val="Heading2"/>
        <w:rPr/>
      </w:pPr>
      <w:bookmarkStart w:id="594" w:name="__RefHeading___Toc518036010"/>
      <w:bookmarkEnd w:id="594"/>
      <w:r>
        <w:rPr/>
        <w:t>V.3.4</w:t>
        <w:tab/>
        <w:t>Conclusions</w:t>
      </w:r>
    </w:p>
    <w:p>
      <w:pPr>
        <w:pStyle w:val="Normal"/>
        <w:keepNext w:val="true"/>
        <w:keepLines/>
        <w:rPr/>
      </w:pPr>
      <w:r>
        <w:rPr/>
        <w:t>The analysis performed, shows that for a stand alone LMU receiver, with a noise figure between 5 dB and 8 dB, preceded by an LNA block, with a noise figure of 4 dB, an excess gain at the LMU input of 6 dB can be tolerated with minimal impact to the receiver design.  The net effect of adding an LNA block in front of the LMU TOA receiver is to amplify the desired and interference input RF signals by the same amount.  It is therefore proposed that the carrier power requirement for Blocking, Inter-modulation, and AM suppression be 9 dB (3 dB + 6 dB) above the reference sensitivity, and that the interference power levels be increased by 6 dB over those specified in subclause 5.1 of GSM 05.05 for a normal BTS. By specifying the interference environment and carrier power levels in this way, the effect on the cost and complexity of the radio hardware design suggests that the specified sensitivity, blocking, AM suppression, and inter-modulation requirements can be met with a single radio architecture for stand alone and shared antenna LMU applications.</w:t>
      </w:r>
    </w:p>
    <w:p>
      <w:pPr>
        <w:pStyle w:val="Heading1"/>
        <w:ind w:left="1134" w:hanging="1134"/>
        <w:rPr/>
      </w:pPr>
      <w:bookmarkStart w:id="595" w:name="__RefHeading___Toc518036011"/>
      <w:bookmarkStart w:id="596" w:name="X26103"/>
      <w:bookmarkStart w:id="597" w:name="X11584"/>
      <w:bookmarkEnd w:id="595"/>
      <w:bookmarkEnd w:id="596"/>
      <w:bookmarkEnd w:id="597"/>
      <w:r>
        <w:rPr/>
        <w:t>V.4</w:t>
        <w:tab/>
        <w:t>Simulation results for TOA</w:t>
      </w:r>
      <w:r>
        <w:rPr>
          <w:rFonts w:cs="Symbol" w:ascii="Symbol" w:hAnsi="Symbol"/>
        </w:rPr>
        <w:t></w:t>
      </w:r>
      <w:r>
        <w:rPr/>
        <w:t>LMU performance</w:t>
      </w:r>
    </w:p>
    <w:p>
      <w:pPr>
        <w:pStyle w:val="Heading2"/>
        <w:rPr/>
      </w:pPr>
      <w:bookmarkStart w:id="598" w:name="__RefHeading___Toc518036012"/>
      <w:bookmarkEnd w:id="598"/>
      <w:r>
        <w:rPr/>
        <w:t>V.4.1</w:t>
        <w:tab/>
        <w:t>Introduction and requirements</w:t>
      </w:r>
    </w:p>
    <w:p>
      <w:pPr>
        <w:pStyle w:val="Normal"/>
        <w:keepNext w:val="true"/>
        <w:keepLines/>
        <w:rPr/>
      </w:pPr>
      <w:r>
        <w:rPr/>
        <w:t>The Uplink Time</w:t>
      </w:r>
      <w:r>
        <w:rPr>
          <w:rFonts w:cs="Symbol" w:ascii="Symbol" w:hAnsi="Symbol"/>
        </w:rPr>
        <w:t></w:t>
      </w:r>
      <w:r>
        <w:rPr/>
        <w:t>of</w:t>
      </w:r>
      <w:r>
        <w:rPr>
          <w:rFonts w:cs="Symbol" w:ascii="Symbol" w:hAnsi="Symbol"/>
        </w:rPr>
        <w:t></w:t>
      </w:r>
      <w:r>
        <w:rPr/>
        <w:t>Arrival (TOA) positioning method requires Location Measurement Units (LMUs) to accurately measure the TOA of signals transmitted by an MS upon request (see GSM 03.71). Typically, LMUs are colocated at BTS sites. The main task of a TOA</w:t>
      </w:r>
      <w:r>
        <w:rPr>
          <w:rFonts w:cs="Symbol" w:ascii="Symbol" w:hAnsi="Symbol"/>
        </w:rPr>
        <w:t></w:t>
      </w:r>
      <w:r>
        <w:rPr/>
        <w:t>LMU is to capture the bursts from the MS and estimate a TOA value relative to the LMUs internal time base. To calculate the MS position, TOA measurements from at least three (3) LMUs are required. To avoid situations with poor measurement geometry and to combat low SNR, it may be preferable to use more LMUs for measurement. In cellular systems of today, the Carrier</w:t>
      </w:r>
      <w:r>
        <w:rPr>
          <w:rFonts w:cs="Symbol" w:ascii="Symbol" w:hAnsi="Symbol"/>
        </w:rPr>
        <w:t></w:t>
      </w:r>
      <w:r>
        <w:rPr/>
        <w:t>to</w:t>
      </w:r>
      <w:r>
        <w:rPr>
          <w:rFonts w:cs="Symbol" w:ascii="Symbol" w:hAnsi="Symbol"/>
        </w:rPr>
        <w:t></w:t>
      </w:r>
      <w:r>
        <w:rPr/>
        <w:t>Interference ratio (</w:t>
      </w:r>
      <w:r>
        <w:rPr>
          <w:i/>
        </w:rPr>
        <w:t>C/I</w:t>
      </w:r>
      <w:r>
        <w:rPr/>
        <w:t>) to distant BTSs (LMUs) is typically low.</w:t>
      </w:r>
    </w:p>
    <w:p>
      <w:pPr>
        <w:pStyle w:val="Normal"/>
        <w:rPr/>
      </w:pPr>
      <w:r>
        <w:rPr/>
        <w:t xml:space="preserve">Figures V.4.1 and V.4.2 show the </w:t>
      </w:r>
      <w:r>
        <w:rPr>
          <w:i/>
        </w:rPr>
        <w:t>C/(I+N)</w:t>
      </w:r>
      <w:r>
        <w:rPr/>
        <w:t xml:space="preserve"> distribution for the first 6 measurement links for the Bad Urban and Rural environment, respectively. The system simulation parameters are as follows (see annex V.A).</w:t>
      </w:r>
    </w:p>
    <w:p>
      <w:pPr>
        <w:pStyle w:val="TH"/>
        <w:rPr/>
      </w:pPr>
      <w:r>
        <w:rPr/>
      </w:r>
    </w:p>
    <w:tbl>
      <w:tblPr>
        <w:tblW w:w="7371" w:type="dxa"/>
        <w:jc w:val="center"/>
        <w:tblInd w:w="0" w:type="dxa"/>
        <w:tblLayout w:type="fixed"/>
        <w:tblCellMar>
          <w:top w:w="0" w:type="dxa"/>
          <w:left w:w="108" w:type="dxa"/>
          <w:bottom w:w="0" w:type="dxa"/>
          <w:right w:w="108" w:type="dxa"/>
        </w:tblCellMar>
      </w:tblPr>
      <w:tblGrid>
        <w:gridCol w:w="3686"/>
        <w:gridCol w:w="3685"/>
      </w:tblGrid>
      <w:tr>
        <w:trPr/>
        <w:tc>
          <w:tcPr>
            <w:tcW w:w="36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3685"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Value</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Receiver Noise</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-118 dBm</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Adjacent Channel Attenuation</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18 dB</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Frequency Plan</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3/9</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(Sector)</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17.5 dB</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Peak Power</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0.8 W</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Frequency Band</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900 MHz</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Handover Margin</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 dB</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Log-Normal Fading</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6 dB</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lang w:val="fr-FR"/>
              </w:rPr>
              <w:t>Lognormal Correlation Distance</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 m</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Inter-BS Lognormal Fading Correlation</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Base Station Antenna Height</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m</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Antenna Height</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 m</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Distance between BS</w:t>
              <w:br/>
              <w:t>Bad Urban:</w:t>
              <w:br/>
              <w:t>Rural:</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br/>
              <w:t>1500 m</w:t>
              <w:br/>
              <w:t>30000 m</w:t>
            </w:r>
          </w:p>
        </w:tc>
      </w:tr>
      <w:tr>
        <w:trPr/>
        <w:tc>
          <w:tcPr>
            <w:tcW w:w="368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Channel Utilization</w:t>
              <w:br/>
              <w:t>Bad Urban:</w:t>
              <w:br/>
              <w:t>Rural:</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br/>
              <w:t>80%</w:t>
              <w:br/>
              <w:t>40%</w:t>
            </w:r>
          </w:p>
        </w:tc>
      </w:tr>
    </w:tbl>
    <w:p>
      <w:pPr>
        <w:pStyle w:val="FP"/>
        <w:rPr/>
      </w:pPr>
      <w:r>
        <w:rPr/>
      </w:r>
    </w:p>
    <w:p>
      <w:pPr>
        <w:pStyle w:val="Normal"/>
        <w:rPr/>
      </w:pPr>
      <w:r>
        <w:rPr/>
        <w:t>At the 10</w:t>
      </w:r>
      <w:r>
        <w:rPr>
          <w:vertAlign w:val="superscript"/>
        </w:rPr>
        <w:t>th</w:t>
      </w:r>
      <w:r>
        <w:rPr/>
        <w:t xml:space="preserve"> percentile, 3 measurement links can be found with a </w:t>
      </w:r>
      <w:r>
        <w:rPr>
          <w:i/>
        </w:rPr>
        <w:t>C/(I+N)</w:t>
      </w:r>
      <w:r>
        <w:rPr/>
        <w:t xml:space="preserve"> greater than about 0 dB. To allow TOA measurements performed at up to 5 LMUs, TOA measurements at </w:t>
      </w:r>
      <w:r>
        <w:rPr>
          <w:i/>
        </w:rPr>
        <w:t xml:space="preserve">C/(I+N) </w:t>
      </w:r>
      <w:r>
        <w:rPr/>
        <w:t xml:space="preserve">of less than </w:t>
      </w:r>
      <w:r>
        <w:rPr>
          <w:rFonts w:cs="Symbol" w:ascii="Symbol" w:hAnsi="Symbol"/>
        </w:rPr>
        <w:t></w:t>
      </w:r>
      <w:r>
        <w:rPr/>
        <w:t>10 dB shall be possible (at the 10</w:t>
      </w:r>
      <w:r>
        <w:rPr>
          <w:vertAlign w:val="superscript"/>
        </w:rPr>
        <w:t>th</w:t>
      </w:r>
      <w:r>
        <w:rPr/>
        <w:t xml:space="preserve"> percentile). At the 3</w:t>
      </w:r>
      <w:r>
        <w:rPr>
          <w:vertAlign w:val="superscript"/>
        </w:rPr>
        <w:t>rd</w:t>
      </w:r>
      <w:r>
        <w:rPr/>
        <w:t xml:space="preserve"> percentile, the necessary </w:t>
      </w:r>
      <w:r>
        <w:rPr>
          <w:i/>
        </w:rPr>
        <w:t>C/(I+N)</w:t>
      </w:r>
      <w:r>
        <w:rPr/>
        <w:t xml:space="preserve"> requirement for up to 5 LMUs is </w:t>
        <w:noBreakHyphen/>
        <w:t>13 dB.</w:t>
      </w:r>
    </w:p>
    <w:p>
      <w:pPr>
        <w:pStyle w:val="TH"/>
        <w:rPr>
          <w:rFonts w:ascii="Times New Roman" w:hAnsi="Times New Roman" w:cs="Times New Roman"/>
        </w:rPr>
      </w:pPr>
      <w:r>
        <w:rPr>
          <w:lang w:val="en-US" w:eastAsia="en-US"/>
        </w:rPr>
        <w:drawing>
          <wp:inline distT="0" distB="0" distL="0" distR="0">
            <wp:extent cx="3380105" cy="2259965"/>
            <wp:effectExtent l="0" t="0" r="0" b="0"/>
            <wp:docPr id="148"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72" descr=""/>
                    <pic:cNvPicPr>
                      <a:picLocks noChangeAspect="1" noChangeArrowheads="1"/>
                    </pic:cNvPicPr>
                  </pic:nvPicPr>
                  <pic:blipFill>
                    <a:blip r:embed="rId146"/>
                    <a:srcRect l="-5" t="-7" r="-5" b="-7"/>
                    <a:stretch>
                      <a:fillRect/>
                    </a:stretch>
                  </pic:blipFill>
                  <pic:spPr bwMode="auto">
                    <a:xfrm>
                      <a:off x="0" y="0"/>
                      <a:ext cx="3380105" cy="2259965"/>
                    </a:xfrm>
                    <a:prstGeom prst="rect">
                      <a:avLst/>
                    </a:prstGeom>
                  </pic:spPr>
                </pic:pic>
              </a:graphicData>
            </a:graphic>
          </wp:inline>
        </w:drawing>
      </w:r>
    </w:p>
    <w:p>
      <w:pPr>
        <w:pStyle w:val="TF"/>
        <w:rPr/>
      </w:pPr>
      <w:r>
        <w:rPr/>
        <w:t xml:space="preserve">Figure V.4.1: </w:t>
      </w:r>
      <w:r>
        <w:rPr>
          <w:i/>
        </w:rPr>
        <w:t>C/(I+N)</w:t>
      </w:r>
      <w:r>
        <w:rPr/>
        <w:t xml:space="preserve"> distribution in Bad Urban environment</w:t>
      </w:r>
    </w:p>
    <w:p>
      <w:pPr>
        <w:pStyle w:val="FP"/>
        <w:rPr>
          <w:lang w:val="en-US" w:eastAsia="en-US"/>
        </w:rPr>
      </w:pPr>
      <w:r>
        <w:rPr>
          <w:lang w:val="en-US" w:eastAsia="en-US"/>
        </w:rPr>
      </w:r>
    </w:p>
    <w:p>
      <w:pPr>
        <w:pStyle w:val="TH"/>
        <w:rPr>
          <w:lang w:val="en-US" w:eastAsia="en-US"/>
        </w:rPr>
      </w:pPr>
      <w:r>
        <w:rPr>
          <w:lang w:val="en-US" w:eastAsia="en-US"/>
        </w:rPr>
        <w:drawing>
          <wp:inline distT="0" distB="0" distL="0" distR="0">
            <wp:extent cx="3380105" cy="2259965"/>
            <wp:effectExtent l="0" t="0" r="0" b="0"/>
            <wp:docPr id="149"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73" descr=""/>
                    <pic:cNvPicPr>
                      <a:picLocks noChangeAspect="1" noChangeArrowheads="1"/>
                    </pic:cNvPicPr>
                  </pic:nvPicPr>
                  <pic:blipFill>
                    <a:blip r:embed="rId147"/>
                    <a:srcRect l="-5" t="-7" r="-5" b="-7"/>
                    <a:stretch>
                      <a:fillRect/>
                    </a:stretch>
                  </pic:blipFill>
                  <pic:spPr bwMode="auto">
                    <a:xfrm>
                      <a:off x="0" y="0"/>
                      <a:ext cx="3380105" cy="2259965"/>
                    </a:xfrm>
                    <a:prstGeom prst="rect">
                      <a:avLst/>
                    </a:prstGeom>
                  </pic:spPr>
                </pic:pic>
              </a:graphicData>
            </a:graphic>
          </wp:inline>
        </w:drawing>
      </w:r>
    </w:p>
    <w:p>
      <w:pPr>
        <w:pStyle w:val="TF"/>
        <w:rPr/>
      </w:pPr>
      <w:r>
        <w:rPr/>
        <w:t xml:space="preserve">Figure V.4.2: </w:t>
      </w:r>
      <w:r>
        <w:rPr>
          <w:i/>
        </w:rPr>
        <w:t>C/(I+N)</w:t>
      </w:r>
      <w:r>
        <w:rPr/>
        <w:t xml:space="preserve"> distribution in Rural environment</w:t>
      </w:r>
    </w:p>
    <w:p>
      <w:pPr>
        <w:pStyle w:val="Normal"/>
        <w:rPr/>
      </w:pPr>
      <w:r>
        <w:rPr/>
        <w:t>Positioning accuracy in a cellular system depend on a number of factors. The most important ones are:</w:t>
      </w:r>
    </w:p>
    <w:p>
      <w:pPr>
        <w:pStyle w:val="B1"/>
        <w:rPr/>
      </w:pPr>
      <w:r>
        <w:rPr>
          <w:b/>
        </w:rPr>
        <w:t>-</w:t>
        <w:tab/>
        <w:t>Measurement Geometry:</w:t>
      </w:r>
      <w:r>
        <w:rPr/>
        <w:t xml:space="preserve"> The location of the LMUs and the MS will influence the accuracy of the position fix, due to the phenomenon called Geometric Dilution of Precision (GDOP).</w:t>
      </w:r>
    </w:p>
    <w:p>
      <w:pPr>
        <w:pStyle w:val="B1"/>
        <w:rPr/>
      </w:pPr>
      <w:r>
        <w:rPr>
          <w:b/>
        </w:rPr>
        <w:t>-</w:t>
        <w:tab/>
        <w:t>Number of Measuring LMUs:</w:t>
      </w:r>
      <w:r>
        <w:rPr/>
        <w:t xml:space="preserve"> Increasing the number of measuring LMUs yields in general better accuracy.</w:t>
      </w:r>
    </w:p>
    <w:p>
      <w:pPr>
        <w:pStyle w:val="B1"/>
        <w:rPr/>
      </w:pPr>
      <w:r>
        <w:rPr>
          <w:b/>
        </w:rPr>
        <w:t>-</w:t>
        <w:tab/>
        <w:t>TOA Measurement Accuracy:</w:t>
      </w:r>
      <w:r>
        <w:rPr/>
        <w:t xml:space="preserve"> TOA measurement accuracy depends on SNR, propagation environment (multipath), etc.</w:t>
      </w:r>
    </w:p>
    <w:p>
      <w:pPr>
        <w:pStyle w:val="TH"/>
        <w:keepNext w:val="false"/>
        <w:keepLines w:val="false"/>
        <w:spacing w:before="0" w:after="180"/>
        <w:jc w:val="left"/>
        <w:rPr/>
      </w:pPr>
      <w:r>
        <w:rPr>
          <w:rFonts w:cs="Times New Roman" w:ascii="Times New Roman" w:hAnsi="Times New Roman"/>
          <w:b w:val="false"/>
        </w:rPr>
        <w:t>Figure V.4.3 shows the Circular Error Probability (CEP) (</w:t>
      </w:r>
      <w:r>
        <w:rPr>
          <w:rFonts w:cs="Times New Roman" w:ascii="Times New Roman" w:hAnsi="Times New Roman"/>
          <w:b w:val="false"/>
          <w:i/>
        </w:rPr>
        <w:t>i.e</w:t>
      </w:r>
      <w:r>
        <w:rPr>
          <w:rFonts w:cs="Times New Roman" w:ascii="Times New Roman" w:hAnsi="Times New Roman"/>
          <w:b w:val="false"/>
        </w:rPr>
        <w:t xml:space="preserve">. the probability of locating the MS within a circle of radius </w:t>
      </w:r>
      <w:r>
        <w:rPr>
          <w:rFonts w:cs="Times New Roman" w:ascii="Times New Roman" w:hAnsi="Times New Roman"/>
          <w:b w:val="false"/>
          <w:i/>
        </w:rPr>
        <w:t>r</w:t>
      </w:r>
      <w:r>
        <w:rPr>
          <w:rFonts w:cs="Times New Roman" w:ascii="Times New Roman" w:hAnsi="Times New Roman"/>
          <w:b w:val="false"/>
        </w:rPr>
        <w:t xml:space="preserve"> ("CEP-radius")) for different number of LMUs, for different accuracies of the TOA estimate and for different CEP radii. The assumption were as follows:</w:t>
      </w:r>
    </w:p>
    <w:p>
      <w:pPr>
        <w:pStyle w:val="B1"/>
        <w:rPr/>
      </w:pPr>
      <w:r>
        <w:rPr/>
        <w:t>-</w:t>
        <w:tab/>
        <w:t>Hexagonal arrangement of LMUs in a cellular network.</w:t>
      </w:r>
    </w:p>
    <w:p>
      <w:pPr>
        <w:pStyle w:val="B1"/>
        <w:rPr/>
      </w:pPr>
      <w:r>
        <w:rPr/>
        <w:t>-</w:t>
        <w:tab/>
        <w:t xml:space="preserve">The TOA measurement errors are assumed to be Gaussian distributed with standard deviation </w:t>
      </w:r>
      <w:r>
        <w:rPr>
          <w:rFonts w:cs="Symbol" w:ascii="Symbol" w:hAnsi="Symbol"/>
          <w:i/>
        </w:rPr>
        <w:t></w:t>
      </w:r>
      <w:r>
        <w:rPr>
          <w:i/>
          <w:vertAlign w:val="subscript"/>
        </w:rPr>
        <w:t>r</w:t>
      </w:r>
      <w:r>
        <w:rPr>
          <w:i/>
        </w:rPr>
        <w:t xml:space="preserve"> </w:t>
      </w:r>
      <w:r>
        <w:rPr/>
        <w:t xml:space="preserve">, which is equal for each measurement link. </w:t>
      </w:r>
      <w:r>
        <w:rPr>
          <w:rFonts w:cs="Symbol" w:ascii="Symbol" w:hAnsi="Symbol"/>
          <w:i/>
        </w:rPr>
        <w:t></w:t>
      </w:r>
      <w:r>
        <w:rPr>
          <w:i/>
          <w:vertAlign w:val="subscript"/>
        </w:rPr>
        <w:t>r</w:t>
      </w:r>
      <w:r>
        <w:rPr/>
        <w:t>={0.17, 0.33, 0.5, 0.67} [</w:t>
      </w:r>
      <w:r>
        <w:rPr>
          <w:rFonts w:cs="Symbol" w:ascii="Symbol" w:hAnsi="Symbol"/>
        </w:rPr>
        <w:t></w:t>
      </w:r>
      <w:r>
        <w:rPr/>
        <w:t xml:space="preserve">s] which corresponds to </w:t>
      </w:r>
      <w:r>
        <w:rPr>
          <w:rFonts w:cs="Symbol" w:ascii="Symbol" w:hAnsi="Symbol"/>
          <w:i/>
        </w:rPr>
        <w:t></w:t>
      </w:r>
      <w:r>
        <w:rPr>
          <w:i/>
          <w:vertAlign w:val="subscript"/>
        </w:rPr>
        <w:t>r</w:t>
      </w:r>
      <w:r>
        <w:rPr>
          <w:i/>
        </w:rPr>
        <w:t xml:space="preserve"> </w:t>
      </w:r>
      <w:r>
        <w:rPr/>
        <w:t>= {50, 100, 150, 200 } [m] as shown in the figure legend of figure V.4.3.</w:t>
      </w:r>
    </w:p>
    <w:p>
      <w:pPr>
        <w:pStyle w:val="B1"/>
        <w:rPr/>
      </w:pPr>
      <w:r>
        <w:rPr/>
        <w:t>-</w:t>
        <w:tab/>
        <w:t>4 different CEP radii are evaluated in figure V.4.3: 50 m 100 m, 150 m and 300 m (shown in the title of each figure).</w:t>
      </w:r>
    </w:p>
    <w:p>
      <w:pPr>
        <w:pStyle w:val="Normal"/>
        <w:keepNext w:val="true"/>
        <w:keepLines/>
        <w:rPr/>
      </w:pPr>
      <w:r>
        <w:rPr/>
        <w:t>From FigureV.4.3 (upper right) one can see, that in order to locate a MS within a radius of 100 m in 67% of the cases, 5 LMUs are required with a TOA estimation standard deviation of about 100 m for each measurement link. To locate 95% of the MSs within 300 m, 3-4 LMUs are required with TOA estimation accuracy of 100m (lower right figure).</w:t>
        <w:br/>
        <w:t>NOTE: Positioning performance is determined from a multitude of individual links each with distinct operating point (</w:t>
      </w:r>
      <w:r>
        <w:rPr>
          <w:i/>
        </w:rPr>
        <w:t>C/I</w:t>
      </w:r>
      <w:r>
        <w:rPr/>
        <w:t xml:space="preserve"> and </w:t>
      </w:r>
      <w:r>
        <w:rPr>
          <w:i/>
        </w:rPr>
        <w:t>E</w:t>
      </w:r>
      <w:r>
        <w:rPr>
          <w:i/>
          <w:vertAlign w:val="subscript"/>
        </w:rPr>
        <w:t>b</w:t>
      </w:r>
      <w:r>
        <w:rPr>
          <w:i/>
        </w:rPr>
        <w:t>/N</w:t>
      </w:r>
      <w:r>
        <w:rPr>
          <w:i/>
          <w:vertAlign w:val="subscript"/>
        </w:rPr>
        <w:t>0</w:t>
      </w:r>
      <w:r>
        <w:rPr/>
        <w:t>), shadow fading, and multipath dispersion. These random parameters, the random delay estimates corresponding to unique realizations of noise and interference, plus the unique solution geometry for any mobile location chosen in the service area mean there is not a straightforward, systematic way to relate average position location performance to individual link performance. The analysis above is only valid under the given assumptions.  In reality, the TOA measurement accuracy will vary considerably between the different LMUs. For example, the LMU co-located with the serving BTS will always have a better TOA estimation accuracy than the neighbour links. However, under the assumptions above, the FiguresV.4.3 give some indication of the required TOA estimation accuracy. The TOA estimation accuracy should be about 100 m per link if 5 LMUs are used in order to obtain 100 m (67%) and 300m (95%) positioning accuracy.</w:t>
      </w:r>
    </w:p>
    <w:p>
      <w:pPr>
        <w:pStyle w:val="TH"/>
        <w:rPr>
          <w:rFonts w:ascii="Times New Roman" w:hAnsi="Times New Roman" w:cs="Times New Roman"/>
        </w:rPr>
      </w:pPr>
      <w:r>
        <w:rPr>
          <w:lang w:val="en-US" w:eastAsia="en-US"/>
        </w:rPr>
        <w:drawing>
          <wp:inline distT="0" distB="0" distL="0" distR="0">
            <wp:extent cx="2854325" cy="1908175"/>
            <wp:effectExtent l="0" t="0" r="0" b="0"/>
            <wp:docPr id="150"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74" descr=""/>
                    <pic:cNvPicPr>
                      <a:picLocks noChangeAspect="1" noChangeArrowheads="1"/>
                    </pic:cNvPicPr>
                  </pic:nvPicPr>
                  <pic:blipFill>
                    <a:blip r:embed="rId148"/>
                    <a:srcRect l="-5" t="-7" r="-5" b="-7"/>
                    <a:stretch>
                      <a:fillRect/>
                    </a:stretch>
                  </pic:blipFill>
                  <pic:spPr bwMode="auto">
                    <a:xfrm>
                      <a:off x="0" y="0"/>
                      <a:ext cx="2854325" cy="1908175"/>
                    </a:xfrm>
                    <a:prstGeom prst="rect">
                      <a:avLst/>
                    </a:prstGeom>
                  </pic:spPr>
                </pic:pic>
              </a:graphicData>
            </a:graphic>
          </wp:inline>
        </w:drawing>
      </w:r>
      <w:r>
        <w:rPr>
          <w:lang w:val="en-US" w:eastAsia="en-US"/>
        </w:rPr>
        <w:drawing>
          <wp:inline distT="0" distB="0" distL="0" distR="0">
            <wp:extent cx="2854325" cy="1908175"/>
            <wp:effectExtent l="0" t="0" r="0" b="0"/>
            <wp:docPr id="151"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75" descr=""/>
                    <pic:cNvPicPr>
                      <a:picLocks noChangeAspect="1" noChangeArrowheads="1"/>
                    </pic:cNvPicPr>
                  </pic:nvPicPr>
                  <pic:blipFill>
                    <a:blip r:embed="rId149"/>
                    <a:srcRect l="-5" t="-7" r="-5" b="-7"/>
                    <a:stretch>
                      <a:fillRect/>
                    </a:stretch>
                  </pic:blipFill>
                  <pic:spPr bwMode="auto">
                    <a:xfrm>
                      <a:off x="0" y="0"/>
                      <a:ext cx="2854325" cy="1908175"/>
                    </a:xfrm>
                    <a:prstGeom prst="rect">
                      <a:avLst/>
                    </a:prstGeom>
                  </pic:spPr>
                </pic:pic>
              </a:graphicData>
            </a:graphic>
          </wp:inline>
        </w:drawing>
      </w:r>
    </w:p>
    <w:p>
      <w:pPr>
        <w:pStyle w:val="FP"/>
        <w:rPr>
          <w:rFonts w:ascii="Times New Roman" w:hAnsi="Times New Roman" w:cs="Times New Roman"/>
        </w:rPr>
      </w:pPr>
      <w:r>
        <w:rPr>
          <w:rFonts w:cs="Times New Roman"/>
        </w:rPr>
      </w:r>
    </w:p>
    <w:p>
      <w:pPr>
        <w:pStyle w:val="TH"/>
        <w:rPr>
          <w:rFonts w:ascii="Times New Roman" w:hAnsi="Times New Roman" w:cs="Times New Roman"/>
        </w:rPr>
      </w:pPr>
      <w:r>
        <w:rPr>
          <w:lang w:val="en-US" w:eastAsia="en-US"/>
        </w:rPr>
        <w:drawing>
          <wp:inline distT="0" distB="0" distL="0" distR="0">
            <wp:extent cx="2854325" cy="1908175"/>
            <wp:effectExtent l="0" t="0" r="0" b="0"/>
            <wp:docPr id="152"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76" descr=""/>
                    <pic:cNvPicPr>
                      <a:picLocks noChangeAspect="1" noChangeArrowheads="1"/>
                    </pic:cNvPicPr>
                  </pic:nvPicPr>
                  <pic:blipFill>
                    <a:blip r:embed="rId150"/>
                    <a:srcRect l="-5" t="-7" r="-5" b="-7"/>
                    <a:stretch>
                      <a:fillRect/>
                    </a:stretch>
                  </pic:blipFill>
                  <pic:spPr bwMode="auto">
                    <a:xfrm>
                      <a:off x="0" y="0"/>
                      <a:ext cx="2854325" cy="1908175"/>
                    </a:xfrm>
                    <a:prstGeom prst="rect">
                      <a:avLst/>
                    </a:prstGeom>
                  </pic:spPr>
                </pic:pic>
              </a:graphicData>
            </a:graphic>
          </wp:inline>
        </w:drawing>
      </w:r>
      <w:r>
        <w:rPr>
          <w:lang w:val="en-US" w:eastAsia="en-US"/>
        </w:rPr>
        <w:drawing>
          <wp:inline distT="0" distB="0" distL="0" distR="0">
            <wp:extent cx="2854325" cy="1908175"/>
            <wp:effectExtent l="0" t="0" r="0" b="0"/>
            <wp:docPr id="153"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77" descr=""/>
                    <pic:cNvPicPr>
                      <a:picLocks noChangeAspect="1" noChangeArrowheads="1"/>
                    </pic:cNvPicPr>
                  </pic:nvPicPr>
                  <pic:blipFill>
                    <a:blip r:embed="rId151"/>
                    <a:srcRect l="-5" t="-7" r="-5" b="-7"/>
                    <a:stretch>
                      <a:fillRect/>
                    </a:stretch>
                  </pic:blipFill>
                  <pic:spPr bwMode="auto">
                    <a:xfrm>
                      <a:off x="0" y="0"/>
                      <a:ext cx="2854325" cy="1908175"/>
                    </a:xfrm>
                    <a:prstGeom prst="rect">
                      <a:avLst/>
                    </a:prstGeom>
                  </pic:spPr>
                </pic:pic>
              </a:graphicData>
            </a:graphic>
          </wp:inline>
        </w:drawing>
      </w:r>
    </w:p>
    <w:p>
      <w:pPr>
        <w:pStyle w:val="TF"/>
        <w:rPr/>
      </w:pPr>
      <w:r>
        <w:rPr/>
        <w:t>Figure V.4.3: Circular Error probability for various CEP radii</w:t>
      </w:r>
    </w:p>
    <w:p>
      <w:pPr>
        <w:pStyle w:val="Heading2"/>
        <w:rPr/>
      </w:pPr>
      <w:bookmarkStart w:id="599" w:name="__RefHeading___Toc518036013"/>
      <w:bookmarkEnd w:id="599"/>
      <w:r>
        <w:rPr/>
        <w:t>V.4.2</w:t>
        <w:tab/>
        <w:t>Simulation model</w:t>
      </w:r>
    </w:p>
    <w:p>
      <w:pPr>
        <w:pStyle w:val="Normal"/>
        <w:rPr/>
      </w:pPr>
      <w:r>
        <w:rPr/>
        <w:t xml:space="preserve">All simulations are based on floating point calculations in all parts of the transmission chain. No quantization effects are taken into account. In order to cover the performance of a real receiver an additional implementation margin of three (3) dB shall be allowed. This means, that a simulated value at </w:t>
      </w:r>
      <w:r>
        <w:rPr>
          <w:rFonts w:cs="Symbol" w:ascii="Symbol" w:hAnsi="Symbol"/>
        </w:rPr>
        <w:t></w:t>
      </w:r>
      <w:r>
        <w:rPr/>
        <w:t xml:space="preserve">12 dB </w:t>
      </w:r>
      <w:r>
        <w:rPr>
          <w:i/>
        </w:rPr>
        <w:t>C/I</w:t>
      </w:r>
      <w:r>
        <w:rPr/>
        <w:t xml:space="preserve"> corresponds to the performance of a real LMU at </w:t>
      </w:r>
      <w:r>
        <w:rPr>
          <w:rFonts w:cs="Symbol" w:ascii="Symbol" w:hAnsi="Symbol"/>
        </w:rPr>
        <w:t></w:t>
      </w:r>
      <w:r>
        <w:rPr/>
        <w:t xml:space="preserve">9 dB </w:t>
      </w:r>
      <w:r>
        <w:rPr>
          <w:i/>
        </w:rPr>
        <w:t>C/I</w:t>
      </w:r>
      <w:r>
        <w:rPr/>
        <w:t xml:space="preserve">.  Taking a reasonable noise figure (8 dB) into account, a simulated value of </w:t>
        <w:noBreakHyphen/>
        <w:t xml:space="preserve">16 dB </w:t>
      </w:r>
      <w:r>
        <w:rPr>
          <w:i/>
        </w:rPr>
        <w:t>E</w:t>
      </w:r>
      <w:r>
        <w:rPr>
          <w:i/>
          <w:vertAlign w:val="subscript"/>
        </w:rPr>
        <w:t>b</w:t>
      </w:r>
      <w:r>
        <w:rPr>
          <w:i/>
        </w:rPr>
        <w:t>/N</w:t>
      </w:r>
      <w:r>
        <w:rPr>
          <w:i/>
          <w:vertAlign w:val="subscript"/>
        </w:rPr>
        <w:t>0</w:t>
      </w:r>
      <w:r>
        <w:rPr/>
        <w:t xml:space="preserve"> corresponds to the performance of a real LMU at </w:t>
        <w:noBreakHyphen/>
        <w:t xml:space="preserve">13 dB </w:t>
      </w:r>
      <w:r>
        <w:rPr>
          <w:i/>
        </w:rPr>
        <w:t>E</w:t>
      </w:r>
      <w:r>
        <w:rPr>
          <w:i/>
          <w:vertAlign w:val="subscript"/>
        </w:rPr>
        <w:t>b</w:t>
      </w:r>
      <w:r>
        <w:rPr>
          <w:i/>
        </w:rPr>
        <w:t>/N</w:t>
      </w:r>
      <w:r>
        <w:rPr>
          <w:i/>
          <w:vertAlign w:val="subscript"/>
        </w:rPr>
        <w:t>0</w:t>
      </w:r>
      <w:r>
        <w:rPr/>
        <w:t xml:space="preserve"> which corresponds to the reference sensitivity input level of the LMU as defined in GSM 05.05 (annex H.1, table H.1.1).</w:t>
      </w:r>
    </w:p>
    <w:p>
      <w:pPr>
        <w:pStyle w:val="Normal"/>
        <w:rPr/>
      </w:pPr>
      <w:r>
        <w:rPr/>
        <w:t>The carrier signal consists of GMSK modulated Random Access Bursts. The duration of the carrier signal is 320 ms. The Access Bursts occur once every TDMA frame in a 26-frame multiframe, except in frame number 12 and 25.</w:t>
      </w:r>
    </w:p>
    <w:p>
      <w:pPr>
        <w:pStyle w:val="Normal"/>
        <w:rPr/>
      </w:pPr>
      <w:r>
        <w:rPr/>
        <w:t>The access bursts contain 36 encrypted bits, which include the handover reference number and (indirectly) the BSIC of the base station to which the handover is intended. The handover reference number and the BSIC is made known to the LMU(GSM 04.71). Therefore, the whole Access Burst is used for TOA estimation (and not only the training sequence).</w:t>
      </w:r>
    </w:p>
    <w:p>
      <w:pPr>
        <w:pStyle w:val="Normal"/>
        <w:rPr/>
      </w:pPr>
      <w:r>
        <w:rPr/>
        <w:t>The measurement accuracy is the root</w:t>
      </w:r>
      <w:r>
        <w:rPr>
          <w:rFonts w:cs="Symbol" w:ascii="Symbol" w:hAnsi="Symbol"/>
        </w:rPr>
        <w:t></w:t>
      </w:r>
      <w:r>
        <w:rPr/>
        <w:t>mean</w:t>
      </w:r>
      <w:r>
        <w:rPr>
          <w:rFonts w:cs="Symbol" w:ascii="Symbol" w:hAnsi="Symbol"/>
        </w:rPr>
        <w:t></w:t>
      </w:r>
      <w:r>
        <w:rPr/>
        <w:t>square error (90%) as defined in GSM 05.05 (annex H.1.3.1). A total number of 1000 measurement trials are performed.</w:t>
      </w:r>
    </w:p>
    <w:p>
      <w:pPr>
        <w:pStyle w:val="NO"/>
        <w:rPr/>
      </w:pPr>
      <w:r>
        <w:rPr/>
        <w:t>NOTE 1:</w:t>
        <w:tab/>
        <w:t>The RMS</w:t>
      </w:r>
      <w:r>
        <w:rPr>
          <w:vertAlign w:val="subscript"/>
        </w:rPr>
        <w:t>90</w:t>
      </w:r>
      <w:r>
        <w:rPr/>
        <w:t xml:space="preserve"> criterion has been chosen here because it is less sensitive to occasional large outliers in the TOA estimate. For a limited number of test iterations, the measured RMS</w:t>
      </w:r>
      <w:r>
        <w:rPr>
          <w:vertAlign w:val="subscript"/>
        </w:rPr>
        <w:t>90</w:t>
      </w:r>
      <w:r>
        <w:rPr/>
        <w:t xml:space="preserve"> error converges more quickly to the true RMS</w:t>
      </w:r>
      <w:r>
        <w:rPr>
          <w:vertAlign w:val="subscript"/>
        </w:rPr>
        <w:t>90</w:t>
      </w:r>
      <w:r>
        <w:rPr/>
        <w:t xml:space="preserve"> error than the 100% RMS error because infrequent large outliers do not influence the statistic.</w:t>
      </w:r>
    </w:p>
    <w:p>
      <w:pPr>
        <w:pStyle w:val="Normal"/>
        <w:rPr/>
      </w:pPr>
      <w:r>
        <w:rPr/>
        <w:t>The LMU uses a correlation search window of 20 bit periods (GSM 04.71), as defined in GSM 05.05 (annex H.1.3.1).</w:t>
      </w:r>
    </w:p>
    <w:p>
      <w:pPr>
        <w:pStyle w:val="Normal"/>
        <w:rPr/>
      </w:pPr>
      <w:r>
        <w:rPr/>
        <w:t>The true time of arrival is uniformly distributed within the correlation search window for each measurement trial.</w:t>
      </w:r>
    </w:p>
    <w:p>
      <w:pPr>
        <w:pStyle w:val="NO"/>
        <w:rPr/>
      </w:pPr>
      <w:r>
        <w:rPr/>
        <w:t>NOTE 2:</w:t>
        <w:tab/>
        <w:t>This is necessary in order to randomize the sampling instant at the LMU and therefore, to avoid sampling the correlation function always close to its maximum value.</w:t>
      </w:r>
    </w:p>
    <w:p>
      <w:pPr>
        <w:pStyle w:val="Normal"/>
        <w:rPr/>
      </w:pPr>
      <w:r>
        <w:rPr/>
        <w:t>The interfering signal consists of GMSK modulated normal bursts. The training sequence is chosen randomly from the 8 possible normal bursts training sequences, but kept fixed during one 320 ms measurement trial.</w:t>
      </w:r>
    </w:p>
    <w:p>
      <w:pPr>
        <w:pStyle w:val="Normal"/>
        <w:rPr/>
      </w:pPr>
      <w:r>
        <w:rPr/>
        <w:t>The time offset between the carrier and the interferer signal is uniformly distributed between 0 and 156.25 bit periods, but fixed during one 320 ms measurement trial, as defined in GSM 05.05 (annex H.1.3.2).</w:t>
      </w:r>
    </w:p>
    <w:p>
      <w:pPr>
        <w:pStyle w:val="NO"/>
        <w:rPr/>
      </w:pPr>
      <w:r>
        <w:rPr/>
        <w:t>NOTE 3:</w:t>
        <w:tab/>
        <w:t xml:space="preserve">At very low </w:t>
      </w:r>
      <w:r>
        <w:rPr>
          <w:i/>
        </w:rPr>
        <w:t>C/I</w:t>
      </w:r>
      <w:r>
        <w:rPr/>
        <w:t xml:space="preserve"> values, the cross correlation between the carrier training sequence and interfering training sequence is not negligible. Therefore, it is necessary to define this measurement scenario. </w:t>
      </w:r>
    </w:p>
    <w:p>
      <w:pPr>
        <w:pStyle w:val="Heading2"/>
        <w:rPr/>
      </w:pPr>
      <w:bookmarkStart w:id="600" w:name="__RefHeading___Toc518036014"/>
      <w:bookmarkEnd w:id="600"/>
      <w:r>
        <w:rPr/>
        <w:t>V.4.3</w:t>
        <w:tab/>
        <w:t>Assumed TOA estimation algorithm</w:t>
      </w:r>
    </w:p>
    <w:p>
      <w:pPr>
        <w:pStyle w:val="Normal"/>
        <w:rPr/>
      </w:pPr>
      <w:r>
        <w:rPr/>
        <w:t>The used TOA estimation algorithm performs first a correlation of the received bursts with the expected sequence and second an incoherent integration of the correlation results in order to find the maximum value of the correlation. The correlation result is interpolated to give the desired resolution. A multipath rejection algorithm is applied which exploits the fading of the multipath channel.</w:t>
      </w:r>
    </w:p>
    <w:p>
      <w:pPr>
        <w:pStyle w:val="Heading2"/>
        <w:rPr/>
      </w:pPr>
      <w:bookmarkStart w:id="601" w:name="__RefHeading___Toc518036015"/>
      <w:bookmarkEnd w:id="601"/>
      <w:r>
        <w:rPr/>
        <w:t>V.4.4</w:t>
        <w:tab/>
        <w:t>Simulation results</w:t>
      </w:r>
    </w:p>
    <w:p>
      <w:pPr>
        <w:pStyle w:val="Heading3"/>
        <w:rPr/>
      </w:pPr>
      <w:bookmarkStart w:id="602" w:name="__RefHeading___Toc518036016"/>
      <w:bookmarkEnd w:id="602"/>
      <w:r>
        <w:rPr/>
        <w:t>V.4.4.1</w:t>
        <w:tab/>
        <w:t>Sensitivity performance</w:t>
      </w:r>
    </w:p>
    <w:p>
      <w:pPr>
        <w:pStyle w:val="Normal"/>
        <w:rPr/>
      </w:pPr>
      <w:r>
        <w:rPr/>
        <w:t>Figure V.4.4 shows the root</w:t>
      </w:r>
      <w:r>
        <w:rPr>
          <w:rFonts w:cs="Symbol" w:ascii="Symbol" w:hAnsi="Symbol"/>
        </w:rPr>
        <w:t></w:t>
      </w:r>
      <w:r>
        <w:rPr/>
        <w:t>mean</w:t>
      </w:r>
      <w:r>
        <w:rPr>
          <w:rFonts w:cs="Symbol" w:ascii="Symbol" w:hAnsi="Symbol"/>
        </w:rPr>
        <w:t></w:t>
      </w:r>
      <w:r>
        <w:rPr/>
        <w:t>square error (RMSE</w:t>
      </w:r>
      <w:r>
        <w:rPr>
          <w:vertAlign w:val="subscript"/>
        </w:rPr>
        <w:t>90</w:t>
      </w:r>
      <w:r>
        <w:rPr/>
        <w:t xml:space="preserve">) of the estimated TOA (in </w:t>
      </w:r>
      <w:r>
        <w:rPr>
          <w:rFonts w:cs="Symbol" w:ascii="Symbol" w:hAnsi="Symbol"/>
        </w:rPr>
        <w:t></w:t>
      </w:r>
      <w:r>
        <w:rPr/>
        <w:t xml:space="preserve">s) at the LMU as function of </w:t>
      </w:r>
      <w:r>
        <w:rPr>
          <w:i/>
        </w:rPr>
        <w:t>E</w:t>
      </w:r>
      <w:r>
        <w:rPr>
          <w:i/>
          <w:vertAlign w:val="subscript"/>
        </w:rPr>
        <w:t>b</w:t>
      </w:r>
      <w:r>
        <w:rPr>
          <w:i/>
        </w:rPr>
        <w:t>/N</w:t>
      </w:r>
      <w:r>
        <w:rPr>
          <w:i/>
          <w:vertAlign w:val="subscript"/>
        </w:rPr>
        <w:t>0</w:t>
      </w:r>
      <w:r>
        <w:rPr/>
        <w:t xml:space="preserve"> in an AWGN channel. Above a certain </w:t>
      </w:r>
      <w:r>
        <w:rPr>
          <w:i/>
        </w:rPr>
        <w:t>E</w:t>
      </w:r>
      <w:r>
        <w:rPr>
          <w:i/>
          <w:vertAlign w:val="subscript"/>
        </w:rPr>
        <w:t>b</w:t>
      </w:r>
      <w:r>
        <w:rPr>
          <w:i/>
        </w:rPr>
        <w:t>/N</w:t>
      </w:r>
      <w:r>
        <w:rPr>
          <w:i/>
          <w:vertAlign w:val="subscript"/>
        </w:rPr>
        <w:t xml:space="preserve">0 , </w:t>
      </w:r>
      <w:r>
        <w:rPr/>
        <w:t xml:space="preserve">the TOA estimation error decreases exponentially with increasing </w:t>
      </w:r>
      <w:r>
        <w:rPr>
          <w:i/>
        </w:rPr>
        <w:t>E</w:t>
      </w:r>
      <w:r>
        <w:rPr>
          <w:i/>
          <w:vertAlign w:val="subscript"/>
        </w:rPr>
        <w:t>b</w:t>
      </w:r>
      <w:r>
        <w:rPr>
          <w:i/>
        </w:rPr>
        <w:t>/N</w:t>
      </w:r>
      <w:r>
        <w:rPr>
          <w:i/>
          <w:vertAlign w:val="subscript"/>
        </w:rPr>
        <w:t xml:space="preserve">0 </w:t>
      </w:r>
      <w:r>
        <w:rPr/>
        <w:t xml:space="preserve"> Below a certain </w:t>
      </w:r>
      <w:r>
        <w:rPr>
          <w:i/>
        </w:rPr>
        <w:t>E</w:t>
      </w:r>
      <w:r>
        <w:rPr>
          <w:i/>
          <w:vertAlign w:val="subscript"/>
        </w:rPr>
        <w:t>b</w:t>
      </w:r>
      <w:r>
        <w:rPr>
          <w:i/>
        </w:rPr>
        <w:t>/N</w:t>
      </w:r>
      <w:r>
        <w:rPr>
          <w:i/>
          <w:vertAlign w:val="subscript"/>
        </w:rPr>
        <w:t>0</w:t>
      </w:r>
      <w:r>
        <w:rPr/>
        <w:t xml:space="preserve"> value, the TOA error increases rapidly, because the bursts are less likely to be detected. The TOA error is then uniformly distributed within the correlation search window. The detection threshold is around </w:t>
        <w:noBreakHyphen/>
        <w:t xml:space="preserve">20 dB </w:t>
      </w:r>
      <w:r>
        <w:rPr>
          <w:i/>
        </w:rPr>
        <w:t>E</w:t>
      </w:r>
      <w:r>
        <w:rPr>
          <w:i/>
          <w:vertAlign w:val="subscript"/>
        </w:rPr>
        <w:t>b</w:t>
      </w:r>
      <w:r>
        <w:rPr>
          <w:i/>
        </w:rPr>
        <w:t>/N</w:t>
      </w:r>
      <w:r>
        <w:rPr>
          <w:i/>
          <w:vertAlign w:val="subscript"/>
        </w:rPr>
        <w:t>0</w:t>
      </w:r>
      <w:r>
        <w:rPr/>
        <w:t>. The figure V.4.5 shows the corresponding result in a flat Rayleigh fading channel, with perfect decorrelation between the bursts.</w:t>
      </w:r>
    </w:p>
    <w:p>
      <w:pPr>
        <w:pStyle w:val="TH"/>
        <w:rPr>
          <w:lang w:val="en-US" w:eastAsia="en-US"/>
        </w:rPr>
      </w:pPr>
      <w:r>
        <w:rPr>
          <w:lang w:val="en-US" w:eastAsia="en-US"/>
        </w:rPr>
        <w:drawing>
          <wp:inline distT="0" distB="0" distL="0" distR="0">
            <wp:extent cx="3756025" cy="2510790"/>
            <wp:effectExtent l="0" t="0" r="0" b="0"/>
            <wp:docPr id="154" name="Imag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78" descr=""/>
                    <pic:cNvPicPr>
                      <a:picLocks noChangeAspect="1" noChangeArrowheads="1"/>
                    </pic:cNvPicPr>
                  </pic:nvPicPr>
                  <pic:blipFill>
                    <a:blip r:embed="rId152"/>
                    <a:srcRect l="-5" t="-7" r="-5" b="-7"/>
                    <a:stretch>
                      <a:fillRect/>
                    </a:stretch>
                  </pic:blipFill>
                  <pic:spPr bwMode="auto">
                    <a:xfrm>
                      <a:off x="0" y="0"/>
                      <a:ext cx="3756025" cy="2510790"/>
                    </a:xfrm>
                    <a:prstGeom prst="rect">
                      <a:avLst/>
                    </a:prstGeom>
                  </pic:spPr>
                </pic:pic>
              </a:graphicData>
            </a:graphic>
          </wp:inline>
        </w:drawing>
      </w:r>
    </w:p>
    <w:p>
      <w:pPr>
        <w:pStyle w:val="TF"/>
        <w:rPr/>
      </w:pPr>
      <w:r>
        <w:rPr/>
        <w:t xml:space="preserve">Figure V.4.4: TOA estimation error (in </w:t>
      </w:r>
      <w:r>
        <w:rPr>
          <w:rFonts w:cs="Symbol" w:ascii="Symbol" w:hAnsi="Symbol"/>
        </w:rPr>
        <w:t></w:t>
      </w:r>
      <w:r>
        <w:rPr/>
        <w:t xml:space="preserve">s) as function of </w:t>
      </w:r>
      <w:r>
        <w:rPr>
          <w:i/>
        </w:rPr>
        <w:t>E</w:t>
      </w:r>
      <w:r>
        <w:rPr>
          <w:i/>
          <w:vertAlign w:val="subscript"/>
        </w:rPr>
        <w:t>b</w:t>
      </w:r>
      <w:r>
        <w:rPr>
          <w:i/>
        </w:rPr>
        <w:t>/N</w:t>
      </w:r>
      <w:r>
        <w:rPr>
          <w:i/>
          <w:vertAlign w:val="subscript"/>
        </w:rPr>
        <w:t>0</w:t>
      </w:r>
      <w:r>
        <w:rPr/>
        <w:t xml:space="preserve"> in a static channel</w:t>
      </w:r>
    </w:p>
    <w:p>
      <w:pPr>
        <w:pStyle w:val="TH"/>
        <w:rPr>
          <w:lang w:val="en-US" w:eastAsia="en-US"/>
        </w:rPr>
      </w:pPr>
      <w:r>
        <w:rPr>
          <w:lang w:val="en-US" w:eastAsia="en-US"/>
        </w:rPr>
        <w:drawing>
          <wp:inline distT="0" distB="0" distL="0" distR="0">
            <wp:extent cx="3756025" cy="2470785"/>
            <wp:effectExtent l="0" t="0" r="0" b="0"/>
            <wp:docPr id="155" name="Imag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79" descr=""/>
                    <pic:cNvPicPr>
                      <a:picLocks noChangeAspect="1" noChangeArrowheads="1"/>
                    </pic:cNvPicPr>
                  </pic:nvPicPr>
                  <pic:blipFill>
                    <a:blip r:embed="rId153"/>
                    <a:srcRect l="-5" t="-7" r="-5" b="-7"/>
                    <a:stretch>
                      <a:fillRect/>
                    </a:stretch>
                  </pic:blipFill>
                  <pic:spPr bwMode="auto">
                    <a:xfrm>
                      <a:off x="0" y="0"/>
                      <a:ext cx="3756025" cy="2470785"/>
                    </a:xfrm>
                    <a:prstGeom prst="rect">
                      <a:avLst/>
                    </a:prstGeom>
                  </pic:spPr>
                </pic:pic>
              </a:graphicData>
            </a:graphic>
          </wp:inline>
        </w:drawing>
      </w:r>
    </w:p>
    <w:p>
      <w:pPr>
        <w:pStyle w:val="TF"/>
        <w:rPr/>
      </w:pPr>
      <w:r>
        <w:rPr/>
        <w:t xml:space="preserve">Figure V.4.5: TOA estimation error (in </w:t>
      </w:r>
      <w:r>
        <w:rPr>
          <w:rFonts w:cs="Symbol" w:ascii="Symbol" w:hAnsi="Symbol"/>
        </w:rPr>
        <w:t></w:t>
      </w:r>
      <w:r>
        <w:rPr/>
        <w:t xml:space="preserve">s) as function of </w:t>
      </w:r>
      <w:r>
        <w:rPr>
          <w:i/>
        </w:rPr>
        <w:t>E</w:t>
      </w:r>
      <w:r>
        <w:rPr>
          <w:i/>
          <w:vertAlign w:val="subscript"/>
        </w:rPr>
        <w:t>b</w:t>
      </w:r>
      <w:r>
        <w:rPr>
          <w:i/>
        </w:rPr>
        <w:t>/N</w:t>
      </w:r>
      <w:r>
        <w:rPr>
          <w:i/>
          <w:vertAlign w:val="subscript"/>
        </w:rPr>
        <w:t>0</w:t>
      </w:r>
      <w:r>
        <w:rPr/>
        <w:t xml:space="preserve"> in a flat Rayleigh fading channel</w:t>
      </w:r>
    </w:p>
    <w:p>
      <w:pPr>
        <w:pStyle w:val="Heading3"/>
        <w:rPr/>
      </w:pPr>
      <w:bookmarkStart w:id="603" w:name="__RefHeading___Toc518036017"/>
      <w:bookmarkEnd w:id="603"/>
      <w:r>
        <w:rPr/>
        <w:t>V.4.4.2</w:t>
        <w:tab/>
        <w:t>Interference performance</w:t>
      </w:r>
    </w:p>
    <w:p>
      <w:pPr>
        <w:pStyle w:val="Normal"/>
        <w:rPr/>
      </w:pPr>
      <w:r>
        <w:rPr/>
        <w:t>Figures V.4.6 and V.4.7 show the TOA estimation performance as function of the carrier</w:t>
      </w:r>
      <w:r>
        <w:rPr>
          <w:rFonts w:cs="Symbol" w:ascii="Symbol" w:hAnsi="Symbol"/>
        </w:rPr>
        <w:t></w:t>
      </w:r>
      <w:r>
        <w:rPr/>
        <w:t>to</w:t>
      </w:r>
      <w:r>
        <w:rPr>
          <w:rFonts w:cs="Symbol" w:ascii="Symbol" w:hAnsi="Symbol"/>
        </w:rPr>
        <w:t></w:t>
      </w:r>
      <w:r>
        <w:rPr/>
        <w:t>interference ratio (</w:t>
      </w:r>
      <w:r>
        <w:rPr>
          <w:i/>
        </w:rPr>
        <w:t>C/I</w:t>
      </w:r>
      <w:r>
        <w:rPr/>
        <w:t>) is a static channel and in a flat Rayleigh fading channel, respectively (</w:t>
      </w:r>
      <w:r>
        <w:rPr>
          <w:i/>
        </w:rPr>
        <w:t>E</w:t>
      </w:r>
      <w:r>
        <w:rPr>
          <w:i/>
          <w:vertAlign w:val="subscript"/>
        </w:rPr>
        <w:t>b</w:t>
      </w:r>
      <w:r>
        <w:rPr>
          <w:i/>
        </w:rPr>
        <w:t>/N</w:t>
      </w:r>
      <w:r>
        <w:rPr>
          <w:i/>
          <w:vertAlign w:val="subscript"/>
        </w:rPr>
        <w:t>0</w:t>
      </w:r>
      <w:r>
        <w:rPr/>
        <w:t>=28 dB (according to GSM 05.05 (annex H.1.3.2)).</w:t>
      </w:r>
    </w:p>
    <w:p>
      <w:pPr>
        <w:pStyle w:val="TH"/>
        <w:rPr>
          <w:lang w:val="en-US" w:eastAsia="en-US"/>
        </w:rPr>
      </w:pPr>
      <w:r>
        <w:rPr>
          <w:lang w:val="en-US" w:eastAsia="en-US"/>
        </w:rPr>
        <w:drawing>
          <wp:inline distT="0" distB="0" distL="0" distR="0">
            <wp:extent cx="3756025" cy="2510790"/>
            <wp:effectExtent l="0" t="0" r="0" b="0"/>
            <wp:docPr id="156" name="Imag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80" descr=""/>
                    <pic:cNvPicPr>
                      <a:picLocks noChangeAspect="1" noChangeArrowheads="1"/>
                    </pic:cNvPicPr>
                  </pic:nvPicPr>
                  <pic:blipFill>
                    <a:blip r:embed="rId154"/>
                    <a:srcRect l="-5" t="-7" r="-5" b="-7"/>
                    <a:stretch>
                      <a:fillRect/>
                    </a:stretch>
                  </pic:blipFill>
                  <pic:spPr bwMode="auto">
                    <a:xfrm>
                      <a:off x="0" y="0"/>
                      <a:ext cx="3756025" cy="2510790"/>
                    </a:xfrm>
                    <a:prstGeom prst="rect">
                      <a:avLst/>
                    </a:prstGeom>
                  </pic:spPr>
                </pic:pic>
              </a:graphicData>
            </a:graphic>
          </wp:inline>
        </w:drawing>
      </w:r>
    </w:p>
    <w:p>
      <w:pPr>
        <w:pStyle w:val="TF"/>
        <w:rPr/>
      </w:pPr>
      <w:r>
        <w:rPr/>
        <w:t xml:space="preserve">Figure V.4.6: TOA estimation error (in </w:t>
      </w:r>
      <w:r>
        <w:rPr>
          <w:rFonts w:cs="Symbol" w:ascii="Symbol" w:hAnsi="Symbol"/>
        </w:rPr>
        <w:t></w:t>
      </w:r>
      <w:r>
        <w:rPr/>
        <w:t xml:space="preserve">s) as function of </w:t>
      </w:r>
      <w:r>
        <w:rPr>
          <w:i/>
        </w:rPr>
        <w:t>C/I</w:t>
      </w:r>
      <w:r>
        <w:rPr/>
        <w:t xml:space="preserve"> in a static channel</w:t>
      </w:r>
    </w:p>
    <w:p>
      <w:pPr>
        <w:pStyle w:val="TH"/>
        <w:rPr>
          <w:lang w:val="en-US" w:eastAsia="en-US"/>
        </w:rPr>
      </w:pPr>
      <w:r>
        <w:rPr>
          <w:lang w:val="en-US" w:eastAsia="en-US"/>
        </w:rPr>
        <w:drawing>
          <wp:inline distT="0" distB="0" distL="0" distR="0">
            <wp:extent cx="3756025" cy="2510790"/>
            <wp:effectExtent l="0" t="0" r="0" b="0"/>
            <wp:docPr id="157" name="Imag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81" descr=""/>
                    <pic:cNvPicPr>
                      <a:picLocks noChangeAspect="1" noChangeArrowheads="1"/>
                    </pic:cNvPicPr>
                  </pic:nvPicPr>
                  <pic:blipFill>
                    <a:blip r:embed="rId155"/>
                    <a:srcRect l="-5" t="-7" r="-5" b="-7"/>
                    <a:stretch>
                      <a:fillRect/>
                    </a:stretch>
                  </pic:blipFill>
                  <pic:spPr bwMode="auto">
                    <a:xfrm>
                      <a:off x="0" y="0"/>
                      <a:ext cx="3756025" cy="2510790"/>
                    </a:xfrm>
                    <a:prstGeom prst="rect">
                      <a:avLst/>
                    </a:prstGeom>
                  </pic:spPr>
                </pic:pic>
              </a:graphicData>
            </a:graphic>
          </wp:inline>
        </w:drawing>
      </w:r>
    </w:p>
    <w:p>
      <w:pPr>
        <w:pStyle w:val="TF"/>
        <w:rPr/>
      </w:pPr>
      <w:r>
        <w:rPr/>
        <w:t xml:space="preserve">Figure V.4.7: TOA estimation error (in </w:t>
      </w:r>
      <w:r>
        <w:rPr>
          <w:rFonts w:cs="Symbol" w:ascii="Symbol" w:hAnsi="Symbol"/>
        </w:rPr>
        <w:t></w:t>
      </w:r>
      <w:r>
        <w:rPr/>
        <w:t xml:space="preserve">s) as function of </w:t>
      </w:r>
      <w:r>
        <w:rPr>
          <w:i/>
        </w:rPr>
        <w:t>C/I</w:t>
      </w:r>
      <w:r>
        <w:rPr/>
        <w:t xml:space="preserve"> in a flat Rayleigh fading channel</w:t>
      </w:r>
    </w:p>
    <w:p>
      <w:pPr>
        <w:pStyle w:val="Heading3"/>
        <w:rPr/>
      </w:pPr>
      <w:bookmarkStart w:id="604" w:name="__RefHeading___Toc518036018"/>
      <w:bookmarkEnd w:id="604"/>
      <w:r>
        <w:rPr/>
        <w:t>V.4.4.3</w:t>
        <w:tab/>
        <w:t>Multipath performance</w:t>
      </w:r>
    </w:p>
    <w:p>
      <w:pPr>
        <w:pStyle w:val="Normal"/>
        <w:rPr/>
      </w:pPr>
      <w:r>
        <w:rPr/>
        <w:t>Figure V.4.8 shows the performance of the TOA LMU in a multipath propagation channel. The channel profile is the typical urban channel (TU, 12 tap setting), as specified in annex C of GSM 05.05. The MS speed is assumed to be 3 km/h and ideal FH is assumed (according to GSM 05.05, annex H.1.3.3).</w:t>
      </w:r>
    </w:p>
    <w:p>
      <w:pPr>
        <w:pStyle w:val="TH"/>
        <w:rPr>
          <w:lang w:val="en-US" w:eastAsia="en-US"/>
        </w:rPr>
      </w:pPr>
      <w:r>
        <w:rPr>
          <w:lang w:val="en-US" w:eastAsia="en-US"/>
        </w:rPr>
        <w:drawing>
          <wp:inline distT="0" distB="0" distL="0" distR="0">
            <wp:extent cx="3605530" cy="2410460"/>
            <wp:effectExtent l="0" t="0" r="0" b="0"/>
            <wp:docPr id="158" name="Imag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82" descr=""/>
                    <pic:cNvPicPr>
                      <a:picLocks noChangeAspect="1" noChangeArrowheads="1"/>
                    </pic:cNvPicPr>
                  </pic:nvPicPr>
                  <pic:blipFill>
                    <a:blip r:embed="rId156"/>
                    <a:srcRect l="-5" t="-7" r="-5" b="-7"/>
                    <a:stretch>
                      <a:fillRect/>
                    </a:stretch>
                  </pic:blipFill>
                  <pic:spPr bwMode="auto">
                    <a:xfrm>
                      <a:off x="0" y="0"/>
                      <a:ext cx="3605530" cy="2410460"/>
                    </a:xfrm>
                    <a:prstGeom prst="rect">
                      <a:avLst/>
                    </a:prstGeom>
                  </pic:spPr>
                </pic:pic>
              </a:graphicData>
            </a:graphic>
          </wp:inline>
        </w:drawing>
      </w:r>
    </w:p>
    <w:p>
      <w:pPr>
        <w:pStyle w:val="TF"/>
        <w:rPr/>
      </w:pPr>
      <w:r>
        <w:rPr/>
        <w:t xml:space="preserve">Figure V.4.8: TOA estimation error (in </w:t>
      </w:r>
      <w:r>
        <w:rPr>
          <w:rFonts w:cs="Symbol" w:ascii="Symbol" w:hAnsi="Symbol"/>
        </w:rPr>
        <w:t></w:t>
      </w:r>
      <w:r>
        <w:rPr/>
        <w:t xml:space="preserve">s) as function of </w:t>
      </w:r>
      <w:r>
        <w:rPr>
          <w:i/>
        </w:rPr>
        <w:t>E</w:t>
      </w:r>
      <w:r>
        <w:rPr>
          <w:i/>
          <w:vertAlign w:val="subscript"/>
        </w:rPr>
        <w:t>b</w:t>
      </w:r>
      <w:r>
        <w:rPr>
          <w:i/>
        </w:rPr>
        <w:t>/N</w:t>
      </w:r>
      <w:r>
        <w:rPr>
          <w:i/>
          <w:vertAlign w:val="subscript"/>
        </w:rPr>
        <w:t>0</w:t>
      </w:r>
      <w:r>
        <w:rPr/>
        <w:t xml:space="preserve"> in a TU3 channel</w:t>
      </w:r>
    </w:p>
    <w:p>
      <w:pPr>
        <w:pStyle w:val="NO"/>
        <w:rPr/>
      </w:pPr>
      <w:r>
        <w:rPr/>
        <w:t>NOTE:</w:t>
        <w:tab/>
        <w:t>The purpose of the multipath test case in GSM 05.05 (annex H.1.3.3) is only to guarantee that the LMU is able to handle multipath errors. For comparison, if the TOA estimate at the LMU would be determined without any multipath rejection mechanism (</w:t>
      </w:r>
      <w:r>
        <w:rPr>
          <w:i/>
        </w:rPr>
        <w:t>i.e</w:t>
      </w:r>
      <w:r>
        <w:rPr/>
        <w:t>. determine the maximum in the correlation only) the results shown in figure V.4.9 would be obtained. In that case, the TOA estimation error will not decrease with increasing SNR and the estimated TOA will be the mean excess delay of the channel profile. The channel models defined in GSM 05.05 (annex C) have only been chosen here to simplify testing of LMUs. For evaluation of positioning systems, more complex channel models have been developed, which are described in annex V.A.</w:t>
      </w:r>
    </w:p>
    <w:p>
      <w:pPr>
        <w:pStyle w:val="TH"/>
        <w:rPr/>
      </w:pPr>
      <w:r>
        <w:rPr/>
        <w:br/>
      </w:r>
      <w:r>
        <w:rPr>
          <w:lang w:val="en-US" w:eastAsia="en-US"/>
        </w:rPr>
        <w:drawing>
          <wp:inline distT="0" distB="0" distL="0" distR="0">
            <wp:extent cx="3605530" cy="2410460"/>
            <wp:effectExtent l="0" t="0" r="0" b="0"/>
            <wp:docPr id="159" name="Imag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83" descr=""/>
                    <pic:cNvPicPr>
                      <a:picLocks noChangeAspect="1" noChangeArrowheads="1"/>
                    </pic:cNvPicPr>
                  </pic:nvPicPr>
                  <pic:blipFill>
                    <a:blip r:embed="rId157"/>
                    <a:srcRect l="-5" t="-7" r="-5" b="-7"/>
                    <a:stretch>
                      <a:fillRect/>
                    </a:stretch>
                  </pic:blipFill>
                  <pic:spPr bwMode="auto">
                    <a:xfrm>
                      <a:off x="0" y="0"/>
                      <a:ext cx="3605530" cy="2410460"/>
                    </a:xfrm>
                    <a:prstGeom prst="rect">
                      <a:avLst/>
                    </a:prstGeom>
                  </pic:spPr>
                </pic:pic>
              </a:graphicData>
            </a:graphic>
          </wp:inline>
        </w:drawing>
      </w:r>
    </w:p>
    <w:p>
      <w:pPr>
        <w:pStyle w:val="TF"/>
        <w:rPr/>
      </w:pPr>
      <w:r>
        <w:rPr/>
        <w:t xml:space="preserve">Figure V.4.9: TOA estimation error (in </w:t>
      </w:r>
      <w:r>
        <w:rPr>
          <w:rFonts w:cs="Symbol" w:ascii="Symbol" w:hAnsi="Symbol"/>
        </w:rPr>
        <w:t></w:t>
      </w:r>
      <w:r>
        <w:rPr/>
        <w:t xml:space="preserve">s) as function of </w:t>
      </w:r>
      <w:r>
        <w:rPr>
          <w:i/>
        </w:rPr>
        <w:t>E</w:t>
      </w:r>
      <w:r>
        <w:rPr>
          <w:i/>
          <w:vertAlign w:val="subscript"/>
        </w:rPr>
        <w:t>b</w:t>
      </w:r>
      <w:r>
        <w:rPr>
          <w:i/>
        </w:rPr>
        <w:t>/N</w:t>
      </w:r>
      <w:r>
        <w:rPr>
          <w:i/>
          <w:vertAlign w:val="subscript"/>
        </w:rPr>
        <w:t>0</w:t>
      </w:r>
      <w:r>
        <w:rPr/>
        <w:br/>
        <w:t>in a TU3 channel without multipath rejection</w:t>
      </w:r>
    </w:p>
    <w:p>
      <w:pPr>
        <w:pStyle w:val="Heading3"/>
        <w:rPr/>
      </w:pPr>
      <w:bookmarkStart w:id="605" w:name="__RefHeading___Toc518036019"/>
      <w:bookmarkEnd w:id="605"/>
      <w:r>
        <w:rPr/>
        <w:t>V.4.4.4</w:t>
        <w:tab/>
        <w:t>Positioning Performance</w:t>
      </w:r>
    </w:p>
    <w:p>
      <w:pPr>
        <w:pStyle w:val="Normal"/>
        <w:rPr>
          <w:i/>
          <w:i/>
        </w:rPr>
      </w:pPr>
      <w:r>
        <w:rPr>
          <w:i/>
        </w:rPr>
        <w:t>Assumptions:</w:t>
      </w:r>
    </w:p>
    <w:p>
      <w:pPr>
        <w:pStyle w:val="B1"/>
        <w:rPr/>
      </w:pPr>
      <w:r>
        <w:rPr/>
        <w:t>-</w:t>
        <w:tab/>
        <w:t>Evaluation using channel models and system simulation techniques according to annex V.A.</w:t>
      </w:r>
    </w:p>
    <w:p>
      <w:pPr>
        <w:pStyle w:val="B1"/>
        <w:rPr/>
      </w:pPr>
      <w:r>
        <w:rPr/>
        <w:t>-</w:t>
        <w:tab/>
        <w:t>Measurement signal: 70 handover access bursts (41 bit training sequence) measured with diversity during 0,32 s (resulting in 140 bursts processed).</w:t>
      </w:r>
    </w:p>
    <w:p>
      <w:pPr>
        <w:pStyle w:val="B1"/>
        <w:rPr/>
      </w:pPr>
      <w:r>
        <w:rPr/>
        <w:t>-</w:t>
        <w:tab/>
        <w:t>Frequency hopping over 4 frequencies.</w:t>
      </w:r>
    </w:p>
    <w:p>
      <w:pPr>
        <w:pStyle w:val="B1"/>
        <w:rPr/>
      </w:pPr>
      <w:r>
        <w:rPr/>
        <w:t>-</w:t>
        <w:tab/>
        <w:t>Two antennas used for reception.</w:t>
      </w:r>
    </w:p>
    <w:p>
      <w:pPr>
        <w:pStyle w:val="B1"/>
        <w:rPr/>
      </w:pPr>
      <w:r>
        <w:rPr/>
        <w:t>-</w:t>
        <w:tab/>
        <w:t>Frequency plan 3/9.</w:t>
      </w:r>
    </w:p>
    <w:p>
      <w:pPr>
        <w:pStyle w:val="B1"/>
        <w:rPr/>
      </w:pPr>
      <w:r>
        <w:rPr/>
        <w:t>-</w:t>
        <w:tab/>
        <w:t>3, 5 or 7 location measurement units were ordered to measure. All units were able to perform the measurements, i.e. no blocking has been considered.</w:t>
      </w:r>
    </w:p>
    <w:p>
      <w:pPr>
        <w:pStyle w:val="B1"/>
        <w:rPr/>
      </w:pPr>
      <w:r>
        <w:rPr/>
        <w:t>-</w:t>
        <w:tab/>
        <w:t>250 Monte-Carlo runs.</w:t>
      </w:r>
    </w:p>
    <w:p>
      <w:pPr>
        <w:pStyle w:val="B1"/>
        <w:rPr/>
      </w:pPr>
      <w:r>
        <w:rPr/>
        <w:t>-</w:t>
        <w:tab/>
        <w:t>Perfect time stamping (knowledge of "RTD" between different TOA units).</w:t>
      </w:r>
    </w:p>
    <w:p>
      <w:pPr>
        <w:pStyle w:val="Normal"/>
        <w:rPr>
          <w:i/>
          <w:i/>
          <w:lang w:val="fr-FR"/>
        </w:rPr>
      </w:pPr>
      <w:r>
        <w:rPr>
          <w:i/>
          <w:lang w:val="fr-FR"/>
        </w:rPr>
        <w:t>Simulation Results:</w:t>
      </w:r>
    </w:p>
    <w:p>
      <w:pPr>
        <w:pStyle w:val="TH"/>
        <w:rPr>
          <w:i/>
          <w:i/>
          <w:lang w:val="fr-FR"/>
        </w:rPr>
      </w:pPr>
      <w:r>
        <w:rPr>
          <w:i/>
          <w:lang w:val="fr-FR"/>
        </w:rPr>
      </w:r>
    </w:p>
    <w:tbl>
      <w:tblPr>
        <w:tblW w:w="9072" w:type="dxa"/>
        <w:jc w:val="left"/>
        <w:tblInd w:w="419" w:type="dxa"/>
        <w:tblLayout w:type="fixed"/>
        <w:tblCellMar>
          <w:top w:w="0" w:type="dxa"/>
          <w:left w:w="120" w:type="dxa"/>
          <w:bottom w:w="0" w:type="dxa"/>
          <w:right w:w="120" w:type="dxa"/>
        </w:tblCellMar>
      </w:tblPr>
      <w:tblGrid>
        <w:gridCol w:w="1671"/>
        <w:gridCol w:w="1182"/>
        <w:gridCol w:w="1351"/>
        <w:gridCol w:w="1013"/>
        <w:gridCol w:w="1207"/>
        <w:gridCol w:w="1230"/>
        <w:gridCol w:w="1418"/>
      </w:tblGrid>
      <w:tr>
        <w:trPr/>
        <w:tc>
          <w:tcPr>
            <w:tcW w:w="1671" w:type="dxa"/>
            <w:tcBorders>
              <w:top w:val="single" w:sz="6" w:space="0" w:color="000000"/>
              <w:left w:val="single" w:sz="6" w:space="0" w:color="000000"/>
              <w:bottom w:val="double" w:sz="6" w:space="0" w:color="000000"/>
              <w:right w:val="single" w:sz="6" w:space="0" w:color="000000"/>
            </w:tcBorders>
          </w:tcPr>
          <w:p>
            <w:pPr>
              <w:pStyle w:val="TAH"/>
              <w:rPr>
                <w:lang w:val="fr-FR" w:eastAsia="en-US"/>
              </w:rPr>
            </w:pPr>
            <w:r>
              <w:rPr>
                <w:lang w:val="fr-FR" w:eastAsia="en-US"/>
              </w:rPr>
              <w:t>Environment</w:t>
            </w:r>
          </w:p>
        </w:tc>
        <w:tc>
          <w:tcPr>
            <w:tcW w:w="1182" w:type="dxa"/>
            <w:tcBorders>
              <w:top w:val="single" w:sz="6" w:space="0" w:color="000000"/>
              <w:left w:val="single" w:sz="6" w:space="0" w:color="000000"/>
              <w:bottom w:val="double" w:sz="6" w:space="0" w:color="000000"/>
              <w:right w:val="single" w:sz="6" w:space="0" w:color="000000"/>
            </w:tcBorders>
          </w:tcPr>
          <w:p>
            <w:pPr>
              <w:pStyle w:val="TAH"/>
              <w:rPr>
                <w:lang w:eastAsia="en-US"/>
              </w:rPr>
            </w:pPr>
            <w:r>
              <w:rPr>
                <w:lang w:eastAsia="en-US"/>
              </w:rPr>
              <w:t>MS speed</w:t>
            </w:r>
          </w:p>
          <w:p>
            <w:pPr>
              <w:pStyle w:val="TAH"/>
              <w:rPr>
                <w:lang w:eastAsia="en-US"/>
              </w:rPr>
            </w:pPr>
            <w:r>
              <w:rPr>
                <w:lang w:eastAsia="en-US"/>
              </w:rPr>
              <w:t>[km/h]</w:t>
            </w:r>
          </w:p>
        </w:tc>
        <w:tc>
          <w:tcPr>
            <w:tcW w:w="1351" w:type="dxa"/>
            <w:tcBorders>
              <w:top w:val="single" w:sz="6" w:space="0" w:color="000000"/>
              <w:left w:val="single" w:sz="6" w:space="0" w:color="000000"/>
              <w:bottom w:val="double" w:sz="6" w:space="0" w:color="000000"/>
              <w:right w:val="single" w:sz="6" w:space="0" w:color="000000"/>
            </w:tcBorders>
          </w:tcPr>
          <w:p>
            <w:pPr>
              <w:pStyle w:val="TAH"/>
              <w:rPr>
                <w:lang w:eastAsia="en-US"/>
              </w:rPr>
            </w:pPr>
            <w:r>
              <w:rPr>
                <w:lang w:eastAsia="en-US"/>
              </w:rPr>
              <w:t>Perc. at 125m [%]</w:t>
            </w:r>
          </w:p>
        </w:tc>
        <w:tc>
          <w:tcPr>
            <w:tcW w:w="1013" w:type="dxa"/>
            <w:tcBorders>
              <w:top w:val="single" w:sz="6" w:space="0" w:color="000000"/>
              <w:left w:val="single" w:sz="6" w:space="0" w:color="000000"/>
              <w:bottom w:val="double" w:sz="6" w:space="0" w:color="000000"/>
              <w:right w:val="single" w:sz="6" w:space="0" w:color="000000"/>
            </w:tcBorders>
          </w:tcPr>
          <w:p>
            <w:pPr>
              <w:pStyle w:val="TAH"/>
              <w:rPr>
                <w:lang w:eastAsia="en-US"/>
              </w:rPr>
            </w:pPr>
            <w:r>
              <w:rPr>
                <w:lang w:eastAsia="en-US"/>
              </w:rPr>
              <w:t>Error at 67% [m]</w:t>
            </w:r>
          </w:p>
        </w:tc>
        <w:tc>
          <w:tcPr>
            <w:tcW w:w="1207" w:type="dxa"/>
            <w:tcBorders>
              <w:top w:val="single" w:sz="6" w:space="0" w:color="000000"/>
              <w:left w:val="single" w:sz="6" w:space="0" w:color="000000"/>
              <w:bottom w:val="double" w:sz="6" w:space="0" w:color="000000"/>
              <w:right w:val="single" w:sz="6" w:space="0" w:color="000000"/>
            </w:tcBorders>
          </w:tcPr>
          <w:p>
            <w:pPr>
              <w:pStyle w:val="TAH"/>
              <w:rPr>
                <w:lang w:eastAsia="en-US"/>
              </w:rPr>
            </w:pPr>
            <w:r>
              <w:rPr>
                <w:lang w:eastAsia="en-US"/>
              </w:rPr>
              <w:t>Error at 90% [m]</w:t>
            </w:r>
          </w:p>
        </w:tc>
        <w:tc>
          <w:tcPr>
            <w:tcW w:w="1230" w:type="dxa"/>
            <w:tcBorders>
              <w:top w:val="single" w:sz="6" w:space="0" w:color="000000"/>
              <w:left w:val="single" w:sz="6" w:space="0" w:color="000000"/>
              <w:bottom w:val="double" w:sz="6" w:space="0" w:color="000000"/>
              <w:right w:val="single" w:sz="6" w:space="0" w:color="000000"/>
            </w:tcBorders>
          </w:tcPr>
          <w:p>
            <w:pPr>
              <w:pStyle w:val="TAH"/>
              <w:rPr>
                <w:lang w:eastAsia="en-US"/>
              </w:rPr>
            </w:pPr>
            <w:r>
              <w:rPr>
                <w:lang w:eastAsia="en-US"/>
              </w:rPr>
              <w:t>RMSE of 90% [m]</w:t>
            </w:r>
          </w:p>
        </w:tc>
        <w:tc>
          <w:tcPr>
            <w:tcW w:w="1418" w:type="dxa"/>
            <w:tcBorders>
              <w:top w:val="single" w:sz="6" w:space="0" w:color="000000"/>
              <w:left w:val="single" w:sz="6" w:space="0" w:color="000000"/>
              <w:bottom w:val="double" w:sz="6" w:space="0" w:color="000000"/>
              <w:right w:val="single" w:sz="6" w:space="0" w:color="000000"/>
            </w:tcBorders>
          </w:tcPr>
          <w:p>
            <w:pPr>
              <w:pStyle w:val="TAH"/>
              <w:rPr>
                <w:lang w:eastAsia="en-US"/>
              </w:rPr>
            </w:pPr>
            <w:r>
              <w:rPr>
                <w:lang w:eastAsia="en-US"/>
              </w:rPr>
              <w:t>Number of LMUs</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Urban A</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51</w:t>
              <w:br/>
              <w:t>79</w:t>
              <w:br/>
              <w:t>85</w:t>
            </w:r>
          </w:p>
        </w:tc>
        <w:tc>
          <w:tcPr>
            <w:tcW w:w="101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221</w:t>
              <w:br/>
              <w:t>97</w:t>
              <w:br/>
              <w:t>83</w:t>
            </w:r>
          </w:p>
        </w:tc>
        <w:tc>
          <w:tcPr>
            <w:tcW w:w="12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&gt; 500</w:t>
              <w:br/>
              <w:t>173</w:t>
              <w:br/>
              <w:t>139</w:t>
            </w:r>
          </w:p>
        </w:tc>
        <w:tc>
          <w:tcPr>
            <w:tcW w:w="12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238</w:t>
              <w:br/>
              <w:t>82</w:t>
              <w:br/>
              <w:t>70</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p>
            <w:pPr>
              <w:pStyle w:val="TAC"/>
              <w:rPr>
                <w:lang w:val="en-GB"/>
              </w:rPr>
            </w:pPr>
            <w:r>
              <w:rPr>
                <w:lang w:val="en-GB"/>
              </w:rPr>
              <w:t>5</w:t>
            </w:r>
          </w:p>
          <w:p>
            <w:pPr>
              <w:pStyle w:val="TAC"/>
              <w:rPr>
                <w:lang w:val="en-GB"/>
              </w:rPr>
            </w:pPr>
            <w:r>
              <w:rPr>
                <w:lang w:val="en-GB"/>
              </w:rPr>
              <w:t>7</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Urban A</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w:t>
            </w:r>
          </w:p>
        </w:tc>
        <w:tc>
          <w:tcPr>
            <w:tcW w:w="13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59</w:t>
            </w:r>
          </w:p>
          <w:p>
            <w:pPr>
              <w:pStyle w:val="TAC"/>
              <w:rPr>
                <w:lang w:val="en-GB"/>
              </w:rPr>
            </w:pPr>
            <w:r>
              <w:rPr>
                <w:lang w:val="en-GB"/>
              </w:rPr>
              <w:t>86</w:t>
            </w:r>
          </w:p>
          <w:p>
            <w:pPr>
              <w:pStyle w:val="TAC"/>
              <w:rPr>
                <w:lang w:val="en-GB"/>
              </w:rPr>
            </w:pPr>
            <w:r>
              <w:rPr>
                <w:lang w:val="en-GB"/>
              </w:rPr>
              <w:t>91</w:t>
            </w:r>
          </w:p>
        </w:tc>
        <w:tc>
          <w:tcPr>
            <w:tcW w:w="101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181</w:t>
            </w:r>
          </w:p>
          <w:p>
            <w:pPr>
              <w:pStyle w:val="TAC"/>
              <w:rPr>
                <w:lang w:val="en-GB"/>
              </w:rPr>
            </w:pPr>
            <w:r>
              <w:rPr>
                <w:lang w:val="en-GB"/>
              </w:rPr>
              <w:t>79</w:t>
            </w:r>
          </w:p>
          <w:p>
            <w:pPr>
              <w:pStyle w:val="TAC"/>
              <w:rPr>
                <w:lang w:val="en-GB"/>
              </w:rPr>
            </w:pPr>
            <w:r>
              <w:rPr>
                <w:lang w:val="en-GB"/>
              </w:rPr>
              <w:t>60</w:t>
            </w:r>
          </w:p>
        </w:tc>
        <w:tc>
          <w:tcPr>
            <w:tcW w:w="12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&gt; 500</w:t>
            </w:r>
          </w:p>
          <w:p>
            <w:pPr>
              <w:pStyle w:val="TAC"/>
              <w:rPr>
                <w:lang w:val="en-GB"/>
              </w:rPr>
            </w:pPr>
            <w:r>
              <w:rPr>
                <w:lang w:val="en-GB"/>
              </w:rPr>
              <w:t>146</w:t>
            </w:r>
          </w:p>
          <w:p>
            <w:pPr>
              <w:pStyle w:val="TAC"/>
              <w:rPr>
                <w:lang w:val="en-GB"/>
              </w:rPr>
            </w:pPr>
            <w:r>
              <w:rPr>
                <w:lang w:val="en-GB"/>
              </w:rPr>
              <w:t>113</w:t>
            </w:r>
          </w:p>
        </w:tc>
        <w:tc>
          <w:tcPr>
            <w:tcW w:w="12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192</w:t>
            </w:r>
          </w:p>
          <w:p>
            <w:pPr>
              <w:pStyle w:val="TAC"/>
              <w:rPr>
                <w:lang w:val="en-GB"/>
              </w:rPr>
            </w:pPr>
            <w:r>
              <w:rPr>
                <w:lang w:val="en-GB"/>
              </w:rPr>
              <w:t>66</w:t>
            </w:r>
          </w:p>
          <w:p>
            <w:pPr>
              <w:pStyle w:val="TAC"/>
              <w:rPr>
                <w:lang w:val="en-GB"/>
              </w:rPr>
            </w:pPr>
            <w:r>
              <w:rPr>
                <w:lang w:val="en-GB"/>
              </w:rPr>
              <w:t>53</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p>
            <w:pPr>
              <w:pStyle w:val="TAC"/>
              <w:rPr>
                <w:lang w:val="en-GB"/>
              </w:rPr>
            </w:pPr>
            <w:r>
              <w:rPr>
                <w:lang w:val="en-GB"/>
              </w:rPr>
              <w:t>5</w:t>
            </w:r>
          </w:p>
          <w:p>
            <w:pPr>
              <w:pStyle w:val="TAC"/>
              <w:rPr>
                <w:lang w:val="en-GB"/>
              </w:rPr>
            </w:pPr>
            <w:r>
              <w:rPr>
                <w:lang w:val="en-GB"/>
              </w:rPr>
              <w:t>7</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Urban B</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w:t>
              <w:br/>
              <w:t>95</w:t>
              <w:br/>
              <w:t>98</w:t>
            </w:r>
          </w:p>
        </w:tc>
        <w:tc>
          <w:tcPr>
            <w:tcW w:w="101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133</w:t>
              <w:br/>
              <w:t>56</w:t>
              <w:br/>
              <w:t>43</w:t>
            </w:r>
          </w:p>
        </w:tc>
        <w:tc>
          <w:tcPr>
            <w:tcW w:w="12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313</w:t>
              <w:br/>
              <w:t>88</w:t>
              <w:br/>
              <w:t>67</w:t>
            </w:r>
          </w:p>
        </w:tc>
        <w:tc>
          <w:tcPr>
            <w:tcW w:w="12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114</w:t>
              <w:br/>
              <w:t>45</w:t>
              <w:br/>
              <w:t>35</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p>
            <w:pPr>
              <w:pStyle w:val="TAC"/>
              <w:rPr>
                <w:lang w:val="en-GB"/>
              </w:rPr>
            </w:pPr>
            <w:r>
              <w:rPr>
                <w:lang w:val="en-GB"/>
              </w:rPr>
              <w:t>5</w:t>
            </w:r>
          </w:p>
          <w:p>
            <w:pPr>
              <w:pStyle w:val="TAC"/>
              <w:rPr>
                <w:lang w:val="en-GB"/>
              </w:rPr>
            </w:pPr>
            <w:r>
              <w:rPr>
                <w:lang w:val="en-GB"/>
              </w:rPr>
              <w:t>7</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Urban B</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w:t>
            </w:r>
          </w:p>
        </w:tc>
        <w:tc>
          <w:tcPr>
            <w:tcW w:w="1351" w:type="dxa"/>
            <w:tcBorders>
              <w:top w:val="single" w:sz="6" w:space="0" w:color="000000"/>
              <w:left w:val="single" w:sz="6" w:space="0" w:color="000000"/>
              <w:bottom w:val="single" w:sz="6" w:space="0" w:color="000000"/>
              <w:right w:val="single" w:sz="6" w:space="0" w:color="000000"/>
            </w:tcBorders>
          </w:tcPr>
          <w:p>
            <w:pPr>
              <w:pStyle w:val="TAC"/>
              <w:rPr/>
            </w:pPr>
            <w:r>
              <w:rPr>
                <w:lang w:val="en-GB"/>
              </w:rPr>
              <w:t>76</w:t>
            </w:r>
          </w:p>
          <w:p>
            <w:pPr>
              <w:pStyle w:val="TAC"/>
              <w:rPr>
                <w:lang w:val="en-GB"/>
              </w:rPr>
            </w:pPr>
            <w:r>
              <w:rPr>
                <w:lang w:val="en-GB"/>
              </w:rPr>
              <w:t>97</w:t>
            </w:r>
          </w:p>
          <w:p>
            <w:pPr>
              <w:pStyle w:val="TAC"/>
              <w:rPr>
                <w:lang w:val="en-GB"/>
              </w:rPr>
            </w:pPr>
            <w:r>
              <w:rPr>
                <w:lang w:val="en-GB"/>
              </w:rPr>
              <w:t>98</w:t>
            </w:r>
          </w:p>
        </w:tc>
        <w:tc>
          <w:tcPr>
            <w:tcW w:w="101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89</w:t>
            </w:r>
          </w:p>
          <w:p>
            <w:pPr>
              <w:pStyle w:val="TAC"/>
              <w:rPr>
                <w:lang w:val="en-GB"/>
              </w:rPr>
            </w:pPr>
            <w:r>
              <w:rPr>
                <w:lang w:val="en-GB"/>
              </w:rPr>
              <w:t>40</w:t>
            </w:r>
          </w:p>
          <w:p>
            <w:pPr>
              <w:pStyle w:val="TAC"/>
              <w:rPr>
                <w:lang w:val="en-GB"/>
              </w:rPr>
            </w:pPr>
            <w:r>
              <w:rPr>
                <w:lang w:val="en-GB"/>
              </w:rPr>
              <w:t>29</w:t>
            </w:r>
          </w:p>
        </w:tc>
        <w:tc>
          <w:tcPr>
            <w:tcW w:w="12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270</w:t>
            </w:r>
          </w:p>
          <w:p>
            <w:pPr>
              <w:pStyle w:val="TAC"/>
              <w:rPr>
                <w:lang w:val="en-GB"/>
              </w:rPr>
            </w:pPr>
            <w:r>
              <w:rPr>
                <w:lang w:val="en-GB"/>
              </w:rPr>
              <w:t>74</w:t>
            </w:r>
          </w:p>
          <w:p>
            <w:pPr>
              <w:pStyle w:val="TAC"/>
              <w:rPr>
                <w:lang w:val="en-GB"/>
              </w:rPr>
            </w:pPr>
            <w:r>
              <w:rPr>
                <w:lang w:val="en-GB"/>
              </w:rPr>
              <w:t>57</w:t>
            </w:r>
          </w:p>
        </w:tc>
        <w:tc>
          <w:tcPr>
            <w:tcW w:w="12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88</w:t>
            </w:r>
          </w:p>
          <w:p>
            <w:pPr>
              <w:pStyle w:val="TAC"/>
              <w:rPr>
                <w:lang w:val="en-GB"/>
              </w:rPr>
            </w:pPr>
            <w:r>
              <w:rPr>
                <w:lang w:val="en-GB"/>
              </w:rPr>
              <w:t>34</w:t>
            </w:r>
          </w:p>
          <w:p>
            <w:pPr>
              <w:pStyle w:val="TAC"/>
              <w:rPr>
                <w:lang w:val="en-GB"/>
              </w:rPr>
            </w:pPr>
            <w:r>
              <w:rPr>
                <w:lang w:val="en-GB"/>
              </w:rPr>
              <w:t>25</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p>
            <w:pPr>
              <w:pStyle w:val="TAC"/>
              <w:rPr>
                <w:lang w:val="en-GB"/>
              </w:rPr>
            </w:pPr>
            <w:r>
              <w:rPr>
                <w:lang w:val="en-GB"/>
              </w:rPr>
              <w:t>5</w:t>
            </w:r>
          </w:p>
          <w:p>
            <w:pPr>
              <w:pStyle w:val="TAC"/>
              <w:rPr>
                <w:lang w:val="en-GB"/>
              </w:rPr>
            </w:pPr>
            <w:r>
              <w:rPr>
                <w:lang w:val="en-GB"/>
              </w:rPr>
              <w:t>7</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Suburban</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80</w:t>
              <w:br/>
              <w:t>99</w:t>
              <w:br/>
              <w:t>99</w:t>
            </w:r>
          </w:p>
        </w:tc>
        <w:tc>
          <w:tcPr>
            <w:tcW w:w="101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93</w:t>
              <w:br/>
              <w:t>49</w:t>
              <w:br/>
              <w:t>40</w:t>
            </w:r>
          </w:p>
        </w:tc>
        <w:tc>
          <w:tcPr>
            <w:tcW w:w="12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225</w:t>
              <w:br/>
              <w:t>75</w:t>
              <w:br/>
              <w:t>61</w:t>
            </w:r>
          </w:p>
        </w:tc>
        <w:tc>
          <w:tcPr>
            <w:tcW w:w="12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85</w:t>
              <w:br/>
              <w:t>40</w:t>
              <w:br/>
              <w:t>33</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p>
            <w:pPr>
              <w:pStyle w:val="TAC"/>
              <w:rPr>
                <w:lang w:val="en-GB"/>
              </w:rPr>
            </w:pPr>
            <w:r>
              <w:rPr>
                <w:lang w:val="en-GB"/>
              </w:rPr>
              <w:t>5</w:t>
            </w:r>
          </w:p>
          <w:p>
            <w:pPr>
              <w:pStyle w:val="TAC"/>
              <w:rPr>
                <w:lang w:val="en-GB"/>
              </w:rPr>
            </w:pPr>
            <w:r>
              <w:rPr>
                <w:lang w:val="en-GB"/>
              </w:rPr>
              <w:t>7</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Suburban</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w:t>
            </w:r>
          </w:p>
        </w:tc>
        <w:tc>
          <w:tcPr>
            <w:tcW w:w="13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83</w:t>
              <w:br/>
              <w:t>99</w:t>
              <w:br/>
              <w:t>99</w:t>
            </w:r>
          </w:p>
        </w:tc>
        <w:tc>
          <w:tcPr>
            <w:tcW w:w="101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82</w:t>
              <w:br/>
              <w:t>42</w:t>
              <w:br/>
              <w:t>31</w:t>
            </w:r>
          </w:p>
        </w:tc>
        <w:tc>
          <w:tcPr>
            <w:tcW w:w="12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178</w:t>
              <w:br/>
              <w:t>69</w:t>
              <w:br/>
              <w:t>53</w:t>
            </w:r>
          </w:p>
        </w:tc>
        <w:tc>
          <w:tcPr>
            <w:tcW w:w="12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75</w:t>
              <w:br/>
              <w:t>35</w:t>
              <w:br/>
              <w:t>27</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p>
            <w:pPr>
              <w:pStyle w:val="TAC"/>
              <w:rPr>
                <w:lang w:val="en-GB"/>
              </w:rPr>
            </w:pPr>
            <w:r>
              <w:rPr>
                <w:lang w:val="en-GB"/>
              </w:rPr>
              <w:t>5</w:t>
            </w:r>
          </w:p>
          <w:p>
            <w:pPr>
              <w:pStyle w:val="TAC"/>
              <w:rPr>
                <w:lang w:val="en-GB"/>
              </w:rPr>
            </w:pPr>
            <w:r>
              <w:rPr>
                <w:lang w:val="en-GB"/>
              </w:rPr>
              <w:t>7</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Rural</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81</w:t>
              <w:br/>
              <w:t>99</w:t>
              <w:br/>
              <w:t>99</w:t>
            </w:r>
          </w:p>
        </w:tc>
        <w:tc>
          <w:tcPr>
            <w:tcW w:w="101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80</w:t>
              <w:br/>
              <w:t>36</w:t>
              <w:br/>
              <w:t>30</w:t>
            </w:r>
          </w:p>
        </w:tc>
        <w:tc>
          <w:tcPr>
            <w:tcW w:w="12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205</w:t>
              <w:br/>
              <w:t>61</w:t>
              <w:br/>
              <w:t>52</w:t>
            </w:r>
          </w:p>
        </w:tc>
        <w:tc>
          <w:tcPr>
            <w:tcW w:w="12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72</w:t>
              <w:br/>
              <w:t>30</w:t>
              <w:br/>
              <w:t>25</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p>
            <w:pPr>
              <w:pStyle w:val="TAC"/>
              <w:rPr>
                <w:lang w:val="en-GB"/>
              </w:rPr>
            </w:pPr>
            <w:r>
              <w:rPr>
                <w:lang w:val="en-GB"/>
              </w:rPr>
              <w:t>5</w:t>
            </w:r>
          </w:p>
          <w:p>
            <w:pPr>
              <w:pStyle w:val="TAC"/>
              <w:rPr>
                <w:lang w:val="en-GB"/>
              </w:rPr>
            </w:pPr>
            <w:r>
              <w:rPr>
                <w:lang w:val="en-GB"/>
              </w:rPr>
              <w:t>7</w:t>
            </w:r>
          </w:p>
        </w:tc>
      </w:tr>
      <w:tr>
        <w:trPr/>
        <w:tc>
          <w:tcPr>
            <w:tcW w:w="167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Rural</w:t>
            </w:r>
          </w:p>
        </w:tc>
        <w:tc>
          <w:tcPr>
            <w:tcW w:w="118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100</w:t>
            </w:r>
          </w:p>
        </w:tc>
        <w:tc>
          <w:tcPr>
            <w:tcW w:w="13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87</w:t>
              <w:br/>
              <w:t>99</w:t>
              <w:br/>
              <w:t>99</w:t>
            </w:r>
          </w:p>
        </w:tc>
        <w:tc>
          <w:tcPr>
            <w:tcW w:w="101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63</w:t>
              <w:br/>
              <w:t>29</w:t>
              <w:br/>
              <w:t>24</w:t>
            </w:r>
          </w:p>
        </w:tc>
        <w:tc>
          <w:tcPr>
            <w:tcW w:w="120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146</w:t>
              <w:br/>
              <w:t>50</w:t>
              <w:br/>
              <w:t>36</w:t>
            </w:r>
          </w:p>
        </w:tc>
        <w:tc>
          <w:tcPr>
            <w:tcW w:w="12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54</w:t>
              <w:br/>
              <w:t>24</w:t>
              <w:br/>
              <w:t>19</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p>
            <w:pPr>
              <w:pStyle w:val="TAC"/>
              <w:rPr>
                <w:lang w:val="en-GB"/>
              </w:rPr>
            </w:pPr>
            <w:r>
              <w:rPr>
                <w:lang w:val="en-GB"/>
              </w:rPr>
              <w:t>5</w:t>
            </w:r>
          </w:p>
          <w:p>
            <w:pPr>
              <w:pStyle w:val="TAC"/>
              <w:rPr>
                <w:lang w:val="en-GB"/>
              </w:rPr>
            </w:pPr>
            <w:r>
              <w:rPr>
                <w:lang w:val="en-GB"/>
              </w:rPr>
              <w:t>7</w:t>
            </w:r>
          </w:p>
        </w:tc>
      </w:tr>
    </w:tbl>
    <w:p>
      <w:pPr>
        <w:pStyle w:val="FP"/>
        <w:rPr/>
      </w:pPr>
      <w:r>
        <w:rPr/>
      </w:r>
    </w:p>
    <w:p>
      <w:pPr>
        <w:pStyle w:val="Heading1"/>
        <w:ind w:left="1134" w:hanging="1134"/>
        <w:rPr/>
      </w:pPr>
      <w:bookmarkStart w:id="606" w:name="__RefHeading___Toc518036020"/>
      <w:bookmarkEnd w:id="606"/>
      <w:r>
        <w:rPr/>
        <w:t>V.5</w:t>
        <w:tab/>
        <w:t>Discussion of RIT measurement performance of TOA LMU</w:t>
      </w:r>
    </w:p>
    <w:p>
      <w:pPr>
        <w:pStyle w:val="Normal"/>
        <w:rPr/>
      </w:pPr>
      <w:r>
        <w:rPr/>
        <w:t>For Uplink-TOA, the LMU is required to perform Radio Interface Timing (RIT) measurements to associate GSM time for a BTS to the time base the LMU is using (i.e. GPS time) (GSM 04.71). This RIT measurement allows the SMLC to calculate for each TOA measuring LMU a correlation search window which contains the correlation peak corresponding to the propagation delay of the mobiles signal. The width of this correlation search window is established by the maximum range ambiguity from the mobile to each LMU plus additional system errors. The range ambiguity arrises because the location of the mobile prior to the location measurement is known only to within the serving cell or sector plus Timing Advance (TA) radius. Additional ambiguity is introduced from Timing Advance errors, BTS and LMU location errors, MS transmitt timing uncertainties and RIT measurement errors. An RIT measurement error up to ±2 bits is typically a minor component of the overall ambiguity and does not impact the performance of the Uplink TOA location system.</w:t>
      </w:r>
    </w:p>
    <w:p>
      <w:pPr>
        <w:pStyle w:val="Heading1"/>
        <w:ind w:left="1134" w:hanging="1134"/>
        <w:rPr/>
      </w:pPr>
      <w:bookmarkStart w:id="607" w:name="__RefHeading___Toc518036021"/>
      <w:bookmarkEnd w:id="607"/>
      <w:r>
        <w:rPr/>
        <w:t>V.6</w:t>
        <w:tab/>
        <w:t>Simulations Results for E-OTD LMUs and E-OTD Capable MSs</w:t>
      </w:r>
    </w:p>
    <w:p>
      <w:pPr>
        <w:pStyle w:val="Heading2"/>
        <w:rPr/>
      </w:pPr>
      <w:bookmarkStart w:id="608" w:name="__RefHeading___Toc518036022"/>
      <w:bookmarkEnd w:id="608"/>
      <w:r>
        <w:rPr/>
        <w:t>V.6.1</w:t>
        <w:tab/>
        <w:t>Introduction</w:t>
      </w:r>
    </w:p>
    <w:p>
      <w:pPr>
        <w:pStyle w:val="Normal"/>
        <w:rPr/>
      </w:pPr>
      <w:r>
        <w:rPr/>
        <w:t>E-OTD LMUs' and E-OTD MSs measurement performance are specified in GSM 05.05 annex H.2 and I, respectively. The object of this section is to give some justification for the figures found in the requirements in GSM 05.05.</w:t>
      </w:r>
    </w:p>
    <w:p>
      <w:pPr>
        <w:pStyle w:val="Normal"/>
        <w:rPr/>
      </w:pPr>
      <w:r>
        <w:rPr/>
        <w:t>First, a presentation of the simulation results for E-OTD measurement accuracy is given. The simulations show the E</w:t>
        <w:noBreakHyphen/>
        <w:t>OTD accuracy achieved for the configurations used in GSM 05.05. Secondly, simulation results for the overall location accuracy achieved in an idealised network are also provided.</w:t>
      </w:r>
    </w:p>
    <w:p>
      <w:pPr>
        <w:pStyle w:val="Normal"/>
        <w:rPr/>
      </w:pPr>
      <w:r>
        <w:rPr/>
        <w:t>There are equal requirements for an E-OTD LMU and an E-OTD capable MS. Hence, the simulation results apply to both.</w:t>
      </w:r>
    </w:p>
    <w:p>
      <w:pPr>
        <w:pStyle w:val="Heading2"/>
        <w:rPr/>
      </w:pPr>
      <w:bookmarkStart w:id="609" w:name="__RefHeading___Toc518036023"/>
      <w:bookmarkEnd w:id="609"/>
      <w:r>
        <w:rPr/>
        <w:t>V.6.2</w:t>
        <w:tab/>
        <w:t>E-OTD Measurement Accuracy</w:t>
      </w:r>
    </w:p>
    <w:p>
      <w:pPr>
        <w:pStyle w:val="Normal"/>
        <w:rPr/>
      </w:pPr>
      <w:r>
        <w:rPr/>
        <w:t>The downlink E-OTD positioning method requires the mobile to measure the time of arrival of bursts received on the BCCH of neighbor sites relative to a reference (or serving) site.  Since a position calculation requires measurements from at least three sites, the caller is positioned by measuring the time of arrival of multiple GSM bursts transmitted on the Broadcast Control Channel (BCCH) from at least three sites on the cell plan. The simulations in this report only cover GMSK modulated bursts. In EDGE, it is allowed to have 8-PSK modulated bursts on the BCCH carrier (on time slots 1-7). Annex V.B gives a presentation of the probability of distinguishing 8-PSK modulated bursts from GMSK modulated bursts.</w:t>
      </w:r>
    </w:p>
    <w:p>
      <w:pPr>
        <w:pStyle w:val="Normal"/>
        <w:rPr/>
      </w:pPr>
      <w:r>
        <w:rPr/>
        <w:t>For more detailed information about the E-OTD location method, see GSM 03.71 annex C.</w:t>
      </w:r>
    </w:p>
    <w:p>
      <w:pPr>
        <w:pStyle w:val="Heading3"/>
        <w:rPr/>
      </w:pPr>
      <w:bookmarkStart w:id="610" w:name="__RefHeading___Toc518036024"/>
      <w:bookmarkEnd w:id="610"/>
      <w:r>
        <w:rPr/>
        <w:t>V.6.2.1</w:t>
        <w:tab/>
        <w:t>Sensitivity Performance</w:t>
      </w:r>
    </w:p>
    <w:p>
      <w:pPr>
        <w:pStyle w:val="Normal"/>
        <w:rPr/>
      </w:pPr>
      <w:r>
        <w:rPr/>
        <w:t>The been performed in the following way based on the requirements in GSM 05.05:</w:t>
      </w:r>
    </w:p>
    <w:p>
      <w:pPr>
        <w:pStyle w:val="B1"/>
        <w:rPr/>
      </w:pPr>
      <w:r>
        <w:rPr/>
        <w:t>-</w:t>
        <w:tab/>
        <w:t>GMSK modulated normal bursts (TSC #0) have been used for E-OTD measurement.</w:t>
      </w:r>
    </w:p>
    <w:p>
      <w:pPr>
        <w:pStyle w:val="Normal"/>
        <w:rPr/>
      </w:pPr>
      <w:r>
        <w:rPr/>
        <w:t xml:space="preserve">The E-OTD MS receives a reference BCCH carrier with a power level of 20 dB above the reference sensitivity level of </w:t>
        <w:noBreakHyphen/>
        <w:t>102 dBm.</w:t>
      </w:r>
    </w:p>
    <w:p>
      <w:pPr>
        <w:pStyle w:val="Normal"/>
        <w:rPr/>
      </w:pPr>
      <w:r>
        <w:rPr/>
        <w:t xml:space="preserve">The E-OTD MS receives a neighbour BCCH carrier with power levels in the range of </w:t>
        <w:noBreakHyphen/>
        <w:t xml:space="preserve">8 to 20 dB relative the reference sensitivity level of </w:t>
        <w:noBreakHyphen/>
        <w:t>102 dBm.</w:t>
      </w:r>
    </w:p>
    <w:p>
      <w:pPr>
        <w:pStyle w:val="Normal"/>
        <w:rPr/>
      </w:pPr>
      <w:r>
        <w:rPr/>
        <w:t>The channel is static, remaining at a constant signal level throughout the measurements.</w:t>
      </w:r>
    </w:p>
    <w:p>
      <w:pPr>
        <w:pStyle w:val="Normal"/>
        <w:rPr/>
      </w:pPr>
      <w:r>
        <w:rPr/>
        <w:t>The E-OTD Mobile Station receives twenty-six GMSK modulated normal bursts from the reference site, and twenty-six GMSK modulated normal bursts from the neighbour site.</w:t>
      </w:r>
    </w:p>
    <w:p>
      <w:pPr>
        <w:pStyle w:val="Normal"/>
        <w:rPr/>
      </w:pPr>
      <w:r>
        <w:rPr/>
        <w:t xml:space="preserve">The E-OTD Mobile Station uses a correlation search window of 9 bit periods, i.e. it searches within ±4 bit periods of the actual location of the training sequence. This corresponds to measurement uncertainty of ±14.76 </w:t>
      </w:r>
      <w:r>
        <w:rPr>
          <w:rFonts w:eastAsia="Symbol" w:cs="Symbol" w:ascii="Symbol" w:hAnsi="Symbol"/>
        </w:rPr>
        <w:t></w:t>
      </w:r>
      <w:r>
        <w:rPr/>
        <w:t>s (or ±4.4 km).</w:t>
      </w:r>
    </w:p>
    <w:p>
      <w:pPr>
        <w:pStyle w:val="Normal"/>
        <w:rPr/>
      </w:pPr>
      <w:r>
        <w:rPr/>
        <w:t>The E-OTD measurement algorithm was implemented using multipath rejection with no measurement weighting.</w:t>
      </w:r>
    </w:p>
    <w:p>
      <w:pPr>
        <w:pStyle w:val="Normal"/>
        <w:rPr/>
      </w:pPr>
      <w:r>
        <w:rPr/>
        <w:t>The measurement accuracy of the E-OTD Mobile Station is defined as the RMS value of 90% of the measurements that result in the least E-OTD error, according to annex I.2.1 of GSM 05.05.</w:t>
      </w:r>
    </w:p>
    <w:p>
      <w:pPr>
        <w:pStyle w:val="B1"/>
        <w:rPr/>
      </w:pPr>
      <w:r>
        <w:rPr/>
        <w:t>N=300 trials were used to determine the measurement error.</w:t>
      </w:r>
    </w:p>
    <w:p>
      <w:pPr>
        <w:pStyle w:val="B1"/>
        <w:rPr/>
      </w:pPr>
      <w:r>
        <w:rPr/>
        <w:t xml:space="preserve">A SNR of 0 dB is assumed at an input power level of </w:t>
        <w:noBreakHyphen/>
        <w:t>110 dBm.</w:t>
      </w:r>
    </w:p>
    <w:p>
      <w:pPr>
        <w:pStyle w:val="Normal"/>
        <w:rPr/>
      </w:pPr>
      <w:r>
        <w:rPr/>
        <w:t>The simulation results are shown in figure V.6.1.</w:t>
      </w:r>
    </w:p>
    <w:p>
      <w:pPr>
        <w:pStyle w:val="TH"/>
        <w:rPr/>
      </w:pPr>
      <w:r>
        <w:rPr/>
        <w:drawing>
          <wp:inline distT="0" distB="0" distL="0" distR="0">
            <wp:extent cx="4608830" cy="3075305"/>
            <wp:effectExtent l="0" t="0" r="0" b="0"/>
            <wp:docPr id="160" name="Imag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84" descr=""/>
                    <pic:cNvPicPr>
                      <a:picLocks noChangeAspect="1" noChangeArrowheads="1"/>
                    </pic:cNvPicPr>
                  </pic:nvPicPr>
                  <pic:blipFill>
                    <a:blip r:embed="rId158"/>
                    <a:stretch>
                      <a:fillRect/>
                    </a:stretch>
                  </pic:blipFill>
                  <pic:spPr bwMode="auto">
                    <a:xfrm>
                      <a:off x="0" y="0"/>
                      <a:ext cx="4608830" cy="3075305"/>
                    </a:xfrm>
                    <a:prstGeom prst="rect">
                      <a:avLst/>
                    </a:prstGeom>
                    <a:ln w="6350">
                      <a:solidFill>
                        <a:srgbClr val="000000"/>
                      </a:solidFill>
                    </a:ln>
                  </pic:spPr>
                </pic:pic>
              </a:graphicData>
            </a:graphic>
          </wp:inline>
        </w:drawing>
      </w:r>
    </w:p>
    <w:p>
      <w:pPr>
        <w:pStyle w:val="TF"/>
        <w:rPr/>
      </w:pPr>
      <w:r>
        <w:rPr/>
        <w:t>Figure V.6.1: E-OTD Mobile Station measurement accuracy in the static channel</w:t>
      </w:r>
    </w:p>
    <w:p>
      <w:pPr>
        <w:pStyle w:val="Heading3"/>
        <w:rPr/>
      </w:pPr>
      <w:bookmarkStart w:id="611" w:name="__RefHeading___Toc518036025"/>
      <w:bookmarkEnd w:id="611"/>
      <w:r>
        <w:rPr/>
        <w:t>V.6.2.2</w:t>
        <w:tab/>
        <w:t>Interference Performance</w:t>
      </w:r>
    </w:p>
    <w:p>
      <w:pPr>
        <w:pStyle w:val="Normal"/>
        <w:rPr/>
      </w:pPr>
      <w:r>
        <w:rPr/>
        <w:t xml:space="preserve">For interference simulations, conditions are for the static channel case, but the neighbour BCCH carrier is now fixed at a power level of </w:t>
        <w:noBreakHyphen/>
        <w:t>82 dBm and has one of the following interfering channels:</w:t>
      </w:r>
    </w:p>
    <w:p>
      <w:pPr>
        <w:pStyle w:val="TH"/>
        <w:rPr/>
      </w:pPr>
      <w:r>
        <w:rPr/>
      </w:r>
    </w:p>
    <w:tbl>
      <w:tblPr>
        <w:tblW w:w="5926" w:type="dxa"/>
        <w:jc w:val="center"/>
        <w:tblInd w:w="0" w:type="dxa"/>
        <w:tblLayout w:type="fixed"/>
        <w:tblCellMar>
          <w:top w:w="0" w:type="dxa"/>
          <w:left w:w="108" w:type="dxa"/>
          <w:bottom w:w="0" w:type="dxa"/>
          <w:right w:w="108" w:type="dxa"/>
        </w:tblCellMar>
      </w:tblPr>
      <w:tblGrid>
        <w:gridCol w:w="3459"/>
        <w:gridCol w:w="2467"/>
      </w:tblGrid>
      <w:tr>
        <w:trPr/>
        <w:tc>
          <w:tcPr>
            <w:tcW w:w="3459" w:type="dxa"/>
            <w:tcBorders>
              <w:top w:val="single" w:sz="4" w:space="0" w:color="000000"/>
              <w:left w:val="single" w:sz="4" w:space="0" w:color="000000"/>
              <w:bottom w:val="single" w:sz="4" w:space="0" w:color="000000"/>
              <w:right w:val="single" w:sz="4" w:space="0" w:color="000000"/>
            </w:tcBorders>
          </w:tcPr>
          <w:p>
            <w:pPr>
              <w:pStyle w:val="Footer"/>
              <w:rPr>
                <w:i w:val="false"/>
                <w:i w:val="false"/>
              </w:rPr>
            </w:pPr>
            <w:r>
              <w:rPr>
                <w:i w:val="false"/>
              </w:rPr>
              <w:t>Interfering channel</w:t>
            </w:r>
          </w:p>
        </w:tc>
        <w:tc>
          <w:tcPr>
            <w:tcW w:w="2467" w:type="dxa"/>
            <w:tcBorders>
              <w:top w:val="single" w:sz="4" w:space="0" w:color="000000"/>
              <w:left w:val="single" w:sz="4" w:space="0" w:color="000000"/>
              <w:bottom w:val="single" w:sz="4" w:space="0" w:color="000000"/>
              <w:right w:val="single" w:sz="4" w:space="0" w:color="000000"/>
            </w:tcBorders>
          </w:tcPr>
          <w:p>
            <w:pPr>
              <w:pStyle w:val="Footer"/>
              <w:rPr>
                <w:i w:val="false"/>
                <w:i w:val="false"/>
              </w:rPr>
            </w:pPr>
            <w:r>
              <w:rPr>
                <w:i w:val="false"/>
              </w:rPr>
              <w:t>C/I Simulation range [dB]</w:t>
            </w:r>
          </w:p>
        </w:tc>
      </w:tr>
      <w:tr>
        <w:trPr/>
        <w:tc>
          <w:tcPr>
            <w:tcW w:w="3459" w:type="dxa"/>
            <w:tcBorders>
              <w:top w:val="single" w:sz="4" w:space="0" w:color="000000"/>
              <w:left w:val="single" w:sz="4" w:space="0" w:color="000000"/>
              <w:bottom w:val="single" w:sz="4" w:space="0" w:color="000000"/>
              <w:right w:val="single" w:sz="4" w:space="0" w:color="000000"/>
            </w:tcBorders>
          </w:tcPr>
          <w:p>
            <w:pPr>
              <w:pStyle w:val="Footer"/>
              <w:rPr>
                <w:b w:val="false"/>
                <w:b w:val="false"/>
                <w:i w:val="false"/>
                <w:i w:val="false"/>
              </w:rPr>
            </w:pPr>
            <w:r>
              <w:rPr>
                <w:b w:val="false"/>
                <w:i w:val="false"/>
              </w:rPr>
              <w:t>Co-channel interference</w:t>
            </w:r>
          </w:p>
        </w:tc>
        <w:tc>
          <w:tcPr>
            <w:tcW w:w="2467" w:type="dxa"/>
            <w:tcBorders>
              <w:top w:val="single" w:sz="4" w:space="0" w:color="000000"/>
              <w:left w:val="single" w:sz="4" w:space="0" w:color="000000"/>
              <w:bottom w:val="single" w:sz="4" w:space="0" w:color="000000"/>
              <w:right w:val="single" w:sz="4" w:space="0" w:color="000000"/>
            </w:tcBorders>
          </w:tcPr>
          <w:p>
            <w:pPr>
              <w:pStyle w:val="Footer"/>
              <w:rPr/>
            </w:pPr>
            <w:r>
              <w:rPr>
                <w:b w:val="false"/>
                <w:i w:val="false"/>
              </w:rPr>
              <w:t xml:space="preserve">0 </w:t>
            </w:r>
            <w:r>
              <w:rPr>
                <w:rFonts w:eastAsia="Symbol" w:cs="Symbol" w:ascii="Symbol" w:hAnsi="Symbol"/>
                <w:b w:val="false"/>
                <w:i w:val="false"/>
              </w:rPr>
              <w:t></w:t>
            </w:r>
            <w:r>
              <w:rPr>
                <w:b w:val="false"/>
                <w:i w:val="false"/>
              </w:rPr>
              <w:t xml:space="preserve"> 10</w:t>
            </w:r>
          </w:p>
        </w:tc>
      </w:tr>
      <w:tr>
        <w:trPr/>
        <w:tc>
          <w:tcPr>
            <w:tcW w:w="3459" w:type="dxa"/>
            <w:tcBorders>
              <w:top w:val="single" w:sz="4" w:space="0" w:color="000000"/>
              <w:left w:val="single" w:sz="4" w:space="0" w:color="000000"/>
              <w:bottom w:val="single" w:sz="4" w:space="0" w:color="000000"/>
              <w:right w:val="single" w:sz="4" w:space="0" w:color="000000"/>
            </w:tcBorders>
          </w:tcPr>
          <w:p>
            <w:pPr>
              <w:pStyle w:val="Footer"/>
              <w:rPr>
                <w:b w:val="false"/>
                <w:b w:val="false"/>
                <w:i w:val="false"/>
                <w:i w:val="false"/>
              </w:rPr>
            </w:pPr>
            <w:r>
              <w:rPr>
                <w:b w:val="false"/>
                <w:i w:val="false"/>
              </w:rPr>
              <w:t>Adjacent channel interference: 200 kHz</w:t>
            </w:r>
          </w:p>
        </w:tc>
        <w:tc>
          <w:tcPr>
            <w:tcW w:w="2467" w:type="dxa"/>
            <w:tcBorders>
              <w:top w:val="single" w:sz="4" w:space="0" w:color="000000"/>
              <w:left w:val="single" w:sz="4" w:space="0" w:color="000000"/>
              <w:bottom w:val="single" w:sz="4" w:space="0" w:color="000000"/>
              <w:right w:val="single" w:sz="4" w:space="0" w:color="000000"/>
            </w:tcBorders>
          </w:tcPr>
          <w:p>
            <w:pPr>
              <w:pStyle w:val="Footer"/>
              <w:rPr/>
            </w:pPr>
            <w:r>
              <w:rPr>
                <w:b w:val="false"/>
                <w:i w:val="false"/>
              </w:rPr>
              <w:t xml:space="preserve">-18 </w:t>
            </w:r>
            <w:r>
              <w:rPr>
                <w:rFonts w:eastAsia="Symbol" w:cs="Symbol" w:ascii="Symbol" w:hAnsi="Symbol"/>
                <w:b w:val="false"/>
                <w:i w:val="false"/>
              </w:rPr>
              <w:t></w:t>
            </w:r>
            <w:r>
              <w:rPr>
                <w:b w:val="false"/>
                <w:i w:val="false"/>
              </w:rPr>
              <w:t xml:space="preserve"> -8</w:t>
            </w:r>
          </w:p>
        </w:tc>
      </w:tr>
      <w:tr>
        <w:trPr/>
        <w:tc>
          <w:tcPr>
            <w:tcW w:w="3459" w:type="dxa"/>
            <w:tcBorders>
              <w:top w:val="single" w:sz="4" w:space="0" w:color="000000"/>
              <w:left w:val="single" w:sz="4" w:space="0" w:color="000000"/>
              <w:bottom w:val="single" w:sz="4" w:space="0" w:color="000000"/>
              <w:right w:val="single" w:sz="4" w:space="0" w:color="000000"/>
            </w:tcBorders>
          </w:tcPr>
          <w:p>
            <w:pPr>
              <w:pStyle w:val="Footer"/>
              <w:rPr>
                <w:b w:val="false"/>
                <w:b w:val="false"/>
                <w:i w:val="false"/>
                <w:i w:val="false"/>
              </w:rPr>
            </w:pPr>
            <w:r>
              <w:rPr>
                <w:b w:val="false"/>
                <w:i w:val="false"/>
              </w:rPr>
              <w:t>Adjacent channel interference: 400 kHz</w:t>
            </w:r>
          </w:p>
        </w:tc>
        <w:tc>
          <w:tcPr>
            <w:tcW w:w="2467" w:type="dxa"/>
            <w:tcBorders>
              <w:top w:val="single" w:sz="4" w:space="0" w:color="000000"/>
              <w:left w:val="single" w:sz="4" w:space="0" w:color="000000"/>
              <w:bottom w:val="single" w:sz="4" w:space="0" w:color="000000"/>
              <w:right w:val="single" w:sz="4" w:space="0" w:color="000000"/>
            </w:tcBorders>
          </w:tcPr>
          <w:p>
            <w:pPr>
              <w:pStyle w:val="Footer"/>
              <w:rPr/>
            </w:pPr>
            <w:r>
              <w:rPr>
                <w:b w:val="false"/>
                <w:i w:val="false"/>
              </w:rPr>
              <w:t xml:space="preserve">-41 </w:t>
            </w:r>
            <w:r>
              <w:rPr>
                <w:rFonts w:eastAsia="Symbol" w:cs="Symbol" w:ascii="Symbol" w:hAnsi="Symbol"/>
                <w:b w:val="false"/>
                <w:i w:val="false"/>
              </w:rPr>
              <w:t></w:t>
            </w:r>
            <w:r>
              <w:rPr>
                <w:b w:val="false"/>
                <w:i w:val="false"/>
              </w:rPr>
              <w:t xml:space="preserve"> -39</w:t>
            </w:r>
          </w:p>
        </w:tc>
      </w:tr>
    </w:tbl>
    <w:p>
      <w:pPr>
        <w:pStyle w:val="FP"/>
        <w:rPr/>
      </w:pPr>
      <w:r>
        <w:rPr/>
      </w:r>
    </w:p>
    <w:p>
      <w:pPr>
        <w:pStyle w:val="Normal"/>
        <w:rPr/>
      </w:pPr>
      <w:r>
        <w:rPr/>
        <w:t>The simulation results are shown in figures V.6.2 to V.6.4</w:t>
      </w:r>
    </w:p>
    <w:p>
      <w:pPr>
        <w:pStyle w:val="TH"/>
        <w:rPr/>
      </w:pPr>
      <w:r>
        <w:rPr/>
        <w:drawing>
          <wp:inline distT="0" distB="0" distL="0" distR="0">
            <wp:extent cx="4677410" cy="3129915"/>
            <wp:effectExtent l="0" t="0" r="0" b="0"/>
            <wp:docPr id="161" name="Imag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85" descr=""/>
                    <pic:cNvPicPr>
                      <a:picLocks noChangeAspect="1" noChangeArrowheads="1"/>
                    </pic:cNvPicPr>
                  </pic:nvPicPr>
                  <pic:blipFill>
                    <a:blip r:embed="rId159"/>
                    <a:stretch>
                      <a:fillRect/>
                    </a:stretch>
                  </pic:blipFill>
                  <pic:spPr bwMode="auto">
                    <a:xfrm>
                      <a:off x="0" y="0"/>
                      <a:ext cx="4677410" cy="3129915"/>
                    </a:xfrm>
                    <a:prstGeom prst="rect">
                      <a:avLst/>
                    </a:prstGeom>
                    <a:ln w="6350">
                      <a:solidFill>
                        <a:srgbClr val="000000"/>
                      </a:solidFill>
                    </a:ln>
                  </pic:spPr>
                </pic:pic>
              </a:graphicData>
            </a:graphic>
          </wp:inline>
        </w:drawing>
      </w:r>
    </w:p>
    <w:p>
      <w:pPr>
        <w:pStyle w:val="TF"/>
        <w:rPr/>
      </w:pPr>
      <w:r>
        <w:rPr/>
        <w:t>Figure V.6.2: E-OTD Mobile Station measurement accuracy in the static channel</w:t>
        <w:br/>
        <w:t>in the presence of co-channel interference</w:t>
      </w:r>
    </w:p>
    <w:p>
      <w:pPr>
        <w:pStyle w:val="TH"/>
        <w:rPr/>
      </w:pPr>
      <w:r>
        <w:rPr/>
        <w:drawing>
          <wp:inline distT="0" distB="0" distL="0" distR="0">
            <wp:extent cx="4677410" cy="3129915"/>
            <wp:effectExtent l="0" t="0" r="0" b="0"/>
            <wp:docPr id="162" name="Imag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86" descr=""/>
                    <pic:cNvPicPr>
                      <a:picLocks noChangeAspect="1" noChangeArrowheads="1"/>
                    </pic:cNvPicPr>
                  </pic:nvPicPr>
                  <pic:blipFill>
                    <a:blip r:embed="rId160"/>
                    <a:stretch>
                      <a:fillRect/>
                    </a:stretch>
                  </pic:blipFill>
                  <pic:spPr bwMode="auto">
                    <a:xfrm>
                      <a:off x="0" y="0"/>
                      <a:ext cx="4677410" cy="3129915"/>
                    </a:xfrm>
                    <a:prstGeom prst="rect">
                      <a:avLst/>
                    </a:prstGeom>
                    <a:ln w="6350">
                      <a:solidFill>
                        <a:srgbClr val="000000"/>
                      </a:solidFill>
                    </a:ln>
                  </pic:spPr>
                </pic:pic>
              </a:graphicData>
            </a:graphic>
          </wp:inline>
        </w:drawing>
      </w:r>
    </w:p>
    <w:p>
      <w:pPr>
        <w:pStyle w:val="TF"/>
        <w:rPr/>
      </w:pPr>
      <w:r>
        <w:rPr/>
        <w:t>Figure V.6.3: E-OTD Mobile Station accuracy in the static channel</w:t>
        <w:br/>
        <w:t>in the presence of adjacent channel interference</w:t>
      </w:r>
    </w:p>
    <w:p>
      <w:pPr>
        <w:pStyle w:val="TH"/>
        <w:rPr/>
      </w:pPr>
      <w:r>
        <w:rPr/>
        <w:drawing>
          <wp:inline distT="0" distB="0" distL="0" distR="0">
            <wp:extent cx="4677410" cy="3129915"/>
            <wp:effectExtent l="0" t="0" r="0" b="0"/>
            <wp:docPr id="163" name="Imag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87" descr=""/>
                    <pic:cNvPicPr>
                      <a:picLocks noChangeAspect="1" noChangeArrowheads="1"/>
                    </pic:cNvPicPr>
                  </pic:nvPicPr>
                  <pic:blipFill>
                    <a:blip r:embed="rId161"/>
                    <a:stretch>
                      <a:fillRect/>
                    </a:stretch>
                  </pic:blipFill>
                  <pic:spPr bwMode="auto">
                    <a:xfrm>
                      <a:off x="0" y="0"/>
                      <a:ext cx="4677410" cy="3129915"/>
                    </a:xfrm>
                    <a:prstGeom prst="rect">
                      <a:avLst/>
                    </a:prstGeom>
                    <a:ln w="6350">
                      <a:solidFill>
                        <a:srgbClr val="000000"/>
                      </a:solidFill>
                    </a:ln>
                  </pic:spPr>
                </pic:pic>
              </a:graphicData>
            </a:graphic>
          </wp:inline>
        </w:drawing>
      </w:r>
    </w:p>
    <w:p>
      <w:pPr>
        <w:pStyle w:val="TF"/>
        <w:rPr/>
      </w:pPr>
      <w:r>
        <w:rPr/>
        <w:t>Figure V.6.4: E-OTD Mobile Station accuracy in the static channel</w:t>
        <w:br/>
        <w:t>in the presence of alternate channel interference</w:t>
      </w:r>
    </w:p>
    <w:p>
      <w:pPr>
        <w:pStyle w:val="Heading3"/>
        <w:rPr/>
      </w:pPr>
      <w:bookmarkStart w:id="612" w:name="__RefHeading___Toc518036026"/>
      <w:bookmarkEnd w:id="612"/>
      <w:r>
        <w:rPr/>
        <w:t>V.6.2.3</w:t>
        <w:tab/>
        <w:t>Multipath performance</w:t>
      </w:r>
    </w:p>
    <w:p>
      <w:pPr>
        <w:pStyle w:val="Normal"/>
        <w:rPr/>
      </w:pPr>
      <w:r>
        <w:rPr/>
        <w:t>For multipath simulations, conditions are for the static channel case, but the neighbour BCCH carrier now propagates through the TU3 channel. Results are shown in figure V.6.5.</w:t>
      </w:r>
    </w:p>
    <w:p>
      <w:pPr>
        <w:pStyle w:val="TH"/>
        <w:rPr/>
      </w:pPr>
      <w:r>
        <w:rPr/>
        <w:drawing>
          <wp:inline distT="0" distB="0" distL="0" distR="0">
            <wp:extent cx="4677410" cy="3129915"/>
            <wp:effectExtent l="0" t="0" r="0" b="0"/>
            <wp:docPr id="164" name="Imag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88" descr=""/>
                    <pic:cNvPicPr>
                      <a:picLocks noChangeAspect="1" noChangeArrowheads="1"/>
                    </pic:cNvPicPr>
                  </pic:nvPicPr>
                  <pic:blipFill>
                    <a:blip r:embed="rId162"/>
                    <a:stretch>
                      <a:fillRect/>
                    </a:stretch>
                  </pic:blipFill>
                  <pic:spPr bwMode="auto">
                    <a:xfrm>
                      <a:off x="0" y="0"/>
                      <a:ext cx="4677410" cy="3129915"/>
                    </a:xfrm>
                    <a:prstGeom prst="rect">
                      <a:avLst/>
                    </a:prstGeom>
                    <a:ln w="6350">
                      <a:solidFill>
                        <a:srgbClr val="000000"/>
                      </a:solidFill>
                    </a:ln>
                  </pic:spPr>
                </pic:pic>
              </a:graphicData>
            </a:graphic>
          </wp:inline>
        </w:drawing>
      </w:r>
    </w:p>
    <w:p>
      <w:pPr>
        <w:pStyle w:val="TF"/>
        <w:rPr/>
      </w:pPr>
      <w:r>
        <w:rPr/>
        <w:t>Figure V.6.5: E-OTD Mobile Station accuracy in the TU3 channel</w:t>
      </w:r>
    </w:p>
    <w:p>
      <w:pPr>
        <w:pStyle w:val="NO"/>
        <w:rPr/>
      </w:pPr>
      <w:r>
        <w:rPr/>
        <w:t>NOTE:</w:t>
        <w:tab/>
        <w:t>The purpose of the multipath test case in GSM 05.05 is only to guarantee that the LMU and MS are able to handle multipath errors. The channel models defined in GSM 05.05 (annex C) have only been chosen here to simplify testing of LMUs and MSs. For evaluation of positioning systems, more complex channel models have been developed, which are described in annex V.A.</w:t>
      </w:r>
    </w:p>
    <w:p>
      <w:pPr>
        <w:pStyle w:val="Heading2"/>
        <w:rPr/>
      </w:pPr>
      <w:bookmarkStart w:id="613" w:name="__RefHeading___Toc518036027"/>
      <w:bookmarkEnd w:id="613"/>
      <w:r>
        <w:rPr/>
        <w:t>V.6.3</w:t>
        <w:tab/>
        <w:t>Location accuracy</w:t>
      </w:r>
    </w:p>
    <w:p>
      <w:pPr>
        <w:pStyle w:val="Normal"/>
        <w:rPr/>
      </w:pPr>
      <w:r>
        <w:rPr/>
        <w:t>This subclause aims to give a presentation of simulated location accuracy with the simulation results shown in the previous section.</w:t>
      </w:r>
    </w:p>
    <w:p>
      <w:pPr>
        <w:pStyle w:val="NO"/>
        <w:rPr/>
      </w:pPr>
      <w:r>
        <w:rPr/>
        <w:t>NOTE:</w:t>
        <w:tab/>
        <w:t>Positioning performance is determined from a multitude of individual links each with distinct operating point (</w:t>
      </w:r>
      <w:r>
        <w:rPr>
          <w:i/>
        </w:rPr>
        <w:t>C/I</w:t>
      </w:r>
      <w:r>
        <w:rPr/>
        <w:t xml:space="preserve"> and </w:t>
      </w:r>
      <w:r>
        <w:rPr>
          <w:i/>
        </w:rPr>
        <w:t>E</w:t>
      </w:r>
      <w:r>
        <w:rPr>
          <w:i/>
          <w:vertAlign w:val="subscript"/>
        </w:rPr>
        <w:t>b</w:t>
      </w:r>
      <w:r>
        <w:rPr>
          <w:i/>
        </w:rPr>
        <w:t>/N</w:t>
      </w:r>
      <w:r>
        <w:rPr>
          <w:i/>
          <w:vertAlign w:val="subscript"/>
        </w:rPr>
        <w:t>0</w:t>
      </w:r>
      <w:r>
        <w:rPr/>
        <w:t>), shadow fading, and multipath dispersion. These random parameters, the random delay estimates corresponding to unique realisations of noise and interference, plus the unique solution geometry for any mobile location chosen in the service area mean there is not a straightforward, systematic way to relate average position location performance to individual link performance. The analysis above is only valid under the given assumptions.</w:t>
      </w:r>
    </w:p>
    <w:p>
      <w:pPr>
        <w:pStyle w:val="Heading3"/>
        <w:rPr/>
      </w:pPr>
      <w:bookmarkStart w:id="614" w:name="__RefHeading___Toc518036028"/>
      <w:bookmarkEnd w:id="614"/>
      <w:r>
        <w:rPr/>
        <w:t>V.6.3.1</w:t>
        <w:tab/>
        <w:t>Network parameters</w:t>
      </w:r>
    </w:p>
    <w:p>
      <w:pPr>
        <w:pStyle w:val="Normal"/>
        <w:rPr/>
      </w:pPr>
      <w:r>
        <w:rPr/>
        <w:t>Thirty-six base stations were arranged in a uniform 6 x 6 pattern over the simulation area and assigned to the 4/12</w:t>
        <w:noBreakHyphen/>
        <w:t>frequency plan. This frequency plan is defined as having three (120</w:t>
      </w:r>
      <w:r>
        <w:rPr>
          <w:rFonts w:eastAsia="Symbol" w:cs="Symbol" w:ascii="Symbol" w:hAnsi="Symbol"/>
        </w:rPr>
        <w:t></w:t>
      </w:r>
      <w:r>
        <w:rPr/>
        <w:t>) sectors per site and four sites per cluster, for a total of 108 sites on the cell plan.  It is configured such that the same sector of every other site is a co-channel interferer. The distance between adjacent base stations was defined according to the assigned multipath channel, in accordance with annex V.A.</w:t>
      </w:r>
    </w:p>
    <w:p>
      <w:pPr>
        <w:pStyle w:val="Normal"/>
        <w:rPr/>
      </w:pPr>
      <w:r>
        <w:rPr/>
        <w:t>Two hundred fifty mobile stations were randomly placed over the entire simulation area.  In order to simulate an infinite network (and thereby avoid edge effects), the simulation area was wrapped around so that base stations always surrounded every mobile, even those located at the edge.  This technique circumvented the problem of having a mobile at the edge experience less interference than one located in the geometrical centre of the simulation area. This wrap</w:t>
        <w:noBreakHyphen/>
        <w:t>around technique permits a mobile that is making measurement on the BCCH of a site located on the northwest border to experience interference from co-channel sites located on the southeast border.</w:t>
      </w:r>
    </w:p>
    <w:p>
      <w:pPr>
        <w:pStyle w:val="Normal"/>
        <w:rPr/>
      </w:pPr>
      <w:r>
        <w:rPr/>
        <w:t>The following gives a summary of the simulation assumptions/parameters have been used to simulate the network.</w:t>
      </w:r>
    </w:p>
    <w:p>
      <w:pPr>
        <w:pStyle w:val="TH"/>
        <w:rPr/>
      </w:pPr>
      <w:r>
        <w:rPr/>
      </w:r>
    </w:p>
    <w:tbl>
      <w:tblPr>
        <w:tblW w:w="7938" w:type="dxa"/>
        <w:jc w:val="left"/>
        <w:tblInd w:w="1129" w:type="dxa"/>
        <w:tblLayout w:type="fixed"/>
        <w:tblCellMar>
          <w:top w:w="0" w:type="dxa"/>
          <w:left w:w="108" w:type="dxa"/>
          <w:bottom w:w="0" w:type="dxa"/>
          <w:right w:w="108" w:type="dxa"/>
        </w:tblCellMar>
      </w:tblPr>
      <w:tblGrid>
        <w:gridCol w:w="3828"/>
        <w:gridCol w:w="4110"/>
      </w:tblGrid>
      <w:tr>
        <w:trPr/>
        <w:tc>
          <w:tcPr>
            <w:tcW w:w="3828" w:type="dxa"/>
            <w:tcBorders>
              <w:top w:val="single" w:sz="4" w:space="0" w:color="000000"/>
              <w:left w:val="single" w:sz="4" w:space="0" w:color="000000"/>
              <w:bottom w:val="single" w:sz="4" w:space="0" w:color="000000"/>
              <w:right w:val="single" w:sz="6" w:space="0" w:color="000000"/>
            </w:tcBorders>
          </w:tcPr>
          <w:p>
            <w:pPr>
              <w:pStyle w:val="TAH"/>
              <w:rPr>
                <w:lang w:eastAsia="en-US"/>
              </w:rPr>
            </w:pPr>
            <w:r>
              <w:rPr>
                <w:lang w:eastAsia="en-US"/>
              </w:rPr>
              <w:t>Parameter</w:t>
            </w:r>
          </w:p>
        </w:tc>
        <w:tc>
          <w:tcPr>
            <w:tcW w:w="4110" w:type="dxa"/>
            <w:tcBorders>
              <w:top w:val="single" w:sz="4" w:space="0" w:color="000000"/>
              <w:left w:val="single" w:sz="6" w:space="0" w:color="000000"/>
              <w:bottom w:val="single" w:sz="4" w:space="0" w:color="000000"/>
              <w:right w:val="single" w:sz="4" w:space="0" w:color="000000"/>
            </w:tcBorders>
          </w:tcPr>
          <w:p>
            <w:pPr>
              <w:pStyle w:val="TAH"/>
              <w:rPr>
                <w:lang w:eastAsia="en-US"/>
              </w:rPr>
            </w:pPr>
            <w:r>
              <w:rPr>
                <w:lang w:eastAsia="en-US"/>
              </w:rPr>
              <w:t>Value Used</w:t>
            </w:r>
          </w:p>
        </w:tc>
      </w:tr>
      <w:tr>
        <w:trPr/>
        <w:tc>
          <w:tcPr>
            <w:tcW w:w="3828" w:type="dxa"/>
            <w:tcBorders>
              <w:top w:val="single" w:sz="4" w:space="0" w:color="000000"/>
              <w:left w:val="single" w:sz="4" w:space="0" w:color="000000"/>
              <w:bottom w:val="single" w:sz="6" w:space="0" w:color="000000"/>
              <w:right w:val="single" w:sz="6" w:space="0" w:color="000000"/>
            </w:tcBorders>
          </w:tcPr>
          <w:p>
            <w:pPr>
              <w:pStyle w:val="TAL"/>
              <w:rPr>
                <w:lang w:val="en-GB"/>
              </w:rPr>
            </w:pPr>
            <w:r>
              <w:rPr>
                <w:lang w:val="en-GB"/>
              </w:rPr>
              <w:t>Number of mobiles</w:t>
            </w:r>
          </w:p>
        </w:tc>
        <w:tc>
          <w:tcPr>
            <w:tcW w:w="4110" w:type="dxa"/>
            <w:tcBorders>
              <w:top w:val="single" w:sz="4" w:space="0" w:color="000000"/>
              <w:left w:val="single" w:sz="6" w:space="0" w:color="000000"/>
              <w:bottom w:val="single" w:sz="6" w:space="0" w:color="000000"/>
              <w:right w:val="single" w:sz="4" w:space="0" w:color="000000"/>
            </w:tcBorders>
          </w:tcPr>
          <w:p>
            <w:pPr>
              <w:pStyle w:val="TAL"/>
              <w:rPr/>
            </w:pPr>
            <w:r>
              <w:rPr>
                <w:lang w:val="en-GB"/>
              </w:rPr>
              <w:t>250</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Cell geometry</w:t>
            </w:r>
          </w:p>
        </w:tc>
        <w:tc>
          <w:tcPr>
            <w:tcW w:w="4110" w:type="dxa"/>
            <w:tcBorders>
              <w:top w:val="single" w:sz="6" w:space="0" w:color="000000"/>
              <w:left w:val="single" w:sz="6" w:space="0" w:color="000000"/>
              <w:bottom w:val="single" w:sz="6" w:space="0" w:color="000000"/>
              <w:right w:val="single" w:sz="4" w:space="0" w:color="000000"/>
            </w:tcBorders>
          </w:tcPr>
          <w:p>
            <w:pPr>
              <w:pStyle w:val="TAL"/>
              <w:rPr>
                <w:lang w:val="en-GB"/>
              </w:rPr>
            </w:pPr>
            <w:r>
              <w:rPr>
                <w:lang w:val="en-GB"/>
              </w:rPr>
              <w:t>Uniform hexagonal</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 xml:space="preserve">Frequency plan </w:t>
            </w:r>
          </w:p>
        </w:tc>
        <w:tc>
          <w:tcPr>
            <w:tcW w:w="4110" w:type="dxa"/>
            <w:tcBorders>
              <w:top w:val="single" w:sz="6" w:space="0" w:color="000000"/>
              <w:left w:val="single" w:sz="6" w:space="0" w:color="000000"/>
              <w:bottom w:val="single" w:sz="6" w:space="0" w:color="000000"/>
              <w:right w:val="single" w:sz="4" w:space="0" w:color="000000"/>
            </w:tcBorders>
          </w:tcPr>
          <w:p>
            <w:pPr>
              <w:pStyle w:val="TAL"/>
              <w:rPr>
                <w:lang w:val="en-GB"/>
              </w:rPr>
            </w:pPr>
            <w:r>
              <w:rPr>
                <w:lang w:val="en-GB"/>
              </w:rPr>
              <w:t>4/12</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Maximum gain of transmitting antenna</w:t>
            </w:r>
          </w:p>
        </w:tc>
        <w:tc>
          <w:tcPr>
            <w:tcW w:w="4110" w:type="dxa"/>
            <w:tcBorders>
              <w:top w:val="single" w:sz="6" w:space="0" w:color="000000"/>
              <w:left w:val="single" w:sz="6" w:space="0" w:color="000000"/>
              <w:bottom w:val="single" w:sz="6" w:space="0" w:color="000000"/>
              <w:right w:val="single" w:sz="4" w:space="0" w:color="000000"/>
            </w:tcBorders>
          </w:tcPr>
          <w:p>
            <w:pPr>
              <w:pStyle w:val="TAL"/>
              <w:rPr>
                <w:lang w:val="fr-FR"/>
              </w:rPr>
            </w:pPr>
            <w:r>
              <w:rPr>
                <w:lang w:val="fr-FR"/>
              </w:rPr>
              <w:t>17 dBi</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fr-FR"/>
              </w:rPr>
            </w:pPr>
            <w:r>
              <w:rPr>
                <w:lang w:val="fr-FR"/>
              </w:rPr>
              <w:t>Lognormal correlation distance</w:t>
            </w:r>
          </w:p>
        </w:tc>
        <w:tc>
          <w:tcPr>
            <w:tcW w:w="4110" w:type="dxa"/>
            <w:tcBorders>
              <w:top w:val="single" w:sz="6" w:space="0" w:color="000000"/>
              <w:left w:val="single" w:sz="6" w:space="0" w:color="000000"/>
              <w:bottom w:val="single" w:sz="6" w:space="0" w:color="000000"/>
              <w:right w:val="single" w:sz="4" w:space="0" w:color="000000"/>
            </w:tcBorders>
          </w:tcPr>
          <w:p>
            <w:pPr>
              <w:pStyle w:val="TAL"/>
              <w:rPr>
                <w:lang w:val="en-GB"/>
              </w:rPr>
            </w:pPr>
            <w:r>
              <w:rPr>
                <w:lang w:val="en-GB"/>
              </w:rPr>
              <w:t>110 m</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Carrier frequency</w:t>
            </w:r>
          </w:p>
        </w:tc>
        <w:tc>
          <w:tcPr>
            <w:tcW w:w="4110" w:type="dxa"/>
            <w:tcBorders>
              <w:top w:val="single" w:sz="6" w:space="0" w:color="000000"/>
              <w:left w:val="single" w:sz="6" w:space="0" w:color="000000"/>
              <w:bottom w:val="single" w:sz="6" w:space="0" w:color="000000"/>
              <w:right w:val="single" w:sz="4" w:space="0" w:color="000000"/>
            </w:tcBorders>
          </w:tcPr>
          <w:p>
            <w:pPr>
              <w:pStyle w:val="TAL"/>
              <w:rPr>
                <w:lang w:val="en-GB"/>
              </w:rPr>
            </w:pPr>
            <w:r>
              <w:rPr>
                <w:lang w:val="en-GB"/>
              </w:rPr>
              <w:t>900 MHz</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Channel speeds</w:t>
            </w:r>
          </w:p>
        </w:tc>
        <w:tc>
          <w:tcPr>
            <w:tcW w:w="4110" w:type="dxa"/>
            <w:tcBorders>
              <w:top w:val="single" w:sz="6" w:space="0" w:color="000000"/>
              <w:left w:val="single" w:sz="6" w:space="0" w:color="000000"/>
              <w:bottom w:val="single" w:sz="6" w:space="0" w:color="000000"/>
              <w:right w:val="single" w:sz="4" w:space="0" w:color="000000"/>
            </w:tcBorders>
          </w:tcPr>
          <w:p>
            <w:pPr>
              <w:pStyle w:val="TAL"/>
              <w:rPr>
                <w:lang w:val="en-GB"/>
              </w:rPr>
            </w:pPr>
            <w:r>
              <w:rPr>
                <w:lang w:val="en-GB"/>
              </w:rPr>
              <w:t>3, 50 km/h</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Number of BTS'</w:t>
            </w:r>
          </w:p>
        </w:tc>
        <w:tc>
          <w:tcPr>
            <w:tcW w:w="4110" w:type="dxa"/>
            <w:tcBorders>
              <w:top w:val="single" w:sz="6" w:space="0" w:color="000000"/>
              <w:left w:val="single" w:sz="6" w:space="0" w:color="000000"/>
              <w:bottom w:val="single" w:sz="6" w:space="0" w:color="000000"/>
              <w:right w:val="single" w:sz="4" w:space="0" w:color="000000"/>
            </w:tcBorders>
          </w:tcPr>
          <w:p>
            <w:pPr>
              <w:pStyle w:val="TAL"/>
              <w:rPr/>
            </w:pPr>
            <w:r>
              <w:rPr>
                <w:lang w:val="en-GB"/>
              </w:rPr>
              <w:t>36 (wrap-around technique used to avoid edge effects)</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Maximum number of bursts measured</w:t>
            </w:r>
          </w:p>
        </w:tc>
        <w:tc>
          <w:tcPr>
            <w:tcW w:w="4110" w:type="dxa"/>
            <w:tcBorders>
              <w:top w:val="single" w:sz="6" w:space="0" w:color="000000"/>
              <w:left w:val="single" w:sz="6" w:space="0" w:color="000000"/>
              <w:bottom w:val="single" w:sz="6" w:space="0" w:color="000000"/>
              <w:right w:val="single" w:sz="4" w:space="0" w:color="000000"/>
            </w:tcBorders>
          </w:tcPr>
          <w:p>
            <w:pPr>
              <w:pStyle w:val="TAL"/>
              <w:rPr>
                <w:lang w:val="en-GB"/>
              </w:rPr>
            </w:pPr>
            <w:r>
              <w:rPr>
                <w:lang w:val="en-GB"/>
              </w:rPr>
              <w:t>26</w:t>
            </w:r>
          </w:p>
        </w:tc>
      </w:tr>
      <w:tr>
        <w:trPr/>
        <w:tc>
          <w:tcPr>
            <w:tcW w:w="382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Standard deviation of lognormal fading</w:t>
            </w:r>
          </w:p>
        </w:tc>
        <w:tc>
          <w:tcPr>
            <w:tcW w:w="4110" w:type="dxa"/>
            <w:tcBorders>
              <w:top w:val="single" w:sz="6" w:space="0" w:color="000000"/>
              <w:left w:val="single" w:sz="6" w:space="0" w:color="000000"/>
              <w:bottom w:val="single" w:sz="6" w:space="0" w:color="000000"/>
              <w:right w:val="single" w:sz="4" w:space="0" w:color="000000"/>
            </w:tcBorders>
          </w:tcPr>
          <w:p>
            <w:pPr>
              <w:pStyle w:val="TAL"/>
              <w:rPr>
                <w:lang w:val="en-GB"/>
              </w:rPr>
            </w:pPr>
            <w:r>
              <w:rPr>
                <w:lang w:val="en-GB"/>
              </w:rPr>
              <w:t>6 dB</w:t>
            </w:r>
          </w:p>
        </w:tc>
      </w:tr>
      <w:tr>
        <w:trPr/>
        <w:tc>
          <w:tcPr>
            <w:tcW w:w="3828" w:type="dxa"/>
            <w:tcBorders>
              <w:top w:val="single" w:sz="6" w:space="0" w:color="000000"/>
              <w:left w:val="single" w:sz="4" w:space="0" w:color="000000"/>
              <w:bottom w:val="single" w:sz="4" w:space="0" w:color="000000"/>
              <w:right w:val="single" w:sz="6" w:space="0" w:color="000000"/>
            </w:tcBorders>
          </w:tcPr>
          <w:p>
            <w:pPr>
              <w:pStyle w:val="TAL"/>
              <w:rPr>
                <w:lang w:val="en-GB"/>
              </w:rPr>
            </w:pPr>
            <w:r>
              <w:rPr>
                <w:lang w:val="en-GB"/>
              </w:rPr>
              <w:t>BTS receiver antenna diversity</w:t>
            </w:r>
          </w:p>
        </w:tc>
        <w:tc>
          <w:tcPr>
            <w:tcW w:w="4110" w:type="dxa"/>
            <w:tcBorders>
              <w:top w:val="single" w:sz="6" w:space="0" w:color="000000"/>
              <w:left w:val="single" w:sz="6" w:space="0" w:color="000000"/>
              <w:bottom w:val="single" w:sz="4" w:space="0" w:color="000000"/>
              <w:right w:val="single" w:sz="4" w:space="0" w:color="000000"/>
            </w:tcBorders>
          </w:tcPr>
          <w:p>
            <w:pPr>
              <w:pStyle w:val="TAL"/>
              <w:rPr>
                <w:lang w:val="fr-FR"/>
              </w:rPr>
            </w:pPr>
            <w:r>
              <w:rPr>
                <w:lang w:val="fr-FR"/>
              </w:rPr>
              <w:t>2 antennas, 6 m apart</w:t>
            </w:r>
          </w:p>
        </w:tc>
      </w:tr>
    </w:tbl>
    <w:p>
      <w:pPr>
        <w:pStyle w:val="FP"/>
        <w:rPr>
          <w:lang w:val="fr-FR"/>
        </w:rPr>
      </w:pPr>
      <w:r>
        <w:rPr>
          <w:lang w:val="fr-FR"/>
        </w:rPr>
      </w:r>
    </w:p>
    <w:p>
      <w:pPr>
        <w:pStyle w:val="TH"/>
        <w:rPr>
          <w:lang w:val="fr-FR"/>
        </w:rPr>
      </w:pPr>
      <w:r>
        <w:rPr>
          <w:lang w:val="fr-FR"/>
        </w:rPr>
      </w:r>
    </w:p>
    <w:tbl>
      <w:tblPr>
        <w:tblW w:w="7388" w:type="dxa"/>
        <w:jc w:val="center"/>
        <w:tblInd w:w="0" w:type="dxa"/>
        <w:tblLayout w:type="fixed"/>
        <w:tblCellMar>
          <w:top w:w="0" w:type="dxa"/>
          <w:left w:w="108" w:type="dxa"/>
          <w:bottom w:w="0" w:type="dxa"/>
          <w:right w:w="108" w:type="dxa"/>
        </w:tblCellMar>
      </w:tblPr>
      <w:tblGrid>
        <w:gridCol w:w="1486"/>
        <w:gridCol w:w="2228"/>
        <w:gridCol w:w="3674"/>
      </w:tblGrid>
      <w:tr>
        <w:trPr/>
        <w:tc>
          <w:tcPr>
            <w:tcW w:w="1486" w:type="dxa"/>
            <w:tcBorders>
              <w:top w:val="single" w:sz="4" w:space="0" w:color="000000"/>
              <w:left w:val="single" w:sz="4" w:space="0" w:color="000000"/>
              <w:bottom w:val="single" w:sz="6" w:space="0" w:color="000000"/>
              <w:right w:val="single" w:sz="6" w:space="0" w:color="000000"/>
            </w:tcBorders>
          </w:tcPr>
          <w:p>
            <w:pPr>
              <w:pStyle w:val="TAH"/>
              <w:rPr>
                <w:lang w:val="fr-FR" w:eastAsia="en-US"/>
              </w:rPr>
            </w:pPr>
            <w:r>
              <w:rPr>
                <w:lang w:val="fr-FR" w:eastAsia="en-US"/>
              </w:rPr>
              <w:t>Environment</w:t>
            </w:r>
          </w:p>
        </w:tc>
        <w:tc>
          <w:tcPr>
            <w:tcW w:w="2228"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Cell Radius [m]</w:t>
            </w:r>
          </w:p>
        </w:tc>
        <w:tc>
          <w:tcPr>
            <w:tcW w:w="3674"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path loss at 1 km and 900 MHZ [dB]</w:t>
            </w:r>
          </w:p>
        </w:tc>
      </w:tr>
      <w:tr>
        <w:trPr/>
        <w:tc>
          <w:tcPr>
            <w:tcW w:w="1486"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Urban A</w:t>
            </w:r>
          </w:p>
        </w:tc>
        <w:tc>
          <w:tcPr>
            <w:tcW w:w="22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500</w:t>
            </w:r>
          </w:p>
        </w:tc>
        <w:tc>
          <w:tcPr>
            <w:tcW w:w="36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126</w:t>
            </w:r>
          </w:p>
        </w:tc>
      </w:tr>
      <w:tr>
        <w:trPr/>
        <w:tc>
          <w:tcPr>
            <w:tcW w:w="1486"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Urban B</w:t>
            </w:r>
          </w:p>
        </w:tc>
        <w:tc>
          <w:tcPr>
            <w:tcW w:w="22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500</w:t>
            </w:r>
          </w:p>
        </w:tc>
        <w:tc>
          <w:tcPr>
            <w:tcW w:w="36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126</w:t>
            </w:r>
          </w:p>
        </w:tc>
      </w:tr>
      <w:tr>
        <w:trPr/>
        <w:tc>
          <w:tcPr>
            <w:tcW w:w="1486"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Suburban</w:t>
            </w:r>
          </w:p>
        </w:tc>
        <w:tc>
          <w:tcPr>
            <w:tcW w:w="222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1500</w:t>
            </w:r>
          </w:p>
        </w:tc>
        <w:tc>
          <w:tcPr>
            <w:tcW w:w="3674"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116</w:t>
            </w:r>
          </w:p>
        </w:tc>
      </w:tr>
      <w:tr>
        <w:trPr/>
        <w:tc>
          <w:tcPr>
            <w:tcW w:w="1486" w:type="dxa"/>
            <w:tcBorders>
              <w:top w:val="single" w:sz="6" w:space="0" w:color="000000"/>
              <w:left w:val="single" w:sz="4" w:space="0" w:color="000000"/>
              <w:bottom w:val="single" w:sz="4" w:space="0" w:color="000000"/>
              <w:right w:val="single" w:sz="6" w:space="0" w:color="000000"/>
            </w:tcBorders>
          </w:tcPr>
          <w:p>
            <w:pPr>
              <w:pStyle w:val="TAL"/>
              <w:rPr>
                <w:lang w:val="en-GB"/>
              </w:rPr>
            </w:pPr>
            <w:r>
              <w:rPr>
                <w:lang w:val="en-GB"/>
              </w:rPr>
              <w:t>Rural</w:t>
            </w:r>
          </w:p>
        </w:tc>
        <w:tc>
          <w:tcPr>
            <w:tcW w:w="2228"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10,000</w:t>
            </w:r>
          </w:p>
        </w:tc>
        <w:tc>
          <w:tcPr>
            <w:tcW w:w="3674"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98</w:t>
            </w:r>
          </w:p>
        </w:tc>
      </w:tr>
    </w:tbl>
    <w:p>
      <w:pPr>
        <w:pStyle w:val="FP"/>
        <w:rPr/>
      </w:pPr>
      <w:r>
        <w:rPr/>
      </w:r>
    </w:p>
    <w:p>
      <w:pPr>
        <w:pStyle w:val="Normal"/>
        <w:rPr/>
      </w:pPr>
      <w:r>
        <w:rPr/>
        <w:t>Only the MS E-OTD measurement accuracy has been taken into account in the simulations. Perfect knowledge of RTD values is assumed. The channel models used are the ones defined in annex V.A.</w:t>
      </w:r>
    </w:p>
    <w:p>
      <w:pPr>
        <w:pStyle w:val="Normal"/>
        <w:rPr/>
      </w:pPr>
      <w:r>
        <w:rPr/>
        <w:t>A least squares (LS) method has been used to calculate the position of the MS.</w:t>
      </w:r>
    </w:p>
    <w:p>
      <w:pPr>
        <w:pStyle w:val="Heading3"/>
        <w:rPr/>
      </w:pPr>
      <w:bookmarkStart w:id="615" w:name="__RefHeading___Toc518036029"/>
      <w:bookmarkEnd w:id="615"/>
      <w:r>
        <w:rPr/>
        <w:t>V.6.3.2</w:t>
        <w:tab/>
        <w:t>Simulation results</w:t>
      </w:r>
    </w:p>
    <w:p>
      <w:pPr>
        <w:pStyle w:val="Normal"/>
        <w:rPr/>
      </w:pPr>
      <w:r>
        <w:rPr/>
        <w:t>Table V.6.1 summarises the results for the different channel models.</w:t>
      </w:r>
    </w:p>
    <w:p>
      <w:pPr>
        <w:pStyle w:val="TH"/>
        <w:rPr/>
      </w:pPr>
      <w:r>
        <w:rPr/>
        <w:t>Table V.6.1: Location accuracy simulation results</w:t>
      </w:r>
    </w:p>
    <w:tbl>
      <w:tblPr>
        <w:tblW w:w="9857" w:type="dxa"/>
        <w:jc w:val="center"/>
        <w:tblInd w:w="0" w:type="dxa"/>
        <w:tblLayout w:type="fixed"/>
        <w:tblCellMar>
          <w:top w:w="0" w:type="dxa"/>
          <w:left w:w="108" w:type="dxa"/>
          <w:bottom w:w="0" w:type="dxa"/>
          <w:right w:w="108" w:type="dxa"/>
        </w:tblCellMar>
      </w:tblPr>
      <w:tblGrid>
        <w:gridCol w:w="1417"/>
        <w:gridCol w:w="1227"/>
        <w:gridCol w:w="1079"/>
        <w:gridCol w:w="1079"/>
        <w:gridCol w:w="677"/>
        <w:gridCol w:w="899"/>
        <w:gridCol w:w="900"/>
        <w:gridCol w:w="1071"/>
        <w:gridCol w:w="1508"/>
      </w:tblGrid>
      <w:tr>
        <w:trPr>
          <w:tblHeader w:val="true"/>
          <w:cantSplit w:val="true"/>
        </w:trPr>
        <w:tc>
          <w:tcPr>
            <w:tcW w:w="1417" w:type="dxa"/>
            <w:tcBorders>
              <w:top w:val="single" w:sz="4" w:space="0" w:color="000000"/>
              <w:left w:val="single" w:sz="4" w:space="0" w:color="000000"/>
              <w:bottom w:val="single" w:sz="6" w:space="0" w:color="000000"/>
              <w:right w:val="single" w:sz="6" w:space="0" w:color="000000"/>
            </w:tcBorders>
          </w:tcPr>
          <w:p>
            <w:pPr>
              <w:pStyle w:val="TAH"/>
              <w:keepNext w:val="false"/>
              <w:keepLines w:val="false"/>
              <w:rPr>
                <w:lang w:eastAsia="en-US"/>
              </w:rPr>
            </w:pPr>
            <w:r>
              <w:rPr>
                <w:lang w:eastAsia="en-US"/>
              </w:rPr>
              <w:t>Environment</w:t>
            </w:r>
          </w:p>
        </w:tc>
        <w:tc>
          <w:tcPr>
            <w:tcW w:w="1227" w:type="dxa"/>
            <w:tcBorders>
              <w:top w:val="single" w:sz="4" w:space="0" w:color="000000"/>
              <w:left w:val="single" w:sz="6" w:space="0" w:color="000000"/>
              <w:bottom w:val="single" w:sz="6" w:space="0" w:color="000000"/>
              <w:right w:val="single" w:sz="6" w:space="0" w:color="000000"/>
            </w:tcBorders>
          </w:tcPr>
          <w:p>
            <w:pPr>
              <w:pStyle w:val="TAH"/>
              <w:keepNext w:val="false"/>
              <w:keepLines w:val="false"/>
              <w:rPr>
                <w:lang w:eastAsia="en-US"/>
              </w:rPr>
            </w:pPr>
            <w:r>
              <w:rPr>
                <w:lang w:eastAsia="en-US"/>
              </w:rPr>
              <w:t>MS speed [km/h]</w:t>
            </w:r>
          </w:p>
        </w:tc>
        <w:tc>
          <w:tcPr>
            <w:tcW w:w="1079" w:type="dxa"/>
            <w:tcBorders>
              <w:top w:val="single" w:sz="4" w:space="0" w:color="000000"/>
              <w:left w:val="single" w:sz="6" w:space="0" w:color="000000"/>
              <w:bottom w:val="single" w:sz="6" w:space="0" w:color="000000"/>
              <w:right w:val="single" w:sz="6" w:space="0" w:color="000000"/>
            </w:tcBorders>
          </w:tcPr>
          <w:p>
            <w:pPr>
              <w:pStyle w:val="TAH"/>
              <w:keepNext w:val="false"/>
              <w:keepLines w:val="false"/>
              <w:rPr>
                <w:lang w:eastAsia="en-US"/>
              </w:rPr>
            </w:pPr>
            <w:r>
              <w:rPr>
                <w:lang w:eastAsia="en-US"/>
              </w:rPr>
              <w:t>Perc. at 125 m [%]</w:t>
            </w:r>
          </w:p>
        </w:tc>
        <w:tc>
          <w:tcPr>
            <w:tcW w:w="1079" w:type="dxa"/>
            <w:tcBorders>
              <w:top w:val="single" w:sz="4" w:space="0" w:color="000000"/>
              <w:left w:val="single" w:sz="6" w:space="0" w:color="000000"/>
              <w:bottom w:val="single" w:sz="6" w:space="0" w:color="000000"/>
              <w:right w:val="single" w:sz="6" w:space="0" w:color="000000"/>
            </w:tcBorders>
          </w:tcPr>
          <w:p>
            <w:pPr>
              <w:pStyle w:val="TAH"/>
              <w:keepNext w:val="false"/>
              <w:keepLines w:val="false"/>
              <w:rPr>
                <w:lang w:eastAsia="en-US"/>
              </w:rPr>
            </w:pPr>
            <w:r>
              <w:rPr>
                <w:lang w:eastAsia="en-US"/>
              </w:rPr>
              <w:t>Perc. at 50 m [%]</w:t>
            </w:r>
          </w:p>
        </w:tc>
        <w:tc>
          <w:tcPr>
            <w:tcW w:w="677" w:type="dxa"/>
            <w:tcBorders>
              <w:top w:val="single" w:sz="4" w:space="0" w:color="000000"/>
              <w:left w:val="single" w:sz="6" w:space="0" w:color="000000"/>
              <w:bottom w:val="single" w:sz="6" w:space="0" w:color="000000"/>
              <w:right w:val="single" w:sz="6" w:space="0" w:color="000000"/>
            </w:tcBorders>
          </w:tcPr>
          <w:p>
            <w:pPr>
              <w:pStyle w:val="TAH"/>
              <w:keepNext w:val="false"/>
              <w:keepLines w:val="false"/>
              <w:rPr>
                <w:lang w:eastAsia="en-US"/>
              </w:rPr>
            </w:pPr>
            <w:r>
              <w:rPr>
                <w:lang w:eastAsia="en-US"/>
              </w:rPr>
              <w:t>67%</w:t>
            </w:r>
          </w:p>
          <w:p>
            <w:pPr>
              <w:pStyle w:val="TAH"/>
              <w:keepNext w:val="false"/>
              <w:keepLines w:val="false"/>
              <w:rPr>
                <w:lang w:eastAsia="en-US"/>
              </w:rPr>
            </w:pPr>
            <w:r>
              <w:rPr>
                <w:lang w:eastAsia="en-US"/>
              </w:rPr>
              <w:t>[m]</w:t>
            </w:r>
          </w:p>
        </w:tc>
        <w:tc>
          <w:tcPr>
            <w:tcW w:w="899" w:type="dxa"/>
            <w:tcBorders>
              <w:top w:val="single" w:sz="4" w:space="0" w:color="000000"/>
              <w:left w:val="single" w:sz="6" w:space="0" w:color="000000"/>
              <w:bottom w:val="single" w:sz="6" w:space="0" w:color="000000"/>
              <w:right w:val="single" w:sz="6" w:space="0" w:color="000000"/>
            </w:tcBorders>
          </w:tcPr>
          <w:p>
            <w:pPr>
              <w:pStyle w:val="TAH"/>
              <w:keepNext w:val="false"/>
              <w:keepLines w:val="false"/>
              <w:rPr>
                <w:lang w:eastAsia="en-US"/>
              </w:rPr>
            </w:pPr>
            <w:r>
              <w:rPr>
                <w:lang w:eastAsia="en-US"/>
              </w:rPr>
              <w:t>90% [M]</w:t>
            </w:r>
          </w:p>
        </w:tc>
        <w:tc>
          <w:tcPr>
            <w:tcW w:w="900" w:type="dxa"/>
            <w:tcBorders>
              <w:top w:val="single" w:sz="4" w:space="0" w:color="000000"/>
              <w:left w:val="single" w:sz="6" w:space="0" w:color="000000"/>
              <w:bottom w:val="single" w:sz="6" w:space="0" w:color="000000"/>
              <w:right w:val="single" w:sz="6" w:space="0" w:color="000000"/>
            </w:tcBorders>
          </w:tcPr>
          <w:p>
            <w:pPr>
              <w:pStyle w:val="TAH"/>
              <w:keepNext w:val="false"/>
              <w:keepLines w:val="false"/>
              <w:rPr>
                <w:lang w:eastAsia="en-US"/>
              </w:rPr>
            </w:pPr>
            <w:r>
              <w:rPr>
                <w:lang w:eastAsia="en-US"/>
              </w:rPr>
              <w:t>95% [m]</w:t>
            </w:r>
          </w:p>
        </w:tc>
        <w:tc>
          <w:tcPr>
            <w:tcW w:w="1071" w:type="dxa"/>
            <w:tcBorders>
              <w:top w:val="single" w:sz="4" w:space="0" w:color="000000"/>
              <w:left w:val="single" w:sz="6" w:space="0" w:color="000000"/>
              <w:bottom w:val="single" w:sz="6" w:space="0" w:color="000000"/>
              <w:right w:val="single" w:sz="6" w:space="0" w:color="000000"/>
            </w:tcBorders>
          </w:tcPr>
          <w:p>
            <w:pPr>
              <w:pStyle w:val="TAH"/>
              <w:keepNext w:val="false"/>
              <w:keepLines w:val="false"/>
              <w:rPr>
                <w:lang w:eastAsia="en-US"/>
              </w:rPr>
            </w:pPr>
            <w:r>
              <w:rPr>
                <w:lang w:eastAsia="en-US"/>
              </w:rPr>
              <w:t>RMSE of 90% [m]</w:t>
            </w:r>
          </w:p>
        </w:tc>
        <w:tc>
          <w:tcPr>
            <w:tcW w:w="1508" w:type="dxa"/>
            <w:tcBorders>
              <w:top w:val="single" w:sz="4" w:space="0" w:color="000000"/>
              <w:left w:val="single" w:sz="6" w:space="0" w:color="000000"/>
              <w:bottom w:val="single" w:sz="6" w:space="0" w:color="000000"/>
              <w:right w:val="single" w:sz="4" w:space="0" w:color="000000"/>
            </w:tcBorders>
          </w:tcPr>
          <w:p>
            <w:pPr>
              <w:pStyle w:val="TAH"/>
              <w:keepNext w:val="false"/>
              <w:keepLines w:val="false"/>
              <w:rPr>
                <w:lang w:eastAsia="en-US"/>
              </w:rPr>
            </w:pPr>
            <w:r>
              <w:rPr>
                <w:lang w:eastAsia="en-US"/>
              </w:rPr>
              <w:t>Number of Meas. units</w:t>
              <w:br/>
              <w:t>(note)</w:t>
            </w:r>
          </w:p>
        </w:tc>
      </w:tr>
      <w:tr>
        <w:trPr>
          <w:cantSplit w:val="true"/>
        </w:trPr>
        <w:tc>
          <w:tcPr>
            <w:tcW w:w="1417" w:type="dxa"/>
            <w:tcBorders>
              <w:top w:val="single" w:sz="6" w:space="0" w:color="000000"/>
              <w:left w:val="single" w:sz="4" w:space="0" w:color="000000"/>
              <w:bottom w:val="single" w:sz="6" w:space="0" w:color="000000"/>
              <w:right w:val="single" w:sz="6" w:space="0" w:color="000000"/>
            </w:tcBorders>
          </w:tcPr>
          <w:p>
            <w:pPr>
              <w:pStyle w:val="TAL"/>
              <w:keepNext w:val="false"/>
              <w:keepLines w:val="false"/>
              <w:rPr>
                <w:lang w:val="en-GB"/>
              </w:rPr>
            </w:pPr>
            <w:r>
              <w:rPr>
                <w:lang w:val="en-GB"/>
              </w:rPr>
              <w:t>Urban A</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rPr>
                <w:lang w:val="en-GB"/>
              </w:rPr>
            </w:pPr>
            <w:r>
              <w:rPr>
                <w:lang w:val="en-GB"/>
              </w:rPr>
              <w:t>3</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41</w:t>
            </w:r>
          </w:p>
          <w:p>
            <w:pPr>
              <w:pStyle w:val="TAC"/>
              <w:keepNext w:val="false"/>
              <w:keepLines w:val="false"/>
              <w:rPr>
                <w:lang w:val="en-GB"/>
              </w:rPr>
            </w:pPr>
            <w:r>
              <w:rPr>
                <w:lang w:val="en-GB"/>
              </w:rPr>
              <w:t>49</w:t>
            </w:r>
          </w:p>
          <w:p>
            <w:pPr>
              <w:pStyle w:val="TAC"/>
              <w:keepNext w:val="false"/>
              <w:keepLines w:val="false"/>
              <w:rPr>
                <w:lang w:val="en-GB"/>
              </w:rPr>
            </w:pPr>
            <w:r>
              <w:rPr>
                <w:lang w:val="en-GB"/>
              </w:rPr>
              <w:t>55</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11</w:t>
            </w:r>
          </w:p>
          <w:p>
            <w:pPr>
              <w:pStyle w:val="TAC"/>
              <w:keepNext w:val="false"/>
              <w:keepLines w:val="false"/>
              <w:rPr>
                <w:lang w:val="en-GB"/>
              </w:rPr>
            </w:pPr>
            <w:r>
              <w:rPr>
                <w:lang w:val="en-GB"/>
              </w:rPr>
              <w:t>13</w:t>
            </w:r>
          </w:p>
          <w:p>
            <w:pPr>
              <w:pStyle w:val="TAC"/>
              <w:keepNext w:val="false"/>
              <w:keepLines w:val="false"/>
              <w:rPr>
                <w:lang w:val="en-GB"/>
              </w:rPr>
            </w:pPr>
            <w:r>
              <w:rPr>
                <w:lang w:val="en-GB"/>
              </w:rPr>
              <w:t>14</w:t>
            </w:r>
          </w:p>
        </w:tc>
        <w:tc>
          <w:tcPr>
            <w:tcW w:w="677"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273</w:t>
            </w:r>
          </w:p>
          <w:p>
            <w:pPr>
              <w:pStyle w:val="TAC"/>
              <w:keepNext w:val="false"/>
              <w:keepLines w:val="false"/>
              <w:rPr>
                <w:lang w:val="en-GB"/>
              </w:rPr>
            </w:pPr>
            <w:r>
              <w:rPr>
                <w:lang w:val="en-GB"/>
              </w:rPr>
              <w:t>169</w:t>
            </w:r>
          </w:p>
          <w:p>
            <w:pPr>
              <w:pStyle w:val="TAC"/>
              <w:keepNext w:val="false"/>
              <w:keepLines w:val="false"/>
              <w:rPr>
                <w:lang w:val="en-GB"/>
              </w:rPr>
            </w:pPr>
            <w:r>
              <w:rPr>
                <w:lang w:val="en-GB"/>
              </w:rPr>
              <w:t>149</w:t>
            </w:r>
          </w:p>
        </w:tc>
        <w:tc>
          <w:tcPr>
            <w:tcW w:w="89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307</w:t>
            </w:r>
          </w:p>
          <w:p>
            <w:pPr>
              <w:pStyle w:val="TAC"/>
              <w:keepNext w:val="false"/>
              <w:keepLines w:val="false"/>
              <w:rPr>
                <w:lang w:val="en-GB"/>
              </w:rPr>
            </w:pPr>
            <w:r>
              <w:rPr>
                <w:lang w:val="en-GB"/>
              </w:rPr>
              <w:t>276</w:t>
            </w:r>
          </w:p>
        </w:tc>
        <w:tc>
          <w:tcPr>
            <w:tcW w:w="900"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422</w:t>
            </w:r>
          </w:p>
          <w:p>
            <w:pPr>
              <w:pStyle w:val="TAC"/>
              <w:keepNext w:val="false"/>
              <w:keepLines w:val="false"/>
              <w:rPr>
                <w:lang w:val="en-GB"/>
              </w:rPr>
            </w:pPr>
            <w:r>
              <w:rPr>
                <w:lang w:val="en-GB"/>
              </w:rPr>
              <w:t>349</w:t>
            </w:r>
          </w:p>
        </w:tc>
        <w:tc>
          <w:tcPr>
            <w:tcW w:w="1071"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242</w:t>
            </w:r>
          </w:p>
          <w:p>
            <w:pPr>
              <w:pStyle w:val="TAC"/>
              <w:keepNext w:val="false"/>
              <w:keepLines w:val="false"/>
              <w:rPr>
                <w:lang w:val="en-GB"/>
              </w:rPr>
            </w:pPr>
            <w:r>
              <w:rPr>
                <w:lang w:val="en-GB"/>
              </w:rPr>
              <w:t>145</w:t>
            </w:r>
          </w:p>
          <w:p>
            <w:pPr>
              <w:pStyle w:val="TAC"/>
              <w:keepNext w:val="false"/>
              <w:keepLines w:val="false"/>
              <w:rPr>
                <w:lang w:val="en-GB"/>
              </w:rPr>
            </w:pPr>
            <w:r>
              <w:rPr>
                <w:lang w:val="en-GB"/>
              </w:rPr>
              <w:t>129</w:t>
            </w:r>
          </w:p>
        </w:tc>
        <w:tc>
          <w:tcPr>
            <w:tcW w:w="1508" w:type="dxa"/>
            <w:tcBorders>
              <w:top w:val="single" w:sz="6" w:space="0" w:color="000000"/>
              <w:left w:val="single" w:sz="6" w:space="0" w:color="000000"/>
              <w:bottom w:val="single" w:sz="6" w:space="0" w:color="000000"/>
              <w:right w:val="single" w:sz="4" w:space="0" w:color="000000"/>
            </w:tcBorders>
            <w:vAlign w:val="center"/>
          </w:tcPr>
          <w:p>
            <w:pPr>
              <w:pStyle w:val="TAC"/>
              <w:keepNext w:val="false"/>
              <w:keepLines w:val="false"/>
              <w:rPr>
                <w:lang w:val="en-GB"/>
              </w:rPr>
            </w:pPr>
            <w:r>
              <w:rPr>
                <w:lang w:val="en-GB"/>
              </w:rPr>
              <w:t>3</w:t>
            </w:r>
          </w:p>
          <w:p>
            <w:pPr>
              <w:pStyle w:val="TAC"/>
              <w:keepNext w:val="false"/>
              <w:keepLines w:val="false"/>
              <w:rPr>
                <w:lang w:val="en-GB"/>
              </w:rPr>
            </w:pPr>
            <w:r>
              <w:rPr>
                <w:lang w:val="en-GB"/>
              </w:rPr>
              <w:t>5</w:t>
            </w:r>
          </w:p>
          <w:p>
            <w:pPr>
              <w:pStyle w:val="TAC"/>
              <w:keepNext w:val="false"/>
              <w:keepLines w:val="false"/>
              <w:rPr>
                <w:lang w:val="en-GB"/>
              </w:rPr>
            </w:pPr>
            <w:r>
              <w:rPr>
                <w:lang w:val="en-GB"/>
              </w:rPr>
              <w:t>7</w:t>
            </w:r>
          </w:p>
        </w:tc>
      </w:tr>
      <w:tr>
        <w:trPr>
          <w:cantSplit w:val="true"/>
        </w:trPr>
        <w:tc>
          <w:tcPr>
            <w:tcW w:w="1417" w:type="dxa"/>
            <w:tcBorders>
              <w:top w:val="single" w:sz="6" w:space="0" w:color="000000"/>
              <w:left w:val="single" w:sz="4" w:space="0" w:color="000000"/>
              <w:bottom w:val="single" w:sz="6" w:space="0" w:color="000000"/>
              <w:right w:val="single" w:sz="6" w:space="0" w:color="000000"/>
            </w:tcBorders>
          </w:tcPr>
          <w:p>
            <w:pPr>
              <w:pStyle w:val="TAL"/>
              <w:keepNext w:val="false"/>
              <w:keepLines w:val="false"/>
              <w:rPr>
                <w:lang w:val="en-GB"/>
              </w:rPr>
            </w:pPr>
            <w:r>
              <w:rPr>
                <w:lang w:val="en-GB"/>
              </w:rPr>
              <w:t>Urban A</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rPr>
                <w:lang w:val="en-GB"/>
              </w:rPr>
            </w:pPr>
            <w:r>
              <w:rPr>
                <w:lang w:val="en-GB"/>
              </w:rPr>
              <w:t>50</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43</w:t>
            </w:r>
          </w:p>
          <w:p>
            <w:pPr>
              <w:pStyle w:val="TAC"/>
              <w:keepNext w:val="false"/>
              <w:keepLines w:val="false"/>
              <w:rPr>
                <w:lang w:val="en-GB"/>
              </w:rPr>
            </w:pPr>
            <w:r>
              <w:rPr>
                <w:lang w:val="en-GB"/>
              </w:rPr>
              <w:t>55</w:t>
            </w:r>
          </w:p>
          <w:p>
            <w:pPr>
              <w:pStyle w:val="TAC"/>
              <w:keepNext w:val="false"/>
              <w:keepLines w:val="false"/>
              <w:rPr>
                <w:lang w:val="en-GB"/>
              </w:rPr>
            </w:pPr>
            <w:r>
              <w:rPr>
                <w:lang w:val="en-GB"/>
              </w:rPr>
              <w:t>57</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12</w:t>
            </w:r>
          </w:p>
          <w:p>
            <w:pPr>
              <w:pStyle w:val="TAC"/>
              <w:keepNext w:val="false"/>
              <w:keepLines w:val="false"/>
              <w:rPr>
                <w:lang w:val="en-GB"/>
              </w:rPr>
            </w:pPr>
            <w:r>
              <w:rPr>
                <w:lang w:val="en-GB"/>
              </w:rPr>
              <w:t>17</w:t>
            </w:r>
          </w:p>
          <w:p>
            <w:pPr>
              <w:pStyle w:val="TAC"/>
              <w:keepNext w:val="false"/>
              <w:keepLines w:val="false"/>
              <w:rPr>
                <w:lang w:val="en-GB"/>
              </w:rPr>
            </w:pPr>
            <w:r>
              <w:rPr>
                <w:lang w:val="en-GB"/>
              </w:rPr>
              <w:t>13</w:t>
            </w:r>
          </w:p>
        </w:tc>
        <w:tc>
          <w:tcPr>
            <w:tcW w:w="677"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220</w:t>
            </w:r>
          </w:p>
          <w:p>
            <w:pPr>
              <w:pStyle w:val="TAC"/>
              <w:keepNext w:val="false"/>
              <w:keepLines w:val="false"/>
              <w:rPr>
                <w:lang w:val="en-GB"/>
              </w:rPr>
            </w:pPr>
            <w:r>
              <w:rPr>
                <w:lang w:val="en-GB"/>
              </w:rPr>
              <w:t>160</w:t>
            </w:r>
          </w:p>
          <w:p>
            <w:pPr>
              <w:pStyle w:val="TAC"/>
              <w:keepNext w:val="false"/>
              <w:keepLines w:val="false"/>
              <w:rPr>
                <w:lang w:val="en-GB"/>
              </w:rPr>
            </w:pPr>
            <w:r>
              <w:rPr>
                <w:lang w:val="en-GB"/>
              </w:rPr>
              <w:t>146</w:t>
            </w:r>
          </w:p>
        </w:tc>
        <w:tc>
          <w:tcPr>
            <w:tcW w:w="89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292</w:t>
            </w:r>
          </w:p>
          <w:p>
            <w:pPr>
              <w:pStyle w:val="TAC"/>
              <w:keepNext w:val="false"/>
              <w:keepLines w:val="false"/>
              <w:rPr>
                <w:lang w:val="en-GB"/>
              </w:rPr>
            </w:pPr>
            <w:r>
              <w:rPr>
                <w:lang w:val="en-GB"/>
              </w:rPr>
              <w:t>255</w:t>
            </w:r>
          </w:p>
        </w:tc>
        <w:tc>
          <w:tcPr>
            <w:tcW w:w="900"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406</w:t>
            </w:r>
          </w:p>
          <w:p>
            <w:pPr>
              <w:pStyle w:val="TAC"/>
              <w:keepNext w:val="false"/>
              <w:keepLines w:val="false"/>
              <w:rPr>
                <w:lang w:val="en-GB"/>
              </w:rPr>
            </w:pPr>
            <w:r>
              <w:rPr>
                <w:lang w:val="en-GB"/>
              </w:rPr>
              <w:t>340</w:t>
            </w:r>
          </w:p>
        </w:tc>
        <w:tc>
          <w:tcPr>
            <w:tcW w:w="1071"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208</w:t>
            </w:r>
          </w:p>
          <w:p>
            <w:pPr>
              <w:pStyle w:val="TAC"/>
              <w:keepNext w:val="false"/>
              <w:keepLines w:val="false"/>
              <w:rPr>
                <w:lang w:val="en-GB"/>
              </w:rPr>
            </w:pPr>
            <w:r>
              <w:rPr>
                <w:lang w:val="en-GB"/>
              </w:rPr>
              <w:t>136</w:t>
            </w:r>
          </w:p>
          <w:p>
            <w:pPr>
              <w:pStyle w:val="TAC"/>
              <w:keepNext w:val="false"/>
              <w:keepLines w:val="false"/>
              <w:rPr>
                <w:lang w:val="en-GB"/>
              </w:rPr>
            </w:pPr>
            <w:r>
              <w:rPr>
                <w:lang w:val="en-GB"/>
              </w:rPr>
              <w:t>126</w:t>
            </w:r>
          </w:p>
        </w:tc>
        <w:tc>
          <w:tcPr>
            <w:tcW w:w="1508" w:type="dxa"/>
            <w:tcBorders>
              <w:top w:val="single" w:sz="6" w:space="0" w:color="000000"/>
              <w:left w:val="single" w:sz="6" w:space="0" w:color="000000"/>
              <w:bottom w:val="single" w:sz="6" w:space="0" w:color="000000"/>
              <w:right w:val="single" w:sz="4" w:space="0" w:color="000000"/>
            </w:tcBorders>
            <w:vAlign w:val="center"/>
          </w:tcPr>
          <w:p>
            <w:pPr>
              <w:pStyle w:val="TAC"/>
              <w:keepNext w:val="false"/>
              <w:keepLines w:val="false"/>
              <w:rPr>
                <w:lang w:val="en-GB"/>
              </w:rPr>
            </w:pPr>
            <w:r>
              <w:rPr>
                <w:lang w:val="en-GB"/>
              </w:rPr>
              <w:t>3</w:t>
            </w:r>
          </w:p>
          <w:p>
            <w:pPr>
              <w:pStyle w:val="TAC"/>
              <w:keepNext w:val="false"/>
              <w:keepLines w:val="false"/>
              <w:rPr>
                <w:lang w:val="en-GB"/>
              </w:rPr>
            </w:pPr>
            <w:r>
              <w:rPr>
                <w:lang w:val="en-GB"/>
              </w:rPr>
              <w:t>5</w:t>
            </w:r>
          </w:p>
          <w:p>
            <w:pPr>
              <w:pStyle w:val="TAC"/>
              <w:keepNext w:val="false"/>
              <w:keepLines w:val="false"/>
              <w:rPr>
                <w:lang w:val="en-GB"/>
              </w:rPr>
            </w:pPr>
            <w:r>
              <w:rPr>
                <w:lang w:val="en-GB"/>
              </w:rPr>
              <w:t>7</w:t>
            </w:r>
          </w:p>
        </w:tc>
      </w:tr>
      <w:tr>
        <w:trPr>
          <w:cantSplit w:val="true"/>
        </w:trPr>
        <w:tc>
          <w:tcPr>
            <w:tcW w:w="1417" w:type="dxa"/>
            <w:tcBorders>
              <w:top w:val="single" w:sz="6" w:space="0" w:color="000000"/>
              <w:left w:val="single" w:sz="4" w:space="0" w:color="000000"/>
              <w:bottom w:val="single" w:sz="6" w:space="0" w:color="000000"/>
              <w:right w:val="single" w:sz="6" w:space="0" w:color="000000"/>
            </w:tcBorders>
          </w:tcPr>
          <w:p>
            <w:pPr>
              <w:pStyle w:val="TAL"/>
              <w:keepNext w:val="false"/>
              <w:keepLines w:val="false"/>
              <w:rPr>
                <w:lang w:val="en-GB"/>
              </w:rPr>
            </w:pPr>
            <w:r>
              <w:rPr>
                <w:lang w:val="en-GB"/>
              </w:rPr>
              <w:t>Urban B</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rPr>
                <w:lang w:val="en-GB"/>
              </w:rPr>
            </w:pPr>
            <w:r>
              <w:rPr>
                <w:lang w:val="en-GB"/>
              </w:rPr>
              <w:t>3</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54</w:t>
            </w:r>
          </w:p>
          <w:p>
            <w:pPr>
              <w:pStyle w:val="TAC"/>
              <w:keepNext w:val="false"/>
              <w:keepLines w:val="false"/>
              <w:rPr>
                <w:lang w:val="en-GB"/>
              </w:rPr>
            </w:pPr>
            <w:r>
              <w:rPr>
                <w:lang w:val="en-GB"/>
              </w:rPr>
              <w:t>78</w:t>
            </w:r>
          </w:p>
          <w:p>
            <w:pPr>
              <w:pStyle w:val="TAC"/>
              <w:keepNext w:val="false"/>
              <w:keepLines w:val="false"/>
              <w:rPr>
                <w:lang w:val="en-GB"/>
              </w:rPr>
            </w:pPr>
            <w:r>
              <w:rPr>
                <w:lang w:val="en-GB"/>
              </w:rPr>
              <w:t>82</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15</w:t>
            </w:r>
          </w:p>
          <w:p>
            <w:pPr>
              <w:pStyle w:val="TAC"/>
              <w:keepNext w:val="false"/>
              <w:keepLines w:val="false"/>
              <w:rPr>
                <w:lang w:val="en-GB"/>
              </w:rPr>
            </w:pPr>
            <w:r>
              <w:rPr>
                <w:lang w:val="en-GB"/>
              </w:rPr>
              <w:t>32</w:t>
            </w:r>
          </w:p>
          <w:p>
            <w:pPr>
              <w:pStyle w:val="TAC"/>
              <w:keepNext w:val="false"/>
              <w:keepLines w:val="false"/>
              <w:rPr>
                <w:lang w:val="en-GB"/>
              </w:rPr>
            </w:pPr>
            <w:r>
              <w:rPr>
                <w:lang w:val="en-GB"/>
              </w:rPr>
              <w:t>33</w:t>
            </w:r>
          </w:p>
        </w:tc>
        <w:tc>
          <w:tcPr>
            <w:tcW w:w="677"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159</w:t>
            </w:r>
          </w:p>
          <w:p>
            <w:pPr>
              <w:pStyle w:val="TAC"/>
              <w:keepNext w:val="false"/>
              <w:keepLines w:val="false"/>
              <w:rPr>
                <w:lang w:val="en-GB"/>
              </w:rPr>
            </w:pPr>
            <w:r>
              <w:rPr>
                <w:lang w:val="en-GB"/>
              </w:rPr>
              <w:t>104</w:t>
            </w:r>
          </w:p>
          <w:p>
            <w:pPr>
              <w:pStyle w:val="TAC"/>
              <w:keepNext w:val="false"/>
              <w:keepLines w:val="false"/>
              <w:rPr>
                <w:lang w:val="en-GB"/>
              </w:rPr>
            </w:pPr>
            <w:r>
              <w:rPr>
                <w:lang w:val="en-GB"/>
              </w:rPr>
              <w:t>90</w:t>
            </w:r>
          </w:p>
        </w:tc>
        <w:tc>
          <w:tcPr>
            <w:tcW w:w="89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394</w:t>
            </w:r>
          </w:p>
          <w:p>
            <w:pPr>
              <w:pStyle w:val="TAC"/>
              <w:keepNext w:val="false"/>
              <w:keepLines w:val="false"/>
              <w:rPr>
                <w:lang w:val="en-GB"/>
              </w:rPr>
            </w:pPr>
            <w:r>
              <w:rPr>
                <w:lang w:val="en-GB"/>
              </w:rPr>
              <w:t>173</w:t>
            </w:r>
          </w:p>
          <w:p>
            <w:pPr>
              <w:pStyle w:val="TAC"/>
              <w:keepNext w:val="false"/>
              <w:keepLines w:val="false"/>
              <w:rPr>
                <w:lang w:val="en-GB"/>
              </w:rPr>
            </w:pPr>
            <w:r>
              <w:rPr>
                <w:lang w:val="en-GB"/>
              </w:rPr>
              <w:t>154</w:t>
            </w:r>
          </w:p>
        </w:tc>
        <w:tc>
          <w:tcPr>
            <w:tcW w:w="900"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239</w:t>
            </w:r>
          </w:p>
          <w:p>
            <w:pPr>
              <w:pStyle w:val="TAC"/>
              <w:keepNext w:val="false"/>
              <w:keepLines w:val="false"/>
              <w:rPr>
                <w:lang w:val="en-GB"/>
              </w:rPr>
            </w:pPr>
            <w:r>
              <w:rPr>
                <w:lang w:val="en-GB"/>
              </w:rPr>
              <w:t>209</w:t>
            </w:r>
          </w:p>
        </w:tc>
        <w:tc>
          <w:tcPr>
            <w:tcW w:w="1071"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145</w:t>
            </w:r>
          </w:p>
          <w:p>
            <w:pPr>
              <w:pStyle w:val="TAC"/>
              <w:keepNext w:val="false"/>
              <w:keepLines w:val="false"/>
              <w:rPr>
                <w:lang w:val="en-GB"/>
              </w:rPr>
            </w:pPr>
            <w:r>
              <w:rPr>
                <w:lang w:val="en-GB"/>
              </w:rPr>
              <w:t>86</w:t>
            </w:r>
          </w:p>
          <w:p>
            <w:pPr>
              <w:pStyle w:val="TAC"/>
              <w:keepNext w:val="false"/>
              <w:keepLines w:val="false"/>
              <w:rPr>
                <w:lang w:val="en-GB"/>
              </w:rPr>
            </w:pPr>
            <w:r>
              <w:rPr>
                <w:lang w:val="en-GB"/>
              </w:rPr>
              <w:t>76</w:t>
            </w:r>
          </w:p>
        </w:tc>
        <w:tc>
          <w:tcPr>
            <w:tcW w:w="1508" w:type="dxa"/>
            <w:tcBorders>
              <w:top w:val="single" w:sz="6" w:space="0" w:color="000000"/>
              <w:left w:val="single" w:sz="6" w:space="0" w:color="000000"/>
              <w:bottom w:val="single" w:sz="6" w:space="0" w:color="000000"/>
              <w:right w:val="single" w:sz="4" w:space="0" w:color="000000"/>
            </w:tcBorders>
            <w:vAlign w:val="center"/>
          </w:tcPr>
          <w:p>
            <w:pPr>
              <w:pStyle w:val="TAC"/>
              <w:keepNext w:val="false"/>
              <w:keepLines w:val="false"/>
              <w:rPr>
                <w:lang w:val="en-GB"/>
              </w:rPr>
            </w:pPr>
            <w:r>
              <w:rPr>
                <w:lang w:val="en-GB"/>
              </w:rPr>
              <w:t>3</w:t>
            </w:r>
          </w:p>
          <w:p>
            <w:pPr>
              <w:pStyle w:val="TAC"/>
              <w:keepNext w:val="false"/>
              <w:keepLines w:val="false"/>
              <w:rPr>
                <w:lang w:val="en-GB"/>
              </w:rPr>
            </w:pPr>
            <w:r>
              <w:rPr>
                <w:lang w:val="en-GB"/>
              </w:rPr>
              <w:t>5</w:t>
            </w:r>
          </w:p>
          <w:p>
            <w:pPr>
              <w:pStyle w:val="TAC"/>
              <w:keepNext w:val="false"/>
              <w:keepLines w:val="false"/>
              <w:rPr>
                <w:lang w:val="en-GB"/>
              </w:rPr>
            </w:pPr>
            <w:r>
              <w:rPr>
                <w:lang w:val="en-GB"/>
              </w:rPr>
              <w:t>7</w:t>
            </w:r>
          </w:p>
        </w:tc>
      </w:tr>
      <w:tr>
        <w:trPr>
          <w:cantSplit w:val="true"/>
        </w:trPr>
        <w:tc>
          <w:tcPr>
            <w:tcW w:w="1417" w:type="dxa"/>
            <w:tcBorders>
              <w:top w:val="single" w:sz="6" w:space="0" w:color="000000"/>
              <w:left w:val="single" w:sz="4" w:space="0" w:color="000000"/>
              <w:bottom w:val="single" w:sz="6" w:space="0" w:color="000000"/>
              <w:right w:val="single" w:sz="6" w:space="0" w:color="000000"/>
            </w:tcBorders>
          </w:tcPr>
          <w:p>
            <w:pPr>
              <w:pStyle w:val="TAL"/>
              <w:keepNext w:val="false"/>
              <w:keepLines w:val="false"/>
              <w:rPr>
                <w:lang w:val="en-GB"/>
              </w:rPr>
            </w:pPr>
            <w:r>
              <w:rPr>
                <w:lang w:val="en-GB"/>
              </w:rPr>
              <w:t>Urban B</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rPr>
                <w:lang w:val="en-GB"/>
              </w:rPr>
            </w:pPr>
            <w:r>
              <w:rPr>
                <w:lang w:val="en-GB"/>
              </w:rPr>
              <w:t>50</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60</w:t>
            </w:r>
          </w:p>
          <w:p>
            <w:pPr>
              <w:pStyle w:val="TAC"/>
              <w:keepNext w:val="false"/>
              <w:keepLines w:val="false"/>
              <w:rPr>
                <w:lang w:val="en-GB"/>
              </w:rPr>
            </w:pPr>
            <w:r>
              <w:rPr>
                <w:lang w:val="en-GB"/>
              </w:rPr>
              <w:t>80</w:t>
            </w:r>
          </w:p>
          <w:p>
            <w:pPr>
              <w:pStyle w:val="TAC"/>
              <w:keepNext w:val="false"/>
              <w:keepLines w:val="false"/>
              <w:rPr>
                <w:lang w:val="en-GB"/>
              </w:rPr>
            </w:pPr>
            <w:r>
              <w:rPr>
                <w:lang w:val="en-GB"/>
              </w:rPr>
              <w:t>89</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25</w:t>
            </w:r>
          </w:p>
          <w:p>
            <w:pPr>
              <w:pStyle w:val="TAC"/>
              <w:keepNext w:val="false"/>
              <w:keepLines w:val="false"/>
              <w:rPr>
                <w:lang w:val="en-GB"/>
              </w:rPr>
            </w:pPr>
            <w:r>
              <w:rPr>
                <w:lang w:val="en-GB"/>
              </w:rPr>
              <w:t>37</w:t>
            </w:r>
          </w:p>
          <w:p>
            <w:pPr>
              <w:pStyle w:val="TAC"/>
              <w:keepNext w:val="false"/>
              <w:keepLines w:val="false"/>
              <w:rPr>
                <w:lang w:val="en-GB"/>
              </w:rPr>
            </w:pPr>
            <w:r>
              <w:rPr>
                <w:lang w:val="en-GB"/>
              </w:rPr>
              <w:t>45</w:t>
            </w:r>
          </w:p>
        </w:tc>
        <w:tc>
          <w:tcPr>
            <w:tcW w:w="677"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144</w:t>
            </w:r>
          </w:p>
          <w:p>
            <w:pPr>
              <w:pStyle w:val="TAC"/>
              <w:keepNext w:val="false"/>
              <w:keepLines w:val="false"/>
              <w:rPr>
                <w:lang w:val="en-GB"/>
              </w:rPr>
            </w:pPr>
            <w:r>
              <w:rPr>
                <w:lang w:val="en-GB"/>
              </w:rPr>
              <w:t>84</w:t>
            </w:r>
          </w:p>
          <w:p>
            <w:pPr>
              <w:pStyle w:val="TAC"/>
              <w:keepNext w:val="false"/>
              <w:keepLines w:val="false"/>
              <w:rPr>
                <w:lang w:val="en-GB"/>
              </w:rPr>
            </w:pPr>
            <w:r>
              <w:rPr>
                <w:lang w:val="en-GB"/>
              </w:rPr>
              <w:t>79</w:t>
            </w:r>
          </w:p>
        </w:tc>
        <w:tc>
          <w:tcPr>
            <w:tcW w:w="89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461</w:t>
            </w:r>
          </w:p>
          <w:p>
            <w:pPr>
              <w:pStyle w:val="TAC"/>
              <w:keepNext w:val="false"/>
              <w:keepLines w:val="false"/>
              <w:rPr>
                <w:lang w:val="en-GB"/>
              </w:rPr>
            </w:pPr>
            <w:r>
              <w:rPr>
                <w:lang w:val="en-GB"/>
              </w:rPr>
              <w:t>160</w:t>
            </w:r>
          </w:p>
          <w:p>
            <w:pPr>
              <w:pStyle w:val="TAC"/>
              <w:keepNext w:val="false"/>
              <w:keepLines w:val="false"/>
              <w:rPr>
                <w:lang w:val="en-GB"/>
              </w:rPr>
            </w:pPr>
            <w:r>
              <w:rPr>
                <w:lang w:val="en-GB"/>
              </w:rPr>
              <w:t>126</w:t>
            </w:r>
          </w:p>
        </w:tc>
        <w:tc>
          <w:tcPr>
            <w:tcW w:w="900"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196</w:t>
            </w:r>
          </w:p>
          <w:p>
            <w:pPr>
              <w:pStyle w:val="TAC"/>
              <w:keepNext w:val="false"/>
              <w:keepLines w:val="false"/>
              <w:rPr>
                <w:lang w:val="en-GB"/>
              </w:rPr>
            </w:pPr>
            <w:r>
              <w:rPr>
                <w:lang w:val="en-GB"/>
              </w:rPr>
              <w:t>165</w:t>
            </w:r>
          </w:p>
        </w:tc>
        <w:tc>
          <w:tcPr>
            <w:tcW w:w="1071"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153</w:t>
            </w:r>
          </w:p>
          <w:p>
            <w:pPr>
              <w:pStyle w:val="TAC"/>
              <w:keepNext w:val="false"/>
              <w:keepLines w:val="false"/>
              <w:rPr>
                <w:lang w:val="en-GB"/>
              </w:rPr>
            </w:pPr>
            <w:r>
              <w:rPr>
                <w:lang w:val="en-GB"/>
              </w:rPr>
              <w:t>77</w:t>
            </w:r>
          </w:p>
          <w:p>
            <w:pPr>
              <w:pStyle w:val="TAC"/>
              <w:keepNext w:val="false"/>
              <w:keepLines w:val="false"/>
              <w:rPr>
                <w:lang w:val="en-GB"/>
              </w:rPr>
            </w:pPr>
            <w:r>
              <w:rPr>
                <w:lang w:val="en-GB"/>
              </w:rPr>
              <w:t>65</w:t>
            </w:r>
          </w:p>
        </w:tc>
        <w:tc>
          <w:tcPr>
            <w:tcW w:w="1508" w:type="dxa"/>
            <w:tcBorders>
              <w:top w:val="single" w:sz="6" w:space="0" w:color="000000"/>
              <w:left w:val="single" w:sz="6" w:space="0" w:color="000000"/>
              <w:bottom w:val="single" w:sz="6" w:space="0" w:color="000000"/>
              <w:right w:val="single" w:sz="4" w:space="0" w:color="000000"/>
            </w:tcBorders>
            <w:vAlign w:val="center"/>
          </w:tcPr>
          <w:p>
            <w:pPr>
              <w:pStyle w:val="TAC"/>
              <w:keepNext w:val="false"/>
              <w:keepLines w:val="false"/>
              <w:rPr>
                <w:lang w:val="en-GB"/>
              </w:rPr>
            </w:pPr>
            <w:r>
              <w:rPr>
                <w:lang w:val="en-GB"/>
              </w:rPr>
              <w:t>3</w:t>
            </w:r>
          </w:p>
          <w:p>
            <w:pPr>
              <w:pStyle w:val="TAC"/>
              <w:keepNext w:val="false"/>
              <w:keepLines w:val="false"/>
              <w:rPr>
                <w:lang w:val="en-GB"/>
              </w:rPr>
            </w:pPr>
            <w:r>
              <w:rPr>
                <w:lang w:val="en-GB"/>
              </w:rPr>
              <w:t>5</w:t>
            </w:r>
          </w:p>
          <w:p>
            <w:pPr>
              <w:pStyle w:val="TAC"/>
              <w:keepNext w:val="false"/>
              <w:keepLines w:val="false"/>
              <w:rPr>
                <w:lang w:val="en-GB"/>
              </w:rPr>
            </w:pPr>
            <w:r>
              <w:rPr>
                <w:lang w:val="en-GB"/>
              </w:rPr>
              <w:t>7</w:t>
            </w:r>
          </w:p>
        </w:tc>
      </w:tr>
      <w:tr>
        <w:trPr>
          <w:cantSplit w:val="true"/>
        </w:trPr>
        <w:tc>
          <w:tcPr>
            <w:tcW w:w="1417" w:type="dxa"/>
            <w:tcBorders>
              <w:top w:val="single" w:sz="6" w:space="0" w:color="000000"/>
              <w:left w:val="single" w:sz="4" w:space="0" w:color="000000"/>
              <w:bottom w:val="single" w:sz="6" w:space="0" w:color="000000"/>
              <w:right w:val="single" w:sz="6" w:space="0" w:color="000000"/>
            </w:tcBorders>
          </w:tcPr>
          <w:p>
            <w:pPr>
              <w:pStyle w:val="TAL"/>
              <w:keepNext w:val="false"/>
              <w:keepLines w:val="false"/>
              <w:rPr>
                <w:lang w:val="en-GB"/>
              </w:rPr>
            </w:pPr>
            <w:r>
              <w:rPr>
                <w:lang w:val="en-GB"/>
              </w:rPr>
              <w:t>Suburban</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rPr>
                <w:lang w:val="en-GB"/>
              </w:rPr>
            </w:pPr>
            <w:r>
              <w:rPr>
                <w:lang w:val="en-GB"/>
              </w:rPr>
              <w:t>3</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72</w:t>
            </w:r>
          </w:p>
          <w:p>
            <w:pPr>
              <w:pStyle w:val="TAC"/>
              <w:keepNext w:val="false"/>
              <w:keepLines w:val="false"/>
              <w:rPr>
                <w:lang w:val="en-GB"/>
              </w:rPr>
            </w:pPr>
            <w:r>
              <w:rPr>
                <w:lang w:val="en-GB"/>
              </w:rPr>
              <w:t>92</w:t>
            </w:r>
          </w:p>
          <w:p>
            <w:pPr>
              <w:pStyle w:val="TAC"/>
              <w:keepNext w:val="false"/>
              <w:keepLines w:val="false"/>
              <w:rPr>
                <w:lang w:val="en-GB"/>
              </w:rPr>
            </w:pPr>
            <w:r>
              <w:rPr>
                <w:lang w:val="en-GB"/>
              </w:rPr>
              <w:t>97</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27</w:t>
            </w:r>
          </w:p>
          <w:p>
            <w:pPr>
              <w:pStyle w:val="TAC"/>
              <w:keepNext w:val="false"/>
              <w:keepLines w:val="false"/>
              <w:rPr>
                <w:lang w:val="en-GB"/>
              </w:rPr>
            </w:pPr>
            <w:r>
              <w:rPr>
                <w:lang w:val="en-GB"/>
              </w:rPr>
              <w:t>48</w:t>
            </w:r>
          </w:p>
          <w:p>
            <w:pPr>
              <w:pStyle w:val="TAC"/>
              <w:keepNext w:val="false"/>
              <w:keepLines w:val="false"/>
              <w:rPr>
                <w:lang w:val="en-GB"/>
              </w:rPr>
            </w:pPr>
            <w:r>
              <w:rPr>
                <w:lang w:val="en-GB"/>
              </w:rPr>
              <w:t>57</w:t>
            </w:r>
          </w:p>
        </w:tc>
        <w:tc>
          <w:tcPr>
            <w:tcW w:w="677"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112</w:t>
            </w:r>
          </w:p>
          <w:p>
            <w:pPr>
              <w:pStyle w:val="TAC"/>
              <w:keepNext w:val="false"/>
              <w:keepLines w:val="false"/>
              <w:rPr>
                <w:lang w:val="en-GB"/>
              </w:rPr>
            </w:pPr>
            <w:r>
              <w:rPr>
                <w:lang w:val="en-GB"/>
              </w:rPr>
              <w:t>68</w:t>
            </w:r>
          </w:p>
          <w:p>
            <w:pPr>
              <w:pStyle w:val="TAC"/>
              <w:keepNext w:val="false"/>
              <w:keepLines w:val="false"/>
              <w:rPr>
                <w:lang w:val="en-GB"/>
              </w:rPr>
            </w:pPr>
            <w:r>
              <w:rPr>
                <w:lang w:val="en-GB"/>
              </w:rPr>
              <w:t>57</w:t>
            </w:r>
          </w:p>
        </w:tc>
        <w:tc>
          <w:tcPr>
            <w:tcW w:w="89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346</w:t>
            </w:r>
          </w:p>
          <w:p>
            <w:pPr>
              <w:pStyle w:val="TAC"/>
              <w:keepNext w:val="false"/>
              <w:keepLines w:val="false"/>
              <w:rPr>
                <w:lang w:val="en-GB"/>
              </w:rPr>
            </w:pPr>
            <w:r>
              <w:rPr>
                <w:lang w:val="en-GB"/>
              </w:rPr>
              <w:t>118</w:t>
            </w:r>
          </w:p>
          <w:p>
            <w:pPr>
              <w:pStyle w:val="TAC"/>
              <w:keepNext w:val="false"/>
              <w:keepLines w:val="false"/>
              <w:rPr>
                <w:lang w:val="en-GB"/>
              </w:rPr>
            </w:pPr>
            <w:r>
              <w:rPr>
                <w:lang w:val="en-GB"/>
              </w:rPr>
              <w:t>84</w:t>
            </w:r>
          </w:p>
        </w:tc>
        <w:tc>
          <w:tcPr>
            <w:tcW w:w="900"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138</w:t>
            </w:r>
          </w:p>
          <w:p>
            <w:pPr>
              <w:pStyle w:val="TAC"/>
              <w:keepNext w:val="false"/>
              <w:keepLines w:val="false"/>
              <w:rPr>
                <w:lang w:val="en-GB"/>
              </w:rPr>
            </w:pPr>
            <w:r>
              <w:rPr>
                <w:lang w:val="en-GB"/>
              </w:rPr>
              <w:t>101</w:t>
            </w:r>
          </w:p>
        </w:tc>
        <w:tc>
          <w:tcPr>
            <w:tcW w:w="1071"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108</w:t>
            </w:r>
          </w:p>
          <w:p>
            <w:pPr>
              <w:pStyle w:val="TAC"/>
              <w:keepNext w:val="false"/>
              <w:keepLines w:val="false"/>
              <w:rPr>
                <w:lang w:val="en-GB"/>
              </w:rPr>
            </w:pPr>
            <w:r>
              <w:rPr>
                <w:lang w:val="en-GB"/>
              </w:rPr>
              <w:t>58</w:t>
            </w:r>
          </w:p>
          <w:p>
            <w:pPr>
              <w:pStyle w:val="TAC"/>
              <w:keepNext w:val="false"/>
              <w:keepLines w:val="false"/>
              <w:rPr>
                <w:lang w:val="en-GB"/>
              </w:rPr>
            </w:pPr>
            <w:r>
              <w:rPr>
                <w:lang w:val="en-GB"/>
              </w:rPr>
              <w:t>48</w:t>
            </w:r>
          </w:p>
        </w:tc>
        <w:tc>
          <w:tcPr>
            <w:tcW w:w="1508" w:type="dxa"/>
            <w:tcBorders>
              <w:top w:val="single" w:sz="6" w:space="0" w:color="000000"/>
              <w:left w:val="single" w:sz="6" w:space="0" w:color="000000"/>
              <w:bottom w:val="single" w:sz="6" w:space="0" w:color="000000"/>
              <w:right w:val="single" w:sz="4" w:space="0" w:color="000000"/>
            </w:tcBorders>
            <w:vAlign w:val="center"/>
          </w:tcPr>
          <w:p>
            <w:pPr>
              <w:pStyle w:val="TAC"/>
              <w:keepNext w:val="false"/>
              <w:keepLines w:val="false"/>
              <w:rPr>
                <w:lang w:val="en-GB"/>
              </w:rPr>
            </w:pPr>
            <w:r>
              <w:rPr>
                <w:lang w:val="en-GB"/>
              </w:rPr>
              <w:t>3</w:t>
            </w:r>
          </w:p>
          <w:p>
            <w:pPr>
              <w:pStyle w:val="TAC"/>
              <w:keepNext w:val="false"/>
              <w:keepLines w:val="false"/>
              <w:rPr>
                <w:lang w:val="en-GB"/>
              </w:rPr>
            </w:pPr>
            <w:r>
              <w:rPr>
                <w:lang w:val="en-GB"/>
              </w:rPr>
              <w:t>5</w:t>
            </w:r>
          </w:p>
          <w:p>
            <w:pPr>
              <w:pStyle w:val="TAC"/>
              <w:keepNext w:val="false"/>
              <w:keepLines w:val="false"/>
              <w:rPr>
                <w:lang w:val="en-GB"/>
              </w:rPr>
            </w:pPr>
            <w:r>
              <w:rPr>
                <w:lang w:val="en-GB"/>
              </w:rPr>
              <w:t>7</w:t>
            </w:r>
          </w:p>
        </w:tc>
      </w:tr>
      <w:tr>
        <w:trPr>
          <w:cantSplit w:val="true"/>
        </w:trPr>
        <w:tc>
          <w:tcPr>
            <w:tcW w:w="1417" w:type="dxa"/>
            <w:tcBorders>
              <w:top w:val="single" w:sz="6" w:space="0" w:color="000000"/>
              <w:left w:val="single" w:sz="4" w:space="0" w:color="000000"/>
              <w:bottom w:val="single" w:sz="6" w:space="0" w:color="000000"/>
              <w:right w:val="single" w:sz="6" w:space="0" w:color="000000"/>
            </w:tcBorders>
          </w:tcPr>
          <w:p>
            <w:pPr>
              <w:pStyle w:val="TAL"/>
              <w:keepNext w:val="false"/>
              <w:keepLines w:val="false"/>
              <w:rPr>
                <w:lang w:val="en-GB"/>
              </w:rPr>
            </w:pPr>
            <w:r>
              <w:rPr>
                <w:lang w:val="en-GB"/>
              </w:rPr>
              <w:t>Suburban</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rPr>
                <w:lang w:val="en-GB"/>
              </w:rPr>
            </w:pPr>
            <w:r>
              <w:rPr>
                <w:lang w:val="en-GB"/>
              </w:rPr>
              <w:t>50</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76</w:t>
            </w:r>
          </w:p>
          <w:p>
            <w:pPr>
              <w:pStyle w:val="TAC"/>
              <w:keepNext w:val="false"/>
              <w:keepLines w:val="false"/>
              <w:rPr>
                <w:lang w:val="en-GB"/>
              </w:rPr>
            </w:pPr>
            <w:r>
              <w:rPr>
                <w:lang w:val="en-GB"/>
              </w:rPr>
              <w:t>95</w:t>
            </w:r>
          </w:p>
          <w:p>
            <w:pPr>
              <w:pStyle w:val="TAC"/>
              <w:keepNext w:val="false"/>
              <w:keepLines w:val="false"/>
              <w:rPr>
                <w:lang w:val="en-GB"/>
              </w:rPr>
            </w:pPr>
            <w:r>
              <w:rPr>
                <w:lang w:val="en-GB"/>
              </w:rPr>
              <w:t>100</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36</w:t>
            </w:r>
          </w:p>
          <w:p>
            <w:pPr>
              <w:pStyle w:val="TAC"/>
              <w:keepNext w:val="false"/>
              <w:keepLines w:val="false"/>
              <w:rPr>
                <w:lang w:val="en-GB"/>
              </w:rPr>
            </w:pPr>
            <w:r>
              <w:rPr>
                <w:lang w:val="en-GB"/>
              </w:rPr>
              <w:t>59</w:t>
            </w:r>
          </w:p>
          <w:p>
            <w:pPr>
              <w:pStyle w:val="TAC"/>
              <w:keepNext w:val="false"/>
              <w:keepLines w:val="false"/>
              <w:rPr>
                <w:lang w:val="en-GB"/>
              </w:rPr>
            </w:pPr>
            <w:r>
              <w:rPr>
                <w:lang w:val="en-GB"/>
              </w:rPr>
              <w:t>68</w:t>
            </w:r>
          </w:p>
        </w:tc>
        <w:tc>
          <w:tcPr>
            <w:tcW w:w="677"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93</w:t>
            </w:r>
          </w:p>
          <w:p>
            <w:pPr>
              <w:pStyle w:val="TAC"/>
              <w:keepNext w:val="false"/>
              <w:keepLines w:val="false"/>
              <w:rPr>
                <w:lang w:val="en-GB"/>
              </w:rPr>
            </w:pPr>
            <w:r>
              <w:rPr>
                <w:lang w:val="en-GB"/>
              </w:rPr>
              <w:t>55</w:t>
            </w:r>
          </w:p>
          <w:p>
            <w:pPr>
              <w:pStyle w:val="TAC"/>
              <w:keepNext w:val="false"/>
              <w:keepLines w:val="false"/>
              <w:rPr>
                <w:lang w:val="en-GB"/>
              </w:rPr>
            </w:pPr>
            <w:r>
              <w:rPr>
                <w:lang w:val="en-GB"/>
              </w:rPr>
              <w:t>49</w:t>
            </w:r>
          </w:p>
        </w:tc>
        <w:tc>
          <w:tcPr>
            <w:tcW w:w="89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560</w:t>
            </w:r>
          </w:p>
          <w:p>
            <w:pPr>
              <w:pStyle w:val="TAC"/>
              <w:keepNext w:val="false"/>
              <w:keepLines w:val="false"/>
              <w:rPr>
                <w:lang w:val="en-GB"/>
              </w:rPr>
            </w:pPr>
            <w:r>
              <w:rPr>
                <w:lang w:val="en-GB"/>
              </w:rPr>
              <w:t>100</w:t>
            </w:r>
          </w:p>
          <w:p>
            <w:pPr>
              <w:pStyle w:val="TAC"/>
              <w:keepNext w:val="false"/>
              <w:keepLines w:val="false"/>
              <w:rPr>
                <w:lang w:val="en-GB"/>
              </w:rPr>
            </w:pPr>
            <w:r>
              <w:rPr>
                <w:lang w:val="en-GB"/>
              </w:rPr>
              <w:t>71</w:t>
            </w:r>
          </w:p>
        </w:tc>
        <w:tc>
          <w:tcPr>
            <w:tcW w:w="900"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122</w:t>
            </w:r>
          </w:p>
          <w:p>
            <w:pPr>
              <w:pStyle w:val="TAC"/>
              <w:keepNext w:val="false"/>
              <w:keepLines w:val="false"/>
              <w:rPr>
                <w:lang w:val="en-GB"/>
              </w:rPr>
            </w:pPr>
            <w:r>
              <w:rPr>
                <w:lang w:val="en-GB"/>
              </w:rPr>
              <w:t>79</w:t>
            </w:r>
          </w:p>
        </w:tc>
        <w:tc>
          <w:tcPr>
            <w:tcW w:w="1071"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116</w:t>
            </w:r>
          </w:p>
          <w:p>
            <w:pPr>
              <w:pStyle w:val="TAC"/>
              <w:keepNext w:val="false"/>
              <w:keepLines w:val="false"/>
              <w:rPr>
                <w:lang w:val="en-GB"/>
              </w:rPr>
            </w:pPr>
            <w:r>
              <w:rPr>
                <w:lang w:val="en-GB"/>
              </w:rPr>
              <w:t>47</w:t>
            </w:r>
          </w:p>
          <w:p>
            <w:pPr>
              <w:pStyle w:val="TAC"/>
              <w:keepNext w:val="false"/>
              <w:keepLines w:val="false"/>
              <w:rPr>
                <w:lang w:val="en-GB"/>
              </w:rPr>
            </w:pPr>
            <w:r>
              <w:rPr>
                <w:lang w:val="en-GB"/>
              </w:rPr>
              <w:t>41</w:t>
            </w:r>
          </w:p>
        </w:tc>
        <w:tc>
          <w:tcPr>
            <w:tcW w:w="1508" w:type="dxa"/>
            <w:tcBorders>
              <w:top w:val="single" w:sz="6" w:space="0" w:color="000000"/>
              <w:left w:val="single" w:sz="6" w:space="0" w:color="000000"/>
              <w:bottom w:val="single" w:sz="6" w:space="0" w:color="000000"/>
              <w:right w:val="single" w:sz="4" w:space="0" w:color="000000"/>
            </w:tcBorders>
            <w:vAlign w:val="center"/>
          </w:tcPr>
          <w:p>
            <w:pPr>
              <w:pStyle w:val="TAC"/>
              <w:keepNext w:val="false"/>
              <w:keepLines w:val="false"/>
              <w:rPr>
                <w:lang w:val="en-GB"/>
              </w:rPr>
            </w:pPr>
            <w:r>
              <w:rPr>
                <w:lang w:val="en-GB"/>
              </w:rPr>
              <w:t>3</w:t>
            </w:r>
          </w:p>
          <w:p>
            <w:pPr>
              <w:pStyle w:val="TAC"/>
              <w:keepNext w:val="false"/>
              <w:keepLines w:val="false"/>
              <w:rPr>
                <w:lang w:val="en-GB"/>
              </w:rPr>
            </w:pPr>
            <w:r>
              <w:rPr>
                <w:lang w:val="en-GB"/>
              </w:rPr>
              <w:t>5</w:t>
            </w:r>
          </w:p>
          <w:p>
            <w:pPr>
              <w:pStyle w:val="TAC"/>
              <w:keepNext w:val="false"/>
              <w:keepLines w:val="false"/>
              <w:rPr>
                <w:lang w:val="en-GB"/>
              </w:rPr>
            </w:pPr>
            <w:r>
              <w:rPr>
                <w:lang w:val="en-GB"/>
              </w:rPr>
              <w:t>7</w:t>
            </w:r>
          </w:p>
        </w:tc>
      </w:tr>
      <w:tr>
        <w:trPr>
          <w:cantSplit w:val="true"/>
        </w:trPr>
        <w:tc>
          <w:tcPr>
            <w:tcW w:w="1417" w:type="dxa"/>
            <w:tcBorders>
              <w:top w:val="single" w:sz="6" w:space="0" w:color="000000"/>
              <w:left w:val="single" w:sz="4" w:space="0" w:color="000000"/>
              <w:bottom w:val="single" w:sz="6" w:space="0" w:color="000000"/>
              <w:right w:val="single" w:sz="6" w:space="0" w:color="000000"/>
            </w:tcBorders>
          </w:tcPr>
          <w:p>
            <w:pPr>
              <w:pStyle w:val="TAL"/>
              <w:keepNext w:val="false"/>
              <w:keepLines w:val="false"/>
              <w:rPr>
                <w:lang w:val="en-GB"/>
              </w:rPr>
            </w:pPr>
            <w:r>
              <w:rPr>
                <w:lang w:val="en-GB"/>
              </w:rPr>
              <w:t>Rural</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rPr>
                <w:lang w:val="en-GB"/>
              </w:rPr>
            </w:pPr>
            <w:r>
              <w:rPr>
                <w:lang w:val="en-GB"/>
              </w:rPr>
              <w:t>3</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75</w:t>
            </w:r>
          </w:p>
          <w:p>
            <w:pPr>
              <w:pStyle w:val="TAC"/>
              <w:keepNext w:val="false"/>
              <w:keepLines w:val="false"/>
              <w:rPr>
                <w:lang w:val="en-GB"/>
              </w:rPr>
            </w:pPr>
            <w:r>
              <w:rPr>
                <w:lang w:val="en-GB"/>
              </w:rPr>
              <w:t>98</w:t>
            </w:r>
          </w:p>
          <w:p>
            <w:pPr>
              <w:pStyle w:val="TAC"/>
              <w:keepNext w:val="false"/>
              <w:keepLines w:val="false"/>
              <w:rPr>
                <w:lang w:val="en-GB"/>
              </w:rPr>
            </w:pPr>
            <w:r>
              <w:rPr>
                <w:lang w:val="en-GB"/>
              </w:rPr>
              <w:t>100</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28</w:t>
            </w:r>
          </w:p>
          <w:p>
            <w:pPr>
              <w:pStyle w:val="TAC"/>
              <w:keepNext w:val="false"/>
              <w:keepLines w:val="false"/>
              <w:rPr>
                <w:lang w:val="en-GB"/>
              </w:rPr>
            </w:pPr>
            <w:r>
              <w:rPr>
                <w:lang w:val="en-GB"/>
              </w:rPr>
              <w:t>49</w:t>
            </w:r>
          </w:p>
          <w:p>
            <w:pPr>
              <w:pStyle w:val="TAC"/>
              <w:keepNext w:val="false"/>
              <w:keepLines w:val="false"/>
              <w:rPr>
                <w:lang w:val="en-GB"/>
              </w:rPr>
            </w:pPr>
            <w:r>
              <w:rPr>
                <w:lang w:val="en-GB"/>
              </w:rPr>
              <w:t>63</w:t>
            </w:r>
          </w:p>
        </w:tc>
        <w:tc>
          <w:tcPr>
            <w:tcW w:w="677"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99</w:t>
            </w:r>
          </w:p>
          <w:p>
            <w:pPr>
              <w:pStyle w:val="TAC"/>
              <w:keepNext w:val="false"/>
              <w:keepLines w:val="false"/>
              <w:rPr>
                <w:lang w:val="en-GB"/>
              </w:rPr>
            </w:pPr>
            <w:r>
              <w:rPr>
                <w:lang w:val="en-GB"/>
              </w:rPr>
              <w:t>64</w:t>
            </w:r>
          </w:p>
          <w:p>
            <w:pPr>
              <w:pStyle w:val="TAC"/>
              <w:keepNext w:val="false"/>
              <w:keepLines w:val="false"/>
              <w:rPr>
                <w:lang w:val="en-GB"/>
              </w:rPr>
            </w:pPr>
            <w:r>
              <w:rPr>
                <w:lang w:val="en-GB"/>
              </w:rPr>
              <w:t>54</w:t>
            </w:r>
          </w:p>
        </w:tc>
        <w:tc>
          <w:tcPr>
            <w:tcW w:w="89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416</w:t>
            </w:r>
          </w:p>
          <w:p>
            <w:pPr>
              <w:pStyle w:val="TAC"/>
              <w:keepNext w:val="false"/>
              <w:keepLines w:val="false"/>
              <w:rPr>
                <w:lang w:val="en-GB"/>
              </w:rPr>
            </w:pPr>
            <w:r>
              <w:rPr>
                <w:lang w:val="en-GB"/>
              </w:rPr>
              <w:t>101</w:t>
            </w:r>
          </w:p>
          <w:p>
            <w:pPr>
              <w:pStyle w:val="TAC"/>
              <w:keepNext w:val="false"/>
              <w:keepLines w:val="false"/>
              <w:rPr>
                <w:lang w:val="en-GB"/>
              </w:rPr>
            </w:pPr>
            <w:r>
              <w:rPr>
                <w:lang w:val="en-GB"/>
              </w:rPr>
              <w:t>88</w:t>
            </w:r>
          </w:p>
        </w:tc>
        <w:tc>
          <w:tcPr>
            <w:tcW w:w="900"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116</w:t>
            </w:r>
          </w:p>
          <w:p>
            <w:pPr>
              <w:pStyle w:val="TAC"/>
              <w:keepNext w:val="false"/>
              <w:keepLines w:val="false"/>
              <w:rPr>
                <w:lang w:val="en-GB"/>
              </w:rPr>
            </w:pPr>
            <w:r>
              <w:rPr>
                <w:lang w:val="en-GB"/>
              </w:rPr>
              <w:t>100</w:t>
            </w:r>
          </w:p>
        </w:tc>
        <w:tc>
          <w:tcPr>
            <w:tcW w:w="1071"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110</w:t>
            </w:r>
          </w:p>
          <w:p>
            <w:pPr>
              <w:pStyle w:val="TAC"/>
              <w:keepNext w:val="false"/>
              <w:keepLines w:val="false"/>
              <w:rPr>
                <w:lang w:val="en-GB"/>
              </w:rPr>
            </w:pPr>
            <w:r>
              <w:rPr>
                <w:lang w:val="en-GB"/>
              </w:rPr>
              <w:t>53</w:t>
            </w:r>
          </w:p>
          <w:p>
            <w:pPr>
              <w:pStyle w:val="TAC"/>
              <w:keepNext w:val="false"/>
              <w:keepLines w:val="false"/>
              <w:rPr>
                <w:lang w:val="en-GB"/>
              </w:rPr>
            </w:pPr>
            <w:r>
              <w:rPr>
                <w:lang w:val="en-GB"/>
              </w:rPr>
              <w:t>46</w:t>
            </w:r>
          </w:p>
        </w:tc>
        <w:tc>
          <w:tcPr>
            <w:tcW w:w="1508" w:type="dxa"/>
            <w:tcBorders>
              <w:top w:val="single" w:sz="6" w:space="0" w:color="000000"/>
              <w:left w:val="single" w:sz="6" w:space="0" w:color="000000"/>
              <w:bottom w:val="single" w:sz="6" w:space="0" w:color="000000"/>
              <w:right w:val="single" w:sz="4" w:space="0" w:color="000000"/>
            </w:tcBorders>
            <w:vAlign w:val="center"/>
          </w:tcPr>
          <w:p>
            <w:pPr>
              <w:pStyle w:val="TAC"/>
              <w:keepNext w:val="false"/>
              <w:keepLines w:val="false"/>
              <w:rPr>
                <w:lang w:val="en-GB"/>
              </w:rPr>
            </w:pPr>
            <w:r>
              <w:rPr>
                <w:lang w:val="en-GB"/>
              </w:rPr>
              <w:t>3</w:t>
            </w:r>
          </w:p>
          <w:p>
            <w:pPr>
              <w:pStyle w:val="TAC"/>
              <w:keepNext w:val="false"/>
              <w:keepLines w:val="false"/>
              <w:rPr>
                <w:lang w:val="en-GB"/>
              </w:rPr>
            </w:pPr>
            <w:r>
              <w:rPr>
                <w:lang w:val="en-GB"/>
              </w:rPr>
              <w:t>5</w:t>
            </w:r>
          </w:p>
          <w:p>
            <w:pPr>
              <w:pStyle w:val="TAC"/>
              <w:keepNext w:val="false"/>
              <w:keepLines w:val="false"/>
              <w:rPr>
                <w:lang w:val="en-GB"/>
              </w:rPr>
            </w:pPr>
            <w:r>
              <w:rPr>
                <w:lang w:val="en-GB"/>
              </w:rPr>
              <w:t>7</w:t>
            </w:r>
          </w:p>
        </w:tc>
      </w:tr>
      <w:tr>
        <w:trPr>
          <w:cantSplit w:val="true"/>
        </w:trPr>
        <w:tc>
          <w:tcPr>
            <w:tcW w:w="1417" w:type="dxa"/>
            <w:tcBorders>
              <w:top w:val="single" w:sz="6" w:space="0" w:color="000000"/>
              <w:left w:val="single" w:sz="4" w:space="0" w:color="000000"/>
              <w:bottom w:val="single" w:sz="6" w:space="0" w:color="000000"/>
              <w:right w:val="single" w:sz="6" w:space="0" w:color="000000"/>
            </w:tcBorders>
          </w:tcPr>
          <w:p>
            <w:pPr>
              <w:pStyle w:val="TAL"/>
              <w:keepNext w:val="false"/>
              <w:keepLines w:val="false"/>
              <w:rPr>
                <w:lang w:val="en-GB"/>
              </w:rPr>
            </w:pPr>
            <w:r>
              <w:rPr>
                <w:lang w:val="en-GB"/>
              </w:rPr>
              <w:t>Rural</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rPr>
                <w:lang w:val="en-GB"/>
              </w:rPr>
            </w:pPr>
            <w:r>
              <w:rPr>
                <w:lang w:val="en-GB"/>
              </w:rPr>
              <w:t>50</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79</w:t>
            </w:r>
          </w:p>
          <w:p>
            <w:pPr>
              <w:pStyle w:val="TAC"/>
              <w:keepNext w:val="false"/>
              <w:keepLines w:val="false"/>
              <w:rPr>
                <w:lang w:val="en-GB"/>
              </w:rPr>
            </w:pPr>
            <w:r>
              <w:rPr>
                <w:lang w:val="en-GB"/>
              </w:rPr>
              <w:t>98</w:t>
            </w:r>
          </w:p>
          <w:p>
            <w:pPr>
              <w:pStyle w:val="TAC"/>
              <w:keepNext w:val="false"/>
              <w:keepLines w:val="false"/>
              <w:rPr>
                <w:lang w:val="en-GB"/>
              </w:rPr>
            </w:pPr>
            <w:r>
              <w:rPr>
                <w:lang w:val="en-GB"/>
              </w:rPr>
              <w:t>100</w:t>
            </w:r>
          </w:p>
        </w:tc>
        <w:tc>
          <w:tcPr>
            <w:tcW w:w="107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38</w:t>
            </w:r>
          </w:p>
          <w:p>
            <w:pPr>
              <w:pStyle w:val="TAC"/>
              <w:keepNext w:val="false"/>
              <w:keepLines w:val="false"/>
              <w:rPr>
                <w:lang w:val="en-GB"/>
              </w:rPr>
            </w:pPr>
            <w:r>
              <w:rPr>
                <w:lang w:val="en-GB"/>
              </w:rPr>
              <w:t>59</w:t>
            </w:r>
          </w:p>
          <w:p>
            <w:pPr>
              <w:pStyle w:val="TAC"/>
              <w:keepNext w:val="false"/>
              <w:keepLines w:val="false"/>
              <w:rPr>
                <w:lang w:val="en-GB"/>
              </w:rPr>
            </w:pPr>
            <w:r>
              <w:rPr>
                <w:lang w:val="en-GB"/>
              </w:rPr>
              <w:t>68</w:t>
            </w:r>
          </w:p>
        </w:tc>
        <w:tc>
          <w:tcPr>
            <w:tcW w:w="677"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93</w:t>
            </w:r>
          </w:p>
          <w:p>
            <w:pPr>
              <w:pStyle w:val="TAC"/>
              <w:keepNext w:val="false"/>
              <w:keepLines w:val="false"/>
              <w:rPr>
                <w:lang w:val="en-GB"/>
              </w:rPr>
            </w:pPr>
            <w:r>
              <w:rPr>
                <w:lang w:val="en-GB"/>
              </w:rPr>
              <w:t>54</w:t>
            </w:r>
          </w:p>
          <w:p>
            <w:pPr>
              <w:pStyle w:val="TAC"/>
              <w:keepNext w:val="false"/>
              <w:keepLines w:val="false"/>
              <w:rPr>
                <w:lang w:val="en-GB"/>
              </w:rPr>
            </w:pPr>
            <w:r>
              <w:rPr>
                <w:lang w:val="en-GB"/>
              </w:rPr>
              <w:t>48</w:t>
            </w:r>
          </w:p>
        </w:tc>
        <w:tc>
          <w:tcPr>
            <w:tcW w:w="899"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360</w:t>
            </w:r>
          </w:p>
          <w:p>
            <w:pPr>
              <w:pStyle w:val="TAC"/>
              <w:keepNext w:val="false"/>
              <w:keepLines w:val="false"/>
              <w:rPr>
                <w:lang w:val="en-GB"/>
              </w:rPr>
            </w:pPr>
            <w:r>
              <w:rPr>
                <w:lang w:val="en-GB"/>
              </w:rPr>
              <w:t>85</w:t>
            </w:r>
          </w:p>
          <w:p>
            <w:pPr>
              <w:pStyle w:val="TAC"/>
              <w:keepNext w:val="false"/>
              <w:keepLines w:val="false"/>
              <w:rPr>
                <w:lang w:val="en-GB"/>
              </w:rPr>
            </w:pPr>
            <w:r>
              <w:rPr>
                <w:lang w:val="en-GB"/>
              </w:rPr>
              <w:t>72</w:t>
            </w:r>
          </w:p>
        </w:tc>
        <w:tc>
          <w:tcPr>
            <w:tcW w:w="900"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&gt;500</w:t>
            </w:r>
          </w:p>
          <w:p>
            <w:pPr>
              <w:pStyle w:val="TAC"/>
              <w:keepNext w:val="false"/>
              <w:keepLines w:val="false"/>
              <w:rPr>
                <w:lang w:val="en-GB"/>
              </w:rPr>
            </w:pPr>
            <w:r>
              <w:rPr>
                <w:lang w:val="en-GB"/>
              </w:rPr>
              <w:t>98</w:t>
            </w:r>
          </w:p>
          <w:p>
            <w:pPr>
              <w:pStyle w:val="TAC"/>
              <w:keepNext w:val="false"/>
              <w:keepLines w:val="false"/>
              <w:rPr>
                <w:lang w:val="en-GB"/>
              </w:rPr>
            </w:pPr>
            <w:r>
              <w:rPr>
                <w:lang w:val="en-GB"/>
              </w:rPr>
              <w:t>82</w:t>
            </w:r>
          </w:p>
        </w:tc>
        <w:tc>
          <w:tcPr>
            <w:tcW w:w="1071" w:type="dxa"/>
            <w:tcBorders>
              <w:top w:val="single" w:sz="6" w:space="0" w:color="000000"/>
              <w:left w:val="single" w:sz="6" w:space="0" w:color="000000"/>
              <w:bottom w:val="single" w:sz="6" w:space="0" w:color="000000"/>
              <w:right w:val="single" w:sz="6" w:space="0" w:color="000000"/>
            </w:tcBorders>
            <w:vAlign w:val="bottom"/>
          </w:tcPr>
          <w:p>
            <w:pPr>
              <w:pStyle w:val="TAC"/>
              <w:keepNext w:val="false"/>
              <w:keepLines w:val="false"/>
              <w:rPr>
                <w:lang w:val="en-GB"/>
              </w:rPr>
            </w:pPr>
            <w:r>
              <w:rPr>
                <w:lang w:val="en-GB"/>
              </w:rPr>
              <w:t>95</w:t>
            </w:r>
          </w:p>
          <w:p>
            <w:pPr>
              <w:pStyle w:val="TAC"/>
              <w:keepNext w:val="false"/>
              <w:keepLines w:val="false"/>
              <w:rPr>
                <w:lang w:val="en-GB"/>
              </w:rPr>
            </w:pPr>
            <w:r>
              <w:rPr>
                <w:lang w:val="en-GB"/>
              </w:rPr>
              <w:t>46</w:t>
            </w:r>
          </w:p>
          <w:p>
            <w:pPr>
              <w:pStyle w:val="TAC"/>
              <w:keepNext w:val="false"/>
              <w:keepLines w:val="false"/>
              <w:rPr>
                <w:lang w:val="en-GB"/>
              </w:rPr>
            </w:pPr>
            <w:r>
              <w:rPr>
                <w:lang w:val="en-GB"/>
              </w:rPr>
              <w:t>41</w:t>
            </w:r>
          </w:p>
        </w:tc>
        <w:tc>
          <w:tcPr>
            <w:tcW w:w="1508" w:type="dxa"/>
            <w:tcBorders>
              <w:top w:val="single" w:sz="6" w:space="0" w:color="000000"/>
              <w:left w:val="single" w:sz="6" w:space="0" w:color="000000"/>
              <w:bottom w:val="single" w:sz="6" w:space="0" w:color="000000"/>
              <w:right w:val="single" w:sz="4" w:space="0" w:color="000000"/>
            </w:tcBorders>
            <w:vAlign w:val="center"/>
          </w:tcPr>
          <w:p>
            <w:pPr>
              <w:pStyle w:val="TAC"/>
              <w:keepNext w:val="false"/>
              <w:keepLines w:val="false"/>
              <w:rPr>
                <w:lang w:val="en-GB"/>
              </w:rPr>
            </w:pPr>
            <w:r>
              <w:rPr>
                <w:lang w:val="en-GB"/>
              </w:rPr>
              <w:t>3</w:t>
            </w:r>
          </w:p>
          <w:p>
            <w:pPr>
              <w:pStyle w:val="TAC"/>
              <w:keepNext w:val="false"/>
              <w:keepLines w:val="false"/>
              <w:rPr>
                <w:lang w:val="en-GB"/>
              </w:rPr>
            </w:pPr>
            <w:r>
              <w:rPr>
                <w:lang w:val="en-GB"/>
              </w:rPr>
              <w:t>5</w:t>
            </w:r>
          </w:p>
          <w:p>
            <w:pPr>
              <w:pStyle w:val="TAC"/>
              <w:keepNext w:val="false"/>
              <w:keepLines w:val="false"/>
              <w:rPr>
                <w:lang w:val="en-GB"/>
              </w:rPr>
            </w:pPr>
            <w:r>
              <w:rPr>
                <w:lang w:val="en-GB"/>
              </w:rPr>
              <w:t>7</w:t>
            </w:r>
          </w:p>
        </w:tc>
      </w:tr>
      <w:tr>
        <w:trPr>
          <w:cantSplit w:val="true"/>
        </w:trPr>
        <w:tc>
          <w:tcPr>
            <w:tcW w:w="9857" w:type="dxa"/>
            <w:gridSpan w:val="9"/>
            <w:tcBorders>
              <w:top w:val="single" w:sz="6" w:space="0" w:color="000000"/>
              <w:left w:val="single" w:sz="4" w:space="0" w:color="000000"/>
              <w:bottom w:val="single" w:sz="4" w:space="0" w:color="000000"/>
              <w:right w:val="single" w:sz="4" w:space="0" w:color="000000"/>
            </w:tcBorders>
          </w:tcPr>
          <w:p>
            <w:pPr>
              <w:pStyle w:val="TAN"/>
              <w:keepNext w:val="false"/>
              <w:keepLines w:val="false"/>
              <w:snapToGrid w:val="false"/>
              <w:rPr>
                <w:lang w:val="en-GB"/>
              </w:rPr>
            </w:pPr>
            <w:r>
              <w:rPr>
                <w:lang w:val="en-GB"/>
              </w:rPr>
            </w:r>
          </w:p>
        </w:tc>
      </w:tr>
    </w:tbl>
    <w:p>
      <w:pPr>
        <w:pStyle w:val="NO"/>
        <w:rPr/>
      </w:pPr>
      <w:r>
        <w:rPr/>
        <w:t>NOTE:</w:t>
        <w:tab/>
        <w:t>The number of measured units is the number of BTSs the MS has measured. 3 measured units means that the MS has measured the 3 strongest BTSs.</w:t>
      </w:r>
    </w:p>
    <w:p>
      <w:pPr>
        <w:pStyle w:val="FP"/>
        <w:rPr/>
      </w:pPr>
      <w:r>
        <w:rPr/>
      </w:r>
    </w:p>
    <w:p>
      <w:pPr>
        <w:pStyle w:val="Heading1"/>
        <w:ind w:left="1134" w:hanging="1134"/>
        <w:rPr/>
      </w:pPr>
      <w:bookmarkStart w:id="616" w:name="__RefHeading___Toc518036030"/>
      <w:bookmarkEnd w:id="616"/>
      <w:r>
        <w:rPr/>
        <w:t>V.7</w:t>
        <w:tab/>
        <w:t>BTS Frequency Source Stability, E-OTD reporting periods and E-OTD Location Accuracy</w:t>
      </w:r>
    </w:p>
    <w:p>
      <w:pPr>
        <w:pStyle w:val="Heading2"/>
        <w:rPr/>
      </w:pPr>
      <w:bookmarkStart w:id="617" w:name="__RefHeading___Toc518036031"/>
      <w:bookmarkEnd w:id="617"/>
      <w:r>
        <w:rPr/>
        <w:t>V.7.1</w:t>
        <w:tab/>
        <w:t>Factors determining E-OTD stability</w:t>
      </w:r>
    </w:p>
    <w:p>
      <w:pPr>
        <w:pStyle w:val="Normal"/>
        <w:rPr/>
      </w:pPr>
      <w:r>
        <w:rPr/>
        <w:t>In order to minimise network traffic required to support E-OTD LCS the OTDs must be reported as infrequently as possible and so it becomes important to determine the accuracy with which OTDs can be predicted.  By viewing OTDs as measuring the relative phase of BTS transmissions it is clear that it is the phase stability of the BTS frequency source which determines the maximum acceptable OTD reporting period.</w:t>
      </w:r>
    </w:p>
    <w:p>
      <w:pPr>
        <w:pStyle w:val="Normal"/>
        <w:rPr/>
      </w:pPr>
      <w:r>
        <w:rPr/>
        <w:t xml:space="preserve">Assuming that the systemic phase noise disturbances are Gaussian and that LMU reporting period </w:t>
      </w:r>
      <w:r>
        <w:rPr/>
        <w:drawing>
          <wp:inline distT="0" distB="0" distL="0" distR="0">
            <wp:extent cx="127000" cy="139700"/>
            <wp:effectExtent l="0" t="0" r="0" b="0"/>
            <wp:docPr id="165" name="Imag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89" descr=""/>
                    <pic:cNvPicPr>
                      <a:picLocks noChangeAspect="1" noChangeArrowheads="1"/>
                    </pic:cNvPicPr>
                  </pic:nvPicPr>
                  <pic:blipFill>
                    <a:blip r:embed="rId163"/>
                    <a:srcRect l="-284" t="-258" r="-284" b="-258"/>
                    <a:stretch>
                      <a:fillRect/>
                    </a:stretch>
                  </pic:blipFill>
                  <pic:spPr bwMode="auto">
                    <a:xfrm>
                      <a:off x="0" y="0"/>
                      <a:ext cx="127000" cy="139700"/>
                    </a:xfrm>
                    <a:prstGeom prst="rect">
                      <a:avLst/>
                    </a:prstGeom>
                  </pic:spPr>
                </pic:pic>
              </a:graphicData>
            </a:graphic>
          </wp:inline>
        </w:drawing>
      </w:r>
      <w:r>
        <w:rPr/>
        <w:t xml:space="preserve">is relatively short (1000s of seconds) then the OTD Maximum Time Interval Error (MTIE, see ITU-T Recommendation G.810) is related to the OTD reporting period </w:t>
      </w:r>
      <w:r>
        <w:rPr>
          <w:rFonts w:cs="Symbol" w:ascii="Symbol" w:hAnsi="Symbol"/>
        </w:rPr>
        <w:t></w:t>
      </w:r>
      <w:r>
        <w:rPr/>
        <w:t xml:space="preserve"> by:</w:t>
      </w:r>
    </w:p>
    <w:p>
      <w:pPr>
        <w:pStyle w:val="EX"/>
        <w:rPr/>
      </w:pPr>
      <w:r>
        <w:rPr/>
        <w:tab/>
      </w:r>
      <w:r>
        <w:rPr/>
        <w:drawing>
          <wp:inline distT="0" distB="0" distL="0" distR="0">
            <wp:extent cx="2679700" cy="533400"/>
            <wp:effectExtent l="0" t="0" r="0" b="0"/>
            <wp:docPr id="166" name="Imag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90" descr=""/>
                    <pic:cNvPicPr>
                      <a:picLocks noChangeAspect="1" noChangeArrowheads="1"/>
                    </pic:cNvPicPr>
                  </pic:nvPicPr>
                  <pic:blipFill>
                    <a:blip r:embed="rId164"/>
                    <a:srcRect l="-13" t="-68" r="-13" b="-68"/>
                    <a:stretch>
                      <a:fillRect/>
                    </a:stretch>
                  </pic:blipFill>
                  <pic:spPr bwMode="auto">
                    <a:xfrm>
                      <a:off x="0" y="0"/>
                      <a:ext cx="2679700" cy="533400"/>
                    </a:xfrm>
                    <a:prstGeom prst="rect">
                      <a:avLst/>
                    </a:prstGeom>
                  </pic:spPr>
                </pic:pic>
              </a:graphicData>
            </a:graphic>
          </wp:inline>
        </w:drawing>
      </w:r>
    </w:p>
    <w:p>
      <w:pPr>
        <w:pStyle w:val="Normal"/>
        <w:rPr/>
      </w:pPr>
      <w:r>
        <w:rPr/>
      </w:r>
      <m:oMathPara xmlns:m="http://schemas.openxmlformats.org/officeDocument/2006/math">
        <m:oMathParaPr>
          <m:jc m:val="left"/>
        </m:oMathParaPr>
        <m:oMath>
          <m:r>
            <m:t xml:space="preserve"> </m:t>
          </m:r>
          <m:d>
            <m:dPr>
              <m:begChr m:val=""/>
              <m:endChr m:val="}"/>
            </m:dPr>
            <m:e>
              <m:r>
                <w:rPr>
                  <w:rFonts w:ascii="Cambria Math" w:hAnsi="Cambria Math"/>
                </w:rPr>
                <m:t xml:space="preserve">+</m:t>
              </m:r>
              <m:r>
                <m:t xml:space="preserve"> </m:t>
              </m:r>
              <m:sSub>
                <m:e>
                  <m:r>
                    <w:rPr>
                      <w:rFonts w:ascii="Cambria Math" w:hAnsi="Cambria Math"/>
                    </w:rPr>
                    <m:t xml:space="preserve">C</m:t>
                  </m:r>
                </m:e>
                <m:sub>
                  <m:r>
                    <w:rPr>
                      <w:rFonts w:ascii="Cambria Math" w:hAnsi="Cambria Math"/>
                    </w:rPr>
                    <m:t xml:space="preserve">P</m:t>
                  </m:r>
                </m:sub>
              </m:sSub>
              <m:rad>
                <m:radPr>
                  <m:degHide m:val="1"/>
                </m:radPr>
                <m:deg/>
                <m:e>
                  <m:r>
                    <m:rPr>
                      <m:lit/>
                      <m:nor/>
                    </m:rPr>
                    <w:rPr>
                      <w:rFonts w:ascii="Cambria Math" w:hAnsi="Cambria Math"/>
                    </w:rPr>
                    <m:t xml:space="preserve">Var</m:t>
                  </m:r>
                  <m:d>
                    <m:dPr>
                      <m:begChr m:val="["/>
                      <m:endChr m:val="]"/>
                    </m:dPr>
                    <m:e>
                      <m:d>
                        <m:dPr>
                          <m:begChr m:val="("/>
                          <m:endChr m:val=")"/>
                        </m:dPr>
                        <m:e>
                          <m:f>
                            <m:num>
                              <m:sSub>
                                <m:e>
                                  <m:r>
                                    <w:rPr>
                                      <w:rFonts w:ascii="Cambria Math" w:hAnsi="Cambria Math"/>
                                    </w:rPr>
                                    <m:t xml:space="preserve">Δf</m:t>
                                  </m:r>
                                </m:e>
                                <m:sub>
                                  <m:r>
                                    <w:rPr>
                                      <w:rFonts w:ascii="Cambria Math" w:hAnsi="Cambria Math"/>
                                    </w:rPr>
                                    <m:t xml:space="preserve">i</m:t>
                                  </m:r>
                                </m:sub>
                              </m:sSub>
                            </m:num>
                            <m:den>
                              <m:sSub>
                                <m:e>
                                  <m:r>
                                    <w:rPr>
                                      <w:rFonts w:ascii="Cambria Math" w:hAnsi="Cambria Math"/>
                                    </w:rPr>
                                    <m:t xml:space="preserve">f</m:t>
                                  </m:r>
                                </m:e>
                                <m:sub>
                                  <m:r>
                                    <w:rPr>
                                      <w:rFonts w:ascii="Cambria Math" w:hAnsi="Cambria Math"/>
                                    </w:rPr>
                                    <m:t xml:space="preserve">0</m:t>
                                  </m:r>
                                </m:sub>
                              </m:sSub>
                            </m:den>
                          </m:f>
                          <m:r>
                            <w:rPr>
                              <w:rFonts w:ascii="Cambria Math" w:hAnsi="Cambria Math"/>
                            </w:rPr>
                            <m:t xml:space="preserve">−</m:t>
                          </m:r>
                          <m:f>
                            <m:num>
                              <m:sSub>
                                <m:e>
                                  <m:r>
                                    <w:rPr>
                                      <w:rFonts w:ascii="Cambria Math" w:hAnsi="Cambria Math"/>
                                    </w:rPr>
                                    <m:t xml:space="preserve">Δf</m:t>
                                  </m:r>
                                </m:e>
                                <m:sub>
                                  <m:r>
                                    <w:rPr>
                                      <w:rFonts w:ascii="Cambria Math" w:hAnsi="Cambria Math"/>
                                    </w:rPr>
                                    <m:t xml:space="preserve">j</m:t>
                                  </m:r>
                                </m:sub>
                              </m:sSub>
                            </m:num>
                            <m:den>
                              <m:sSub>
                                <m:e>
                                  <m:r>
                                    <w:rPr>
                                      <w:rFonts w:ascii="Cambria Math" w:hAnsi="Cambria Math"/>
                                    </w:rPr>
                                    <m:t xml:space="preserve">f</m:t>
                                  </m:r>
                                </m:e>
                                <m:sub>
                                  <m:r>
                                    <w:rPr>
                                      <w:rFonts w:ascii="Cambria Math" w:hAnsi="Cambria Math"/>
                                    </w:rPr>
                                    <m:t xml:space="preserve">0</m:t>
                                  </m:r>
                                </m:sub>
                              </m:sSub>
                            </m:den>
                          </m:f>
                        </m:e>
                      </m:d>
                      <m:r>
                        <w:rPr>
                          <w:rFonts w:ascii="Cambria Math" w:hAnsi="Cambria Math"/>
                        </w:rPr>
                        <m:t xml:space="preserve">+</m:t>
                      </m:r>
                      <m:d>
                        <m:dPr>
                          <m:begChr m:val="("/>
                          <m:endChr m:val=")"/>
                        </m:dPr>
                        <m:e>
                          <m:f>
                            <m:num>
                              <m:sSub>
                                <m:e>
                                  <m:r>
                                    <w:rPr>
                                      <w:rFonts w:ascii="Cambria Math" w:hAnsi="Cambria Math"/>
                                    </w:rPr>
                                    <m:t xml:space="preserve">D</m:t>
                                  </m:r>
                                </m:e>
                                <m:sub>
                                  <m:r>
                                    <w:rPr>
                                      <w:rFonts w:ascii="Cambria Math" w:hAnsi="Cambria Math"/>
                                    </w:rPr>
                                    <m:t xml:space="preserve">i</m:t>
                                  </m:r>
                                </m:sub>
                              </m:sSub>
                            </m:num>
                            <m:den>
                              <m:sSub>
                                <m:e>
                                  <m:r>
                                    <w:rPr>
                                      <w:rFonts w:ascii="Cambria Math" w:hAnsi="Cambria Math"/>
                                    </w:rPr>
                                    <m:t xml:space="preserve">f</m:t>
                                  </m:r>
                                </m:e>
                                <m:sub>
                                  <m:r>
                                    <w:rPr>
                                      <w:rFonts w:ascii="Cambria Math" w:hAnsi="Cambria Math"/>
                                    </w:rPr>
                                    <m:t xml:space="preserve">0</m:t>
                                  </m:r>
                                </m:sub>
                              </m:sSub>
                            </m:den>
                          </m:f>
                          <m:r>
                            <w:rPr>
                              <w:rFonts w:ascii="Cambria Math" w:hAnsi="Cambria Math"/>
                            </w:rPr>
                            <m:t xml:space="preserve">−</m:t>
                          </m:r>
                          <m:f>
                            <m:num>
                              <m:sSub>
                                <m:e>
                                  <m:r>
                                    <w:rPr>
                                      <w:rFonts w:ascii="Cambria Math" w:hAnsi="Cambria Math"/>
                                    </w:rPr>
                                    <m:t xml:space="preserve">D</m:t>
                                  </m:r>
                                </m:e>
                                <m:sub>
                                  <m:r>
                                    <w:rPr>
                                      <w:rFonts w:ascii="Cambria Math" w:hAnsi="Cambria Math"/>
                                    </w:rPr>
                                    <m:t xml:space="preserve">j</m:t>
                                  </m:r>
                                </m:sub>
                              </m:sSub>
                            </m:num>
                            <m:den>
                              <m:sSub>
                                <m:e>
                                  <m:r>
                                    <w:rPr>
                                      <w:rFonts w:ascii="Cambria Math" w:hAnsi="Cambria Math"/>
                                    </w:rPr>
                                    <m:t xml:space="preserve">f</m:t>
                                  </m:r>
                                </m:e>
                                <m:sub>
                                  <m:r>
                                    <w:rPr>
                                      <w:rFonts w:ascii="Cambria Math" w:hAnsi="Cambria Math"/>
                                    </w:rPr>
                                    <m:t xml:space="preserve">0</m:t>
                                  </m:r>
                                </m:sub>
                              </m:sSub>
                            </m:den>
                          </m:f>
                        </m:e>
                      </m:d>
                      <m:d>
                        <m:dPr>
                          <m:begChr m:val="("/>
                          <m:endChr m:val=")"/>
                        </m:dPr>
                        <m:e>
                          <m:f>
                            <m:num>
                              <m:r>
                                <w:rPr>
                                  <w:rFonts w:ascii="Cambria Math" w:hAnsi="Cambria Math"/>
                                </w:rPr>
                                <m:t xml:space="preserve">τ</m:t>
                              </m:r>
                            </m:num>
                            <m:den>
                              <m:r>
                                <w:rPr>
                                  <w:rFonts w:ascii="Cambria Math" w:hAnsi="Cambria Math"/>
                                </w:rPr>
                                <m:t xml:space="preserve">2</m:t>
                              </m:r>
                            </m:den>
                          </m:f>
                        </m:e>
                      </m:d>
                    </m:e>
                  </m:d>
                  <m:r>
                    <w:rPr>
                      <w:rFonts w:ascii="Cambria Math" w:hAnsi="Cambria Math"/>
                    </w:rPr>
                    <m:t xml:space="preserve">+</m:t>
                  </m:r>
                  <m:sSup>
                    <m:e>
                      <m:d>
                        <m:dPr>
                          <m:begChr m:val="("/>
                          <m:endChr m:val=")"/>
                        </m:dPr>
                        <m:e>
                          <m:f>
                            <m:num>
                              <m:sSub>
                                <m:e>
                                  <m:r>
                                    <w:rPr>
                                      <w:rFonts w:ascii="Cambria Math" w:hAnsi="Cambria Math"/>
                                    </w:rPr>
                                    <m:t xml:space="preserve">Δf</m:t>
                                  </m:r>
                                </m:e>
                                <m:sub>
                                  <m:r>
                                    <w:rPr>
                                      <w:rFonts w:ascii="Cambria Math" w:hAnsi="Cambria Math"/>
                                    </w:rPr>
                                    <m:t xml:space="preserve">i</m:t>
                                  </m:r>
                                </m:sub>
                              </m:sSub>
                              <m:d>
                                <m:dPr>
                                  <m:begChr m:val="("/>
                                  <m:endChr m:val=")"/>
                                </m:dPr>
                                <m:e>
                                  <m:r>
                                    <w:rPr>
                                      <w:rFonts w:ascii="Cambria Math" w:hAnsi="Cambria Math"/>
                                    </w:rPr>
                                    <m:t xml:space="preserve">τ</m:t>
                                  </m:r>
                                </m:e>
                              </m:d>
                            </m:num>
                            <m:den>
                              <m:sSub>
                                <m:e>
                                  <m:r>
                                    <w:rPr>
                                      <w:rFonts w:ascii="Cambria Math" w:hAnsi="Cambria Math"/>
                                    </w:rPr>
                                    <m:t xml:space="preserve">f</m:t>
                                  </m:r>
                                </m:e>
                                <m:sub>
                                  <m:r>
                                    <w:rPr>
                                      <w:rFonts w:ascii="Cambria Math" w:hAnsi="Cambria Math"/>
                                    </w:rPr>
                                    <m:t xml:space="preserve">0</m:t>
                                  </m:r>
                                </m:sub>
                              </m:sSub>
                            </m:den>
                          </m:f>
                        </m:e>
                      </m:d>
                    </m:e>
                    <m:sup>
                      <m:r>
                        <w:rPr>
                          <w:rFonts w:ascii="Cambria Math" w:hAnsi="Cambria Math"/>
                        </w:rPr>
                        <m:t xml:space="preserve">2</m:t>
                      </m:r>
                    </m:sup>
                  </m:sSup>
                  <m:r>
                    <w:rPr>
                      <w:rFonts w:ascii="Cambria Math" w:hAnsi="Cambria Math"/>
                    </w:rPr>
                    <m:t xml:space="preserve">+</m:t>
                  </m:r>
                  <m:sSup>
                    <m:e>
                      <m:d>
                        <m:dPr>
                          <m:begChr m:val="("/>
                          <m:endChr m:val=")"/>
                        </m:dPr>
                        <m:e>
                          <m:f>
                            <m:num>
                              <m:sSub>
                                <m:e>
                                  <m:r>
                                    <w:rPr>
                                      <w:rFonts w:ascii="Cambria Math" w:hAnsi="Cambria Math"/>
                                    </w:rPr>
                                    <m:t xml:space="preserve">Δf</m:t>
                                  </m:r>
                                </m:e>
                                <m:sub>
                                  <m:r>
                                    <w:rPr>
                                      <w:rFonts w:ascii="Cambria Math" w:hAnsi="Cambria Math"/>
                                    </w:rPr>
                                    <m:t xml:space="preserve">j</m:t>
                                  </m:r>
                                </m:sub>
                              </m:sSub>
                              <m:d>
                                <m:dPr>
                                  <m:begChr m:val="("/>
                                  <m:endChr m:val=")"/>
                                </m:dPr>
                                <m:e>
                                  <m:r>
                                    <w:rPr>
                                      <w:rFonts w:ascii="Cambria Math" w:hAnsi="Cambria Math"/>
                                    </w:rPr>
                                    <m:t xml:space="preserve">τ</m:t>
                                  </m:r>
                                </m:e>
                              </m:d>
                            </m:num>
                            <m:den>
                              <m:sSub>
                                <m:e>
                                  <m:r>
                                    <w:rPr>
                                      <w:rFonts w:ascii="Cambria Math" w:hAnsi="Cambria Math"/>
                                    </w:rPr>
                                    <m:t xml:space="preserve">f</m:t>
                                  </m:r>
                                </m:e>
                                <m:sub>
                                  <m:r>
                                    <w:rPr>
                                      <w:rFonts w:ascii="Cambria Math" w:hAnsi="Cambria Math"/>
                                    </w:rPr>
                                    <m:t xml:space="preserve">0</m:t>
                                  </m:r>
                                </m:sub>
                              </m:sSub>
                            </m:den>
                          </m:f>
                        </m:e>
                      </m:d>
                    </m:e>
                    <m:sup>
                      <m:r>
                        <w:rPr>
                          <w:rFonts w:ascii="Cambria Math" w:hAnsi="Cambria Math"/>
                        </w:rPr>
                        <m:t xml:space="preserve">2</m:t>
                      </m:r>
                    </m:sup>
                  </m:sSup>
                </m:e>
              </m:rad>
              <m:r>
                <m:t xml:space="preserve"> </m:t>
              </m:r>
            </m:e>
          </m:d>
          <m:r>
            <m:rPr>
              <m:lit/>
              <m:nor/>
            </m:rPr>
            <w:rPr>
              <w:rFonts w:ascii="Cambria Math" w:hAnsi="Cambria Math"/>
            </w:rPr>
            <m:t xml:space="preserve">            </m:t>
          </m:r>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
        <w:rPr/>
      </w:pPr>
      <w:r>
        <w:rPr/>
        <w:t xml:space="preserve">where </w:t>
      </w:r>
      <w:r>
        <w:rPr>
          <w:i/>
        </w:rPr>
        <w:t>E</w:t>
      </w:r>
      <w:r>
        <w:rPr/>
        <w:t xml:space="preserve">[ ] denotes the mathematical expectation operator, </w:t>
      </w:r>
      <w:r>
        <w:rPr>
          <w:i/>
        </w:rPr>
        <w:t>Var</w:t>
      </w:r>
      <w:r>
        <w:rPr/>
        <w:t xml:space="preserve">[ ] denotes the statistical variance of the bracketed quantity, </w:t>
      </w:r>
      <w:r>
        <w:rPr>
          <w:rFonts w:cs="Symbol" w:ascii="Symbol" w:hAnsi="Symbol"/>
          <w:i/>
        </w:rPr>
        <w:t></w:t>
      </w:r>
      <w:r>
        <w:rPr>
          <w:i/>
        </w:rPr>
        <w:t>f/f</w:t>
      </w:r>
      <w:r>
        <w:rPr>
          <w:i/>
          <w:vertAlign w:val="subscript"/>
        </w:rPr>
        <w:t>0</w:t>
      </w:r>
      <w:r>
        <w:rPr/>
        <w:t xml:space="preserve"> characterizes the clock frequency accuracy, </w:t>
      </w:r>
      <w:r>
        <w:rPr>
          <w:i/>
        </w:rPr>
        <w:t>D/f</w:t>
      </w:r>
      <w:r>
        <w:rPr>
          <w:i/>
          <w:vertAlign w:val="subscript"/>
        </w:rPr>
        <w:t>0</w:t>
      </w:r>
      <w:r>
        <w:rPr/>
        <w:t xml:space="preserve"> characterizes the normalized clock frequency drift rate, </w:t>
      </w:r>
      <w:r>
        <w:rPr>
          <w:rFonts w:cs="Symbol" w:ascii="Symbol" w:hAnsi="Symbol"/>
        </w:rPr>
        <w:t></w:t>
      </w:r>
      <w:r>
        <w:rPr/>
        <w:t xml:space="preserve"> characterizes the time required to accumulate an OTD error of  MTIE = </w:t>
      </w:r>
      <w:r>
        <w:rPr>
          <w:rFonts w:cs="Symbol" w:ascii="Symbol" w:hAnsi="Symbol"/>
        </w:rPr>
        <w:t></w:t>
      </w:r>
      <w:r>
        <w:rPr>
          <w:i/>
        </w:rPr>
        <w:t>t</w:t>
      </w:r>
      <w:r>
        <w:rPr/>
        <w:t xml:space="preserve"> sec due to frequency instabilities, </w:t>
      </w:r>
      <w:r>
        <w:rPr>
          <w:i/>
        </w:rPr>
        <w:t>C</w:t>
      </w:r>
      <w:r>
        <w:rPr>
          <w:vertAlign w:val="subscript"/>
        </w:rPr>
        <w:t>p</w:t>
      </w:r>
      <w:r>
        <w:rPr/>
        <w:t xml:space="preserve"> sets the OTD measurement integrity at probability percentile 100</w:t>
      </w:r>
      <w:r>
        <w:rPr>
          <w:i/>
        </w:rPr>
        <w:t>p</w:t>
      </w:r>
      <w:r>
        <w:rPr/>
        <w:t>, and (</w:t>
      </w:r>
      <w:r>
        <w:rPr>
          <w:rFonts w:cs="Symbol" w:ascii="Symbol" w:hAnsi="Symbol"/>
          <w:i/>
        </w:rPr>
        <w:t></w:t>
      </w:r>
      <w:r>
        <w:rPr>
          <w:i/>
        </w:rPr>
        <w:t>f(</w:t>
      </w:r>
      <w:r>
        <w:rPr>
          <w:rFonts w:cs="Symbol" w:ascii="Symbol" w:hAnsi="Symbol"/>
          <w:i/>
        </w:rPr>
        <w:t></w:t>
      </w:r>
      <w:r>
        <w:rPr>
          <w:i/>
        </w:rPr>
        <w:t>)/f</w:t>
      </w:r>
      <w:r>
        <w:rPr>
          <w:i/>
          <w:vertAlign w:val="subscript"/>
        </w:rPr>
        <w:t>0</w:t>
      </w:r>
      <w:r>
        <w:rPr/>
        <w:t>) characterizes the RMS fractional frequency deviation which is related to the TIE</w:t>
      </w:r>
      <w:r>
        <w:rPr>
          <w:vertAlign w:val="subscript"/>
        </w:rPr>
        <w:t>rms</w:t>
      </w:r>
      <w:r>
        <w:rPr/>
        <w:t xml:space="preserve"> (RMS Time Interval Error, see ITU-T Recommendation G.810).</w:t>
      </w:r>
    </w:p>
    <w:p>
      <w:pPr>
        <w:pStyle w:val="Normal"/>
        <w:rPr/>
      </w:pPr>
      <w:r>
        <w:rPr/>
        <w:t>The physics of equation (1) is particularly interesting, since it partitions the frequency stability effects into two terms. The first term characterizes the frequency instability degradations due to the average values of the frequency offsets between BTS OTD reference signals. The second term characterizes the RMS fluctuations of the BTS OTD reference signal frequency offsets, their frequency drifts and the time dependent phase noise fluctuations.</w:t>
      </w:r>
    </w:p>
    <w:p>
      <w:pPr>
        <w:pStyle w:val="Normal"/>
        <w:rPr/>
      </w:pPr>
      <w:r>
        <w:rPr/>
        <w:t xml:space="preserve">Since the OTD reference signal drift rate (aging) times the measurement period will be small relative to the clock frequency offset and phase noise effects, these terms can be neglected (or they can be estimated through signal processing) for the </w:t>
      </w:r>
      <w:r>
        <w:rPr/>
        <w:drawing>
          <wp:inline distT="0" distB="0" distL="0" distR="0">
            <wp:extent cx="114300" cy="139700"/>
            <wp:effectExtent l="0" t="0" r="0" b="0"/>
            <wp:docPr id="167" name="Imag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91" descr=""/>
                    <pic:cNvPicPr>
                      <a:picLocks noChangeAspect="1" noChangeArrowheads="1"/>
                    </pic:cNvPicPr>
                  </pic:nvPicPr>
                  <pic:blipFill>
                    <a:blip r:embed="rId165"/>
                    <a:srcRect l="-315" t="-258" r="-315" b="-258"/>
                    <a:stretch>
                      <a:fillRect/>
                    </a:stretch>
                  </pic:blipFill>
                  <pic:spPr bwMode="auto">
                    <a:xfrm>
                      <a:off x="0" y="0"/>
                      <a:ext cx="114300" cy="139700"/>
                    </a:xfrm>
                    <a:prstGeom prst="rect">
                      <a:avLst/>
                    </a:prstGeom>
                  </pic:spPr>
                </pic:pic>
              </a:graphicData>
            </a:graphic>
          </wp:inline>
        </w:drawing>
      </w:r>
      <w:r>
        <w:rPr/>
        <w:t xml:space="preserve"> intervals of interest. Thus (1) reduces to:</w:t>
      </w:r>
    </w:p>
    <w:p>
      <w:pPr>
        <w:pStyle w:val="EX"/>
        <w:rPr/>
      </w:pPr>
      <w:r>
        <w:rPr/>
        <w:drawing>
          <wp:inline distT="0" distB="0" distL="0" distR="0">
            <wp:extent cx="1485900" cy="508000"/>
            <wp:effectExtent l="0" t="0" r="0" b="0"/>
            <wp:docPr id="168" name="Imag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92" descr=""/>
                    <pic:cNvPicPr>
                      <a:picLocks noChangeAspect="1" noChangeArrowheads="1"/>
                    </pic:cNvPicPr>
                  </pic:nvPicPr>
                  <pic:blipFill>
                    <a:blip r:embed="rId166"/>
                    <a:srcRect l="-24" t="-71" r="-24" b="-71"/>
                    <a:stretch>
                      <a:fillRect/>
                    </a:stretch>
                  </pic:blipFill>
                  <pic:spPr bwMode="auto">
                    <a:xfrm>
                      <a:off x="0" y="0"/>
                      <a:ext cx="1485900" cy="508000"/>
                    </a:xfrm>
                    <a:prstGeom prst="rect">
                      <a:avLst/>
                    </a:prstGeom>
                  </pic:spPr>
                </pic:pic>
              </a:graphicData>
            </a:graphic>
          </wp:inline>
        </w:drawing>
      </w:r>
    </w:p>
    <w:p>
      <w:pPr>
        <w:pStyle w:val="EX"/>
        <w:rPr/>
      </w:pPr>
      <w:r>
        <w:rPr/>
        <w:drawing>
          <wp:inline distT="0" distB="0" distL="0" distR="0">
            <wp:extent cx="4063365" cy="634365"/>
            <wp:effectExtent l="0" t="0" r="0" b="0"/>
            <wp:docPr id="169"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93" descr=""/>
                    <pic:cNvPicPr>
                      <a:picLocks noChangeAspect="1" noChangeArrowheads="1"/>
                    </pic:cNvPicPr>
                  </pic:nvPicPr>
                  <pic:blipFill>
                    <a:blip r:embed="rId167"/>
                    <a:srcRect l="-9" t="-57" r="-9" b="-57"/>
                    <a:stretch>
                      <a:fillRect/>
                    </a:stretch>
                  </pic:blipFill>
                  <pic:spPr bwMode="auto">
                    <a:xfrm>
                      <a:off x="0" y="0"/>
                      <a:ext cx="4063365" cy="634365"/>
                    </a:xfrm>
                    <a:prstGeom prst="rect">
                      <a:avLst/>
                    </a:prstGeom>
                  </pic:spPr>
                </pic:pic>
              </a:graphicData>
            </a:graphic>
          </wp:inline>
        </w:drawing>
      </w:r>
    </w:p>
    <w:p>
      <w:pPr>
        <w:pStyle w:val="Normal"/>
        <w:rPr/>
      </w:pPr>
      <w:r>
        <w:rPr/>
        <w:t xml:space="preserve">From the perspectives of Equations (1-2), the OTD time stability requirements can be assessed. Here </w:t>
      </w:r>
      <w:r>
        <w:rPr>
          <w:i/>
        </w:rPr>
        <w:t>C</w:t>
      </w:r>
      <w:r>
        <w:rPr>
          <w:i/>
          <w:position w:val="-6"/>
        </w:rPr>
        <w:t>P</w:t>
      </w:r>
      <w:r>
        <w:rPr/>
        <w:t xml:space="preserve"> sets the OTD measurement integrity in a probability sense that, after </w:t>
      </w:r>
      <w:r>
        <w:rPr/>
        <w:drawing>
          <wp:inline distT="0" distB="0" distL="0" distR="0">
            <wp:extent cx="127000" cy="139700"/>
            <wp:effectExtent l="0" t="0" r="0" b="0"/>
            <wp:docPr id="170"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94" descr=""/>
                    <pic:cNvPicPr>
                      <a:picLocks noChangeAspect="1" noChangeArrowheads="1"/>
                    </pic:cNvPicPr>
                  </pic:nvPicPr>
                  <pic:blipFill>
                    <a:blip r:embed="rId168"/>
                    <a:srcRect l="-284" t="-258" r="-284" b="-258"/>
                    <a:stretch>
                      <a:fillRect/>
                    </a:stretch>
                  </pic:blipFill>
                  <pic:spPr bwMode="auto">
                    <a:xfrm>
                      <a:off x="0" y="0"/>
                      <a:ext cx="127000" cy="139700"/>
                    </a:xfrm>
                    <a:prstGeom prst="rect">
                      <a:avLst/>
                    </a:prstGeom>
                  </pic:spPr>
                </pic:pic>
              </a:graphicData>
            </a:graphic>
          </wp:inline>
        </w:drawing>
      </w:r>
      <w:r>
        <w:rPr/>
        <w:t xml:space="preserve"> seconds, the relative frequency difference between two BTS clocks will cause </w:t>
      </w:r>
      <w:r>
        <w:rPr/>
        <w:drawing>
          <wp:inline distT="0" distB="0" distL="0" distR="0">
            <wp:extent cx="190500" cy="165100"/>
            <wp:effectExtent l="0" t="0" r="0" b="0"/>
            <wp:docPr id="171"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95" descr=""/>
                    <pic:cNvPicPr>
                      <a:picLocks noChangeAspect="1" noChangeArrowheads="1"/>
                    </pic:cNvPicPr>
                  </pic:nvPicPr>
                  <pic:blipFill>
                    <a:blip r:embed="rId169"/>
                    <a:srcRect l="-189" t="-218" r="-189" b="-218"/>
                    <a:stretch>
                      <a:fillRect/>
                    </a:stretch>
                  </pic:blipFill>
                  <pic:spPr bwMode="auto">
                    <a:xfrm>
                      <a:off x="0" y="0"/>
                      <a:ext cx="190500" cy="165100"/>
                    </a:xfrm>
                    <a:prstGeom prst="rect">
                      <a:avLst/>
                    </a:prstGeom>
                  </pic:spPr>
                </pic:pic>
              </a:graphicData>
            </a:graphic>
          </wp:inline>
        </w:drawing>
      </w:r>
      <w:r>
        <w:rPr/>
        <w:t xml:space="preserve"> seconds of time error to accumulate between BTS clocks with probability </w:t>
      </w:r>
      <w:r>
        <w:rPr>
          <w:i/>
        </w:rPr>
        <w:t>p</w:t>
      </w:r>
      <w:r>
        <w:rPr/>
        <w:t xml:space="preserve">. For example, with </w:t>
      </w:r>
      <w:r>
        <w:rPr>
          <w:i/>
        </w:rPr>
        <w:t>p</w:t>
      </w:r>
      <w:r>
        <w:rPr/>
        <w:t xml:space="preserve">=0.997, then </w:t>
      </w:r>
      <w:r>
        <w:rPr>
          <w:i/>
        </w:rPr>
        <w:t>C</w:t>
      </w:r>
      <w:r>
        <w:rPr>
          <w:vertAlign w:val="subscript"/>
        </w:rPr>
        <w:t>p</w:t>
      </w:r>
      <w:r>
        <w:rPr/>
        <w:t xml:space="preserve">=3 and with </w:t>
      </w:r>
      <w:r>
        <w:rPr>
          <w:i/>
        </w:rPr>
        <w:t>p</w:t>
      </w:r>
      <w:r>
        <w:rPr/>
        <w:t xml:space="preserve">=0.90, </w:t>
      </w:r>
      <w:r>
        <w:rPr>
          <w:i/>
        </w:rPr>
        <w:t>C</w:t>
      </w:r>
      <w:r>
        <w:rPr>
          <w:vertAlign w:val="subscript"/>
        </w:rPr>
        <w:t>p</w:t>
      </w:r>
      <w:r>
        <w:rPr/>
        <w:t xml:space="preserve">=1.65. The value of </w:t>
      </w:r>
      <w:r>
        <w:rPr>
          <w:i/>
        </w:rPr>
        <w:t>C</w:t>
      </w:r>
      <w:r>
        <w:rPr>
          <w:vertAlign w:val="subscript"/>
        </w:rPr>
        <w:t>p</w:t>
      </w:r>
      <w:r>
        <w:rPr/>
        <w:t xml:space="preserve"> also serves to weight the relative importance of the systematic and random frequency instability effects on the accumulation of time error.</w:t>
      </w:r>
    </w:p>
    <w:p>
      <w:pPr>
        <w:pStyle w:val="Normal"/>
        <w:rPr/>
      </w:pPr>
      <w:r>
        <w:rPr/>
        <w:t>Finally, if one further assumes that the OTD reference signal frequency accuracies are also estimated using signal processing methods and that these estimates are sufficiently accurate so as to place these disturbances well below those set by the random phase noise effects, then (2) reduces to:</w:t>
      </w:r>
    </w:p>
    <w:p>
      <w:pPr>
        <w:pStyle w:val="EQ"/>
        <w:jc w:val="center"/>
        <w:rPr/>
      </w:pPr>
      <w:r>
        <w:rPr>
          <w:rFonts w:cs="Symbol" w:ascii="Symbol" w:hAnsi="Symbol"/>
        </w:rPr>
        <w:t></w:t>
      </w:r>
      <w:r>
        <w:rPr/>
        <w:t xml:space="preserve">t = </w:t>
      </w:r>
      <w:r>
        <w:rPr/>
        <w:drawing>
          <wp:inline distT="0" distB="0" distL="0" distR="0">
            <wp:extent cx="1168400" cy="254000"/>
            <wp:effectExtent l="0" t="0" r="0" b="0"/>
            <wp:docPr id="172"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96" descr=""/>
                    <pic:cNvPicPr>
                      <a:picLocks noChangeAspect="1" noChangeArrowheads="1"/>
                    </pic:cNvPicPr>
                  </pic:nvPicPr>
                  <pic:blipFill>
                    <a:blip r:embed="rId170"/>
                    <a:srcRect l="-31" t="-142" r="-31" b="-142"/>
                    <a:stretch>
                      <a:fillRect/>
                    </a:stretch>
                  </pic:blipFill>
                  <pic:spPr bwMode="auto">
                    <a:xfrm>
                      <a:off x="0" y="0"/>
                      <a:ext cx="1168400" cy="254000"/>
                    </a:xfrm>
                    <a:prstGeom prst="rect">
                      <a:avLst/>
                    </a:prstGeom>
                  </pic:spPr>
                </pic:pic>
              </a:graphicData>
            </a:graphic>
          </wp:inline>
        </w:drawing>
      </w:r>
    </w:p>
    <w:p>
      <w:pPr>
        <w:pStyle w:val="Normal"/>
        <w:rPr/>
      </w:pPr>
      <w:r>
        <w:rPr/>
        <w:t>This equation relates MTIE to the TIE</w:t>
      </w:r>
      <w:r>
        <w:rPr>
          <w:vertAlign w:val="subscript"/>
        </w:rPr>
        <w:t>rms</w:t>
      </w:r>
      <w:r>
        <w:rPr/>
        <w:t xml:space="preserve"> value as a function of the OTD reporting period, </w:t>
      </w:r>
      <w:r>
        <w:rPr>
          <w:rFonts w:cs="Symbol" w:ascii="Symbol" w:hAnsi="Symbol"/>
        </w:rPr>
        <w:t></w:t>
      </w:r>
      <w:r>
        <w:rPr/>
        <w:t>, and can be used to demonstrate trade-offs between location accuracy, MTIE, OTD reporting period and TIE</w:t>
      </w:r>
      <w:r>
        <w:rPr>
          <w:vertAlign w:val="subscript"/>
        </w:rPr>
        <w:t>rms</w:t>
      </w:r>
      <w:r>
        <w:rPr/>
        <w:t xml:space="preserve"> for a confidence level of </w:t>
      </w:r>
      <w:r>
        <w:rPr>
          <w:i/>
        </w:rPr>
        <w:t>p</w:t>
      </w:r>
      <w:r>
        <w:rPr/>
        <w:t>.</w:t>
      </w:r>
    </w:p>
    <w:p>
      <w:pPr>
        <w:pStyle w:val="Heading2"/>
        <w:rPr/>
      </w:pPr>
      <w:bookmarkStart w:id="618" w:name="__RefHeading___Toc518036032"/>
      <w:bookmarkEnd w:id="618"/>
      <w:r>
        <w:rPr/>
        <w:t>V.7.2</w:t>
        <w:tab/>
        <w:t>Relationship between range errors and location error</w:t>
      </w:r>
    </w:p>
    <w:p>
      <w:pPr>
        <w:pStyle w:val="Normal"/>
        <w:rPr/>
      </w:pPr>
      <w:r>
        <w:rPr/>
        <w:t>The relationship between E-OTD range measurement errors and location errors depends on the number and relative positions of the BTSs present.  This relationship is sometimes summarised by a value known as the horizontal dilution of precision, HDOP.  Since at least three BTSs are required for E-OTD location we consider as a reference scenario the case of three BTSs arranged in an equilateral triangle.  As an MS moves inside the equilateral triangle defined by the BTSs the HDOP varies between 1.2, when the MS is at the centroid, to a maximum of 2.6.</w:t>
      </w:r>
    </w:p>
    <w:p>
      <w:pPr>
        <w:pStyle w:val="TH"/>
        <w:rPr/>
      </w:pPr>
      <w:r>
        <w:rPr/>
        <w:t>Table V.7.1: Location error as a function of OTD MTIE</w:t>
      </w:r>
    </w:p>
    <w:tbl>
      <w:tblPr>
        <w:tblW w:w="7614" w:type="dxa"/>
        <w:jc w:val="center"/>
        <w:tblInd w:w="0" w:type="dxa"/>
        <w:tblLayout w:type="fixed"/>
        <w:tblCellMar>
          <w:top w:w="0" w:type="dxa"/>
          <w:left w:w="108" w:type="dxa"/>
          <w:bottom w:w="0" w:type="dxa"/>
          <w:right w:w="108" w:type="dxa"/>
        </w:tblCellMar>
      </w:tblPr>
      <w:tblGrid>
        <w:gridCol w:w="2538"/>
        <w:gridCol w:w="2248"/>
        <w:gridCol w:w="2828"/>
      </w:tblGrid>
      <w:tr>
        <w:trPr/>
        <w:tc>
          <w:tcPr>
            <w:tcW w:w="253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 xml:space="preserve">E-OTD MTIE </w:t>
            </w:r>
            <w:r>
              <w:rPr>
                <w:rFonts w:eastAsia="Symbol" w:cs="Symbol" w:ascii="Symbol" w:hAnsi="Symbol"/>
                <w:lang w:eastAsia="en-US"/>
              </w:rPr>
              <w:t></w:t>
            </w:r>
            <w:r>
              <w:rPr>
                <w:lang w:eastAsia="en-US"/>
              </w:rPr>
              <w:t xml:space="preserve"> @ 95%</w:t>
            </w:r>
          </w:p>
        </w:tc>
        <w:tc>
          <w:tcPr>
            <w:tcW w:w="2248" w:type="dxa"/>
            <w:tcBorders>
              <w:top w:val="single" w:sz="6" w:space="0" w:color="000000"/>
              <w:left w:val="single" w:sz="6" w:space="0" w:color="000000"/>
              <w:bottom w:val="single" w:sz="6" w:space="0" w:color="000000"/>
              <w:right w:val="single" w:sz="6" w:space="0" w:color="000000"/>
            </w:tcBorders>
          </w:tcPr>
          <w:p>
            <w:pPr>
              <w:pStyle w:val="TAH"/>
              <w:rPr/>
            </w:pPr>
            <w:r>
              <w:rPr>
                <w:i/>
                <w:lang w:eastAsia="en-US"/>
              </w:rPr>
              <w:t>r</w:t>
            </w:r>
            <w:r>
              <w:rPr>
                <w:lang w:eastAsia="en-US"/>
              </w:rPr>
              <w:t xml:space="preserve"> </w:t>
            </w:r>
            <w:r>
              <w:rPr>
                <w:vertAlign w:val="subscript"/>
                <w:lang w:eastAsia="en-US"/>
              </w:rPr>
              <w:t>max</w:t>
            </w:r>
            <w:r>
              <w:rPr>
                <w:lang w:eastAsia="en-US"/>
              </w:rPr>
              <w:t xml:space="preserve"> </w:t>
            </w:r>
            <w:r>
              <w:rPr>
                <w:rFonts w:eastAsia="Symbol" w:cs="Symbol" w:ascii="Symbol" w:hAnsi="Symbol"/>
                <w:lang w:eastAsia="en-US"/>
              </w:rPr>
              <w:t></w:t>
            </w:r>
            <w:r>
              <w:rPr>
                <w:lang w:eastAsia="en-US"/>
              </w:rPr>
              <w:t xml:space="preserve"> @ 95%</w:t>
            </w:r>
          </w:p>
        </w:tc>
        <w:tc>
          <w:tcPr>
            <w:tcW w:w="282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E-OTD radial location error (rms)</w:t>
            </w:r>
          </w:p>
        </w:tc>
      </w:tr>
      <w:tr>
        <w:trPr/>
        <w:tc>
          <w:tcPr>
            <w:tcW w:w="253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50 ns</w:t>
            </w:r>
          </w:p>
          <w:p>
            <w:pPr>
              <w:pStyle w:val="TAL"/>
              <w:rPr>
                <w:lang w:val="fr-FR"/>
              </w:rPr>
            </w:pPr>
            <w:r>
              <w:rPr>
                <w:lang w:val="fr-FR"/>
              </w:rPr>
              <w:t>100 ns</w:t>
            </w:r>
          </w:p>
          <w:p>
            <w:pPr>
              <w:pStyle w:val="TAL"/>
              <w:rPr>
                <w:lang w:val="fr-FR"/>
              </w:rPr>
            </w:pPr>
            <w:r>
              <w:rPr>
                <w:lang w:val="fr-FR"/>
              </w:rPr>
              <w:t>200 ns</w:t>
            </w:r>
          </w:p>
        </w:tc>
        <w:tc>
          <w:tcPr>
            <w:tcW w:w="224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15 m</w:t>
            </w:r>
          </w:p>
          <w:p>
            <w:pPr>
              <w:pStyle w:val="TAL"/>
              <w:rPr>
                <w:lang w:val="fr-FR"/>
              </w:rPr>
            </w:pPr>
            <w:r>
              <w:rPr>
                <w:lang w:val="fr-FR"/>
              </w:rPr>
              <w:t>30 m</w:t>
            </w:r>
          </w:p>
          <w:p>
            <w:pPr>
              <w:pStyle w:val="TAL"/>
              <w:rPr/>
            </w:pPr>
            <w:r>
              <w:rPr>
                <w:lang w:val="fr-FR"/>
              </w:rPr>
              <w:t>60 m</w:t>
            </w:r>
          </w:p>
        </w:tc>
        <w:tc>
          <w:tcPr>
            <w:tcW w:w="282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09.1 m to 19.1 m</w:t>
            </w:r>
          </w:p>
          <w:p>
            <w:pPr>
              <w:pStyle w:val="TAL"/>
              <w:rPr>
                <w:lang w:val="en-GB"/>
              </w:rPr>
            </w:pPr>
            <w:r>
              <w:rPr>
                <w:lang w:val="en-GB"/>
              </w:rPr>
              <w:t>18.3 m to 38.2 m</w:t>
            </w:r>
          </w:p>
          <w:p>
            <w:pPr>
              <w:pStyle w:val="TAL"/>
              <w:rPr>
                <w:lang w:val="en-GB"/>
              </w:rPr>
            </w:pPr>
            <w:r>
              <w:rPr>
                <w:lang w:val="en-GB"/>
              </w:rPr>
              <w:t>36.7 m to 76.4 m</w:t>
            </w:r>
          </w:p>
        </w:tc>
      </w:tr>
    </w:tbl>
    <w:p>
      <w:pPr>
        <w:pStyle w:val="Normal"/>
        <w:rPr/>
      </w:pPr>
      <w:r>
        <w:rPr/>
      </w:r>
    </w:p>
    <w:p>
      <w:pPr>
        <w:pStyle w:val="Normal"/>
        <w:rPr/>
      </w:pPr>
      <w:r>
        <w:rPr/>
        <w:t xml:space="preserve">Table V.7.1 shows the behaviour of  location accuracy under the reference scenario for three levels of timing error, OTD MTIE, and corresponding range error, </w:t>
      </w:r>
      <w:r>
        <w:rPr/>
        <w:drawing>
          <wp:inline distT="0" distB="0" distL="0" distR="0">
            <wp:extent cx="254000" cy="228600"/>
            <wp:effectExtent l="0" t="0" r="0" b="0"/>
            <wp:docPr id="173" name="Imag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97" descr=""/>
                    <pic:cNvPicPr>
                      <a:picLocks noChangeAspect="1" noChangeArrowheads="1"/>
                    </pic:cNvPicPr>
                  </pic:nvPicPr>
                  <pic:blipFill>
                    <a:blip r:embed="rId171"/>
                    <a:srcRect l="-142" t="-157" r="-142" b="-157"/>
                    <a:stretch>
                      <a:fillRect/>
                    </a:stretch>
                  </pic:blipFill>
                  <pic:spPr bwMode="auto">
                    <a:xfrm>
                      <a:off x="0" y="0"/>
                      <a:ext cx="254000" cy="228600"/>
                    </a:xfrm>
                    <a:prstGeom prst="rect">
                      <a:avLst/>
                    </a:prstGeom>
                  </pic:spPr>
                </pic:pic>
              </a:graphicData>
            </a:graphic>
          </wp:inline>
        </w:drawing>
      </w:r>
      <w:r>
        <w:rPr/>
        <w:t>. Note that the timing error, E-OTD MTIE, is a function of both BTS frequency source stability and the E-OTD reporting period (see GSM 5.10).</w:t>
      </w:r>
      <w:r>
        <w:br w:type="page"/>
      </w:r>
    </w:p>
    <w:p>
      <w:pPr>
        <w:pStyle w:val="Heading9"/>
        <w:rPr/>
      </w:pPr>
      <w:bookmarkStart w:id="619" w:name="__RefHeading___Toc518036033"/>
      <w:bookmarkEnd w:id="619"/>
      <w:r>
        <w:rPr/>
        <w:t>Annex V.A:</w:t>
        <w:br/>
        <w:t>Evaluation of Positioning Measurement Systems</w:t>
      </w:r>
    </w:p>
    <w:p>
      <w:pPr>
        <w:pStyle w:val="Heading1"/>
        <w:ind w:left="1134" w:hanging="1134"/>
        <w:rPr/>
      </w:pPr>
      <w:bookmarkStart w:id="620" w:name="__RefHeading___Toc518036034"/>
      <w:bookmarkEnd w:id="620"/>
      <w:r>
        <w:rPr/>
        <w:t>1</w:t>
        <w:tab/>
        <w:t>Introduction</w:t>
      </w:r>
    </w:p>
    <w:p>
      <w:pPr>
        <w:pStyle w:val="Normal"/>
        <w:rPr/>
      </w:pPr>
      <w:r>
        <w:rPr/>
        <w:t>In order to evaluate and compare different positioning measurement systems, it is highly desirable to define a common positioning simulator.</w:t>
      </w:r>
    </w:p>
    <w:p>
      <w:pPr>
        <w:pStyle w:val="Normal"/>
        <w:rPr/>
      </w:pPr>
      <w:r>
        <w:rPr/>
        <w:t>The single most important effect when evaluating positioning performance is multi-path propagation. The performance of positioning measurement systems is very dependent on the severity of the multi-path propagation. A simulator is more efficient than field trials when evaluating performance with respect to multi-path, since it can model a vast number of radio channels. Due to the importance of multi-path, it is essential to define a common channel model when comparing positioning performance.</w:t>
      </w:r>
    </w:p>
    <w:p>
      <w:pPr>
        <w:pStyle w:val="Normal"/>
        <w:rPr/>
      </w:pPr>
      <w:r>
        <w:rPr/>
        <w:t>The present document proposes a complete positioning simulator. The details are however focused on the essential channel model. The proposed channel model has a multi-path statistic that corresponds to a large number of field measurements.</w:t>
      </w:r>
    </w:p>
    <w:p>
      <w:pPr>
        <w:pStyle w:val="Normal"/>
        <w:rPr/>
      </w:pPr>
      <w:r>
        <w:rPr/>
        <w:t>The outline is as follows. In Section 2 an overview of the positioning simulator is provided. The remaining part of the document describes the various components of the positioning simulator:</w:t>
      </w:r>
    </w:p>
    <w:p>
      <w:pPr>
        <w:pStyle w:val="B1"/>
        <w:rPr/>
      </w:pPr>
      <w:r>
        <w:rPr/>
        <w:t>-</w:t>
        <w:tab/>
        <w:t>System Simulator (see clause 3).</w:t>
      </w:r>
    </w:p>
    <w:p>
      <w:pPr>
        <w:pStyle w:val="B1"/>
        <w:rPr/>
      </w:pPr>
      <w:r>
        <w:rPr/>
        <w:t>-</w:t>
        <w:tab/>
        <w:t>Radio Link Simulator (see clause 4).</w:t>
      </w:r>
    </w:p>
    <w:p>
      <w:pPr>
        <w:pStyle w:val="B1"/>
        <w:rPr/>
      </w:pPr>
      <w:r>
        <w:rPr/>
        <w:t>-</w:t>
        <w:tab/>
        <w:t>Channel Model (clauses 5 to 7).</w:t>
      </w:r>
    </w:p>
    <w:p>
      <w:pPr>
        <w:pStyle w:val="B1"/>
        <w:rPr/>
      </w:pPr>
      <w:r>
        <w:rPr/>
        <w:t>-</w:t>
        <w:tab/>
        <w:t>Position Calculation and Statistical Evaluation (clause 8).</w:t>
      </w:r>
    </w:p>
    <w:p>
      <w:pPr>
        <w:pStyle w:val="Heading1"/>
        <w:ind w:left="1134" w:hanging="1134"/>
        <w:rPr/>
      </w:pPr>
      <w:bookmarkStart w:id="621" w:name="__RefHeading___Toc518036035"/>
      <w:bookmarkStart w:id="622" w:name="_Ref404685486"/>
      <w:bookmarkEnd w:id="621"/>
      <w:bookmarkEnd w:id="622"/>
      <w:r>
        <w:rPr/>
        <w:t>2</w:t>
        <w:tab/>
        <w:t>Positioning Simulator</w:t>
      </w:r>
    </w:p>
    <w:p>
      <w:pPr>
        <w:pStyle w:val="Normal"/>
        <w:rPr/>
      </w:pPr>
      <w:r>
        <w:rPr/>
        <w:t>In order to evaluate the positioning performance, it is not sufficient to only simulate the measurement performance over a radio link. Instead an integrated positioning simulator is needed. The positioning simulator performs the following steps (see figure 2.1):</w:t>
      </w:r>
    </w:p>
    <w:p>
      <w:pPr>
        <w:pStyle w:val="Normal"/>
        <w:rPr/>
      </w:pPr>
      <w:r>
        <w:rPr>
          <w:i/>
        </w:rPr>
        <w:t>Define environments and system parameters:</w:t>
      </w:r>
      <w:r>
        <w:rPr/>
        <w:t xml:space="preserve"> This includes multi-path channel characteristics, path loss parameters, inter-BS distance and frequency plans.</w:t>
      </w:r>
    </w:p>
    <w:p>
      <w:pPr>
        <w:pStyle w:val="Normal"/>
        <w:rPr/>
      </w:pPr>
      <w:r>
        <w:rPr>
          <w:i/>
        </w:rPr>
        <w:t>System simulation:</w:t>
      </w:r>
      <w:r>
        <w:rPr/>
        <w:t xml:space="preserve"> Generate frequency and cell plan. Randomly place MS on the cell pattern. For each MS:</w:t>
      </w:r>
    </w:p>
    <w:p>
      <w:pPr>
        <w:pStyle w:val="Normal"/>
        <w:rPr/>
      </w:pPr>
      <w:r>
        <w:rPr>
          <w:i/>
        </w:rPr>
        <w:t>Select measurement links:</w:t>
      </w:r>
      <w:r>
        <w:rPr/>
        <w:t xml:space="preserve"> A strategy needs to be implemented which links to use when to positioning the particular MS</w:t>
      </w:r>
    </w:p>
    <w:p>
      <w:pPr>
        <w:pStyle w:val="Normal"/>
        <w:rPr>
          <w:i/>
          <w:i/>
        </w:rPr>
      </w:pPr>
      <w:r>
        <w:rPr>
          <w:i/>
        </w:rPr>
        <w:t>Determine characteristics for each link:</w:t>
      </w:r>
    </w:p>
    <w:p>
      <w:pPr>
        <w:pStyle w:val="EX"/>
        <w:rPr/>
      </w:pPr>
      <w:r>
        <w:rPr/>
        <w:t>EXAMPLE:</w:t>
        <w:tab/>
        <w:t>C/I, C/N, C/A, distance (d), angle (</w:t>
      </w:r>
      <w:r>
        <w:rPr>
          <w:rFonts w:cs="Symbol" w:ascii="Symbol" w:hAnsi="Symbol"/>
        </w:rPr>
        <w:t></w:t>
      </w:r>
      <w:r>
        <w:rPr/>
        <w:t>).</w:t>
      </w:r>
    </w:p>
    <w:p>
      <w:pPr>
        <w:pStyle w:val="Normal"/>
        <w:rPr/>
      </w:pPr>
      <w:r>
        <w:rPr>
          <w:i/>
        </w:rPr>
        <w:t>Radio Link Simulation:</w:t>
      </w:r>
      <w:r>
        <w:rPr/>
        <w:t xml:space="preserve"> For each link a realization of the channel model needs to be utilized by the radio link simulator to determine the measurement value and its corresponding measurement quality for the specific link.</w:t>
      </w:r>
    </w:p>
    <w:p>
      <w:pPr>
        <w:pStyle w:val="Normal"/>
        <w:rPr/>
      </w:pPr>
      <w:r>
        <w:rPr>
          <w:i/>
        </w:rPr>
        <w:t>Position Calculation and Statistical Evaluation:</w:t>
      </w:r>
      <w:r>
        <w:rPr/>
        <w:t xml:space="preserve"> Estimate the position of the MS given the measurement data and BS locations. Compute circular error and present statistics.</w:t>
      </w:r>
    </w:p>
    <w:p>
      <w:pPr>
        <w:pStyle w:val="TH"/>
        <w:rPr/>
      </w:pPr>
      <w:bookmarkStart w:id="623" w:name="_Ref404853988"/>
      <w:r>
        <w:rPr/>
        <w:drawing>
          <wp:inline distT="0" distB="0" distL="0" distR="0">
            <wp:extent cx="6029325" cy="3714750"/>
            <wp:effectExtent l="0" t="0" r="0" b="0"/>
            <wp:docPr id="174" name="Imag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98" descr=""/>
                    <pic:cNvPicPr>
                      <a:picLocks noChangeAspect="1" noChangeArrowheads="1"/>
                    </pic:cNvPicPr>
                  </pic:nvPicPr>
                  <pic:blipFill>
                    <a:blip r:embed="rId172"/>
                    <a:srcRect l="-6" t="-10" r="-6" b="-10"/>
                    <a:stretch>
                      <a:fillRect/>
                    </a:stretch>
                  </pic:blipFill>
                  <pic:spPr bwMode="auto">
                    <a:xfrm>
                      <a:off x="0" y="0"/>
                      <a:ext cx="6029325" cy="3714750"/>
                    </a:xfrm>
                    <a:prstGeom prst="rect">
                      <a:avLst/>
                    </a:prstGeom>
                  </pic:spPr>
                </pic:pic>
              </a:graphicData>
            </a:graphic>
          </wp:inline>
        </w:drawing>
      </w:r>
    </w:p>
    <w:p>
      <w:pPr>
        <w:pStyle w:val="TF"/>
        <w:rPr/>
      </w:pPr>
      <w:r>
        <w:rPr/>
        <w:t>Figure 2.1: Positioning Simulator</w:t>
      </w:r>
    </w:p>
    <w:p>
      <w:pPr>
        <w:pStyle w:val="Heading1"/>
        <w:ind w:left="1134" w:hanging="1134"/>
        <w:rPr/>
      </w:pPr>
      <w:bookmarkStart w:id="624" w:name="_Ref404853988"/>
      <w:bookmarkStart w:id="625" w:name="__RefHeading___Toc518036036"/>
      <w:bookmarkEnd w:id="625"/>
      <w:r>
        <w:rPr/>
        <w:t>3</w:t>
        <w:tab/>
        <w:t>System Simulator</w:t>
      </w:r>
      <w:bookmarkEnd w:id="624"/>
    </w:p>
    <w:p>
      <w:pPr>
        <w:pStyle w:val="Normal"/>
        <w:rPr/>
      </w:pPr>
      <w:r>
        <w:rPr/>
        <w:t>The System Simulator is the basis of the Positioning Simulator. Here a cell and frequency plan is created and mobile stations to be positioned are randomly distributed over the cell structure (see Figure 3.1). In order to save infra-structure costs, usually one physical base station is built to serve three different cells. Directional antennas are used to differentiate the coverage areas, as shown in figure 3.1. Each base station serves three surrounding cells. The coverage area of the cells are represented by hexagons.</w:t>
      </w:r>
    </w:p>
    <w:p>
      <w:pPr>
        <w:pStyle w:val="TH"/>
        <w:rPr/>
      </w:pPr>
      <w:r>
        <w:rPr/>
        <w:drawing>
          <wp:inline distT="0" distB="0" distL="0" distR="0">
            <wp:extent cx="4110990" cy="2835275"/>
            <wp:effectExtent l="0" t="0" r="0" b="0"/>
            <wp:docPr id="175" name="Imag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99" descr=""/>
                    <pic:cNvPicPr>
                      <a:picLocks noChangeAspect="1" noChangeArrowheads="1"/>
                    </pic:cNvPicPr>
                  </pic:nvPicPr>
                  <pic:blipFill>
                    <a:blip r:embed="rId173"/>
                    <a:srcRect l="-8" t="-11" r="-8" b="-11"/>
                    <a:stretch>
                      <a:fillRect/>
                    </a:stretch>
                  </pic:blipFill>
                  <pic:spPr bwMode="auto">
                    <a:xfrm>
                      <a:off x="0" y="0"/>
                      <a:ext cx="4110990" cy="2835275"/>
                    </a:xfrm>
                    <a:prstGeom prst="rect">
                      <a:avLst/>
                    </a:prstGeom>
                  </pic:spPr>
                </pic:pic>
              </a:graphicData>
            </a:graphic>
          </wp:inline>
        </w:drawing>
      </w:r>
    </w:p>
    <w:p>
      <w:pPr>
        <w:pStyle w:val="TF"/>
        <w:rPr/>
      </w:pPr>
      <w:bookmarkStart w:id="626" w:name="_Ref404687675"/>
      <w:r>
        <w:rPr/>
        <w:t>Figure</w:t>
      </w:r>
      <w:bookmarkEnd w:id="626"/>
      <w:r>
        <w:rPr/>
        <w:t xml:space="preserve"> 3.1: A MS in system</w:t>
      </w:r>
    </w:p>
    <w:p>
      <w:pPr>
        <w:pStyle w:val="Heading2"/>
        <w:rPr/>
      </w:pPr>
      <w:bookmarkStart w:id="627" w:name="__RefHeading___Toc518036037"/>
      <w:bookmarkEnd w:id="627"/>
      <w:r>
        <w:rPr/>
        <w:t>3.1</w:t>
        <w:tab/>
        <w:t>Initiation</w:t>
      </w:r>
    </w:p>
    <w:p>
      <w:pPr>
        <w:pStyle w:val="Normal"/>
        <w:rPr/>
      </w:pPr>
      <w:r>
        <w:rPr/>
        <w:t>BS's are placed over an area in a uniform hexagonal pattern, and a frequency plan is defined. The frequency plan assigns each BS a number of traffic channels and one Broadcast Control Channel (BCCH). MS's are placed randomly on the cell plan. The number of MS's is chosen corresponding to the desired offered traffic. In order to avoid that MS's close to the borders of the cell area have a more advantageous interference situation, a wrap around technique is used. This means for example that an MS located on the northeast border can be disturbed by BS's on the southwest side.</w:t>
      </w:r>
    </w:p>
    <w:p>
      <w:pPr>
        <w:pStyle w:val="Heading2"/>
        <w:rPr/>
      </w:pPr>
      <w:bookmarkStart w:id="628" w:name="__RefHeading___Toc518036038"/>
      <w:bookmarkEnd w:id="628"/>
      <w:r>
        <w:rPr/>
        <w:t>3.2</w:t>
        <w:tab/>
        <w:t>Path loss calculations</w:t>
      </w:r>
    </w:p>
    <w:p>
      <w:pPr>
        <w:pStyle w:val="Normal"/>
        <w:rPr/>
      </w:pPr>
      <w:r>
        <w:rPr/>
        <w:t>The received signal power is computed according to the Okumura-Hata formula (see [10]) as:</w:t>
      </w:r>
    </w:p>
    <w:tbl>
      <w:tblPr>
        <w:tblW w:w="9322" w:type="dxa"/>
        <w:jc w:val="left"/>
        <w:tblInd w:w="-108" w:type="dxa"/>
        <w:tblLayout w:type="fixed"/>
        <w:tblCellMar>
          <w:top w:w="0" w:type="dxa"/>
          <w:left w:w="108" w:type="dxa"/>
          <w:bottom w:w="0" w:type="dxa"/>
          <w:right w:w="108" w:type="dxa"/>
        </w:tblCellMar>
      </w:tblPr>
      <w:tblGrid>
        <w:gridCol w:w="8472"/>
        <w:gridCol w:w="850"/>
      </w:tblGrid>
      <w:tr>
        <w:trPr/>
        <w:tc>
          <w:tcPr>
            <w:tcW w:w="8472" w:type="dxa"/>
            <w:tcBorders/>
          </w:tcPr>
          <w:p>
            <w:pPr>
              <w:pStyle w:val="Normal"/>
              <w:widowControl/>
              <w:overflowPunct w:val="false"/>
              <w:autoSpaceDE w:val="false"/>
              <w:bidi w:val="0"/>
              <w:spacing w:before="0" w:after="180"/>
              <w:textAlignment w:val="baseline"/>
              <w:rPr/>
            </w:pPr>
            <w:r>
              <w:rPr/>
              <w:drawing>
                <wp:inline distT="0" distB="0" distL="0" distR="0">
                  <wp:extent cx="2057400" cy="241300"/>
                  <wp:effectExtent l="0" t="0" r="0" b="0"/>
                  <wp:docPr id="176" name="Imag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00" descr=""/>
                          <pic:cNvPicPr>
                            <a:picLocks noChangeAspect="1" noChangeArrowheads="1"/>
                          </pic:cNvPicPr>
                        </pic:nvPicPr>
                        <pic:blipFill>
                          <a:blip r:embed="rId174"/>
                          <a:srcRect l="-17" t="-149" r="-17" b="-149"/>
                          <a:stretch>
                            <a:fillRect/>
                          </a:stretch>
                        </pic:blipFill>
                        <pic:spPr bwMode="auto">
                          <a:xfrm>
                            <a:off x="0" y="0"/>
                            <a:ext cx="2057400" cy="241300"/>
                          </a:xfrm>
                          <a:prstGeom prst="rect">
                            <a:avLst/>
                          </a:prstGeom>
                        </pic:spPr>
                      </pic:pic>
                    </a:graphicData>
                  </a:graphic>
                </wp:inline>
              </w:drawing>
            </w:r>
          </w:p>
        </w:tc>
        <w:tc>
          <w:tcPr>
            <w:tcW w:w="850" w:type="dxa"/>
            <w:tcBorders/>
          </w:tcPr>
          <w:p>
            <w:pPr>
              <w:pStyle w:val="Normal"/>
              <w:widowControl/>
              <w:overflowPunct w:val="false"/>
              <w:autoSpaceDE w:val="false"/>
              <w:bidi w:val="0"/>
              <w:spacing w:before="0" w:after="180"/>
              <w:textAlignment w:val="baseline"/>
              <w:rPr/>
            </w:pPr>
            <w:r>
              <w:rPr/>
              <w:t>(3.1)</w:t>
            </w:r>
          </w:p>
        </w:tc>
      </w:tr>
    </w:tbl>
    <w:p>
      <w:pPr>
        <w:pStyle w:val="NF"/>
        <w:rPr/>
      </w:pPr>
      <w:r>
        <w:rPr/>
      </w:r>
    </w:p>
    <w:p>
      <w:pPr>
        <w:pStyle w:val="Normal"/>
        <w:rPr/>
      </w:pPr>
      <w:r>
        <w:rPr/>
        <w:t>In (3.1),</w:t>
      </w:r>
      <w:r>
        <w:rPr/>
        <w:drawing>
          <wp:inline distT="0" distB="0" distL="0" distR="0">
            <wp:extent cx="165100" cy="228600"/>
            <wp:effectExtent l="0" t="0" r="0" b="0"/>
            <wp:docPr id="177" name="Imag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201" descr=""/>
                    <pic:cNvPicPr>
                      <a:picLocks noChangeAspect="1" noChangeArrowheads="1"/>
                    </pic:cNvPicPr>
                  </pic:nvPicPr>
                  <pic:blipFill>
                    <a:blip r:embed="rId175"/>
                    <a:srcRect l="-218" t="-157" r="-218" b="-157"/>
                    <a:stretch>
                      <a:fillRect/>
                    </a:stretch>
                  </pic:blipFill>
                  <pic:spPr bwMode="auto">
                    <a:xfrm>
                      <a:off x="0" y="0"/>
                      <a:ext cx="165100" cy="228600"/>
                    </a:xfrm>
                    <a:prstGeom prst="rect">
                      <a:avLst/>
                    </a:prstGeom>
                  </pic:spPr>
                </pic:pic>
              </a:graphicData>
            </a:graphic>
          </wp:inline>
        </w:drawing>
      </w:r>
      <w:r>
        <w:rPr/>
        <w:t xml:space="preserve"> is the transmitted power,</w:t>
      </w:r>
      <w:r>
        <w:rPr/>
        <w:drawing>
          <wp:inline distT="0" distB="0" distL="0" distR="0">
            <wp:extent cx="190500" cy="228600"/>
            <wp:effectExtent l="0" t="0" r="0" b="0"/>
            <wp:docPr id="178" name="Imag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02" descr=""/>
                    <pic:cNvPicPr>
                      <a:picLocks noChangeAspect="1" noChangeArrowheads="1"/>
                    </pic:cNvPicPr>
                  </pic:nvPicPr>
                  <pic:blipFill>
                    <a:blip r:embed="rId176"/>
                    <a:srcRect l="-189" t="-157" r="-189" b="-157"/>
                    <a:stretch>
                      <a:fillRect/>
                    </a:stretch>
                  </pic:blipFill>
                  <pic:spPr bwMode="auto">
                    <a:xfrm>
                      <a:off x="0" y="0"/>
                      <a:ext cx="190500" cy="228600"/>
                    </a:xfrm>
                    <a:prstGeom prst="rect">
                      <a:avLst/>
                    </a:prstGeom>
                  </pic:spPr>
                </pic:pic>
              </a:graphicData>
            </a:graphic>
          </wp:inline>
        </w:drawing>
      </w:r>
      <w:r>
        <w:rPr/>
        <w:t xml:space="preserve"> is the antenna gain in the direction to the MS,</w:t>
      </w:r>
      <w:r>
        <w:rPr/>
        <w:drawing>
          <wp:inline distT="0" distB="0" distL="0" distR="0">
            <wp:extent cx="203200" cy="241300"/>
            <wp:effectExtent l="0" t="0" r="0" b="0"/>
            <wp:docPr id="179" name="Imag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03" descr=""/>
                    <pic:cNvPicPr>
                      <a:picLocks noChangeAspect="1" noChangeArrowheads="1"/>
                    </pic:cNvPicPr>
                  </pic:nvPicPr>
                  <pic:blipFill>
                    <a:blip r:embed="rId177"/>
                    <a:srcRect l="-177" t="-149" r="-177" b="-149"/>
                    <a:stretch>
                      <a:fillRect/>
                    </a:stretch>
                  </pic:blipFill>
                  <pic:spPr bwMode="auto">
                    <a:xfrm>
                      <a:off x="0" y="0"/>
                      <a:ext cx="203200" cy="241300"/>
                    </a:xfrm>
                    <a:prstGeom prst="rect">
                      <a:avLst/>
                    </a:prstGeom>
                  </pic:spPr>
                </pic:pic>
              </a:graphicData>
            </a:graphic>
          </wp:inline>
        </w:drawing>
      </w:r>
      <w:r>
        <w:rPr/>
        <w:t xml:space="preserve"> and </w:t>
      </w:r>
      <w:r>
        <w:rPr>
          <w:rFonts w:eastAsia="Symbol" w:cs="Symbol" w:ascii="Symbol" w:hAnsi="Symbol"/>
        </w:rPr>
        <w:t></w:t>
      </w:r>
      <w:r>
        <w:rPr/>
        <w:t xml:space="preserve"> are environmental dependent constants, </w:t>
      </w:r>
      <w:r>
        <w:rPr>
          <w:i/>
        </w:rPr>
        <w:t>d</w:t>
      </w:r>
      <w:r>
        <w:rPr/>
        <w:t xml:space="preserve"> is the distance in km, and</w:t>
      </w:r>
      <w:r>
        <w:rPr/>
        <w:drawing>
          <wp:inline distT="0" distB="0" distL="0" distR="0">
            <wp:extent cx="215900" cy="241300"/>
            <wp:effectExtent l="0" t="0" r="0" b="0"/>
            <wp:docPr id="180" name="Imag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04" descr=""/>
                    <pic:cNvPicPr>
                      <a:picLocks noChangeAspect="1" noChangeArrowheads="1"/>
                    </pic:cNvPicPr>
                  </pic:nvPicPr>
                  <pic:blipFill>
                    <a:blip r:embed="rId178"/>
                    <a:srcRect l="-167" t="-149" r="-167" b="-149"/>
                    <a:stretch>
                      <a:fillRect/>
                    </a:stretch>
                  </pic:blipFill>
                  <pic:spPr bwMode="auto">
                    <a:xfrm>
                      <a:off x="0" y="0"/>
                      <a:ext cx="215900" cy="241300"/>
                    </a:xfrm>
                    <a:prstGeom prst="rect">
                      <a:avLst/>
                    </a:prstGeom>
                  </pic:spPr>
                </pic:pic>
              </a:graphicData>
            </a:graphic>
          </wp:inline>
        </w:drawing>
      </w:r>
      <w:r>
        <w:rPr/>
        <w:t xml:space="preserve"> is the lognormal fading. The lognormal fading is determined from a "lognormal fading map", which defines the excess path loss at different points on the cell plan. Parameters such as correlation distance for the lognormal fading and inter-BS lognormal fading correlation are taken into account. If the inter-BS lognormal fading correlation is zero the excess path losses to different BS's are independent.</w:t>
      </w:r>
    </w:p>
    <w:p>
      <w:pPr>
        <w:pStyle w:val="Normal"/>
        <w:rPr/>
      </w:pPr>
      <w:r>
        <w:rPr/>
        <w:t xml:space="preserve">The excess path loss in indoor environments is modeled as a lognormal random variable with mean </w:t>
      </w:r>
      <w:r>
        <w:rPr>
          <w:i/>
        </w:rPr>
        <w:t>m</w:t>
      </w:r>
      <w:r>
        <w:rPr/>
        <w:t xml:space="preserve"> and standard deviation </w:t>
      </w:r>
      <w:r>
        <w:rPr>
          <w:rFonts w:eastAsia="Symbol" w:cs="Symbol" w:ascii="Symbol" w:hAnsi="Symbol"/>
        </w:rPr>
        <w:t></w:t>
      </w:r>
      <w:r>
        <w:rPr/>
        <w:t xml:space="preserve">. In practice this is implemented by adding </w:t>
      </w:r>
      <w:r>
        <w:rPr>
          <w:i/>
        </w:rPr>
        <w:t>m</w:t>
      </w:r>
      <w:r>
        <w:rPr/>
        <w:t xml:space="preserve"> to the path loss and increasing the standard deviation of the lognormal fading, so that the lognormal fading consists of the sum of the outdoor and indoor fading.</w:t>
      </w:r>
    </w:p>
    <w:p>
      <w:pPr>
        <w:pStyle w:val="Normal"/>
        <w:rPr/>
      </w:pPr>
      <w:r>
        <w:rPr/>
        <w:t>For the uplink, the MS peak output power used is 0.8W (29dBm) and receiver noise in the BS -118 dBm. It is possible to simulate the effect of MS power control. If this option is used less output powers can be used e.g. close to the serving cell.</w:t>
      </w:r>
    </w:p>
    <w:p>
      <w:pPr>
        <w:pStyle w:val="Normal"/>
        <w:rPr/>
      </w:pPr>
      <w:r>
        <w:rPr/>
        <w:t xml:space="preserve">On the downlink, the BS transmits continuously with full power on the BCCH channel and is not subject to any power control. Simulations are run for balanced links, i.e. the relation between transmission power and receiver noise is the same as for uplink.  Note that </w:t>
      </w:r>
      <w:r>
        <w:rPr>
          <w:i/>
        </w:rPr>
        <w:t>absolute</w:t>
      </w:r>
      <w:r>
        <w:rPr/>
        <w:t xml:space="preserve"> values of transmit power and noise do not affect the result and do not need to be specified. </w:t>
      </w:r>
    </w:p>
    <w:p>
      <w:pPr>
        <w:pStyle w:val="Heading2"/>
        <w:rPr/>
      </w:pPr>
      <w:bookmarkStart w:id="629" w:name="__RefHeading___Toc518036039"/>
      <w:bookmarkEnd w:id="629"/>
      <w:r>
        <w:rPr/>
        <w:t>3.3</w:t>
        <w:tab/>
        <w:t>Channel allocation</w:t>
      </w:r>
    </w:p>
    <w:p>
      <w:pPr>
        <w:pStyle w:val="Normal"/>
        <w:rPr/>
      </w:pPr>
      <w:r>
        <w:rPr/>
        <w:t>The system simulator is static, i.e. snapshots of the system are taken. To model the dynamic behavior, handover margins are used. A mobile randomly tries to connect to a BS with a signal strength that is within the handover margin from the strongest BS. The number of available channels in the system is fixed and finite. Thus, only a part of the MSs is able to connect. The fraction of connected MS's to the total number of channels is calculated and is called channel utilization. The total number of placed MS's is chosen to give desired channel utilization.</w:t>
      </w:r>
    </w:p>
    <w:p>
      <w:pPr>
        <w:pStyle w:val="Heading2"/>
        <w:rPr/>
      </w:pPr>
      <w:bookmarkStart w:id="630" w:name="__RefHeading___Toc518036040"/>
      <w:bookmarkEnd w:id="630"/>
      <w:r>
        <w:rPr/>
        <w:t>3.4</w:t>
        <w:tab/>
        <w:t>C and I calculations</w:t>
      </w:r>
    </w:p>
    <w:p>
      <w:pPr>
        <w:pStyle w:val="Normal"/>
        <w:rPr/>
      </w:pPr>
      <w:r>
        <w:rPr/>
        <w:t xml:space="preserve">Based on the channel allocations, the total received signal powers and interference powers for all possible radio links are computed. Thereby, cochannel and adjacent channel interference, and receiver noise is taken into account. For communication, only C/I (note) on the allocated channel for a particular MS is interesting. For positioning, C and I for all BS-MS radio links are interesting since measurements must be performed to more than one BS. The C and I values are passed to the radio link simulator. Note that the calculated C and I are average values. Fast fading and multi-path propagation is modeled in the radio link simulator. </w:t>
      </w:r>
    </w:p>
    <w:p>
      <w:pPr>
        <w:pStyle w:val="NO"/>
        <w:rPr/>
      </w:pPr>
      <w:r>
        <w:rPr/>
        <w:t>NOTE:</w:t>
        <w:tab/>
        <w:t>To simplify notation we let I denote the combined effect of cochannel interference (I), adjacent channel interference (A) and receiver noise (N).</w:t>
      </w:r>
    </w:p>
    <w:p>
      <w:pPr>
        <w:pStyle w:val="Normal"/>
        <w:rPr/>
      </w:pPr>
      <w:r>
        <w:rPr/>
        <w:t>On TCH channels Discontinuous Transmission (DTX)</w:t>
      </w:r>
      <w:r>
        <w:rPr>
          <w:b/>
        </w:rPr>
        <w:t xml:space="preserve"> </w:t>
      </w:r>
      <w:r>
        <w:rPr/>
        <w:t xml:space="preserve">may be used. With this feature the MS does not transmit during speech pauses. The model assumed is that MS is active 60 % of the time. The effect of DTX is that the interference levels are lowered. DTX does not apply to BCCH channels. </w:t>
      </w:r>
    </w:p>
    <w:p>
      <w:pPr>
        <w:pStyle w:val="Heading2"/>
        <w:rPr/>
      </w:pPr>
      <w:bookmarkStart w:id="631" w:name="__RefHeading___Toc518036041"/>
      <w:bookmarkEnd w:id="631"/>
      <w:r>
        <w:rPr/>
        <w:t>3.5</w:t>
        <w:tab/>
        <w:t>Dropping calls with too low C/I</w:t>
      </w:r>
    </w:p>
    <w:p>
      <w:pPr>
        <w:pStyle w:val="Normal"/>
        <w:rPr/>
      </w:pPr>
      <w:r>
        <w:rPr/>
        <w:t>The C/I on the traffic channel is checked. If TCH C/I is below 9 dB on downlink or uplink traffic channel, the MS is considered not to be able to maintain the call, and the MS is omitted from the calculation. From a positioning perspective this is acceptable since MS will anyway not be able to communicate its position.</w:t>
      </w:r>
    </w:p>
    <w:p>
      <w:pPr>
        <w:pStyle w:val="Heading2"/>
        <w:rPr/>
      </w:pPr>
      <w:bookmarkStart w:id="632" w:name="__RefHeading___Toc518036042"/>
      <w:bookmarkEnd w:id="632"/>
      <w:r>
        <w:rPr/>
        <w:t>3.6</w:t>
        <w:tab/>
        <w:t>System simulator parameters</w:t>
      </w:r>
    </w:p>
    <w:p>
      <w:pPr>
        <w:pStyle w:val="Normal"/>
        <w:rPr/>
      </w:pPr>
      <w:r>
        <w:rPr/>
        <w:t>All parameters common to the system simulator are listed in table 3.1. Environment dependent parameters are listed in table 3.2.</w:t>
      </w:r>
    </w:p>
    <w:p>
      <w:pPr>
        <w:pStyle w:val="TH"/>
        <w:rPr/>
      </w:pPr>
      <w:bookmarkStart w:id="633" w:name="_Ref404685486"/>
      <w:bookmarkEnd w:id="633"/>
      <w:r>
        <w:rPr/>
        <w:t>Table 3.1: Common System Parameters</w:t>
      </w:r>
    </w:p>
    <w:tbl>
      <w:tblPr>
        <w:tblW w:w="5336" w:type="dxa"/>
        <w:jc w:val="center"/>
        <w:tblInd w:w="0" w:type="dxa"/>
        <w:tblLayout w:type="fixed"/>
        <w:tblCellMar>
          <w:top w:w="0" w:type="dxa"/>
          <w:left w:w="108" w:type="dxa"/>
          <w:bottom w:w="0" w:type="dxa"/>
          <w:right w:w="108" w:type="dxa"/>
        </w:tblCellMar>
      </w:tblPr>
      <w:tblGrid>
        <w:gridCol w:w="3298"/>
        <w:gridCol w:w="2038"/>
      </w:tblGrid>
      <w:tr>
        <w:trPr/>
        <w:tc>
          <w:tcPr>
            <w:tcW w:w="3298" w:type="dxa"/>
            <w:tcBorders>
              <w:top w:val="single" w:sz="4" w:space="0" w:color="000000"/>
              <w:left w:val="single" w:sz="4" w:space="0" w:color="000000"/>
              <w:bottom w:val="single" w:sz="4" w:space="0" w:color="000000"/>
              <w:right w:val="single" w:sz="6" w:space="0" w:color="000000"/>
            </w:tcBorders>
          </w:tcPr>
          <w:p>
            <w:pPr>
              <w:pStyle w:val="TAH"/>
              <w:rPr>
                <w:lang w:eastAsia="en-US"/>
              </w:rPr>
            </w:pPr>
            <w:r>
              <w:rPr>
                <w:lang w:eastAsia="en-US"/>
              </w:rPr>
              <w:t>Parameter</w:t>
            </w:r>
          </w:p>
        </w:tc>
        <w:tc>
          <w:tcPr>
            <w:tcW w:w="2038" w:type="dxa"/>
            <w:tcBorders>
              <w:top w:val="single" w:sz="4" w:space="0" w:color="000000"/>
              <w:left w:val="single" w:sz="6" w:space="0" w:color="000000"/>
              <w:bottom w:val="single" w:sz="4" w:space="0" w:color="000000"/>
              <w:right w:val="single" w:sz="4" w:space="0" w:color="000000"/>
            </w:tcBorders>
          </w:tcPr>
          <w:p>
            <w:pPr>
              <w:pStyle w:val="TAH"/>
              <w:rPr>
                <w:lang w:eastAsia="en-US"/>
              </w:rPr>
            </w:pPr>
            <w:r>
              <w:rPr>
                <w:lang w:eastAsia="en-US"/>
              </w:rPr>
              <w:t>Suggested Value</w:t>
            </w:r>
          </w:p>
        </w:tc>
      </w:tr>
      <w:tr>
        <w:trPr/>
        <w:tc>
          <w:tcPr>
            <w:tcW w:w="3298" w:type="dxa"/>
            <w:tcBorders>
              <w:top w:val="single" w:sz="4" w:space="0" w:color="000000"/>
              <w:left w:val="single" w:sz="4" w:space="0" w:color="000000"/>
              <w:bottom w:val="single" w:sz="6" w:space="0" w:color="000000"/>
              <w:right w:val="single" w:sz="6" w:space="0" w:color="000000"/>
            </w:tcBorders>
          </w:tcPr>
          <w:p>
            <w:pPr>
              <w:pStyle w:val="TAL"/>
              <w:rPr>
                <w:lang w:val="en-GB"/>
              </w:rPr>
            </w:pPr>
            <w:r>
              <w:rPr>
                <w:lang w:val="en-GB"/>
              </w:rPr>
              <w:t xml:space="preserve">Receiver Noise </w:t>
            </w:r>
          </w:p>
        </w:tc>
        <w:tc>
          <w:tcPr>
            <w:tcW w:w="2038" w:type="dxa"/>
            <w:tcBorders>
              <w:top w:val="single" w:sz="4" w:space="0" w:color="000000"/>
              <w:left w:val="single" w:sz="6" w:space="0" w:color="000000"/>
              <w:bottom w:val="single" w:sz="6" w:space="0" w:color="000000"/>
              <w:right w:val="single" w:sz="4" w:space="0" w:color="000000"/>
            </w:tcBorders>
          </w:tcPr>
          <w:p>
            <w:pPr>
              <w:pStyle w:val="TAC"/>
              <w:rPr>
                <w:lang w:val="en-GB"/>
              </w:rPr>
            </w:pPr>
            <w:r>
              <w:rPr>
                <w:lang w:val="en-GB"/>
              </w:rPr>
              <w:t>-118 dBm</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Adjacent Channel Attenuation</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18 dB</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Frequency Plan (3 Sector) on TCH</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3/9 (note 1)</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Frequency Plan (3 Sector) on BCCH</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4/12 (note 2)</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Antenna Peak Gain (Sector)</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17.5 dB</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MS Peak Power</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0.8 W</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Frequency Bands</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900 MHz</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pPr>
            <w:r>
              <w:rPr>
                <w:lang w:val="en-GB"/>
              </w:rPr>
              <w:t xml:space="preserve">BS Receiver Antenna Diversity </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2 Antennas 6 m apart</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Handover Margin</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3 dB</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Log-Normal Fading (outdoors)</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fr-FR"/>
              </w:rPr>
            </w:pPr>
            <w:r>
              <w:rPr>
                <w:lang w:val="fr-FR"/>
              </w:rPr>
              <w:t>6 dB</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fr-FR"/>
              </w:rPr>
            </w:pPr>
            <w:r>
              <w:rPr>
                <w:lang w:val="fr-FR"/>
              </w:rPr>
              <w:t>Lognormal correlation distance</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110m</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 xml:space="preserve">Inter-BS lognormal fading correlation </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0</w:t>
            </w:r>
          </w:p>
        </w:tc>
      </w:tr>
      <w:tr>
        <w:trPr/>
        <w:tc>
          <w:tcPr>
            <w:tcW w:w="3298" w:type="dxa"/>
            <w:tcBorders>
              <w:top w:val="single" w:sz="6" w:space="0" w:color="000000"/>
              <w:left w:val="single" w:sz="4" w:space="0" w:color="000000"/>
              <w:bottom w:val="single" w:sz="6" w:space="0" w:color="000000"/>
              <w:right w:val="single" w:sz="6" w:space="0" w:color="000000"/>
            </w:tcBorders>
          </w:tcPr>
          <w:p>
            <w:pPr>
              <w:pStyle w:val="TAL"/>
              <w:rPr>
                <w:lang w:val="en-GB"/>
              </w:rPr>
            </w:pPr>
            <w:r>
              <w:rPr>
                <w:lang w:val="en-GB"/>
              </w:rPr>
              <w:t>Base Station Antenna Height</w:t>
            </w:r>
          </w:p>
        </w:tc>
        <w:tc>
          <w:tcPr>
            <w:tcW w:w="2038"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30 m</w:t>
            </w:r>
          </w:p>
        </w:tc>
      </w:tr>
      <w:tr>
        <w:trPr/>
        <w:tc>
          <w:tcPr>
            <w:tcW w:w="5336" w:type="dxa"/>
            <w:gridSpan w:val="2"/>
            <w:tcBorders>
              <w:top w:val="single" w:sz="6" w:space="0" w:color="000000"/>
              <w:left w:val="single" w:sz="4" w:space="0" w:color="000000"/>
              <w:bottom w:val="single" w:sz="4" w:space="0" w:color="000000"/>
              <w:right w:val="single" w:sz="4" w:space="0" w:color="000000"/>
            </w:tcBorders>
          </w:tcPr>
          <w:p>
            <w:pPr>
              <w:pStyle w:val="TAN"/>
              <w:rPr/>
            </w:pPr>
            <w:r>
              <w:rPr>
                <w:lang w:val="en-GB"/>
              </w:rPr>
              <w:t>NOTE 1:</w:t>
              <w:tab/>
              <w:t>The frequency reuse strategies are often expressed as m/n, where m denotes the number of sites per cluster and n denotes the number of cells per cluster.</w:t>
            </w:r>
          </w:p>
          <w:p>
            <w:pPr>
              <w:pStyle w:val="TAN"/>
              <w:rPr/>
            </w:pPr>
            <w:r>
              <w:rPr>
                <w:lang w:val="en-GB"/>
              </w:rPr>
              <w:t>NOTE 2:</w:t>
              <w:tab/>
              <w:t>The number of measured units is the number of BTSs the MS has measured. 3 measured units means that the MS has measured the 3 strongest BTSs.</w:t>
            </w:r>
          </w:p>
        </w:tc>
      </w:tr>
    </w:tbl>
    <w:p>
      <w:pPr>
        <w:pStyle w:val="FP"/>
        <w:rPr/>
      </w:pPr>
      <w:r>
        <w:rPr/>
      </w:r>
      <w:bookmarkStart w:id="634" w:name="_Ref419618123"/>
      <w:bookmarkStart w:id="635" w:name="_Ref404687440"/>
      <w:bookmarkStart w:id="636" w:name="_Ref419618123"/>
      <w:bookmarkStart w:id="637" w:name="_Ref404687440"/>
    </w:p>
    <w:p>
      <w:pPr>
        <w:pStyle w:val="TH"/>
        <w:rPr/>
      </w:pPr>
      <w:bookmarkStart w:id="638" w:name="_Ref419618123"/>
      <w:bookmarkStart w:id="639" w:name="_Ref404687440"/>
      <w:r>
        <w:rPr/>
        <w:t>Table 3.2: System Environments</w:t>
      </w:r>
      <w:bookmarkEnd w:id="638"/>
      <w:bookmarkEnd w:id="639"/>
    </w:p>
    <w:tbl>
      <w:tblPr>
        <w:tblW w:w="9568" w:type="dxa"/>
        <w:jc w:val="center"/>
        <w:tblInd w:w="0" w:type="dxa"/>
        <w:tblLayout w:type="fixed"/>
        <w:tblCellMar>
          <w:top w:w="0" w:type="dxa"/>
          <w:left w:w="107" w:type="dxa"/>
          <w:bottom w:w="0" w:type="dxa"/>
          <w:right w:w="107" w:type="dxa"/>
        </w:tblCellMar>
      </w:tblPr>
      <w:tblGrid>
        <w:gridCol w:w="1490"/>
        <w:gridCol w:w="1027"/>
        <w:gridCol w:w="1055"/>
        <w:gridCol w:w="1248"/>
        <w:gridCol w:w="1099"/>
        <w:gridCol w:w="851"/>
        <w:gridCol w:w="1358"/>
        <w:gridCol w:w="1440"/>
      </w:tblGrid>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H"/>
              <w:rPr>
                <w:lang w:val="fr-FR" w:eastAsia="en-US"/>
              </w:rPr>
            </w:pPr>
            <w:r>
              <w:rPr>
                <w:lang w:val="fr-FR" w:eastAsia="en-US"/>
              </w:rPr>
              <w:br/>
              <w:t>Environment</w:t>
            </w:r>
          </w:p>
        </w:tc>
        <w:tc>
          <w:tcPr>
            <w:tcW w:w="102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Distance Between BS [m]</w:t>
            </w:r>
          </w:p>
        </w:tc>
        <w:tc>
          <w:tcPr>
            <w:tcW w:w="10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Mobile Speed [km/h]</w:t>
            </w:r>
          </w:p>
        </w:tc>
        <w:tc>
          <w:tcPr>
            <w:tcW w:w="124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Average Channel Utilization</w:t>
            </w:r>
          </w:p>
        </w:tc>
        <w:tc>
          <w:tcPr>
            <w:tcW w:w="109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Log-normal fading std (outdoor + indoor) [dB]</w:t>
            </w:r>
          </w:p>
        </w:tc>
        <w:tc>
          <w:tcPr>
            <w:tcW w:w="851" w:type="dxa"/>
            <w:tcBorders>
              <w:top w:val="single" w:sz="4" w:space="0" w:color="000000"/>
              <w:left w:val="single" w:sz="4" w:space="0" w:color="000000"/>
              <w:bottom w:val="single" w:sz="4" w:space="0" w:color="000000"/>
              <w:right w:val="single" w:sz="4" w:space="0" w:color="000000"/>
            </w:tcBorders>
          </w:tcPr>
          <w:p>
            <w:pPr>
              <w:pStyle w:val="TAH"/>
              <w:rPr/>
            </w:pPr>
            <w:r>
              <w:rPr>
                <w:rFonts w:cs="Symbol" w:ascii="Symbol" w:hAnsi="Symbol"/>
                <w:i/>
                <w:lang w:eastAsia="en-US"/>
              </w:rPr>
              <w:t></w:t>
            </w:r>
            <w:r>
              <w:rPr>
                <w:rFonts w:cs="Symbol" w:ascii="Symbol" w:hAnsi="Symbol"/>
                <w:i/>
                <w:lang w:eastAsia="en-US"/>
              </w:rPr>
              <w:br/>
            </w:r>
            <w:r>
              <w:rPr>
                <w:lang w:eastAsia="en-US"/>
              </w:rPr>
              <w:t>(900 MHz)</w:t>
            </w:r>
          </w:p>
        </w:tc>
        <w:tc>
          <w:tcPr>
            <w:tcW w:w="1358" w:type="dxa"/>
            <w:tcBorders>
              <w:top w:val="single" w:sz="4" w:space="0" w:color="000000"/>
              <w:left w:val="single" w:sz="4" w:space="0" w:color="000000"/>
              <w:bottom w:val="single" w:sz="4" w:space="0" w:color="000000"/>
              <w:right w:val="single" w:sz="4" w:space="0" w:color="000000"/>
            </w:tcBorders>
          </w:tcPr>
          <w:p>
            <w:pPr>
              <w:pStyle w:val="TAH"/>
              <w:rPr/>
            </w:pPr>
            <w:r>
              <w:rPr>
                <w:i/>
                <w:lang w:eastAsia="en-US"/>
              </w:rPr>
              <w:t xml:space="preserve">Lp (+m) </w:t>
            </w:r>
            <w:r>
              <w:rPr>
                <w:lang w:eastAsia="en-US"/>
              </w:rPr>
              <w:t>[dB]</w:t>
              <w:br/>
              <w:t>(900 MHz)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Channel Model (see clause 5)</w:t>
            </w:r>
          </w:p>
        </w:tc>
      </w:tr>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Bad Urban</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1 500</w:t>
            </w:r>
          </w:p>
        </w:tc>
        <w:tc>
          <w:tcPr>
            <w:tcW w:w="10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p>
            <w:pPr>
              <w:pStyle w:val="TAC"/>
              <w:rPr/>
            </w:pPr>
            <w:r>
              <w:rPr>
                <w:lang w:val="en-GB"/>
              </w:rPr>
              <w:t xml:space="preserve">50 </w:t>
            </w:r>
          </w:p>
        </w:tc>
        <w:tc>
          <w:tcPr>
            <w:tcW w:w="12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09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35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126</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Bad Urban</w:t>
            </w:r>
          </w:p>
        </w:tc>
      </w:tr>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UrbanA</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1 500</w:t>
            </w:r>
          </w:p>
        </w:tc>
        <w:tc>
          <w:tcPr>
            <w:tcW w:w="10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p>
            <w:pPr>
              <w:pStyle w:val="TAC"/>
              <w:rPr>
                <w:lang w:val="en-GB"/>
              </w:rPr>
            </w:pPr>
            <w:r>
              <w:rPr>
                <w:lang w:val="en-GB"/>
              </w:rPr>
              <w:t>50</w:t>
            </w:r>
          </w:p>
        </w:tc>
        <w:tc>
          <w:tcPr>
            <w:tcW w:w="12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09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35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126</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 A</w:t>
            </w:r>
          </w:p>
        </w:tc>
      </w:tr>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UrbanB</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1 500</w:t>
            </w:r>
          </w:p>
        </w:tc>
        <w:tc>
          <w:tcPr>
            <w:tcW w:w="10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p>
            <w:pPr>
              <w:pStyle w:val="TAC"/>
              <w:rPr>
                <w:lang w:val="en-GB"/>
              </w:rPr>
            </w:pPr>
            <w:r>
              <w:rPr>
                <w:lang w:val="en-GB"/>
              </w:rPr>
              <w:t>50</w:t>
            </w:r>
          </w:p>
        </w:tc>
        <w:tc>
          <w:tcPr>
            <w:tcW w:w="12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09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35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126</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UrbanB </w:t>
            </w:r>
          </w:p>
        </w:tc>
      </w:tr>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Suburban</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4 500</w:t>
            </w:r>
          </w:p>
        </w:tc>
        <w:tc>
          <w:tcPr>
            <w:tcW w:w="10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p>
            <w:pPr>
              <w:pStyle w:val="TAC"/>
              <w:rPr>
                <w:lang w:val="en-GB"/>
              </w:rPr>
            </w:pPr>
            <w:r>
              <w:rPr>
                <w:lang w:val="en-GB"/>
              </w:rPr>
              <w:t>50</w:t>
            </w:r>
          </w:p>
        </w:tc>
        <w:tc>
          <w:tcPr>
            <w:tcW w:w="12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09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35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116</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Suburban</w:t>
            </w:r>
          </w:p>
        </w:tc>
      </w:tr>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Rural</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30 000</w:t>
            </w:r>
          </w:p>
        </w:tc>
        <w:tc>
          <w:tcPr>
            <w:tcW w:w="10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p>
            <w:pPr>
              <w:pStyle w:val="TAC"/>
              <w:rPr>
                <w:lang w:val="en-GB"/>
              </w:rPr>
            </w:pPr>
            <w:r>
              <w:rPr>
                <w:lang w:val="en-GB"/>
              </w:rPr>
              <w:t>100</w:t>
            </w:r>
          </w:p>
        </w:tc>
        <w:tc>
          <w:tcPr>
            <w:tcW w:w="12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109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35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98</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Rural</w:t>
            </w:r>
          </w:p>
        </w:tc>
      </w:tr>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Indoor UrbanA </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1 500</w:t>
            </w:r>
          </w:p>
        </w:tc>
        <w:tc>
          <w:tcPr>
            <w:tcW w:w="10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2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099" w:type="dxa"/>
            <w:tcBorders>
              <w:top w:val="single" w:sz="4" w:space="0" w:color="000000"/>
              <w:left w:val="single" w:sz="4" w:space="0" w:color="000000"/>
              <w:bottom w:val="single" w:sz="4" w:space="0" w:color="000000"/>
              <w:right w:val="single" w:sz="4" w:space="0" w:color="000000"/>
            </w:tcBorders>
          </w:tcPr>
          <w:p>
            <w:pPr>
              <w:pStyle w:val="TAC"/>
              <w:rPr/>
            </w:pPr>
            <w:r>
              <w:rPr>
                <w:lang w:val="en-GB"/>
              </w:rPr>
            </w:r>
            <m:oMath xmlns:m="http://schemas.openxmlformats.org/officeDocument/2006/math">
              <m:rad>
                <m:radPr>
                  <m:degHide m:val="1"/>
                </m:radPr>
                <m:deg/>
                <m:e>
                  <m:sSup>
                    <m:e>
                      <m:r>
                        <w:rPr>
                          <w:rFonts w:ascii="Cambria Math" w:hAnsi="Cambria Math"/>
                        </w:rPr>
                        <m:t xml:space="preserve">6</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6</m:t>
                      </m:r>
                    </m:e>
                    <m:sup>
                      <m:r>
                        <w:rPr>
                          <w:rFonts w:ascii="Cambria Math" w:hAnsi="Cambria Math"/>
                        </w:rPr>
                        <m:t xml:space="preserve">2</m:t>
                      </m:r>
                    </m:sup>
                  </m:sSup>
                </m:e>
              </m:rad>
            </m:oMath>
            <w:r>
              <w:rPr>
                <w:lang w:val="en-GB"/>
              </w:rPr>
              <w:t>= 8.5</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358" w:type="dxa"/>
            <w:tcBorders>
              <w:top w:val="single" w:sz="4" w:space="0" w:color="000000"/>
              <w:left w:val="single" w:sz="4" w:space="0" w:color="000000"/>
              <w:bottom w:val="single" w:sz="4" w:space="0" w:color="000000"/>
              <w:right w:val="single" w:sz="4" w:space="0" w:color="000000"/>
            </w:tcBorders>
          </w:tcPr>
          <w:p>
            <w:pPr>
              <w:pStyle w:val="TAC"/>
              <w:rPr/>
            </w:pPr>
            <w:r>
              <w:rPr>
                <w:lang w:val="en-GB"/>
              </w:rPr>
              <w:t>126+13.5 = 139.5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UrbanA</w:t>
            </w:r>
          </w:p>
        </w:tc>
      </w:tr>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Indoor UrbanB </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1 500</w:t>
            </w:r>
          </w:p>
        </w:tc>
        <w:tc>
          <w:tcPr>
            <w:tcW w:w="10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2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099" w:type="dxa"/>
            <w:tcBorders>
              <w:top w:val="single" w:sz="4" w:space="0" w:color="000000"/>
              <w:left w:val="single" w:sz="4" w:space="0" w:color="000000"/>
              <w:bottom w:val="single" w:sz="4" w:space="0" w:color="000000"/>
              <w:right w:val="single" w:sz="4" w:space="0" w:color="000000"/>
            </w:tcBorders>
          </w:tcPr>
          <w:p>
            <w:pPr>
              <w:pStyle w:val="TAC"/>
              <w:rPr/>
            </w:pPr>
            <w:r>
              <w:rPr>
                <w:lang w:val="en-GB"/>
              </w:rPr>
            </w:r>
            <m:oMath xmlns:m="http://schemas.openxmlformats.org/officeDocument/2006/math">
              <m:rad>
                <m:radPr>
                  <m:degHide m:val="1"/>
                </m:radPr>
                <m:deg/>
                <m:e>
                  <m:sSup>
                    <m:e>
                      <m:r>
                        <w:rPr>
                          <w:rFonts w:ascii="Cambria Math" w:hAnsi="Cambria Math"/>
                        </w:rPr>
                        <m:t xml:space="preserve">6</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6</m:t>
                      </m:r>
                    </m:e>
                    <m:sup>
                      <m:r>
                        <w:rPr>
                          <w:rFonts w:ascii="Cambria Math" w:hAnsi="Cambria Math"/>
                        </w:rPr>
                        <m:t xml:space="preserve">2</m:t>
                      </m:r>
                    </m:sup>
                  </m:sSup>
                </m:e>
              </m:rad>
            </m:oMath>
            <w:r>
              <w:rPr>
                <w:rFonts w:eastAsia="Arial"/>
                <w:lang w:val="en-GB"/>
              </w:rPr>
              <w:t xml:space="preserve"> </w:t>
            </w:r>
            <w:r>
              <w:rPr>
                <w:lang w:val="en-GB"/>
              </w:rPr>
              <w:t>= 8.5</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35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126+13.5 = 139.5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UrbanB</w:t>
            </w:r>
          </w:p>
        </w:tc>
      </w:tr>
      <w:tr>
        <w:trPr>
          <w:cantSplit w:val="true"/>
        </w:trPr>
        <w:tc>
          <w:tcPr>
            <w:tcW w:w="14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Indoor</w:t>
              <w:br/>
              <w:t>Suburban</w:t>
            </w:r>
          </w:p>
        </w:tc>
        <w:tc>
          <w:tcPr>
            <w:tcW w:w="102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4 500</w:t>
            </w:r>
          </w:p>
        </w:tc>
        <w:tc>
          <w:tcPr>
            <w:tcW w:w="105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24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099" w:type="dxa"/>
            <w:tcBorders>
              <w:top w:val="single" w:sz="4" w:space="0" w:color="000000"/>
              <w:left w:val="single" w:sz="4" w:space="0" w:color="000000"/>
              <w:bottom w:val="single" w:sz="4" w:space="0" w:color="000000"/>
              <w:right w:val="single" w:sz="4" w:space="0" w:color="000000"/>
            </w:tcBorders>
          </w:tcPr>
          <w:p>
            <w:pPr>
              <w:pStyle w:val="TAC"/>
              <w:rPr/>
            </w:pPr>
            <w:r>
              <w:rPr>
                <w:lang w:val="en-GB"/>
              </w:rPr>
            </w:r>
            <m:oMath xmlns:m="http://schemas.openxmlformats.org/officeDocument/2006/math">
              <m:rad>
                <m:radPr>
                  <m:degHide m:val="1"/>
                </m:radPr>
                <m:deg/>
                <m:e>
                  <m:sSup>
                    <m:e>
                      <m:r>
                        <w:rPr>
                          <w:rFonts w:ascii="Cambria Math" w:hAnsi="Cambria Math"/>
                        </w:rPr>
                        <m:t xml:space="preserve">6</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6</m:t>
                      </m:r>
                    </m:e>
                    <m:sup>
                      <m:r>
                        <w:rPr>
                          <w:rFonts w:ascii="Cambria Math" w:hAnsi="Cambria Math"/>
                        </w:rPr>
                        <m:t xml:space="preserve">2</m:t>
                      </m:r>
                    </m:sup>
                  </m:sSup>
                </m:e>
              </m:rad>
            </m:oMath>
            <w:r>
              <w:rPr>
                <w:rFonts w:eastAsia="Arial"/>
                <w:lang w:val="en-GB"/>
              </w:rPr>
              <w:t xml:space="preserve"> </w:t>
            </w:r>
            <w:r>
              <w:rPr>
                <w:lang w:val="en-GB"/>
              </w:rPr>
              <w:t>= 8.5</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35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116+7 = 123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Suburban</w:t>
            </w:r>
          </w:p>
        </w:tc>
      </w:tr>
    </w:tbl>
    <w:p>
      <w:pPr>
        <w:pStyle w:val="FP"/>
        <w:rPr/>
      </w:pPr>
      <w:r>
        <w:rPr/>
      </w:r>
      <w:bookmarkStart w:id="640" w:name="_Ref404857496"/>
      <w:bookmarkStart w:id="641" w:name="_Ref404857496"/>
    </w:p>
    <w:p>
      <w:pPr>
        <w:pStyle w:val="Heading1"/>
        <w:ind w:left="1134" w:hanging="1134"/>
        <w:rPr/>
      </w:pPr>
      <w:bookmarkStart w:id="642" w:name="_Ref404857496"/>
      <w:bookmarkStart w:id="643" w:name="__RefHeading___Toc518036043"/>
      <w:bookmarkEnd w:id="643"/>
      <w:r>
        <w:rPr/>
        <w:t>4</w:t>
        <w:tab/>
        <w:t>Radio Link Level Simulator</w:t>
      </w:r>
      <w:bookmarkEnd w:id="642"/>
    </w:p>
    <w:p>
      <w:pPr>
        <w:pStyle w:val="Normal"/>
        <w:rPr/>
      </w:pPr>
      <w:r>
        <w:rPr/>
        <w:t>The radio link simulator needs to be developed according to the proposed positioning measurement method. As stated, an essential part is the channel model. Multi-path propagation and fading which is inherent in mobile communications has a great influence on the positioning performance.</w:t>
      </w:r>
    </w:p>
    <w:p>
      <w:pPr>
        <w:pStyle w:val="Normal"/>
        <w:rPr/>
      </w:pPr>
      <w:r>
        <w:rPr/>
        <w:t>It is therefore crucial that the same channel model is used when evaluating different positioning measurement systems. The proposed channel model is presented in its wide-band version in clause 5 and with a GSM adaptation in clause 6.</w:t>
      </w:r>
    </w:p>
    <w:p>
      <w:pPr>
        <w:pStyle w:val="Normal"/>
        <w:rPr/>
      </w:pPr>
      <w:r>
        <w:rPr/>
        <w:t>Assuming a certain channel model environment, a measurement value and quality can be determined for each link realization based on distance, angle, speed, C/I, C/A and C/N. These results are of course interesting, e.g. to find the rmse under certain assumptions, but the bottom line results are achieved when combined with the system simulator in clause 3.</w:t>
      </w:r>
    </w:p>
    <w:p>
      <w:pPr>
        <w:pStyle w:val="TH"/>
        <w:rPr/>
      </w:pPr>
      <w:r>
        <w:rPr/>
        <w:drawing>
          <wp:inline distT="0" distB="0" distL="0" distR="0">
            <wp:extent cx="5229225" cy="2018665"/>
            <wp:effectExtent l="0" t="0" r="0" b="0"/>
            <wp:docPr id="181" name="Imag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205" descr=""/>
                    <pic:cNvPicPr>
                      <a:picLocks noChangeAspect="1" noChangeArrowheads="1"/>
                    </pic:cNvPicPr>
                  </pic:nvPicPr>
                  <pic:blipFill>
                    <a:blip r:embed="rId179"/>
                    <a:srcRect l="-7" t="-18" r="-7" b="-18"/>
                    <a:stretch>
                      <a:fillRect/>
                    </a:stretch>
                  </pic:blipFill>
                  <pic:spPr bwMode="auto">
                    <a:xfrm>
                      <a:off x="0" y="0"/>
                      <a:ext cx="5229225" cy="2018665"/>
                    </a:xfrm>
                    <a:prstGeom prst="rect">
                      <a:avLst/>
                    </a:prstGeom>
                  </pic:spPr>
                </pic:pic>
              </a:graphicData>
            </a:graphic>
          </wp:inline>
        </w:drawing>
      </w:r>
    </w:p>
    <w:p>
      <w:pPr>
        <w:pStyle w:val="TF"/>
        <w:rPr/>
      </w:pPr>
      <w:r>
        <w:rPr/>
        <w:t>Figure 4.1: Radio Link Simulator</w:t>
      </w:r>
    </w:p>
    <w:p>
      <w:pPr>
        <w:pStyle w:val="Heading1"/>
        <w:ind w:left="1134" w:hanging="1134"/>
        <w:rPr/>
      </w:pPr>
      <w:bookmarkStart w:id="644" w:name="__RefHeading___Toc518036044"/>
      <w:bookmarkStart w:id="645" w:name="_Ref404684957"/>
      <w:bookmarkEnd w:id="644"/>
      <w:r>
        <w:rPr/>
        <w:t>5</w:t>
        <w:tab/>
        <w:t>Channel Model</w:t>
      </w:r>
    </w:p>
    <w:p>
      <w:pPr>
        <w:pStyle w:val="Normal"/>
        <w:rPr/>
      </w:pPr>
      <w:r>
        <w:rPr/>
        <w:t>In order to compare different proposals for positioning measurement systems, a common channel model is required. In this clause, such a channel model is proposed based on requirements specific to evaluation of positioning techniques.</w:t>
      </w:r>
    </w:p>
    <w:p>
      <w:pPr>
        <w:pStyle w:val="Heading2"/>
        <w:rPr/>
      </w:pPr>
      <w:bookmarkStart w:id="646" w:name="__RefHeading___Toc518036045"/>
      <w:bookmarkEnd w:id="646"/>
      <w:r>
        <w:rPr/>
        <w:t>5.1</w:t>
        <w:tab/>
        <w:t>Channel model requirements</w:t>
      </w:r>
    </w:p>
    <w:p>
      <w:pPr>
        <w:pStyle w:val="Normal"/>
        <w:rPr/>
      </w:pPr>
      <w:r>
        <w:rPr/>
        <w:t>Important factors when modelling the radio channel for positioning evaluation are the following:</w:t>
      </w:r>
    </w:p>
    <w:p>
      <w:pPr>
        <w:pStyle w:val="B1"/>
        <w:rPr/>
      </w:pPr>
      <w:r>
        <w:rPr/>
        <w:t>-</w:t>
        <w:tab/>
        <w:t>The channel model should be based on physical, measurable parameters. Such parameters are; power delay profile shape, delay spread, angle of arrival distributions and fading statistics.</w:t>
      </w:r>
    </w:p>
    <w:p>
      <w:pPr>
        <w:pStyle w:val="B1"/>
        <w:rPr/>
      </w:pPr>
      <w:r>
        <w:rPr/>
        <w:t>-</w:t>
        <w:tab/>
        <w:t>Mean excess delays are important, due to the fact that positioning techniques often use time estimations to position the mobile, and the accuracy of such techniques depends on the  mean excess delay of the impulse response. Therefore the mean excess delays generated by the model should conform to measurements.</w:t>
      </w:r>
    </w:p>
    <w:p>
      <w:pPr>
        <w:pStyle w:val="B1"/>
        <w:rPr/>
      </w:pPr>
      <w:r>
        <w:rPr/>
        <w:t>-</w:t>
        <w:tab/>
        <w:t>The model should be based on a wide-band channel that can be adapted to the GSM bandwidth.</w:t>
      </w:r>
    </w:p>
    <w:p>
      <w:pPr>
        <w:pStyle w:val="B1"/>
        <w:rPr/>
      </w:pPr>
      <w:r>
        <w:rPr/>
        <w:t>-</w:t>
        <w:tab/>
        <w:t>The model should represent the general channel behaviour in a range of typical environments, corresponding to geographically diverse conditions.</w:t>
      </w:r>
    </w:p>
    <w:p>
      <w:pPr>
        <w:pStyle w:val="Normal"/>
        <w:rPr/>
      </w:pPr>
      <w:r>
        <w:rPr/>
        <w:t>It should be possible to study the influence of antenna diversity.</w:t>
      </w:r>
    </w:p>
    <w:p>
      <w:pPr>
        <w:pStyle w:val="Heading2"/>
        <w:rPr/>
      </w:pPr>
      <w:bookmarkStart w:id="647" w:name="__RefHeading___Toc518036046"/>
      <w:bookmarkEnd w:id="647"/>
      <w:r>
        <w:rPr/>
        <w:t>5.2</w:t>
        <w:tab/>
        <w:t>Channel model</w:t>
      </w:r>
    </w:p>
    <w:p>
      <w:pPr>
        <w:pStyle w:val="Normal"/>
        <w:rPr/>
      </w:pPr>
      <w:r>
        <w:rPr/>
        <w:t>The channel model uses the same basic structure as the CODIT model [1], [2], but with some fundamental differences. These differences are due to the following:</w:t>
      </w:r>
    </w:p>
    <w:p>
      <w:pPr>
        <w:pStyle w:val="B1"/>
        <w:rPr/>
      </w:pPr>
      <w:r>
        <w:rPr/>
        <w:t>-</w:t>
        <w:tab/>
        <w:t>The modelling of the delay spread as a distance dependent parameter.</w:t>
      </w:r>
    </w:p>
    <w:p>
      <w:pPr>
        <w:pStyle w:val="B1"/>
        <w:rPr/>
      </w:pPr>
      <w:r>
        <w:rPr/>
        <w:t>-</w:t>
        <w:tab/>
        <w:t>Field measurements presented by Motorola, and by Ericsson, and results found in the literature [3]-[5].</w:t>
      </w:r>
    </w:p>
    <w:p>
      <w:pPr>
        <w:pStyle w:val="B1"/>
        <w:rPr/>
      </w:pPr>
      <w:r>
        <w:rPr/>
        <w:t>-</w:t>
        <w:tab/>
        <w:t>Modelling of base station antenna diversity.</w:t>
      </w:r>
    </w:p>
    <w:p>
      <w:pPr>
        <w:pStyle w:val="Normal"/>
        <w:rPr/>
      </w:pPr>
      <w:r>
        <w:rPr/>
        <w:t>Generation of the modelled radio channel for a specific MS-BS configuration is a 6-step process:</w:t>
      </w:r>
    </w:p>
    <w:p>
      <w:pPr>
        <w:pStyle w:val="B1"/>
        <w:rPr/>
      </w:pPr>
      <w:r>
        <w:rPr/>
        <w:t>-</w:t>
        <w:tab/>
        <w:t>Generate the delay spread.</w:t>
      </w:r>
    </w:p>
    <w:p>
      <w:pPr>
        <w:pStyle w:val="B1"/>
        <w:rPr/>
      </w:pPr>
      <w:r>
        <w:rPr/>
        <w:t>-</w:t>
        <w:tab/>
        <w:t>Generate an average power delay profile (</w:t>
      </w:r>
      <w:r>
        <w:rPr>
          <w:i/>
        </w:rPr>
        <w:t>apdp</w:t>
      </w:r>
      <w:r>
        <w:rPr/>
        <w:t>).</w:t>
      </w:r>
    </w:p>
    <w:p>
      <w:pPr>
        <w:pStyle w:val="B1"/>
        <w:rPr/>
      </w:pPr>
      <w:r>
        <w:rPr/>
        <w:t>-</w:t>
        <w:tab/>
        <w:t>Adjust the power delay profile so that it produces the desired delay spread.</w:t>
      </w:r>
    </w:p>
    <w:p>
      <w:pPr>
        <w:pStyle w:val="B1"/>
        <w:rPr/>
      </w:pPr>
      <w:r>
        <w:rPr/>
        <w:t>-</w:t>
        <w:tab/>
        <w:t>Generate short-term fading of the impulse response by the physical process of summation of partial waves.</w:t>
      </w:r>
    </w:p>
    <w:p>
      <w:pPr>
        <w:pStyle w:val="B1"/>
        <w:rPr/>
      </w:pPr>
      <w:r>
        <w:rPr/>
        <w:t>-</w:t>
        <w:tab/>
        <w:t>Generate multiple, partially correlated channels for multiple BS antennas (space diversity).</w:t>
      </w:r>
    </w:p>
    <w:p>
      <w:pPr>
        <w:pStyle w:val="B1"/>
        <w:rPr/>
      </w:pPr>
      <w:r>
        <w:rPr/>
        <w:t>-</w:t>
        <w:tab/>
        <w:t>Filtering to GSM bandwidth</w:t>
      </w:r>
      <w:bookmarkStart w:id="648" w:name="X32200"/>
      <w:bookmarkEnd w:id="648"/>
      <w:r>
        <w:rPr/>
        <w:t>.</w:t>
      </w:r>
    </w:p>
    <w:p>
      <w:pPr>
        <w:pStyle w:val="Heading2"/>
        <w:rPr/>
      </w:pPr>
      <w:bookmarkStart w:id="649" w:name="__RefHeading___Toc518036047"/>
      <w:bookmarkEnd w:id="649"/>
      <w:r>
        <w:rPr/>
        <w:t>5.3</w:t>
        <w:tab/>
        <w:t>Delay spread</w:t>
      </w:r>
    </w:p>
    <w:p>
      <w:pPr>
        <w:pStyle w:val="Normal"/>
        <w:rPr/>
      </w:pPr>
      <w:r>
        <w:rPr>
          <w:rStyle w:val="EquationCaption"/>
        </w:rPr>
        <w:t>Due to the impact of multi-path propagation on positioning accuracy, modelling of the delay spread is of importance. The model used is from Greenstein [3], and is based on two conjectures</w:t>
      </w:r>
      <w:r>
        <w:rPr/>
        <w:t>:</w:t>
      </w:r>
    </w:p>
    <w:p>
      <w:pPr>
        <w:pStyle w:val="B1"/>
        <w:rPr/>
      </w:pPr>
      <w:r>
        <w:rPr/>
        <w:t>-</w:t>
        <w:tab/>
        <w:t>At any given distance from the base station, the delay spread is lognormally distributed.</w:t>
      </w:r>
    </w:p>
    <w:p>
      <w:pPr>
        <w:pStyle w:val="Normal"/>
        <w:rPr/>
      </w:pPr>
      <w:r>
        <w:rPr/>
        <w:t>The median delay spread increases with distance.</w:t>
      </w:r>
    </w:p>
    <w:p>
      <w:pPr>
        <w:pStyle w:val="Normal"/>
        <w:rPr/>
      </w:pPr>
      <w:r>
        <w:rPr/>
        <w:t>Both these conjectures are supported by measurements to a certain degree. The proposed model is the following:</w:t>
      </w:r>
    </w:p>
    <w:tbl>
      <w:tblPr>
        <w:tblW w:w="9570" w:type="dxa"/>
        <w:jc w:val="left"/>
        <w:tblInd w:w="-108" w:type="dxa"/>
        <w:tblLayout w:type="fixed"/>
        <w:tblCellMar>
          <w:top w:w="0" w:type="dxa"/>
          <w:left w:w="108" w:type="dxa"/>
          <w:bottom w:w="0" w:type="dxa"/>
          <w:right w:w="108" w:type="dxa"/>
        </w:tblCellMar>
      </w:tblPr>
      <w:tblGrid>
        <w:gridCol w:w="8613"/>
        <w:gridCol w:w="957"/>
      </w:tblGrid>
      <w:tr>
        <w:trPr/>
        <w:tc>
          <w:tcPr>
            <w:tcW w:w="8613" w:type="dxa"/>
            <w:tcBorders/>
          </w:tcPr>
          <w:p>
            <w:pPr>
              <w:pStyle w:val="Normal"/>
              <w:widowControl/>
              <w:overflowPunct w:val="false"/>
              <w:autoSpaceDE w:val="false"/>
              <w:bidi w:val="0"/>
              <w:spacing w:before="0" w:after="180"/>
              <w:textAlignment w:val="baseline"/>
              <w:rPr/>
            </w:pPr>
            <w:r>
              <w:rPr/>
              <w:drawing>
                <wp:inline distT="0" distB="0" distL="0" distR="0">
                  <wp:extent cx="711200" cy="215900"/>
                  <wp:effectExtent l="0" t="0" r="0" b="0"/>
                  <wp:docPr id="182" name="Imag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06" descr=""/>
                          <pic:cNvPicPr>
                            <a:picLocks noChangeAspect="1" noChangeArrowheads="1"/>
                          </pic:cNvPicPr>
                        </pic:nvPicPr>
                        <pic:blipFill>
                          <a:blip r:embed="rId180"/>
                          <a:srcRect l="-51" t="-167" r="-51" b="-167"/>
                          <a:stretch>
                            <a:fillRect/>
                          </a:stretch>
                        </pic:blipFill>
                        <pic:spPr bwMode="auto">
                          <a:xfrm>
                            <a:off x="0" y="0"/>
                            <a:ext cx="711200" cy="215900"/>
                          </a:xfrm>
                          <a:prstGeom prst="rect">
                            <a:avLst/>
                          </a:prstGeom>
                        </pic:spPr>
                      </pic:pic>
                    </a:graphicData>
                  </a:graphic>
                </wp:inline>
              </w:drawing>
            </w:r>
          </w:p>
        </w:tc>
        <w:tc>
          <w:tcPr>
            <w:tcW w:w="957" w:type="dxa"/>
            <w:tcBorders/>
          </w:tcPr>
          <w:p>
            <w:pPr>
              <w:pStyle w:val="Normal"/>
              <w:widowControl/>
              <w:overflowPunct w:val="false"/>
              <w:autoSpaceDE w:val="false"/>
              <w:bidi w:val="0"/>
              <w:spacing w:before="0" w:after="180"/>
              <w:textAlignment w:val="baseline"/>
              <w:rPr/>
            </w:pPr>
            <w:r>
              <w:rPr/>
              <w:t>(5.1)</w:t>
            </w:r>
          </w:p>
        </w:tc>
      </w:tr>
    </w:tbl>
    <w:p>
      <w:pPr>
        <w:pStyle w:val="Normal"/>
        <w:rPr/>
      </w:pPr>
      <w:r>
        <w:rPr/>
        <w:t xml:space="preserve">Here </w:t>
      </w:r>
      <w:r>
        <w:rPr>
          <w:rFonts w:cs="Symbol" w:ascii="Symbol" w:hAnsi="Symbol"/>
        </w:rPr>
        <w:t></w:t>
      </w:r>
      <w:r>
        <w:rPr>
          <w:rFonts w:cs="Helvetica" w:ascii="Helvetica" w:hAnsi="Helvetica"/>
          <w:i/>
          <w:vertAlign w:val="subscript"/>
        </w:rPr>
        <w:t>rms</w:t>
      </w:r>
      <w:r>
        <w:rPr/>
        <w:t xml:space="preserve"> is the rms delay spread,</w:t>
      </w:r>
      <w:r>
        <w:rPr/>
        <w:drawing>
          <wp:inline distT="0" distB="0" distL="0" distR="0">
            <wp:extent cx="152400" cy="215900"/>
            <wp:effectExtent l="0" t="0" r="0" b="0"/>
            <wp:docPr id="183" name="Imag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207" descr=""/>
                    <pic:cNvPicPr>
                      <a:picLocks noChangeAspect="1" noChangeArrowheads="1"/>
                    </pic:cNvPicPr>
                  </pic:nvPicPr>
                  <pic:blipFill>
                    <a:blip r:embed="rId181"/>
                    <a:srcRect l="-236" t="-167" r="-236" b="-167"/>
                    <a:stretch>
                      <a:fillRect/>
                    </a:stretch>
                  </pic:blipFill>
                  <pic:spPr bwMode="auto">
                    <a:xfrm>
                      <a:off x="0" y="0"/>
                      <a:ext cx="152400" cy="215900"/>
                    </a:xfrm>
                    <a:prstGeom prst="rect">
                      <a:avLst/>
                    </a:prstGeom>
                  </pic:spPr>
                </pic:pic>
              </a:graphicData>
            </a:graphic>
          </wp:inline>
        </w:drawing>
      </w:r>
      <w:r>
        <w:rPr/>
        <w:t xml:space="preserve"> is the median value of the delay spread at </w:t>
      </w:r>
      <w:r>
        <w:rPr>
          <w:i/>
        </w:rPr>
        <w:t>d</w:t>
      </w:r>
      <w:r>
        <w:rPr>
          <w:rFonts w:cs="Helvetica" w:ascii="Helvetica" w:hAnsi="Helvetica"/>
          <w:i/>
        </w:rPr>
        <w:t> </w:t>
      </w:r>
      <w:r>
        <w:rPr/>
        <w:t xml:space="preserve">= 1 km, </w:t>
      </w:r>
      <w:r>
        <w:rPr>
          <w:rFonts w:cs="Symbol" w:ascii="Symbol" w:hAnsi="Symbol"/>
        </w:rPr>
        <w:t></w:t>
      </w:r>
      <w:r>
        <w:rPr/>
        <w:t xml:space="preserve"> is a distance-dependence exponent, and </w:t>
      </w:r>
      <w:r>
        <w:rPr>
          <w:i/>
        </w:rPr>
        <w:t>y</w:t>
      </w:r>
      <w:r>
        <w:rPr/>
        <w:t xml:space="preserve"> is a lognormal variate, meaning that </w:t>
      </w:r>
      <w:r>
        <w:rPr/>
      </w:r>
      <m:oMath xmlns:m="http://schemas.openxmlformats.org/officeDocument/2006/math">
        <m:r>
          <w:rPr>
            <w:rFonts w:ascii="Cambria Math" w:hAnsi="Cambria Math"/>
          </w:rPr>
          <m:t xml:space="preserve">Y</m:t>
        </m:r>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r>
          <w:rPr>
            <w:rFonts w:ascii="Cambria Math" w:hAnsi="Cambria Math"/>
          </w:rPr>
          <m:t xml:space="preserve">y</m:t>
        </m:r>
      </m:oMath>
      <w:r>
        <w:rPr/>
        <w:t xml:space="preserve"> is a Gaussian random variable with standard deviation </w:t>
      </w:r>
      <w:r>
        <w:rPr>
          <w:rFonts w:cs="Symbol" w:ascii="Symbol" w:hAnsi="Symbol"/>
        </w:rPr>
        <w:t></w:t>
      </w:r>
      <w:r>
        <w:rPr>
          <w:rFonts w:cs="Helvetica" w:ascii="Helvetica" w:hAnsi="Helvetica"/>
          <w:i/>
          <w:vertAlign w:val="subscript"/>
        </w:rPr>
        <w:t>Y</w:t>
      </w:r>
      <w:r>
        <w:rPr/>
        <w:t>.</w:t>
      </w:r>
    </w:p>
    <w:p>
      <w:pPr>
        <w:pStyle w:val="Normal"/>
        <w:rPr/>
      </w:pPr>
      <w:r>
        <w:rPr/>
        <w:t>Parameter values have been chosen based on the recommendations in [3] and the following reported measurements</w:t>
      </w:r>
      <w:r>
        <w:rPr>
          <w:lang w:val="en-US" w:eastAsia="en-US"/>
        </w:rPr>
        <w:t>:</w:t>
      </w:r>
    </w:p>
    <w:p>
      <w:pPr>
        <w:pStyle w:val="B1"/>
        <w:rPr/>
      </w:pPr>
      <w:r>
        <w:rPr/>
        <w:t>-</w:t>
        <w:tab/>
        <w:t xml:space="preserve">Motorola reports on field measurements where the distance dependence is weaker than what is suggested by [3], suggesting a lower value for </w:t>
      </w:r>
      <w:r>
        <w:rPr>
          <w:rFonts w:cs="Symbol" w:ascii="Symbol" w:hAnsi="Symbol"/>
        </w:rPr>
        <w:t></w:t>
      </w:r>
      <w:r>
        <w:rPr/>
        <w:t xml:space="preserve">. </w:t>
      </w:r>
    </w:p>
    <w:p>
      <w:pPr>
        <w:pStyle w:val="B1"/>
        <w:rPr/>
      </w:pPr>
      <w:r>
        <w:rPr/>
        <w:t>-</w:t>
        <w:tab/>
        <w:t xml:space="preserve">Ericsson reports on field measurement results showing that for the urban environment the original recommendations for </w:t>
      </w:r>
      <w:r>
        <w:rPr>
          <w:rFonts w:cs="Symbol" w:ascii="Symbol" w:hAnsi="Symbol"/>
        </w:rPr>
        <w:t></w:t>
      </w:r>
      <w:r>
        <w:rPr/>
        <w:t xml:space="preserve"> in [3] gives the best fit.</w:t>
      </w:r>
    </w:p>
    <w:p>
      <w:pPr>
        <w:pStyle w:val="Normal"/>
        <w:rPr/>
      </w:pPr>
      <w:r>
        <w:rPr/>
        <w:t>To accomodate both types of distance dependence of the delay spread into the model, two Urban environments are included: UrbanA which fits the Ericsson observations and UrbanB which fits the Motorola observations. In other environments the weaker distance dependence is used.</w:t>
      </w:r>
    </w:p>
    <w:p>
      <w:pPr>
        <w:pStyle w:val="Normal"/>
        <w:rPr/>
      </w:pPr>
      <w:r>
        <w:rPr/>
        <w:t>The parameter values of the model are given in table 5.1.</w:t>
      </w:r>
    </w:p>
    <w:p>
      <w:pPr>
        <w:pStyle w:val="TH"/>
        <w:rPr/>
      </w:pPr>
      <w:r>
        <w:rPr/>
        <w:t>Table 5.1: Parameter values for the delay spread model</w:t>
      </w:r>
    </w:p>
    <w:tbl>
      <w:tblPr>
        <w:tblW w:w="5209" w:type="dxa"/>
        <w:jc w:val="center"/>
        <w:tblInd w:w="0" w:type="dxa"/>
        <w:tblLayout w:type="fixed"/>
        <w:tblCellMar>
          <w:top w:w="0" w:type="dxa"/>
          <w:left w:w="0" w:type="dxa"/>
          <w:bottom w:w="0" w:type="dxa"/>
          <w:right w:w="0" w:type="dxa"/>
        </w:tblCellMar>
      </w:tblPr>
      <w:tblGrid>
        <w:gridCol w:w="1807"/>
        <w:gridCol w:w="1134"/>
        <w:gridCol w:w="1134"/>
        <w:gridCol w:w="1134"/>
      </w:tblGrid>
      <w:tr>
        <w:trPr/>
        <w:tc>
          <w:tcPr>
            <w:tcW w:w="18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Environment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ascii="Helvetica" w:hAnsi="Helvetica" w:cs="Helvetica"/>
                <w:lang w:eastAsia="en-US"/>
              </w:rPr>
            </w:pPr>
            <w:r>
              <w:rPr>
                <w:lang w:eastAsia="en-US"/>
              </w:rPr>
            </w:r>
            <m:oMathPara xmlns:m="http://schemas.openxmlformats.org/officeDocument/2006/math">
              <m:oMathParaPr>
                <m:jc m:val="center"/>
              </m:oMathParaPr>
              <m:oMath>
                <m:sSub>
                  <m:e>
                    <m:r>
                      <w:rPr>
                        <w:rFonts w:ascii="Cambria Math" w:hAnsi="Cambria Math"/>
                      </w:rPr>
                      <m:t xml:space="preserve">T</m:t>
                    </m:r>
                  </m:e>
                  <m:sub>
                    <m:r>
                      <w:rPr>
                        <w:rFonts w:ascii="Cambria Math" w:hAnsi="Cambria Math"/>
                      </w:rPr>
                      <m:t xml:space="preserve">1</m:t>
                    </m:r>
                  </m:sub>
                </m:sSub>
              </m:oMath>
            </m:oMathPara>
          </w:p>
        </w:tc>
        <w:tc>
          <w:tcPr>
            <w:tcW w:w="1134" w:type="dxa"/>
            <w:tcBorders>
              <w:top w:val="single" w:sz="4" w:space="0" w:color="000000"/>
              <w:left w:val="single" w:sz="4" w:space="0" w:color="000000"/>
              <w:bottom w:val="single" w:sz="4" w:space="0" w:color="000000"/>
              <w:right w:val="single" w:sz="4" w:space="0" w:color="000000"/>
            </w:tcBorders>
          </w:tcPr>
          <w:p>
            <w:pPr>
              <w:pStyle w:val="TAH"/>
              <w:rPr>
                <w:rFonts w:ascii="Symbol" w:hAnsi="Symbol" w:cs="Symbol"/>
                <w:lang w:eastAsia="en-US"/>
              </w:rPr>
            </w:pPr>
            <w:r>
              <w:rPr>
                <w:rFonts w:cs="Symbol" w:ascii="Symbol" w:hAnsi="Symbo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ascii="Helvetica" w:hAnsi="Helvetica" w:cs="Helvetica"/>
                <w:lang w:eastAsia="en-US"/>
              </w:rPr>
            </w:pPr>
            <w:r>
              <w:rPr>
                <w:rFonts w:cs="Symbol" w:ascii="Symbol" w:hAnsi="Symbol"/>
                <w:lang w:eastAsia="en-US"/>
              </w:rPr>
              <w:t></w:t>
            </w:r>
            <w:r>
              <w:rPr>
                <w:rFonts w:cs="Helvetica" w:ascii="Helvetica" w:hAnsi="Helvetica"/>
                <w:vertAlign w:val="subscript"/>
                <w:lang w:eastAsia="en-US"/>
              </w:rPr>
              <w:t>Y</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Bad Urban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1.0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UrbanA</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0.4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0.5</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0.4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Suburban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0.3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Rural</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0.1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bl>
    <w:p>
      <w:pPr>
        <w:pStyle w:val="Normal"/>
        <w:rPr/>
      </w:pPr>
      <w:r>
        <w:rPr/>
      </w:r>
    </w:p>
    <w:p>
      <w:pPr>
        <w:pStyle w:val="Normal"/>
        <w:rPr/>
      </w:pPr>
      <w:r>
        <w:rPr/>
        <w:t>The model also assumes that there is no correlation between delay spread values measured to different base stations from the same mobile.</w:t>
      </w:r>
    </w:p>
    <w:p>
      <w:pPr>
        <w:pStyle w:val="Heading2"/>
        <w:rPr/>
      </w:pPr>
      <w:bookmarkStart w:id="650" w:name="__RefHeading___Toc518036048"/>
      <w:bookmarkEnd w:id="650"/>
      <w:r>
        <w:rPr/>
        <w:t>5.4</w:t>
        <w:tab/>
        <w:t>Average power delay profile</w:t>
      </w:r>
    </w:p>
    <w:p>
      <w:pPr>
        <w:pStyle w:val="Normal"/>
        <w:rPr/>
      </w:pPr>
      <w:r>
        <w:rPr/>
        <w:t>The average power delay profile (local average of the squared magnitude of the impulse response) is modelled as the sum of a number of discrete impulses.</w:t>
      </w:r>
    </w:p>
    <w:tbl>
      <w:tblPr>
        <w:tblW w:w="9570" w:type="dxa"/>
        <w:jc w:val="left"/>
        <w:tblInd w:w="-108" w:type="dxa"/>
        <w:tblLayout w:type="fixed"/>
        <w:tblCellMar>
          <w:top w:w="0" w:type="dxa"/>
          <w:left w:w="108" w:type="dxa"/>
          <w:bottom w:w="0" w:type="dxa"/>
          <w:right w:w="108" w:type="dxa"/>
        </w:tblCellMar>
      </w:tblPr>
      <w:tblGrid>
        <w:gridCol w:w="8613"/>
        <w:gridCol w:w="957"/>
      </w:tblGrid>
      <w:tr>
        <w:trPr/>
        <w:tc>
          <w:tcPr>
            <w:tcW w:w="8613" w:type="dxa"/>
            <w:tcBorders/>
          </w:tcPr>
          <w:p>
            <w:pPr>
              <w:pStyle w:val="Normal"/>
              <w:widowControl/>
              <w:overflowPunct w:val="false"/>
              <w:autoSpaceDE w:val="false"/>
              <w:bidi w:val="0"/>
              <w:spacing w:before="0" w:after="180"/>
              <w:textAlignment w:val="baseline"/>
              <w:rPr/>
            </w:pPr>
            <w:r>
              <w:rPr/>
              <w:drawing>
                <wp:inline distT="0" distB="0" distL="0" distR="0">
                  <wp:extent cx="1409700" cy="342900"/>
                  <wp:effectExtent l="0" t="0" r="0" b="0"/>
                  <wp:docPr id="184" name="Imag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08" descr=""/>
                          <pic:cNvPicPr>
                            <a:picLocks noChangeAspect="1" noChangeArrowheads="1"/>
                          </pic:cNvPicPr>
                        </pic:nvPicPr>
                        <pic:blipFill>
                          <a:blip r:embed="rId182"/>
                          <a:srcRect l="-26" t="-105" r="-26" b="-105"/>
                          <a:stretch>
                            <a:fillRect/>
                          </a:stretch>
                        </pic:blipFill>
                        <pic:spPr bwMode="auto">
                          <a:xfrm>
                            <a:off x="0" y="0"/>
                            <a:ext cx="1409700" cy="342900"/>
                          </a:xfrm>
                          <a:prstGeom prst="rect">
                            <a:avLst/>
                          </a:prstGeom>
                        </pic:spPr>
                      </pic:pic>
                    </a:graphicData>
                  </a:graphic>
                </wp:inline>
              </w:drawing>
            </w:r>
          </w:p>
        </w:tc>
        <w:tc>
          <w:tcPr>
            <w:tcW w:w="957" w:type="dxa"/>
            <w:tcBorders/>
          </w:tcPr>
          <w:p>
            <w:pPr>
              <w:pStyle w:val="Normal"/>
              <w:widowControl/>
              <w:overflowPunct w:val="false"/>
              <w:autoSpaceDE w:val="false"/>
              <w:bidi w:val="0"/>
              <w:spacing w:before="0" w:after="180"/>
              <w:textAlignment w:val="baseline"/>
              <w:rPr/>
            </w:pPr>
            <w:r>
              <w:rPr/>
              <w:t>(5.2)</w:t>
            </w:r>
          </w:p>
        </w:tc>
      </w:tr>
    </w:tbl>
    <w:p>
      <w:pPr>
        <w:pStyle w:val="Normal"/>
        <w:rPr/>
      </w:pPr>
      <w:r>
        <w:rPr/>
        <w:t>Each impulse corresponds to an infinite bandwidth representation of an impinging wave which has been scattered (reflected, diffracted) in the propagation environment.</w:t>
      </w:r>
    </w:p>
    <w:p>
      <w:pPr>
        <w:pStyle w:val="Normal"/>
        <w:rPr/>
      </w:pPr>
      <w:r>
        <w:rPr/>
        <w:t>The original procedures for generating</w:t>
      </w:r>
      <w:r>
        <w:rPr>
          <w:rFonts w:cs="Helvetica" w:ascii="Helvetica" w:hAnsi="Helvetica"/>
          <w:i/>
        </w:rPr>
        <w:drawing>
          <wp:inline distT="0" distB="0" distL="0" distR="0">
            <wp:extent cx="177165" cy="228600"/>
            <wp:effectExtent l="0" t="0" r="0" b="0"/>
            <wp:docPr id="185" name="Imag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209" descr=""/>
                    <pic:cNvPicPr>
                      <a:picLocks noChangeAspect="1" noChangeArrowheads="1"/>
                    </pic:cNvPicPr>
                  </pic:nvPicPr>
                  <pic:blipFill>
                    <a:blip r:embed="rId183"/>
                    <a:srcRect l="-203" t="-157" r="-203" b="-157"/>
                    <a:stretch>
                      <a:fillRect/>
                    </a:stretch>
                  </pic:blipFill>
                  <pic:spPr bwMode="auto">
                    <a:xfrm>
                      <a:off x="0" y="0"/>
                      <a:ext cx="177165" cy="228600"/>
                    </a:xfrm>
                    <a:prstGeom prst="rect">
                      <a:avLst/>
                    </a:prstGeom>
                  </pic:spPr>
                </pic:pic>
              </a:graphicData>
            </a:graphic>
          </wp:inline>
        </w:drawing>
      </w:r>
      <w:r>
        <w:rPr/>
        <w:t>and</w:t>
      </w:r>
      <w:r>
        <w:rPr>
          <w:rFonts w:cs="Symbol" w:ascii="Symbol" w:hAnsi="Symbol"/>
        </w:rPr>
        <w:drawing>
          <wp:inline distT="0" distB="0" distL="0" distR="0">
            <wp:extent cx="152400" cy="228600"/>
            <wp:effectExtent l="0" t="0" r="0" b="0"/>
            <wp:docPr id="186" name="Imag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10" descr=""/>
                    <pic:cNvPicPr>
                      <a:picLocks noChangeAspect="1" noChangeArrowheads="1"/>
                    </pic:cNvPicPr>
                  </pic:nvPicPr>
                  <pic:blipFill>
                    <a:blip r:embed="rId184"/>
                    <a:srcRect l="-236" t="-157" r="-236" b="-157"/>
                    <a:stretch>
                      <a:fillRect/>
                    </a:stretch>
                  </pic:blipFill>
                  <pic:spPr bwMode="auto">
                    <a:xfrm>
                      <a:off x="0" y="0"/>
                      <a:ext cx="152400" cy="228600"/>
                    </a:xfrm>
                    <a:prstGeom prst="rect">
                      <a:avLst/>
                    </a:prstGeom>
                  </pic:spPr>
                </pic:pic>
              </a:graphicData>
            </a:graphic>
          </wp:inline>
        </w:drawing>
      </w:r>
      <w:r>
        <w:rPr/>
        <w:t xml:space="preserve">in the CODIT model [2] has been expanded and changed as more information on the shape of the </w:t>
      </w:r>
      <w:r>
        <w:rPr>
          <w:i/>
        </w:rPr>
        <w:t>apdp</w:t>
      </w:r>
      <w:r>
        <w:rPr/>
        <w:t xml:space="preserve"> has been presented, such as:</w:t>
      </w:r>
    </w:p>
    <w:p>
      <w:pPr>
        <w:pStyle w:val="B1"/>
        <w:rPr/>
      </w:pPr>
      <w:r>
        <w:rPr/>
        <w:t>-</w:t>
        <w:tab/>
        <w:t>The field measurement results presented by Motorola, which shows that the ratio between delay spread and mean excess delay is of the order 2:1 for rural and suburban,, and of the order 1:1 to 2:1 for urban environments.</w:t>
      </w:r>
    </w:p>
    <w:p>
      <w:pPr>
        <w:pStyle w:val="B1"/>
        <w:rPr/>
      </w:pPr>
      <w:r>
        <w:rPr/>
        <w:t>-</w:t>
        <w:tab/>
        <w:t>Measurement results by Ericsson  showing a 1:1 ratio for urban environments.</w:t>
      </w:r>
    </w:p>
    <w:p>
      <w:pPr>
        <w:pStyle w:val="Normal"/>
        <w:rPr/>
      </w:pPr>
      <w:r>
        <w:rPr/>
        <w:t xml:space="preserve">Table 5.2 shows the parameters used for generating the </w:t>
      </w:r>
      <w:r>
        <w:rPr>
          <w:i/>
        </w:rPr>
        <w:t>apdp</w:t>
      </w:r>
      <w:r>
        <w:rPr/>
        <w:t>:s in the different environments. Again, the UrbanA parameters correspond to the results presented by Ericsson and the UrbanB parameters correspond to Motorola's results.</w:t>
      </w:r>
    </w:p>
    <w:p>
      <w:pPr>
        <w:pStyle w:val="TH"/>
        <w:rPr/>
      </w:pPr>
      <w:r>
        <w:rPr/>
        <w:t>Table 5.2: Parameters for the average power delay profile</w:t>
      </w:r>
    </w:p>
    <w:tbl>
      <w:tblPr>
        <w:tblW w:w="8595" w:type="dxa"/>
        <w:jc w:val="center"/>
        <w:tblInd w:w="0" w:type="dxa"/>
        <w:tblLayout w:type="fixed"/>
        <w:tblCellMar>
          <w:top w:w="0" w:type="dxa"/>
          <w:left w:w="0" w:type="dxa"/>
          <w:bottom w:w="0" w:type="dxa"/>
          <w:right w:w="0" w:type="dxa"/>
        </w:tblCellMar>
      </w:tblPr>
      <w:tblGrid>
        <w:gridCol w:w="1226"/>
        <w:gridCol w:w="1288"/>
        <w:gridCol w:w="1537"/>
        <w:gridCol w:w="1537"/>
        <w:gridCol w:w="1404"/>
        <w:gridCol w:w="1603"/>
      </w:tblGrid>
      <w:tr>
        <w:trPr>
          <w:cantSplit w:val="true"/>
        </w:trPr>
        <w:tc>
          <w:tcPr>
            <w:tcW w:w="1226" w:type="dxa"/>
            <w:tcBorders>
              <w:top w:val="single" w:sz="12" w:space="0" w:color="000000"/>
              <w:left w:val="single" w:sz="12" w:space="0" w:color="000000"/>
              <w:bottom w:val="single" w:sz="12" w:space="0" w:color="000000"/>
              <w:right w:val="single" w:sz="6" w:space="0" w:color="000000"/>
            </w:tcBorders>
          </w:tcPr>
          <w:p>
            <w:pPr>
              <w:pStyle w:val="TAH"/>
              <w:rPr>
                <w:lang w:eastAsia="en-US"/>
              </w:rPr>
            </w:pPr>
            <w:r>
              <w:rPr>
                <w:lang w:eastAsia="en-US"/>
              </w:rPr>
              <w:t>Environment</w:t>
            </w:r>
          </w:p>
        </w:tc>
        <w:tc>
          <w:tcPr>
            <w:tcW w:w="1288" w:type="dxa"/>
            <w:tcBorders>
              <w:top w:val="single" w:sz="12" w:space="0" w:color="000000"/>
              <w:left w:val="single" w:sz="6" w:space="0" w:color="000000"/>
              <w:bottom w:val="single" w:sz="12" w:space="0" w:color="000000"/>
              <w:right w:val="single" w:sz="6" w:space="0" w:color="000000"/>
            </w:tcBorders>
          </w:tcPr>
          <w:p>
            <w:pPr>
              <w:pStyle w:val="TAH"/>
              <w:rPr>
                <w:lang w:eastAsia="en-US"/>
              </w:rPr>
            </w:pPr>
            <w:r>
              <w:rPr>
                <w:lang w:eastAsia="en-US"/>
              </w:rPr>
              <w:t>Scatterer #</w:t>
            </w:r>
          </w:p>
        </w:tc>
        <w:tc>
          <w:tcPr>
            <w:tcW w:w="1537" w:type="dxa"/>
            <w:tcBorders>
              <w:top w:val="single" w:sz="12" w:space="0" w:color="000000"/>
              <w:left w:val="single" w:sz="6" w:space="0" w:color="000000"/>
              <w:bottom w:val="single" w:sz="12" w:space="0" w:color="000000"/>
              <w:right w:val="single" w:sz="6" w:space="0" w:color="000000"/>
            </w:tcBorders>
          </w:tcPr>
          <w:p>
            <w:pPr>
              <w:pStyle w:val="TAH"/>
              <w:rPr/>
            </w:pPr>
            <w:r>
              <w:rPr>
                <w:lang w:eastAsia="en-US"/>
              </w:rPr>
              <w:t xml:space="preserve">Time delay </w:t>
            </w:r>
            <w:r>
              <w:rPr>
                <w:rFonts w:cs="Symbol" w:ascii="Symbol" w:hAnsi="Symbol"/>
                <w:lang w:eastAsia="en-US"/>
              </w:rPr>
              <w:t></w:t>
            </w:r>
            <w:r>
              <w:rPr>
                <w:rFonts w:cs="Helvetica" w:ascii="Helvetica" w:hAnsi="Helvetica"/>
                <w:vertAlign w:val="subscript"/>
                <w:lang w:eastAsia="en-US"/>
              </w:rPr>
              <w:t>i</w:t>
            </w:r>
          </w:p>
        </w:tc>
        <w:tc>
          <w:tcPr>
            <w:tcW w:w="1537" w:type="dxa"/>
            <w:tcBorders>
              <w:top w:val="single" w:sz="12" w:space="0" w:color="000000"/>
              <w:left w:val="single" w:sz="6" w:space="0" w:color="000000"/>
              <w:bottom w:val="single" w:sz="12" w:space="0" w:color="000000"/>
              <w:right w:val="single" w:sz="6" w:space="0" w:color="000000"/>
            </w:tcBorders>
          </w:tcPr>
          <w:p>
            <w:pPr>
              <w:pStyle w:val="TAH"/>
              <w:rPr>
                <w:rFonts w:ascii="Helvetica" w:hAnsi="Helvetica" w:cs="Helvetica"/>
                <w:lang w:eastAsia="en-US"/>
              </w:rPr>
            </w:pPr>
            <w:r>
              <w:rPr>
                <w:lang w:eastAsia="en-US"/>
              </w:rPr>
              <w:t>Relative Power</w:t>
            </w:r>
            <w:r>
              <w:rPr>
                <w:rFonts w:cs="Symbol" w:ascii="Symbol" w:hAnsi="Symbol"/>
                <w:lang w:eastAsia="en-US"/>
              </w:rPr>
              <w:t></w:t>
            </w:r>
            <w:r>
              <w:rPr>
                <w:rFonts w:cs="Helvetica" w:ascii="Helvetica" w:hAnsi="Helvetica"/>
                <w:lang w:eastAsia="en-US"/>
              </w:rPr>
              <w:t>p</w:t>
            </w:r>
            <w:r>
              <w:rPr>
                <w:rFonts w:cs="Helvetica" w:ascii="Helvetica" w:hAnsi="Helvetica"/>
                <w:vertAlign w:val="subscript"/>
                <w:lang w:eastAsia="en-US"/>
              </w:rPr>
              <w:t>i</w:t>
            </w:r>
          </w:p>
        </w:tc>
        <w:tc>
          <w:tcPr>
            <w:tcW w:w="1404" w:type="dxa"/>
            <w:tcBorders>
              <w:top w:val="single" w:sz="12" w:space="0" w:color="000000"/>
              <w:left w:val="single" w:sz="6" w:space="0" w:color="000000"/>
              <w:bottom w:val="single" w:sz="12" w:space="0" w:color="000000"/>
              <w:right w:val="single" w:sz="6" w:space="0" w:color="000000"/>
            </w:tcBorders>
          </w:tcPr>
          <w:p>
            <w:pPr>
              <w:pStyle w:val="TAH"/>
              <w:rPr>
                <w:rFonts w:ascii="Helvetica" w:hAnsi="Helvetica" w:cs="Helvetica"/>
                <w:lang w:eastAsia="en-US"/>
              </w:rPr>
            </w:pPr>
            <w:r>
              <w:rPr>
                <w:lang w:eastAsia="en-US"/>
              </w:rPr>
              <w:t>Average delay spread to mean excess delay ratio</w:t>
            </w:r>
          </w:p>
        </w:tc>
        <w:tc>
          <w:tcPr>
            <w:tcW w:w="1603" w:type="dxa"/>
            <w:tcBorders>
              <w:top w:val="single" w:sz="12" w:space="0" w:color="000000"/>
              <w:left w:val="single" w:sz="6" w:space="0" w:color="000000"/>
              <w:bottom w:val="single" w:sz="12" w:space="0" w:color="000000"/>
              <w:right w:val="single" w:sz="12" w:space="0" w:color="000000"/>
            </w:tcBorders>
          </w:tcPr>
          <w:p>
            <w:pPr>
              <w:pStyle w:val="TAH"/>
              <w:rPr>
                <w:lang w:eastAsia="en-US"/>
              </w:rPr>
            </w:pPr>
            <w:r>
              <w:rPr>
                <w:lang w:eastAsia="en-US"/>
              </w:rPr>
              <w:t>Nakagami-m parameter</w:t>
            </w:r>
          </w:p>
        </w:tc>
      </w:tr>
      <w:tr>
        <w:trPr>
          <w:cantSplit w:val="true"/>
        </w:trPr>
        <w:tc>
          <w:tcPr>
            <w:tcW w:w="1226" w:type="dxa"/>
            <w:tcBorders>
              <w:left w:val="single" w:sz="12" w:space="0" w:color="000000"/>
              <w:bottom w:val="single" w:sz="6" w:space="0" w:color="000000"/>
              <w:right w:val="single" w:sz="6" w:space="0" w:color="000000"/>
            </w:tcBorders>
          </w:tcPr>
          <w:p>
            <w:pPr>
              <w:pStyle w:val="TAC"/>
              <w:rPr>
                <w:lang w:val="en-GB"/>
              </w:rPr>
            </w:pPr>
            <w:r>
              <w:rPr>
                <w:lang w:val="en-GB"/>
              </w:rPr>
              <w:t>Bad Urban</w:t>
            </w:r>
          </w:p>
        </w:tc>
        <w:tc>
          <w:tcPr>
            <w:tcW w:w="1288" w:type="dxa"/>
            <w:tcBorders>
              <w:left w:val="single" w:sz="6" w:space="0" w:color="000000"/>
              <w:bottom w:val="single" w:sz="6" w:space="0" w:color="000000"/>
              <w:right w:val="single" w:sz="6" w:space="0" w:color="000000"/>
            </w:tcBorders>
          </w:tcPr>
          <w:p>
            <w:pPr>
              <w:pStyle w:val="TAC"/>
              <w:rPr>
                <w:lang w:val="en-GB"/>
              </w:rPr>
            </w:pPr>
            <w:r>
              <w:rPr>
                <w:lang w:val="en-GB"/>
              </w:rPr>
              <w:t>1-20</w:t>
            </w:r>
          </w:p>
        </w:tc>
        <w:tc>
          <w:tcPr>
            <w:tcW w:w="1537" w:type="dxa"/>
            <w:tcBorders>
              <w:left w:val="single" w:sz="6" w:space="0" w:color="000000"/>
              <w:bottom w:val="single" w:sz="6" w:space="0" w:color="000000"/>
              <w:right w:val="single" w:sz="6" w:space="0" w:color="000000"/>
            </w:tcBorders>
          </w:tcPr>
          <w:p>
            <w:pPr>
              <w:pStyle w:val="TAC"/>
              <w:rPr>
                <w:rFonts w:ascii="Helvetica" w:hAnsi="Helvetica" w:cs="Helvetica"/>
                <w:lang w:val="en-GB"/>
              </w:rPr>
            </w:pPr>
            <w:r>
              <w:rPr>
                <w:lang w:val="en-GB"/>
              </w:rPr>
              <w:t>0-</w:t>
            </w:r>
            <w:r>
              <w:rPr>
                <w:rFonts w:cs="Symbol" w:ascii="Symbol" w:hAnsi="Symbol"/>
                <w:lang w:val="en-GB"/>
              </w:rPr>
              <w:t></w:t>
            </w:r>
            <w:r>
              <w:rPr>
                <w:rStyle w:val="Subscript"/>
                <w:lang w:val="en-GB"/>
              </w:rPr>
              <w:t>max</w:t>
            </w:r>
          </w:p>
        </w:tc>
        <w:tc>
          <w:tcPr>
            <w:tcW w:w="1537" w:type="dxa"/>
            <w:tcBorders>
              <w:left w:val="single" w:sz="6" w:space="0" w:color="000000"/>
              <w:bottom w:val="single" w:sz="6" w:space="0" w:color="000000"/>
              <w:right w:val="single" w:sz="6" w:space="0" w:color="000000"/>
            </w:tcBorders>
          </w:tcPr>
          <w:p>
            <w:pPr>
              <w:pStyle w:val="TAC"/>
              <w:rPr/>
            </w:pPr>
            <w:r>
              <w:rPr>
                <w:lang w:val="en-GB"/>
              </w:rPr>
              <w:t>{0.5-1.5}*exp(- 6</w:t>
            </w:r>
            <w:r>
              <w:rPr>
                <w:rFonts w:cs="Symbol" w:ascii="Symbol" w:hAnsi="Symbol"/>
                <w:lang w:val="en-GB"/>
              </w:rPr>
              <w:t></w:t>
            </w:r>
            <w:r>
              <w:rPr>
                <w:lang w:val="en-GB"/>
              </w:rPr>
              <w:t>/</w:t>
            </w:r>
            <w:r>
              <w:rPr>
                <w:rFonts w:cs="Symbol" w:ascii="Symbol" w:hAnsi="Symbol"/>
                <w:lang w:val="en-GB"/>
              </w:rPr>
              <w:t></w:t>
            </w:r>
            <w:r>
              <w:rPr>
                <w:rStyle w:val="Subscript"/>
                <w:lang w:val="en-GB"/>
              </w:rPr>
              <w:t>max</w:t>
            </w:r>
            <w:r>
              <w:rPr>
                <w:lang w:val="en-GB"/>
              </w:rPr>
              <w:t>)</w:t>
            </w:r>
          </w:p>
        </w:tc>
        <w:tc>
          <w:tcPr>
            <w:tcW w:w="1404" w:type="dxa"/>
            <w:tcBorders>
              <w:left w:val="single" w:sz="6" w:space="0" w:color="000000"/>
              <w:bottom w:val="single" w:sz="6" w:space="0" w:color="000000"/>
              <w:right w:val="single" w:sz="6" w:space="0" w:color="000000"/>
            </w:tcBorders>
          </w:tcPr>
          <w:p>
            <w:pPr>
              <w:pStyle w:val="TAC"/>
              <w:rPr>
                <w:lang w:val="en-GB"/>
              </w:rPr>
            </w:pPr>
            <w:r>
              <w:rPr>
                <w:lang w:val="en-GB"/>
              </w:rPr>
              <w:t>1:1</w:t>
            </w:r>
          </w:p>
        </w:tc>
        <w:tc>
          <w:tcPr>
            <w:tcW w:w="1603" w:type="dxa"/>
            <w:tcBorders>
              <w:left w:val="single" w:sz="6" w:space="0" w:color="000000"/>
              <w:bottom w:val="single" w:sz="6" w:space="0" w:color="000000"/>
              <w:right w:val="single" w:sz="12" w:space="0" w:color="000000"/>
            </w:tcBorders>
          </w:tcPr>
          <w:p>
            <w:pPr>
              <w:pStyle w:val="TAC"/>
              <w:rPr>
                <w:lang w:val="en-GB"/>
              </w:rPr>
            </w:pPr>
            <w:r>
              <w:rPr>
                <w:lang w:val="en-GB"/>
              </w:rPr>
              <w:t>1</w:t>
            </w:r>
          </w:p>
        </w:tc>
      </w:tr>
      <w:tr>
        <w:trPr>
          <w:cantSplit w:val="true"/>
        </w:trPr>
        <w:tc>
          <w:tcPr>
            <w:tcW w:w="1226" w:type="dxa"/>
            <w:tcBorders>
              <w:top w:val="single" w:sz="6" w:space="0" w:color="000000"/>
              <w:left w:val="single" w:sz="12" w:space="0" w:color="000000"/>
              <w:bottom w:val="single" w:sz="6" w:space="0" w:color="000000"/>
              <w:right w:val="single" w:sz="6" w:space="0" w:color="000000"/>
            </w:tcBorders>
          </w:tcPr>
          <w:p>
            <w:pPr>
              <w:pStyle w:val="TAC"/>
              <w:rPr>
                <w:lang w:val="en-GB"/>
              </w:rPr>
            </w:pPr>
            <w:r>
              <w:rPr>
                <w:lang w:val="en-GB"/>
              </w:rPr>
              <w:t>UrbanA</w:t>
            </w:r>
          </w:p>
        </w:tc>
        <w:tc>
          <w:tcPr>
            <w:tcW w:w="128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r>
              <w:rPr>
                <w:rFonts w:cs="Symbol" w:ascii="Symbol" w:hAnsi="Symbol"/>
                <w:lang w:val="en-GB"/>
              </w:rPr>
              <w:t></w:t>
            </w:r>
            <w:r>
              <w:rPr>
                <w:rStyle w:val="Subscript"/>
                <w:lang w:val="en-GB"/>
              </w:rPr>
              <w:t>max</w:t>
            </w:r>
          </w:p>
        </w:tc>
        <w:tc>
          <w:tcPr>
            <w:tcW w:w="1537" w:type="dxa"/>
            <w:tcBorders>
              <w:top w:val="single" w:sz="6" w:space="0" w:color="000000"/>
              <w:left w:val="single" w:sz="6" w:space="0" w:color="000000"/>
              <w:bottom w:val="single" w:sz="6" w:space="0" w:color="000000"/>
              <w:right w:val="single" w:sz="6" w:space="0" w:color="000000"/>
            </w:tcBorders>
          </w:tcPr>
          <w:p>
            <w:pPr>
              <w:pStyle w:val="TAC"/>
              <w:rPr/>
            </w:pPr>
            <w:r>
              <w:rPr>
                <w:lang w:val="en-GB"/>
              </w:rPr>
              <w:t>{0.5-1.5}*exp(- 6</w:t>
            </w:r>
            <w:r>
              <w:rPr>
                <w:rFonts w:cs="Symbol" w:ascii="Symbol" w:hAnsi="Symbol"/>
                <w:lang w:val="en-GB"/>
              </w:rPr>
              <w:t></w:t>
            </w:r>
            <w:r>
              <w:rPr>
                <w:lang w:val="en-GB"/>
              </w:rPr>
              <w:t>/</w:t>
            </w:r>
            <w:r>
              <w:rPr>
                <w:rFonts w:cs="Symbol" w:ascii="Symbol" w:hAnsi="Symbol"/>
                <w:lang w:val="en-GB"/>
              </w:rPr>
              <w:t></w:t>
            </w:r>
            <w:r>
              <w:rPr>
                <w:rStyle w:val="Subscript"/>
                <w:lang w:val="en-GB"/>
              </w:rPr>
              <w:t>max</w:t>
            </w:r>
            <w:r>
              <w:rPr>
                <w:lang w:val="en-GB"/>
              </w:rPr>
              <w:t>)</w:t>
            </w:r>
          </w:p>
        </w:tc>
        <w:tc>
          <w:tcPr>
            <w:tcW w:w="140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1:1</w:t>
            </w:r>
          </w:p>
        </w:tc>
        <w:tc>
          <w:tcPr>
            <w:tcW w:w="1603" w:type="dxa"/>
            <w:tcBorders>
              <w:top w:val="single" w:sz="6" w:space="0" w:color="000000"/>
              <w:left w:val="single" w:sz="6" w:space="0" w:color="000000"/>
              <w:bottom w:val="single" w:sz="6" w:space="0" w:color="000000"/>
              <w:right w:val="single" w:sz="12" w:space="0" w:color="000000"/>
            </w:tcBorders>
          </w:tcPr>
          <w:p>
            <w:pPr>
              <w:pStyle w:val="TAC"/>
              <w:rPr>
                <w:lang w:val="en-GB"/>
              </w:rPr>
            </w:pPr>
            <w:r>
              <w:rPr>
                <w:lang w:val="en-GB"/>
              </w:rPr>
              <w:t>1</w:t>
            </w:r>
          </w:p>
        </w:tc>
      </w:tr>
      <w:tr>
        <w:trPr>
          <w:cantSplit w:val="true"/>
        </w:trPr>
        <w:tc>
          <w:tcPr>
            <w:tcW w:w="1226" w:type="dxa"/>
            <w:tcBorders>
              <w:top w:val="single" w:sz="6" w:space="0" w:color="000000"/>
              <w:left w:val="single" w:sz="12" w:space="0" w:color="000000"/>
              <w:bottom w:val="single" w:sz="6" w:space="0" w:color="000000"/>
              <w:right w:val="single" w:sz="6" w:space="0" w:color="000000"/>
            </w:tcBorders>
          </w:tcPr>
          <w:p>
            <w:pPr>
              <w:pStyle w:val="TAC"/>
              <w:rPr>
                <w:lang w:val="en-GB"/>
              </w:rPr>
            </w:pPr>
            <w:r>
              <w:rPr>
                <w:lang w:val="en-GB"/>
              </w:rPr>
              <w:t>UrbanB</w:t>
            </w:r>
          </w:p>
        </w:tc>
        <w:tc>
          <w:tcPr>
            <w:tcW w:w="128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w:t>
            </w:r>
          </w:p>
        </w:tc>
        <w:tc>
          <w:tcPr>
            <w:tcW w:w="3074" w:type="dxa"/>
            <w:gridSpan w:val="2"/>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As UrbanA, but adjust time delays after calculating relative powers:</w:t>
            </w:r>
          </w:p>
          <w:p>
            <w:pPr>
              <w:pStyle w:val="TAC"/>
              <w:rPr>
                <w:lang w:val="en-GB"/>
              </w:rPr>
            </w:pPr>
            <w:r>
              <w:rPr>
                <w:lang w:val="en-GB"/>
              </w:rPr>
            </w:r>
            <m:oMathPara xmlns:m="http://schemas.openxmlformats.org/officeDocument/2006/math">
              <m:oMathParaPr>
                <m:jc m:val="center"/>
              </m:oMathParaPr>
              <m:oMath>
                <m:r>
                  <w:rPr>
                    <w:rFonts w:ascii="Cambria Math" w:hAnsi="Cambria Math"/>
                  </w:rPr>
                  <m:t xml:space="preserve">τ</m:t>
                </m:r>
                <m:r>
                  <w:rPr>
                    <w:rFonts w:ascii="Cambria Math" w:hAnsi="Cambria Math"/>
                  </w:rPr>
                  <m:t xml:space="preserve">=</m:t>
                </m:r>
                <m:r>
                  <w:rPr>
                    <w:rFonts w:ascii="Cambria Math" w:hAnsi="Cambria Math"/>
                  </w:rPr>
                  <m:t xml:space="preserve">τ</m:t>
                </m:r>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τ</m:t>
                            </m:r>
                          </m:num>
                          <m:den>
                            <m:sSub>
                              <m:e>
                                <m:r>
                                  <w:rPr>
                                    <w:rFonts w:ascii="Cambria Math" w:hAnsi="Cambria Math"/>
                                  </w:rPr>
                                  <m:t xml:space="preserve">τ</m:t>
                                </m:r>
                              </m:e>
                              <m:sub>
                                <m:r>
                                  <m:rPr>
                                    <m:lit/>
                                    <m:nor/>
                                  </m:rPr>
                                  <w:rPr>
                                    <w:rFonts w:ascii="Cambria Math" w:hAnsi="Cambria Math"/>
                                  </w:rPr>
                                  <m:t xml:space="preserve">max</m:t>
                                </m:r>
                              </m:sub>
                            </m:sSub>
                          </m:den>
                        </m:f>
                      </m:e>
                    </m:d>
                  </m:e>
                  <m:sup>
                    <m:r>
                      <w:rPr>
                        <w:rFonts w:ascii="Cambria Math" w:hAnsi="Cambria Math"/>
                      </w:rPr>
                      <m:t xml:space="preserve">2</m:t>
                    </m:r>
                    <m:r>
                      <m:rPr>
                        <m:lit/>
                        <m:nor/>
                      </m:rPr>
                      <w:rPr>
                        <w:rFonts w:ascii="Cambria Math" w:hAnsi="Cambria Math"/>
                      </w:rPr>
                      <m:t xml:space="preserve">.</m:t>
                    </m:r>
                    <m:r>
                      <w:rPr>
                        <w:rFonts w:ascii="Cambria Math" w:hAnsi="Cambria Math"/>
                      </w:rPr>
                      <m:t xml:space="preserve">3</m:t>
                    </m:r>
                  </m:sup>
                </m:sSup>
              </m:oMath>
            </m:oMathPara>
          </w:p>
        </w:tc>
        <w:tc>
          <w:tcPr>
            <w:tcW w:w="140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1.5:1</w:t>
            </w:r>
          </w:p>
        </w:tc>
        <w:tc>
          <w:tcPr>
            <w:tcW w:w="1603" w:type="dxa"/>
            <w:tcBorders>
              <w:top w:val="single" w:sz="6" w:space="0" w:color="000000"/>
              <w:left w:val="single" w:sz="6" w:space="0" w:color="000000"/>
              <w:bottom w:val="single" w:sz="6" w:space="0" w:color="000000"/>
              <w:right w:val="single" w:sz="12" w:space="0" w:color="000000"/>
            </w:tcBorders>
          </w:tcPr>
          <w:p>
            <w:pPr>
              <w:pStyle w:val="TAC"/>
              <w:rPr>
                <w:lang w:val="en-GB"/>
              </w:rPr>
            </w:pPr>
            <w:r>
              <w:rPr>
                <w:lang w:val="en-GB"/>
              </w:rPr>
              <w:t>1</w:t>
            </w:r>
          </w:p>
        </w:tc>
      </w:tr>
      <w:tr>
        <w:trPr>
          <w:cantSplit w:val="true"/>
        </w:trPr>
        <w:tc>
          <w:tcPr>
            <w:tcW w:w="1226" w:type="dxa"/>
            <w:vMerge w:val="restart"/>
            <w:tcBorders>
              <w:top w:val="single" w:sz="6" w:space="0" w:color="000000"/>
              <w:left w:val="single" w:sz="12" w:space="0" w:color="000000"/>
              <w:bottom w:val="single" w:sz="6" w:space="0" w:color="000000"/>
              <w:right w:val="single" w:sz="6" w:space="0" w:color="000000"/>
            </w:tcBorders>
          </w:tcPr>
          <w:p>
            <w:pPr>
              <w:pStyle w:val="TAC"/>
              <w:rPr>
                <w:lang w:val="en-GB"/>
              </w:rPr>
            </w:pPr>
            <w:r>
              <w:rPr>
                <w:lang w:val="en-GB"/>
              </w:rPr>
              <w:t>Suburban</w:t>
            </w:r>
          </w:p>
        </w:tc>
        <w:tc>
          <w:tcPr>
            <w:tcW w:w="128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4.3</w:t>
            </w:r>
          </w:p>
        </w:tc>
        <w:tc>
          <w:tcPr>
            <w:tcW w:w="1404" w:type="dxa"/>
            <w:vMerge w:val="restart"/>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2:1</w:t>
            </w:r>
          </w:p>
        </w:tc>
        <w:tc>
          <w:tcPr>
            <w:tcW w:w="1603" w:type="dxa"/>
            <w:tcBorders>
              <w:top w:val="single" w:sz="6" w:space="0" w:color="000000"/>
              <w:left w:val="single" w:sz="6" w:space="0" w:color="000000"/>
              <w:bottom w:val="single" w:sz="6" w:space="0" w:color="000000"/>
              <w:right w:val="single" w:sz="12" w:space="0" w:color="000000"/>
            </w:tcBorders>
          </w:tcPr>
          <w:p>
            <w:pPr>
              <w:pStyle w:val="TAC"/>
              <w:rPr>
                <w:lang w:val="en-GB"/>
              </w:rPr>
            </w:pPr>
            <w:r>
              <w:rPr>
                <w:lang w:val="en-GB"/>
              </w:rPr>
              <w:t>15</w:t>
            </w:r>
          </w:p>
        </w:tc>
      </w:tr>
      <w:tr>
        <w:trPr>
          <w:cantSplit w:val="true"/>
        </w:trPr>
        <w:tc>
          <w:tcPr>
            <w:tcW w:w="1226"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val="en-GB"/>
              </w:rPr>
            </w:pPr>
            <w:r>
              <w:rPr>
                <w:lang w:val="en-GB"/>
              </w:rPr>
            </w:r>
          </w:p>
        </w:tc>
        <w:tc>
          <w:tcPr>
            <w:tcW w:w="128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2-6</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r>
              <w:rPr>
                <w:rFonts w:cs="Symbol" w:ascii="Symbol" w:hAnsi="Symbol"/>
                <w:lang w:val="en-GB"/>
              </w:rPr>
              <w:t></w:t>
            </w:r>
            <w:r>
              <w:rPr>
                <w:rStyle w:val="Subscript"/>
                <w:lang w:val="en-GB"/>
              </w:rPr>
              <w:t>max</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0.1-0.4</w:t>
            </w:r>
          </w:p>
        </w:tc>
        <w:tc>
          <w:tcPr>
            <w:tcW w:w="1404"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603" w:type="dxa"/>
            <w:tcBorders>
              <w:top w:val="single" w:sz="6" w:space="0" w:color="000000"/>
              <w:left w:val="single" w:sz="6" w:space="0" w:color="000000"/>
              <w:bottom w:val="single" w:sz="6" w:space="0" w:color="000000"/>
              <w:right w:val="single" w:sz="12" w:space="0" w:color="000000"/>
            </w:tcBorders>
          </w:tcPr>
          <w:p>
            <w:pPr>
              <w:pStyle w:val="TAC"/>
              <w:rPr>
                <w:lang w:val="en-GB"/>
              </w:rPr>
            </w:pPr>
            <w:r>
              <w:rPr>
                <w:lang w:val="en-GB"/>
              </w:rPr>
              <w:t>1-5</w:t>
            </w:r>
          </w:p>
        </w:tc>
      </w:tr>
      <w:tr>
        <w:trPr>
          <w:cantSplit w:val="true"/>
        </w:trPr>
        <w:tc>
          <w:tcPr>
            <w:tcW w:w="1226" w:type="dxa"/>
            <w:tcBorders>
              <w:top w:val="single" w:sz="6" w:space="0" w:color="000000"/>
              <w:left w:val="single" w:sz="12" w:space="0" w:color="000000"/>
              <w:bottom w:val="single" w:sz="12" w:space="0" w:color="000000"/>
              <w:right w:val="single" w:sz="6" w:space="0" w:color="000000"/>
            </w:tcBorders>
          </w:tcPr>
          <w:p>
            <w:pPr>
              <w:pStyle w:val="TAC"/>
              <w:rPr>
                <w:lang w:val="en-GB"/>
              </w:rPr>
            </w:pPr>
            <w:r>
              <w:rPr>
                <w:lang w:val="en-GB"/>
              </w:rPr>
              <w:t>Rural</w:t>
            </w:r>
          </w:p>
        </w:tc>
        <w:tc>
          <w:tcPr>
            <w:tcW w:w="7369" w:type="dxa"/>
            <w:gridSpan w:val="5"/>
            <w:tcBorders>
              <w:top w:val="single" w:sz="6" w:space="0" w:color="000000"/>
              <w:left w:val="single" w:sz="6" w:space="0" w:color="000000"/>
              <w:bottom w:val="single" w:sz="12" w:space="0" w:color="000000"/>
              <w:right w:val="single" w:sz="12" w:space="0" w:color="000000"/>
            </w:tcBorders>
          </w:tcPr>
          <w:p>
            <w:pPr>
              <w:pStyle w:val="TAC"/>
              <w:rPr>
                <w:lang w:val="en-GB"/>
              </w:rPr>
            </w:pPr>
            <w:r>
              <w:rPr>
                <w:lang w:val="en-GB"/>
              </w:rPr>
              <w:t xml:space="preserve">As suburban </w:t>
            </w:r>
          </w:p>
        </w:tc>
      </w:tr>
    </w:tbl>
    <w:p>
      <w:pPr>
        <w:pStyle w:val="FP"/>
        <w:rPr/>
      </w:pPr>
      <w:r>
        <w:rPr/>
      </w:r>
    </w:p>
    <w:p>
      <w:pPr>
        <w:pStyle w:val="Heading2"/>
        <w:rPr/>
      </w:pPr>
      <w:bookmarkStart w:id="651" w:name="__RefHeading___Toc518036049"/>
      <w:bookmarkEnd w:id="651"/>
      <w:r>
        <w:rPr/>
        <w:t>5.5</w:t>
        <w:tab/>
        <w:t>Matching the delay spread of the channel model to the delay spread model</w:t>
      </w:r>
    </w:p>
    <w:p>
      <w:pPr>
        <w:pStyle w:val="Normal"/>
        <w:rPr/>
      </w:pPr>
      <w:r>
        <w:rPr/>
        <w:t xml:space="preserve">A simple rescaling of the time delay axis is used to compress or expand the average power delay profiles to give the desired delay spread. To elaborate, if a given realization of an average power delay profile has delay spread </w:t>
      </w:r>
      <w:r>
        <w:rPr>
          <w:rFonts w:cs="Helvetica" w:ascii="Helvetica" w:hAnsi="Helvetica"/>
          <w:i/>
        </w:rPr>
        <w:t>d</w:t>
      </w:r>
      <w:r>
        <w:rPr>
          <w:rFonts w:cs="Helvetica" w:ascii="Helvetica" w:hAnsi="Helvetica"/>
          <w:i/>
          <w:vertAlign w:val="subscript"/>
        </w:rPr>
        <w:t>1</w:t>
      </w:r>
      <w:r>
        <w:rPr/>
        <w:t xml:space="preserve">, but the delay spread model realization value is </w:t>
      </w:r>
      <w:r>
        <w:rPr>
          <w:rFonts w:cs="Helvetica" w:ascii="Helvetica" w:hAnsi="Helvetica"/>
          <w:i/>
        </w:rPr>
        <w:t>d</w:t>
      </w:r>
      <w:r>
        <w:rPr>
          <w:rFonts w:cs="Helvetica" w:ascii="Helvetica" w:hAnsi="Helvetica"/>
          <w:i/>
          <w:vertAlign w:val="subscript"/>
        </w:rPr>
        <w:t>2</w:t>
      </w:r>
      <w:r>
        <w:rPr/>
        <w:t xml:space="preserve">, the time delays of the </w:t>
      </w:r>
      <w:r>
        <w:rPr>
          <w:i/>
        </w:rPr>
        <w:t>apdp</w:t>
      </w:r>
      <w:r>
        <w:rPr/>
        <w:t xml:space="preserve"> scatterers are simply multiplied by </w:t>
      </w:r>
      <w:r>
        <w:rPr>
          <w:rFonts w:cs="Helvetica" w:ascii="Helvetica" w:hAnsi="Helvetica"/>
          <w:i/>
        </w:rPr>
        <w:t>d</w:t>
      </w:r>
      <w:r>
        <w:rPr>
          <w:rFonts w:cs="Helvetica" w:ascii="Helvetica" w:hAnsi="Helvetica"/>
          <w:i/>
          <w:vertAlign w:val="subscript"/>
        </w:rPr>
        <w:t>2</w:t>
      </w:r>
      <w:r>
        <w:rPr/>
        <w:t>/</w:t>
      </w:r>
      <w:r>
        <w:rPr>
          <w:rFonts w:cs="Helvetica" w:ascii="Helvetica" w:hAnsi="Helvetica"/>
          <w:i/>
        </w:rPr>
        <w:t>d</w:t>
      </w:r>
      <w:r>
        <w:rPr>
          <w:rFonts w:cs="Helvetica" w:ascii="Helvetica" w:hAnsi="Helvetica"/>
          <w:i/>
          <w:vertAlign w:val="subscript"/>
        </w:rPr>
        <w:t>1</w:t>
      </w:r>
      <w:r>
        <w:rPr/>
        <w:t xml:space="preserve">. The </w:t>
      </w:r>
      <w:r>
        <w:rPr>
          <w:i/>
        </w:rPr>
        <w:t>apdp</w:t>
      </w:r>
      <w:r>
        <w:rPr/>
        <w:t xml:space="preserve"> will then have delay spread </w:t>
      </w:r>
      <w:r>
        <w:rPr>
          <w:rFonts w:cs="Helvetica" w:ascii="Helvetica" w:hAnsi="Helvetica"/>
          <w:i/>
        </w:rPr>
        <w:t>d</w:t>
      </w:r>
      <w:r>
        <w:rPr>
          <w:rFonts w:cs="Helvetica" w:ascii="Helvetica" w:hAnsi="Helvetica"/>
          <w:i/>
          <w:vertAlign w:val="subscript"/>
        </w:rPr>
        <w:t>2</w:t>
      </w:r>
      <w:r>
        <w:rPr/>
        <w:t>.</w:t>
      </w:r>
    </w:p>
    <w:p>
      <w:pPr>
        <w:pStyle w:val="Heading2"/>
        <w:rPr/>
      </w:pPr>
      <w:bookmarkStart w:id="652" w:name="__RefHeading___Toc518036050"/>
      <w:bookmarkEnd w:id="652"/>
      <w:r>
        <w:rPr/>
        <w:t>5.6</w:t>
        <w:tab/>
        <w:t>Short-term fading</w:t>
      </w:r>
    </w:p>
    <w:p>
      <w:pPr>
        <w:pStyle w:val="Normal"/>
        <w:rPr/>
      </w:pPr>
      <w:r>
        <w:rPr/>
        <w:t xml:space="preserve">The modelling assumption is that each of the scatterers in the impulse response fades individually. The fading is modelled by the physical process of summation of a large number of waves, where the power distribution of the waves is chosen in order to generate Nakagami-m fading statistics [6]. The m-parameter values in the model are given in table 5.2. (m = 1 for Rayleigh, m&gt;&gt;1 for Rice). The complex phase of each wave is random. </w:t>
      </w:r>
    </w:p>
    <w:p>
      <w:pPr>
        <w:pStyle w:val="Normal"/>
        <w:rPr/>
      </w:pPr>
      <w:r>
        <w:rPr/>
        <w:t>The arrival angles of the waves at the mobile are generated from a truncated Gaussian distribution (standard dev. = 0.15 rad) around a mean AoA. The mean AoA for each scatterer is generated from a uniform (0-2</w:t>
      </w:r>
      <w:r>
        <w:rPr>
          <w:rFonts w:cs="Symbol" w:ascii="Symbol" w:hAnsi="Symbol"/>
        </w:rPr>
        <w:t></w:t>
      </w:r>
      <w:r>
        <w:rPr/>
        <w:t>) distribution. 100 waves are used for each scatterer.</w:t>
      </w:r>
    </w:p>
    <w:p>
      <w:pPr>
        <w:pStyle w:val="Normal"/>
        <w:rPr/>
      </w:pPr>
      <w:r>
        <w:rPr/>
        <w:t>The knowledge of all arrival angles, amplitudes and phases of the waves allows us to calculate the complex sum at any position of the mobile. In this way we are able to physically generate the fading of the scatterers as the mobile moves.</w:t>
      </w:r>
    </w:p>
    <w:p>
      <w:pPr>
        <w:pStyle w:val="Heading2"/>
        <w:rPr/>
      </w:pPr>
      <w:bookmarkStart w:id="653" w:name="__RefHeading___Toc518036051"/>
      <w:bookmarkEnd w:id="653"/>
      <w:r>
        <w:rPr/>
        <w:t>5.7</w:t>
        <w:tab/>
        <w:t>Diversity</w:t>
      </w:r>
    </w:p>
    <w:p>
      <w:pPr>
        <w:pStyle w:val="Normal"/>
        <w:rPr/>
      </w:pPr>
      <w:r>
        <w:rPr/>
        <w:t>When using more than one base station antenna for reception/transmission, we need to model the channel for each antenna, with a certain amount of decorrelation between the antenna signals. This is modelled in the same physical manner as the short-term fading, we only need to obtain knowledge about the angles of arrival (departure) at the base station. The following assumptions are made:</w:t>
      </w:r>
    </w:p>
    <w:p>
      <w:pPr>
        <w:pStyle w:val="B1"/>
        <w:rPr/>
      </w:pPr>
      <w:r>
        <w:rPr/>
        <w:t>-</w:t>
        <w:tab/>
        <w:t>Scattering is primarily occurring close to the mobile [7], so that each scatterer can be viewed as a point source from the base station. (All partial waves for that scatterer have the same angle of arrival at the BS)</w:t>
      </w:r>
    </w:p>
    <w:p>
      <w:pPr>
        <w:pStyle w:val="Normal"/>
        <w:rPr>
          <w:rFonts w:ascii="Times" w:hAnsi="Times" w:cs="Times"/>
          <w:color w:val="000000"/>
        </w:rPr>
      </w:pPr>
      <w:r>
        <w:rPr>
          <w:rFonts w:cs="Times" w:ascii="Times" w:hAnsi="Times"/>
          <w:color w:val="000000"/>
        </w:rPr>
        <w:t>The angle of arrival of each scatterer is modelled from a Gaussian with standard deviation:</w:t>
      </w:r>
    </w:p>
    <w:tbl>
      <w:tblPr>
        <w:tblW w:w="9570" w:type="dxa"/>
        <w:jc w:val="left"/>
        <w:tblInd w:w="-108" w:type="dxa"/>
        <w:tblLayout w:type="fixed"/>
        <w:tblCellMar>
          <w:top w:w="0" w:type="dxa"/>
          <w:left w:w="108" w:type="dxa"/>
          <w:bottom w:w="0" w:type="dxa"/>
          <w:right w:w="108" w:type="dxa"/>
        </w:tblCellMar>
      </w:tblPr>
      <w:tblGrid>
        <w:gridCol w:w="8613"/>
        <w:gridCol w:w="957"/>
      </w:tblGrid>
      <w:tr>
        <w:trPr/>
        <w:tc>
          <w:tcPr>
            <w:tcW w:w="8613" w:type="dxa"/>
            <w:tcBorders/>
          </w:tcPr>
          <w:p>
            <w:pPr>
              <w:pStyle w:val="Normal"/>
              <w:widowControl/>
              <w:overflowPunct w:val="false"/>
              <w:autoSpaceDE w:val="false"/>
              <w:bidi w:val="0"/>
              <w:spacing w:before="0" w:after="180"/>
              <w:textAlignment w:val="baseline"/>
              <w:rPr/>
            </w:pPr>
            <w:r>
              <w:rPr/>
              <w:drawing>
                <wp:inline distT="0" distB="0" distL="0" distR="0">
                  <wp:extent cx="850900" cy="393700"/>
                  <wp:effectExtent l="0" t="0" r="0" b="0"/>
                  <wp:docPr id="187" name="Imag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211" descr=""/>
                          <pic:cNvPicPr>
                            <a:picLocks noChangeAspect="1" noChangeArrowheads="1"/>
                          </pic:cNvPicPr>
                        </pic:nvPicPr>
                        <pic:blipFill>
                          <a:blip r:embed="rId185"/>
                          <a:srcRect l="-42" t="-91" r="-42" b="-91"/>
                          <a:stretch>
                            <a:fillRect/>
                          </a:stretch>
                        </pic:blipFill>
                        <pic:spPr bwMode="auto">
                          <a:xfrm>
                            <a:off x="0" y="0"/>
                            <a:ext cx="850900" cy="393700"/>
                          </a:xfrm>
                          <a:prstGeom prst="rect">
                            <a:avLst/>
                          </a:prstGeom>
                        </pic:spPr>
                      </pic:pic>
                    </a:graphicData>
                  </a:graphic>
                </wp:inline>
              </w:drawing>
            </w:r>
          </w:p>
        </w:tc>
        <w:tc>
          <w:tcPr>
            <w:tcW w:w="957" w:type="dxa"/>
            <w:tcBorders/>
          </w:tcPr>
          <w:p>
            <w:pPr>
              <w:pStyle w:val="Normal"/>
              <w:spacing w:before="0" w:after="180"/>
              <w:rPr>
                <w:rFonts w:ascii="Times" w:hAnsi="Times" w:cs="Times"/>
                <w:color w:val="000000"/>
              </w:rPr>
            </w:pPr>
            <w:r>
              <w:rPr>
                <w:rFonts w:cs="Times" w:ascii="Times" w:hAnsi="Times"/>
                <w:color w:val="000000"/>
              </w:rPr>
              <w:t>(5.3)</w:t>
            </w:r>
          </w:p>
        </w:tc>
      </w:tr>
    </w:tbl>
    <w:p>
      <w:pPr>
        <w:pStyle w:val="Normal"/>
        <w:rPr/>
      </w:pPr>
      <w:r>
        <w:rPr/>
        <w:t>This approach is is similar to that in [8], but with the inclusion of the time delays of the scatterers. The expression above can be shown [6] to lead to approximately a Laplacian power azimuth spectrum, which has been observed in measurements [9].</w:t>
      </w:r>
    </w:p>
    <w:p>
      <w:pPr>
        <w:pStyle w:val="Heading2"/>
        <w:rPr/>
      </w:pPr>
      <w:bookmarkStart w:id="654" w:name="__RefHeading___Toc518036052"/>
      <w:bookmarkEnd w:id="654"/>
      <w:r>
        <w:rPr/>
        <w:t>5.8</w:t>
        <w:tab/>
        <w:t>Limitations</w:t>
      </w:r>
    </w:p>
    <w:p>
      <w:pPr>
        <w:pStyle w:val="Normal"/>
        <w:rPr/>
      </w:pPr>
      <w:r>
        <w:rPr/>
        <w:t>The following limitations of the model should be kept in mind, so as not to apply the model outside its area of validity.</w:t>
      </w:r>
    </w:p>
    <w:p>
      <w:pPr>
        <w:pStyle w:val="Normal"/>
        <w:rPr/>
      </w:pPr>
      <w:r>
        <w:rPr/>
        <w:t>Wide-Sense Stationarity is assumed, so dynamic changes in the propagation envi</w:t>
        <w:softHyphen/>
        <w:t>ronment is not modelled. All movement of the mobile is assumed to be on a local scale, with no movements around street corners or into houses etc.</w:t>
      </w:r>
    </w:p>
    <w:p>
      <w:pPr>
        <w:pStyle w:val="Normal"/>
        <w:rPr/>
      </w:pPr>
      <w:r>
        <w:rPr/>
        <w:t>The model, especially the delay spread model, is intended to give the average behaviour rather than be able to reproduce the specifics of any given real-world location.</w:t>
      </w:r>
    </w:p>
    <w:p>
      <w:pPr>
        <w:pStyle w:val="Heading2"/>
        <w:rPr/>
      </w:pPr>
      <w:bookmarkStart w:id="655" w:name="__RefHeading___Toc518036053"/>
      <w:bookmarkEnd w:id="655"/>
      <w:r>
        <w:rPr/>
        <w:t>5.9</w:t>
        <w:tab/>
        <w:t>Summary of the channel model</w:t>
      </w:r>
    </w:p>
    <w:p>
      <w:pPr>
        <w:pStyle w:val="Normal"/>
        <w:rPr/>
      </w:pPr>
      <w:r>
        <w:rPr/>
        <w:t>The model is summarized below:</w:t>
      </w:r>
    </w:p>
    <w:p>
      <w:pPr>
        <w:pStyle w:val="B1"/>
        <w:rPr/>
      </w:pPr>
      <w:r>
        <w:rPr/>
        <w:t>-</w:t>
        <w:tab/>
        <w:t xml:space="preserve">Delay spreads are generated according to </w:t>
      </w:r>
      <w:r>
        <w:rPr/>
        <w:drawing>
          <wp:inline distT="0" distB="0" distL="0" distR="0">
            <wp:extent cx="762000" cy="241300"/>
            <wp:effectExtent l="0" t="0" r="0" b="0"/>
            <wp:docPr id="188" name="Image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12" descr=""/>
                    <pic:cNvPicPr>
                      <a:picLocks noChangeAspect="1" noChangeArrowheads="1"/>
                    </pic:cNvPicPr>
                  </pic:nvPicPr>
                  <pic:blipFill>
                    <a:blip r:embed="rId186"/>
                    <a:srcRect l="-47" t="-149" r="-47" b="-149"/>
                    <a:stretch>
                      <a:fillRect/>
                    </a:stretch>
                  </pic:blipFill>
                  <pic:spPr bwMode="auto">
                    <a:xfrm>
                      <a:off x="0" y="0"/>
                      <a:ext cx="762000" cy="241300"/>
                    </a:xfrm>
                    <a:prstGeom prst="rect">
                      <a:avLst/>
                    </a:prstGeom>
                  </pic:spPr>
                </pic:pic>
              </a:graphicData>
            </a:graphic>
          </wp:inline>
        </w:drawing>
      </w:r>
      <w:r>
        <w:rPr/>
        <w:t xml:space="preserve"> (see equation 5.1). The chosen parameter values are given in table 5.3.</w:t>
      </w:r>
    </w:p>
    <w:p>
      <w:pPr>
        <w:pStyle w:val="TH"/>
        <w:rPr/>
      </w:pPr>
      <w:r>
        <w:rPr/>
        <w:t>Table 5.3: Delay spread model parameters for the different environments</w:t>
      </w:r>
    </w:p>
    <w:tbl>
      <w:tblPr>
        <w:tblW w:w="5209" w:type="dxa"/>
        <w:jc w:val="center"/>
        <w:tblInd w:w="0" w:type="dxa"/>
        <w:tblLayout w:type="fixed"/>
        <w:tblCellMar>
          <w:top w:w="0" w:type="dxa"/>
          <w:left w:w="0" w:type="dxa"/>
          <w:bottom w:w="0" w:type="dxa"/>
          <w:right w:w="0" w:type="dxa"/>
        </w:tblCellMar>
      </w:tblPr>
      <w:tblGrid>
        <w:gridCol w:w="1807"/>
        <w:gridCol w:w="1134"/>
        <w:gridCol w:w="1134"/>
        <w:gridCol w:w="1134"/>
      </w:tblGrid>
      <w:tr>
        <w:trPr/>
        <w:tc>
          <w:tcPr>
            <w:tcW w:w="180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Environment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ascii="Helvetica" w:hAnsi="Helvetica" w:cs="Helvetica"/>
                <w:lang w:eastAsia="en-US"/>
              </w:rPr>
            </w:pPr>
            <w:r>
              <w:rPr>
                <w:lang w:eastAsia="en-US"/>
              </w:rPr>
              <w:drawing>
                <wp:inline distT="0" distB="0" distL="0" distR="0">
                  <wp:extent cx="152400" cy="215900"/>
                  <wp:effectExtent l="0" t="0" r="0" b="0"/>
                  <wp:docPr id="189" name="Image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213" descr=""/>
                          <pic:cNvPicPr>
                            <a:picLocks noChangeAspect="1" noChangeArrowheads="1"/>
                          </pic:cNvPicPr>
                        </pic:nvPicPr>
                        <pic:blipFill>
                          <a:blip r:embed="rId187"/>
                          <a:srcRect l="-236" t="-167" r="-236" b="-167"/>
                          <a:stretch>
                            <a:fillRect/>
                          </a:stretch>
                        </pic:blipFill>
                        <pic:spPr bwMode="auto">
                          <a:xfrm>
                            <a:off x="0" y="0"/>
                            <a:ext cx="152400" cy="215900"/>
                          </a:xfrm>
                          <a:prstGeom prst="rect">
                            <a:avLst/>
                          </a:prstGeom>
                        </pic:spPr>
                      </pic:pic>
                    </a:graphicData>
                  </a:graphic>
                </wp:inline>
              </w:drawing>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ascii="Symbol" w:hAnsi="Symbol" w:cs="Symbol"/>
                <w:lang w:eastAsia="en-US"/>
              </w:rPr>
            </w:pPr>
            <w:r>
              <w:rPr>
                <w:rFonts w:cs="Symbol" w:ascii="Symbol" w:hAnsi="Symbol"/>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ascii="Helvetica" w:hAnsi="Helvetica" w:cs="Helvetica"/>
                <w:lang w:eastAsia="en-US"/>
              </w:rPr>
            </w:pPr>
            <w:r>
              <w:rPr>
                <w:rFonts w:cs="Symbol" w:ascii="Symbol" w:hAnsi="Symbol"/>
                <w:lang w:eastAsia="en-US"/>
              </w:rPr>
              <w:t></w:t>
            </w:r>
            <w:r>
              <w:rPr>
                <w:rFonts w:cs="Helvetica" w:ascii="Helvetica" w:hAnsi="Helvetica"/>
                <w:vertAlign w:val="subscript"/>
                <w:lang w:eastAsia="en-US"/>
              </w:rPr>
              <w:t>Y</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Bad Urban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1.0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UrbanA</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0.4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0.5</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UrbanB</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0.4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Suburban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0.3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r>
        <w:trPr/>
        <w:tc>
          <w:tcPr>
            <w:tcW w:w="18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Rural</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lang w:val="en-GB"/>
              </w:rPr>
              <w:t xml:space="preserve">0.1 </w:t>
            </w:r>
            <w:r>
              <w:rPr>
                <w:rFonts w:cs="Symbol" w:ascii="Symbol" w:hAnsi="Symbol"/>
                <w:lang w:val="en-GB"/>
              </w:rPr>
              <w:t></w:t>
            </w:r>
            <w:r>
              <w:rPr>
                <w:lang w:val="en-GB"/>
              </w:rPr>
              <w:t>s</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 dB</w:t>
            </w:r>
          </w:p>
        </w:tc>
      </w:tr>
    </w:tbl>
    <w:p>
      <w:pPr>
        <w:pStyle w:val="Normal"/>
        <w:rPr/>
      </w:pPr>
      <w:r>
        <w:rPr/>
      </w:r>
    </w:p>
    <w:p>
      <w:pPr>
        <w:pStyle w:val="Normal"/>
        <w:rPr/>
      </w:pPr>
      <w:r>
        <w:rPr/>
        <w:t xml:space="preserve">Parameters for generation of </w:t>
      </w:r>
      <w:r>
        <w:rPr>
          <w:i/>
        </w:rPr>
        <w:t>apdp</w:t>
      </w:r>
      <w:r>
        <w:rPr/>
        <w:t>:s and fading are given in table 5.4.</w:t>
      </w:r>
    </w:p>
    <w:p>
      <w:pPr>
        <w:pStyle w:val="TH"/>
        <w:rPr/>
      </w:pPr>
      <w:r>
        <w:rPr/>
        <w:t>Table 5.4: Parameters for the average power delay profile and short-term fading</w:t>
      </w:r>
    </w:p>
    <w:tbl>
      <w:tblPr>
        <w:tblW w:w="8595" w:type="dxa"/>
        <w:jc w:val="center"/>
        <w:tblInd w:w="0" w:type="dxa"/>
        <w:tblLayout w:type="fixed"/>
        <w:tblCellMar>
          <w:top w:w="0" w:type="dxa"/>
          <w:left w:w="0" w:type="dxa"/>
          <w:bottom w:w="0" w:type="dxa"/>
          <w:right w:w="0" w:type="dxa"/>
        </w:tblCellMar>
      </w:tblPr>
      <w:tblGrid>
        <w:gridCol w:w="1226"/>
        <w:gridCol w:w="1288"/>
        <w:gridCol w:w="1537"/>
        <w:gridCol w:w="1537"/>
        <w:gridCol w:w="1404"/>
        <w:gridCol w:w="1603"/>
      </w:tblGrid>
      <w:tr>
        <w:trPr>
          <w:cantSplit w:val="true"/>
        </w:trPr>
        <w:tc>
          <w:tcPr>
            <w:tcW w:w="1226" w:type="dxa"/>
            <w:tcBorders>
              <w:top w:val="single" w:sz="12" w:space="0" w:color="000000"/>
              <w:left w:val="single" w:sz="12" w:space="0" w:color="000000"/>
              <w:bottom w:val="single" w:sz="12" w:space="0" w:color="000000"/>
              <w:right w:val="single" w:sz="6" w:space="0" w:color="000000"/>
            </w:tcBorders>
          </w:tcPr>
          <w:p>
            <w:pPr>
              <w:pStyle w:val="TAH"/>
              <w:rPr>
                <w:lang w:eastAsia="en-US"/>
              </w:rPr>
            </w:pPr>
            <w:r>
              <w:rPr>
                <w:lang w:eastAsia="en-US"/>
              </w:rPr>
              <w:t>Environment</w:t>
            </w:r>
          </w:p>
        </w:tc>
        <w:tc>
          <w:tcPr>
            <w:tcW w:w="1288" w:type="dxa"/>
            <w:tcBorders>
              <w:top w:val="single" w:sz="12" w:space="0" w:color="000000"/>
              <w:left w:val="single" w:sz="6" w:space="0" w:color="000000"/>
              <w:bottom w:val="single" w:sz="12" w:space="0" w:color="000000"/>
              <w:right w:val="single" w:sz="6" w:space="0" w:color="000000"/>
            </w:tcBorders>
          </w:tcPr>
          <w:p>
            <w:pPr>
              <w:pStyle w:val="TAH"/>
              <w:rPr>
                <w:lang w:eastAsia="en-US"/>
              </w:rPr>
            </w:pPr>
            <w:r>
              <w:rPr>
                <w:lang w:eastAsia="en-US"/>
              </w:rPr>
              <w:t>Scatterer #</w:t>
            </w:r>
          </w:p>
        </w:tc>
        <w:tc>
          <w:tcPr>
            <w:tcW w:w="1537" w:type="dxa"/>
            <w:tcBorders>
              <w:top w:val="single" w:sz="12" w:space="0" w:color="000000"/>
              <w:left w:val="single" w:sz="6" w:space="0" w:color="000000"/>
              <w:bottom w:val="single" w:sz="12" w:space="0" w:color="000000"/>
              <w:right w:val="single" w:sz="6" w:space="0" w:color="000000"/>
            </w:tcBorders>
          </w:tcPr>
          <w:p>
            <w:pPr>
              <w:pStyle w:val="TAH"/>
              <w:rPr/>
            </w:pPr>
            <w:r>
              <w:rPr>
                <w:lang w:eastAsia="en-US"/>
              </w:rPr>
              <w:t xml:space="preserve">Time delay </w:t>
            </w:r>
            <w:r>
              <w:rPr>
                <w:rFonts w:cs="Symbol" w:ascii="Symbol" w:hAnsi="Symbol"/>
                <w:lang w:eastAsia="en-US"/>
              </w:rPr>
              <w:t></w:t>
            </w:r>
            <w:r>
              <w:rPr>
                <w:rFonts w:cs="Helvetica" w:ascii="Helvetica" w:hAnsi="Helvetica"/>
                <w:vertAlign w:val="subscript"/>
                <w:lang w:eastAsia="en-US"/>
              </w:rPr>
              <w:t>i</w:t>
            </w:r>
          </w:p>
        </w:tc>
        <w:tc>
          <w:tcPr>
            <w:tcW w:w="1537" w:type="dxa"/>
            <w:tcBorders>
              <w:top w:val="single" w:sz="12" w:space="0" w:color="000000"/>
              <w:left w:val="single" w:sz="6" w:space="0" w:color="000000"/>
              <w:bottom w:val="single" w:sz="12" w:space="0" w:color="000000"/>
              <w:right w:val="single" w:sz="6" w:space="0" w:color="000000"/>
            </w:tcBorders>
          </w:tcPr>
          <w:p>
            <w:pPr>
              <w:pStyle w:val="TAH"/>
              <w:rPr>
                <w:rFonts w:ascii="Helvetica" w:hAnsi="Helvetica" w:cs="Helvetica"/>
                <w:lang w:eastAsia="en-US"/>
              </w:rPr>
            </w:pPr>
            <w:r>
              <w:rPr>
                <w:lang w:eastAsia="en-US"/>
              </w:rPr>
              <w:t>Relative Power</w:t>
            </w:r>
            <w:r>
              <w:rPr>
                <w:rFonts w:cs="Symbol" w:ascii="Symbol" w:hAnsi="Symbol"/>
                <w:lang w:eastAsia="en-US"/>
              </w:rPr>
              <w:t></w:t>
            </w:r>
            <w:r>
              <w:rPr>
                <w:rFonts w:cs="Helvetica" w:ascii="Helvetica" w:hAnsi="Helvetica"/>
                <w:lang w:eastAsia="en-US"/>
              </w:rPr>
              <w:t>p</w:t>
            </w:r>
            <w:r>
              <w:rPr>
                <w:rFonts w:cs="Helvetica" w:ascii="Helvetica" w:hAnsi="Helvetica"/>
                <w:vertAlign w:val="subscript"/>
                <w:lang w:eastAsia="en-US"/>
              </w:rPr>
              <w:t>i</w:t>
            </w:r>
          </w:p>
        </w:tc>
        <w:tc>
          <w:tcPr>
            <w:tcW w:w="1404" w:type="dxa"/>
            <w:tcBorders>
              <w:top w:val="single" w:sz="12" w:space="0" w:color="000000"/>
              <w:left w:val="single" w:sz="6" w:space="0" w:color="000000"/>
              <w:bottom w:val="single" w:sz="12" w:space="0" w:color="000000"/>
              <w:right w:val="single" w:sz="6" w:space="0" w:color="000000"/>
            </w:tcBorders>
          </w:tcPr>
          <w:p>
            <w:pPr>
              <w:pStyle w:val="TAH"/>
              <w:rPr>
                <w:rFonts w:ascii="Helvetica" w:hAnsi="Helvetica" w:cs="Helvetica"/>
                <w:lang w:eastAsia="en-US"/>
              </w:rPr>
            </w:pPr>
            <w:r>
              <w:rPr>
                <w:lang w:eastAsia="en-US"/>
              </w:rPr>
              <w:t>Average delay spread to mean excess delay ratio</w:t>
            </w:r>
          </w:p>
        </w:tc>
        <w:tc>
          <w:tcPr>
            <w:tcW w:w="1603" w:type="dxa"/>
            <w:tcBorders>
              <w:top w:val="single" w:sz="12" w:space="0" w:color="000000"/>
              <w:left w:val="single" w:sz="6" w:space="0" w:color="000000"/>
              <w:bottom w:val="single" w:sz="12" w:space="0" w:color="000000"/>
              <w:right w:val="single" w:sz="12" w:space="0" w:color="000000"/>
            </w:tcBorders>
          </w:tcPr>
          <w:p>
            <w:pPr>
              <w:pStyle w:val="TAH"/>
              <w:rPr>
                <w:lang w:eastAsia="en-US"/>
              </w:rPr>
            </w:pPr>
            <w:r>
              <w:rPr>
                <w:lang w:eastAsia="en-US"/>
              </w:rPr>
              <w:t>Nakagami-m parameter</w:t>
            </w:r>
          </w:p>
        </w:tc>
      </w:tr>
      <w:tr>
        <w:trPr>
          <w:cantSplit w:val="true"/>
        </w:trPr>
        <w:tc>
          <w:tcPr>
            <w:tcW w:w="1226" w:type="dxa"/>
            <w:tcBorders>
              <w:left w:val="single" w:sz="12" w:space="0" w:color="000000"/>
              <w:bottom w:val="single" w:sz="6" w:space="0" w:color="000000"/>
              <w:right w:val="single" w:sz="6" w:space="0" w:color="000000"/>
            </w:tcBorders>
          </w:tcPr>
          <w:p>
            <w:pPr>
              <w:pStyle w:val="TAC"/>
              <w:rPr>
                <w:lang w:val="en-GB"/>
              </w:rPr>
            </w:pPr>
            <w:r>
              <w:rPr>
                <w:lang w:val="en-GB"/>
              </w:rPr>
              <w:t>Bad Urban</w:t>
            </w:r>
          </w:p>
        </w:tc>
        <w:tc>
          <w:tcPr>
            <w:tcW w:w="1288" w:type="dxa"/>
            <w:tcBorders>
              <w:left w:val="single" w:sz="6" w:space="0" w:color="000000"/>
              <w:bottom w:val="single" w:sz="6" w:space="0" w:color="000000"/>
              <w:right w:val="single" w:sz="6" w:space="0" w:color="000000"/>
            </w:tcBorders>
          </w:tcPr>
          <w:p>
            <w:pPr>
              <w:pStyle w:val="TAC"/>
              <w:rPr>
                <w:lang w:val="en-GB"/>
              </w:rPr>
            </w:pPr>
            <w:r>
              <w:rPr>
                <w:lang w:val="en-GB"/>
              </w:rPr>
              <w:t>1-20</w:t>
            </w:r>
          </w:p>
        </w:tc>
        <w:tc>
          <w:tcPr>
            <w:tcW w:w="1537" w:type="dxa"/>
            <w:tcBorders>
              <w:left w:val="single" w:sz="6" w:space="0" w:color="000000"/>
              <w:bottom w:val="single" w:sz="6" w:space="0" w:color="000000"/>
              <w:right w:val="single" w:sz="6" w:space="0" w:color="000000"/>
            </w:tcBorders>
          </w:tcPr>
          <w:p>
            <w:pPr>
              <w:pStyle w:val="TAC"/>
              <w:rPr>
                <w:rFonts w:ascii="Helvetica" w:hAnsi="Helvetica" w:cs="Helvetica"/>
                <w:lang w:val="en-GB"/>
              </w:rPr>
            </w:pPr>
            <w:r>
              <w:rPr>
                <w:lang w:val="en-GB"/>
              </w:rPr>
              <w:t>0-</w:t>
            </w:r>
            <w:r>
              <w:rPr>
                <w:rFonts w:cs="Symbol" w:ascii="Symbol" w:hAnsi="Symbol"/>
                <w:lang w:val="en-GB"/>
              </w:rPr>
              <w:t></w:t>
            </w:r>
            <w:r>
              <w:rPr>
                <w:rStyle w:val="Subscript"/>
                <w:lang w:val="en-GB"/>
              </w:rPr>
              <w:t>max</w:t>
            </w:r>
          </w:p>
        </w:tc>
        <w:tc>
          <w:tcPr>
            <w:tcW w:w="1537" w:type="dxa"/>
            <w:tcBorders>
              <w:left w:val="single" w:sz="6" w:space="0" w:color="000000"/>
              <w:bottom w:val="single" w:sz="6" w:space="0" w:color="000000"/>
              <w:right w:val="single" w:sz="6" w:space="0" w:color="000000"/>
            </w:tcBorders>
          </w:tcPr>
          <w:p>
            <w:pPr>
              <w:pStyle w:val="TAC"/>
              <w:rPr/>
            </w:pPr>
            <w:r>
              <w:rPr>
                <w:lang w:val="en-GB"/>
              </w:rPr>
              <w:t>{0.5-1.5}*exp(- 6</w:t>
            </w:r>
            <w:r>
              <w:rPr>
                <w:rFonts w:cs="Symbol" w:ascii="Symbol" w:hAnsi="Symbol"/>
                <w:lang w:val="en-GB"/>
              </w:rPr>
              <w:t></w:t>
            </w:r>
            <w:r>
              <w:rPr>
                <w:lang w:val="en-GB"/>
              </w:rPr>
              <w:t>/</w:t>
            </w:r>
            <w:r>
              <w:rPr>
                <w:rFonts w:cs="Symbol" w:ascii="Symbol" w:hAnsi="Symbol"/>
                <w:lang w:val="en-GB"/>
              </w:rPr>
              <w:t></w:t>
            </w:r>
            <w:r>
              <w:rPr>
                <w:rStyle w:val="Subscript"/>
                <w:lang w:val="en-GB"/>
              </w:rPr>
              <w:t>max</w:t>
            </w:r>
            <w:r>
              <w:rPr>
                <w:lang w:val="en-GB"/>
              </w:rPr>
              <w:t>)</w:t>
            </w:r>
          </w:p>
        </w:tc>
        <w:tc>
          <w:tcPr>
            <w:tcW w:w="1404" w:type="dxa"/>
            <w:tcBorders>
              <w:left w:val="single" w:sz="6" w:space="0" w:color="000000"/>
              <w:bottom w:val="single" w:sz="6" w:space="0" w:color="000000"/>
              <w:right w:val="single" w:sz="6" w:space="0" w:color="000000"/>
            </w:tcBorders>
          </w:tcPr>
          <w:p>
            <w:pPr>
              <w:pStyle w:val="TAC"/>
              <w:rPr>
                <w:lang w:val="en-GB"/>
              </w:rPr>
            </w:pPr>
            <w:r>
              <w:rPr>
                <w:lang w:val="en-GB"/>
              </w:rPr>
              <w:t>1:1</w:t>
            </w:r>
          </w:p>
        </w:tc>
        <w:tc>
          <w:tcPr>
            <w:tcW w:w="1603" w:type="dxa"/>
            <w:tcBorders>
              <w:left w:val="single" w:sz="6" w:space="0" w:color="000000"/>
              <w:bottom w:val="single" w:sz="6" w:space="0" w:color="000000"/>
              <w:right w:val="single" w:sz="12" w:space="0" w:color="000000"/>
            </w:tcBorders>
          </w:tcPr>
          <w:p>
            <w:pPr>
              <w:pStyle w:val="TAC"/>
              <w:rPr>
                <w:lang w:val="en-GB"/>
              </w:rPr>
            </w:pPr>
            <w:r>
              <w:rPr>
                <w:lang w:val="en-GB"/>
              </w:rPr>
              <w:t>1</w:t>
            </w:r>
          </w:p>
        </w:tc>
      </w:tr>
      <w:tr>
        <w:trPr>
          <w:cantSplit w:val="true"/>
        </w:trPr>
        <w:tc>
          <w:tcPr>
            <w:tcW w:w="1226" w:type="dxa"/>
            <w:tcBorders>
              <w:top w:val="single" w:sz="6" w:space="0" w:color="000000"/>
              <w:left w:val="single" w:sz="12" w:space="0" w:color="000000"/>
              <w:bottom w:val="single" w:sz="6" w:space="0" w:color="000000"/>
              <w:right w:val="single" w:sz="6" w:space="0" w:color="000000"/>
            </w:tcBorders>
          </w:tcPr>
          <w:p>
            <w:pPr>
              <w:pStyle w:val="TAC"/>
              <w:rPr>
                <w:lang w:val="en-GB"/>
              </w:rPr>
            </w:pPr>
            <w:r>
              <w:rPr>
                <w:lang w:val="en-GB"/>
              </w:rPr>
              <w:t>UrbanA</w:t>
            </w:r>
          </w:p>
        </w:tc>
        <w:tc>
          <w:tcPr>
            <w:tcW w:w="128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r>
              <w:rPr>
                <w:rFonts w:cs="Symbol" w:ascii="Symbol" w:hAnsi="Symbol"/>
                <w:lang w:val="en-GB"/>
              </w:rPr>
              <w:t></w:t>
            </w:r>
            <w:r>
              <w:rPr>
                <w:rStyle w:val="Subscript"/>
                <w:lang w:val="en-GB"/>
              </w:rPr>
              <w:t>max</w:t>
            </w:r>
          </w:p>
        </w:tc>
        <w:tc>
          <w:tcPr>
            <w:tcW w:w="1537" w:type="dxa"/>
            <w:tcBorders>
              <w:top w:val="single" w:sz="6" w:space="0" w:color="000000"/>
              <w:left w:val="single" w:sz="6" w:space="0" w:color="000000"/>
              <w:bottom w:val="single" w:sz="6" w:space="0" w:color="000000"/>
              <w:right w:val="single" w:sz="6" w:space="0" w:color="000000"/>
            </w:tcBorders>
          </w:tcPr>
          <w:p>
            <w:pPr>
              <w:pStyle w:val="TAC"/>
              <w:rPr/>
            </w:pPr>
            <w:r>
              <w:rPr>
                <w:lang w:val="en-GB"/>
              </w:rPr>
              <w:t>{0.5-1.5}*exp(- 6</w:t>
            </w:r>
            <w:r>
              <w:rPr>
                <w:rFonts w:cs="Symbol" w:ascii="Symbol" w:hAnsi="Symbol"/>
                <w:lang w:val="en-GB"/>
              </w:rPr>
              <w:t></w:t>
            </w:r>
            <w:r>
              <w:rPr>
                <w:lang w:val="en-GB"/>
              </w:rPr>
              <w:t>/</w:t>
            </w:r>
            <w:r>
              <w:rPr>
                <w:rFonts w:cs="Symbol" w:ascii="Symbol" w:hAnsi="Symbol"/>
                <w:lang w:val="en-GB"/>
              </w:rPr>
              <w:t></w:t>
            </w:r>
            <w:r>
              <w:rPr>
                <w:rStyle w:val="Subscript"/>
                <w:lang w:val="en-GB"/>
              </w:rPr>
              <w:t>max</w:t>
            </w:r>
            <w:r>
              <w:rPr>
                <w:lang w:val="en-GB"/>
              </w:rPr>
              <w:t>)</w:t>
            </w:r>
          </w:p>
        </w:tc>
        <w:tc>
          <w:tcPr>
            <w:tcW w:w="140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1:1</w:t>
            </w:r>
          </w:p>
        </w:tc>
        <w:tc>
          <w:tcPr>
            <w:tcW w:w="1603" w:type="dxa"/>
            <w:tcBorders>
              <w:top w:val="single" w:sz="6" w:space="0" w:color="000000"/>
              <w:left w:val="single" w:sz="6" w:space="0" w:color="000000"/>
              <w:bottom w:val="single" w:sz="6" w:space="0" w:color="000000"/>
              <w:right w:val="single" w:sz="12" w:space="0" w:color="000000"/>
            </w:tcBorders>
          </w:tcPr>
          <w:p>
            <w:pPr>
              <w:pStyle w:val="TAC"/>
              <w:rPr>
                <w:lang w:val="en-GB"/>
              </w:rPr>
            </w:pPr>
            <w:r>
              <w:rPr>
                <w:lang w:val="en-GB"/>
              </w:rPr>
              <w:t>1</w:t>
            </w:r>
          </w:p>
        </w:tc>
      </w:tr>
      <w:tr>
        <w:trPr>
          <w:cantSplit w:val="true"/>
        </w:trPr>
        <w:tc>
          <w:tcPr>
            <w:tcW w:w="1226" w:type="dxa"/>
            <w:tcBorders>
              <w:top w:val="single" w:sz="6" w:space="0" w:color="000000"/>
              <w:left w:val="single" w:sz="12" w:space="0" w:color="000000"/>
              <w:bottom w:val="single" w:sz="6" w:space="0" w:color="000000"/>
              <w:right w:val="single" w:sz="6" w:space="0" w:color="000000"/>
            </w:tcBorders>
          </w:tcPr>
          <w:p>
            <w:pPr>
              <w:pStyle w:val="TAC"/>
              <w:rPr>
                <w:lang w:val="en-GB"/>
              </w:rPr>
            </w:pPr>
            <w:r>
              <w:rPr>
                <w:lang w:val="en-GB"/>
              </w:rPr>
              <w:t>UrbanB</w:t>
            </w:r>
          </w:p>
        </w:tc>
        <w:tc>
          <w:tcPr>
            <w:tcW w:w="128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w:t>
            </w:r>
          </w:p>
        </w:tc>
        <w:tc>
          <w:tcPr>
            <w:tcW w:w="3074" w:type="dxa"/>
            <w:gridSpan w:val="2"/>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As UrbanA, but adjust time delays after calculating relative powers:</w:t>
            </w:r>
          </w:p>
          <w:p>
            <w:pPr>
              <w:pStyle w:val="TAC"/>
              <w:rPr>
                <w:lang w:val="en-GB"/>
              </w:rPr>
            </w:pPr>
            <w:r>
              <w:rPr>
                <w:lang w:val="en-GB"/>
              </w:rPr>
            </w:r>
            <m:oMathPara xmlns:m="http://schemas.openxmlformats.org/officeDocument/2006/math">
              <m:oMathParaPr>
                <m:jc m:val="center"/>
              </m:oMathParaPr>
              <m:oMath>
                <m:r>
                  <w:rPr>
                    <w:rFonts w:ascii="Cambria Math" w:hAnsi="Cambria Math"/>
                  </w:rPr>
                  <m:t xml:space="preserve">τ</m:t>
                </m:r>
                <m:r>
                  <w:rPr>
                    <w:rFonts w:ascii="Cambria Math" w:hAnsi="Cambria Math"/>
                  </w:rPr>
                  <m:t xml:space="preserve">=</m:t>
                </m:r>
                <m:r>
                  <w:rPr>
                    <w:rFonts w:ascii="Cambria Math" w:hAnsi="Cambria Math"/>
                  </w:rPr>
                  <m:t xml:space="preserve">τ</m:t>
                </m:r>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τ</m:t>
                            </m:r>
                          </m:num>
                          <m:den>
                            <m:sSub>
                              <m:e>
                                <m:r>
                                  <w:rPr>
                                    <w:rFonts w:ascii="Cambria Math" w:hAnsi="Cambria Math"/>
                                  </w:rPr>
                                  <m:t xml:space="preserve">τ</m:t>
                                </m:r>
                              </m:e>
                              <m:sub>
                                <m:r>
                                  <m:rPr>
                                    <m:lit/>
                                    <m:nor/>
                                  </m:rPr>
                                  <w:rPr>
                                    <w:rFonts w:ascii="Cambria Math" w:hAnsi="Cambria Math"/>
                                  </w:rPr>
                                  <m:t xml:space="preserve">max</m:t>
                                </m:r>
                              </m:sub>
                            </m:sSub>
                          </m:den>
                        </m:f>
                      </m:e>
                    </m:d>
                  </m:e>
                  <m:sup>
                    <m:r>
                      <w:rPr>
                        <w:rFonts w:ascii="Cambria Math" w:hAnsi="Cambria Math"/>
                      </w:rPr>
                      <m:t xml:space="preserve">2</m:t>
                    </m:r>
                    <m:r>
                      <m:rPr>
                        <m:lit/>
                        <m:nor/>
                      </m:rPr>
                      <w:rPr>
                        <w:rFonts w:ascii="Cambria Math" w:hAnsi="Cambria Math"/>
                      </w:rPr>
                      <m:t xml:space="preserve">.</m:t>
                    </m:r>
                    <m:r>
                      <w:rPr>
                        <w:rFonts w:ascii="Cambria Math" w:hAnsi="Cambria Math"/>
                      </w:rPr>
                      <m:t xml:space="preserve">3</m:t>
                    </m:r>
                  </m:sup>
                </m:sSup>
              </m:oMath>
            </m:oMathPara>
          </w:p>
        </w:tc>
        <w:tc>
          <w:tcPr>
            <w:tcW w:w="140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1.5:1</w:t>
            </w:r>
          </w:p>
        </w:tc>
        <w:tc>
          <w:tcPr>
            <w:tcW w:w="1603" w:type="dxa"/>
            <w:tcBorders>
              <w:top w:val="single" w:sz="6" w:space="0" w:color="000000"/>
              <w:left w:val="single" w:sz="6" w:space="0" w:color="000000"/>
              <w:bottom w:val="single" w:sz="6" w:space="0" w:color="000000"/>
              <w:right w:val="single" w:sz="12" w:space="0" w:color="000000"/>
            </w:tcBorders>
          </w:tcPr>
          <w:p>
            <w:pPr>
              <w:pStyle w:val="TAC"/>
              <w:rPr>
                <w:lang w:val="en-GB"/>
              </w:rPr>
            </w:pPr>
            <w:r>
              <w:rPr>
                <w:lang w:val="en-GB"/>
              </w:rPr>
              <w:t>1</w:t>
            </w:r>
          </w:p>
        </w:tc>
      </w:tr>
      <w:tr>
        <w:trPr>
          <w:cantSplit w:val="true"/>
        </w:trPr>
        <w:tc>
          <w:tcPr>
            <w:tcW w:w="1226" w:type="dxa"/>
            <w:vMerge w:val="restart"/>
            <w:tcBorders>
              <w:top w:val="single" w:sz="6" w:space="0" w:color="000000"/>
              <w:left w:val="single" w:sz="12" w:space="0" w:color="000000"/>
              <w:bottom w:val="single" w:sz="6" w:space="0" w:color="000000"/>
              <w:right w:val="single" w:sz="6" w:space="0" w:color="000000"/>
            </w:tcBorders>
          </w:tcPr>
          <w:p>
            <w:pPr>
              <w:pStyle w:val="TAC"/>
              <w:rPr>
                <w:lang w:val="en-GB"/>
              </w:rPr>
            </w:pPr>
            <w:r>
              <w:rPr>
                <w:lang w:val="en-GB"/>
              </w:rPr>
              <w:t>Suburban</w:t>
            </w:r>
          </w:p>
        </w:tc>
        <w:tc>
          <w:tcPr>
            <w:tcW w:w="128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4.3</w:t>
            </w:r>
          </w:p>
        </w:tc>
        <w:tc>
          <w:tcPr>
            <w:tcW w:w="1404" w:type="dxa"/>
            <w:vMerge w:val="restart"/>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2:1</w:t>
            </w:r>
          </w:p>
        </w:tc>
        <w:tc>
          <w:tcPr>
            <w:tcW w:w="1603" w:type="dxa"/>
            <w:tcBorders>
              <w:top w:val="single" w:sz="6" w:space="0" w:color="000000"/>
              <w:left w:val="single" w:sz="6" w:space="0" w:color="000000"/>
              <w:bottom w:val="single" w:sz="6" w:space="0" w:color="000000"/>
              <w:right w:val="single" w:sz="12" w:space="0" w:color="000000"/>
            </w:tcBorders>
          </w:tcPr>
          <w:p>
            <w:pPr>
              <w:pStyle w:val="TAC"/>
              <w:rPr>
                <w:lang w:val="en-GB"/>
              </w:rPr>
            </w:pPr>
            <w:r>
              <w:rPr>
                <w:lang w:val="en-GB"/>
              </w:rPr>
              <w:t>15</w:t>
            </w:r>
          </w:p>
        </w:tc>
      </w:tr>
      <w:tr>
        <w:trPr>
          <w:cantSplit w:val="true"/>
        </w:trPr>
        <w:tc>
          <w:tcPr>
            <w:tcW w:w="1226"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val="en-GB"/>
              </w:rPr>
            </w:pPr>
            <w:r>
              <w:rPr>
                <w:lang w:val="en-GB"/>
              </w:rPr>
            </w:r>
          </w:p>
        </w:tc>
        <w:tc>
          <w:tcPr>
            <w:tcW w:w="128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2-6</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r>
              <w:rPr>
                <w:rFonts w:cs="Symbol" w:ascii="Symbol" w:hAnsi="Symbol"/>
                <w:lang w:val="en-GB"/>
              </w:rPr>
              <w:t></w:t>
            </w:r>
            <w:r>
              <w:rPr>
                <w:rStyle w:val="Subscript"/>
                <w:lang w:val="en-GB"/>
              </w:rPr>
              <w:t>max</w:t>
            </w:r>
          </w:p>
        </w:tc>
        <w:tc>
          <w:tcPr>
            <w:tcW w:w="153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0.1-0.4</w:t>
            </w:r>
          </w:p>
        </w:tc>
        <w:tc>
          <w:tcPr>
            <w:tcW w:w="1404"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603" w:type="dxa"/>
            <w:tcBorders>
              <w:top w:val="single" w:sz="6" w:space="0" w:color="000000"/>
              <w:left w:val="single" w:sz="6" w:space="0" w:color="000000"/>
              <w:bottom w:val="single" w:sz="6" w:space="0" w:color="000000"/>
              <w:right w:val="single" w:sz="12" w:space="0" w:color="000000"/>
            </w:tcBorders>
          </w:tcPr>
          <w:p>
            <w:pPr>
              <w:pStyle w:val="TAC"/>
              <w:rPr>
                <w:lang w:val="en-GB"/>
              </w:rPr>
            </w:pPr>
            <w:r>
              <w:rPr>
                <w:lang w:val="en-GB"/>
              </w:rPr>
              <w:t>1-5</w:t>
            </w:r>
          </w:p>
        </w:tc>
      </w:tr>
      <w:tr>
        <w:trPr>
          <w:cantSplit w:val="true"/>
        </w:trPr>
        <w:tc>
          <w:tcPr>
            <w:tcW w:w="1226" w:type="dxa"/>
            <w:tcBorders>
              <w:top w:val="single" w:sz="6" w:space="0" w:color="000000"/>
              <w:left w:val="single" w:sz="12" w:space="0" w:color="000000"/>
              <w:bottom w:val="single" w:sz="12" w:space="0" w:color="000000"/>
              <w:right w:val="single" w:sz="6" w:space="0" w:color="000000"/>
            </w:tcBorders>
          </w:tcPr>
          <w:p>
            <w:pPr>
              <w:pStyle w:val="TAC"/>
              <w:rPr>
                <w:lang w:val="en-GB"/>
              </w:rPr>
            </w:pPr>
            <w:r>
              <w:rPr>
                <w:lang w:val="en-GB"/>
              </w:rPr>
              <w:t>Rural</w:t>
            </w:r>
          </w:p>
        </w:tc>
        <w:tc>
          <w:tcPr>
            <w:tcW w:w="7369" w:type="dxa"/>
            <w:gridSpan w:val="5"/>
            <w:tcBorders>
              <w:top w:val="single" w:sz="6" w:space="0" w:color="000000"/>
              <w:left w:val="single" w:sz="6" w:space="0" w:color="000000"/>
              <w:bottom w:val="single" w:sz="12" w:space="0" w:color="000000"/>
              <w:right w:val="single" w:sz="12" w:space="0" w:color="000000"/>
            </w:tcBorders>
          </w:tcPr>
          <w:p>
            <w:pPr>
              <w:pStyle w:val="TAC"/>
              <w:rPr>
                <w:lang w:val="en-GB"/>
              </w:rPr>
            </w:pPr>
            <w:r>
              <w:rPr>
                <w:lang w:val="en-GB"/>
              </w:rPr>
              <w:t xml:space="preserve">As suburban </w:t>
            </w:r>
          </w:p>
        </w:tc>
      </w:tr>
    </w:tbl>
    <w:p>
      <w:pPr>
        <w:pStyle w:val="FP"/>
        <w:rPr/>
      </w:pPr>
      <w:r>
        <w:rPr/>
      </w:r>
    </w:p>
    <w:p>
      <w:pPr>
        <w:pStyle w:val="Normal"/>
        <w:rPr/>
      </w:pPr>
      <w:r>
        <w:rPr/>
        <w:t>Short-term fading is generated with:</w:t>
      </w:r>
    </w:p>
    <w:p>
      <w:pPr>
        <w:pStyle w:val="B1"/>
        <w:rPr/>
      </w:pPr>
      <w:r>
        <w:rPr/>
        <w:t>-</w:t>
        <w:tab/>
        <w:t>100 partial waves for each scatterer.</w:t>
      </w:r>
    </w:p>
    <w:p>
      <w:pPr>
        <w:pStyle w:val="Normal"/>
        <w:rPr/>
      </w:pPr>
      <w:r>
        <w:rPr/>
        <w:t>Partial wave phases: {0-2</w:t>
      </w:r>
      <w:r>
        <w:rPr>
          <w:rFonts w:cs="Symbol" w:ascii="Symbol" w:hAnsi="Symbol"/>
        </w:rPr>
        <w:t></w:t>
      </w:r>
      <w:r>
        <w:rPr/>
        <w:t>}</w:t>
      </w:r>
    </w:p>
    <w:p>
      <w:pPr>
        <w:pStyle w:val="B1"/>
        <w:rPr/>
      </w:pPr>
      <w:r>
        <w:rPr/>
        <w:tab/>
        <w:t xml:space="preserve">Base station angles of arrival are generated from a Gaussian distribution with standard deviation: </w:t>
      </w:r>
      <w:r>
        <w:rPr/>
        <w:drawing>
          <wp:inline distT="0" distB="0" distL="0" distR="0">
            <wp:extent cx="1002665" cy="228600"/>
            <wp:effectExtent l="0" t="0" r="0" b="0"/>
            <wp:docPr id="190" name="Imag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14" descr=""/>
                    <pic:cNvPicPr>
                      <a:picLocks noChangeAspect="1" noChangeArrowheads="1"/>
                    </pic:cNvPicPr>
                  </pic:nvPicPr>
                  <pic:blipFill>
                    <a:blip r:embed="rId188"/>
                    <a:srcRect l="-36" t="-157" r="-36" b="-157"/>
                    <a:stretch>
                      <a:fillRect/>
                    </a:stretch>
                  </pic:blipFill>
                  <pic:spPr bwMode="auto">
                    <a:xfrm>
                      <a:off x="0" y="0"/>
                      <a:ext cx="1002665" cy="228600"/>
                    </a:xfrm>
                    <a:prstGeom prst="rect">
                      <a:avLst/>
                    </a:prstGeom>
                  </pic:spPr>
                </pic:pic>
              </a:graphicData>
            </a:graphic>
          </wp:inline>
        </w:drawing>
      </w:r>
      <w:r>
        <w:rPr/>
        <w:t>. The base station angles of arrival, in conjunction with the positions of the base station antennas, are sufficient for calculating the channel at different base antennas.</w:t>
      </w:r>
    </w:p>
    <w:p>
      <w:pPr>
        <w:pStyle w:val="Heading1"/>
        <w:ind w:left="1134" w:hanging="1134"/>
        <w:rPr/>
      </w:pPr>
      <w:bookmarkStart w:id="656" w:name="_Ref404684957"/>
      <w:bookmarkStart w:id="657" w:name="__RefHeading___Toc518036054"/>
      <w:bookmarkEnd w:id="657"/>
      <w:r>
        <w:rPr/>
        <w:t>6</w:t>
        <w:tab/>
        <w:t>GSM Adaptation</w:t>
      </w:r>
      <w:bookmarkEnd w:id="656"/>
    </w:p>
    <w:p>
      <w:pPr>
        <w:pStyle w:val="Normal"/>
        <w:rPr/>
      </w:pPr>
      <w:r>
        <w:rPr/>
        <w:t>This clause describes a FIR Filter Implementation of the Channel Model for GSM Simulations.</w:t>
      </w:r>
    </w:p>
    <w:p>
      <w:pPr>
        <w:pStyle w:val="Heading2"/>
        <w:rPr/>
      </w:pPr>
      <w:bookmarkStart w:id="658" w:name="__RefHeading___Toc518036055"/>
      <w:bookmarkStart w:id="659" w:name="_Ref404657370"/>
      <w:bookmarkEnd w:id="658"/>
      <w:r>
        <w:rPr/>
        <w:t>6.1</w:t>
        <w:tab/>
        <w:t>FIR Filter Implementation</w:t>
      </w:r>
      <w:bookmarkEnd w:id="659"/>
    </w:p>
    <w:p>
      <w:pPr>
        <w:pStyle w:val="Normal"/>
        <w:rPr/>
      </w:pPr>
      <w:r>
        <w:rPr/>
        <w:t xml:space="preserve">The implementation of the CODIT based channel model in GSM simulations is by means of a FIR filter. The channel model delivers the complex amplitude </w:t>
      </w:r>
      <w:r>
        <w:rPr>
          <w:i/>
        </w:rPr>
        <w:t>a</w:t>
      </w:r>
      <w:r>
        <w:rPr>
          <w:i/>
          <w:vertAlign w:val="subscript"/>
        </w:rPr>
        <w:t>i</w:t>
      </w:r>
      <w:r>
        <w:rPr>
          <w:i/>
        </w:rPr>
        <w:t>(t)</w:t>
      </w:r>
      <w:r>
        <w:rPr/>
        <w:t xml:space="preserve"> and delay </w:t>
      </w:r>
      <w:r>
        <w:rPr>
          <w:rFonts w:cs="Symbol" w:ascii="Symbol" w:hAnsi="Symbol"/>
          <w:i/>
        </w:rPr>
        <w:t></w:t>
      </w:r>
      <w:r>
        <w:rPr>
          <w:i/>
          <w:vertAlign w:val="subscript"/>
        </w:rPr>
        <w:t>i</w:t>
      </w:r>
      <w:r>
        <w:rPr>
          <w:i/>
        </w:rPr>
        <w:t>(t)</w:t>
      </w:r>
      <w:r>
        <w:rPr/>
        <w:t xml:space="preserve"> of each path </w:t>
      </w:r>
      <w:r>
        <w:rPr>
          <w:i/>
        </w:rPr>
        <w:t>i</w:t>
      </w:r>
      <w:r>
        <w:rPr/>
        <w:t xml:space="preserve"> from which the time-variant infinite bandwidth channel impulse response </w:t>
      </w:r>
      <w:r>
        <w:rPr>
          <w:i/>
        </w:rPr>
        <w:t>h(t,</w:t>
      </w:r>
      <w:r>
        <w:rPr>
          <w:rFonts w:cs="Symbol" w:ascii="Symbol" w:hAnsi="Symbol"/>
          <w:i/>
        </w:rPr>
        <w:t></w:t>
      </w:r>
      <w:r>
        <w:rPr>
          <w:i/>
        </w:rPr>
        <w:t>)</w:t>
      </w:r>
      <w:r>
        <w:rPr/>
        <w:t xml:space="preserve"> is formed and which is the basis of the FIR filter implementation:</w:t>
      </w:r>
    </w:p>
    <w:p>
      <w:pPr>
        <w:pStyle w:val="Normal"/>
        <w:tabs>
          <w:tab w:val="clear" w:pos="284"/>
          <w:tab w:val="left" w:pos="1134" w:leader="none"/>
          <w:tab w:val="right" w:pos="8505" w:leader="none"/>
        </w:tabs>
        <w:rPr/>
      </w:pPr>
      <w:r>
        <w:rPr/>
        <w:tab/>
      </w:r>
      <w:bookmarkStart w:id="660" w:name="_Ref404657468"/>
      <w:r>
        <w:rPr/>
        <w:drawing>
          <wp:inline distT="0" distB="0" distL="0" distR="0">
            <wp:extent cx="1422400" cy="469900"/>
            <wp:effectExtent l="0" t="0" r="0" b="0"/>
            <wp:docPr id="191" name="Imag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15" descr=""/>
                    <pic:cNvPicPr>
                      <a:picLocks noChangeAspect="1" noChangeArrowheads="1"/>
                    </pic:cNvPicPr>
                  </pic:nvPicPr>
                  <pic:blipFill>
                    <a:blip r:embed="rId189"/>
                    <a:srcRect l="-25" t="-77" r="-25" b="-77"/>
                    <a:stretch>
                      <a:fillRect/>
                    </a:stretch>
                  </pic:blipFill>
                  <pic:spPr bwMode="auto">
                    <a:xfrm>
                      <a:off x="0" y="0"/>
                      <a:ext cx="1422400" cy="469900"/>
                    </a:xfrm>
                    <a:prstGeom prst="rect">
                      <a:avLst/>
                    </a:prstGeom>
                  </pic:spPr>
                </pic:pic>
              </a:graphicData>
            </a:graphic>
          </wp:inline>
        </w:drawing>
      </w:r>
      <w:r>
        <w:rPr/>
        <w:tab/>
      </w:r>
      <w:bookmarkStart w:id="661" w:name="Eq_Sven1"/>
      <w:r>
        <w:rPr/>
        <w:t>(6.1)</w:t>
      </w:r>
      <w:bookmarkEnd w:id="661"/>
    </w:p>
    <w:p>
      <w:pPr>
        <w:pStyle w:val="Normal"/>
        <w:rPr/>
      </w:pPr>
      <w:bookmarkEnd w:id="660"/>
      <w:r>
        <w:rPr/>
        <w:t xml:space="preserve">The discrete time implementation of the channel model consists of a tapped-delay-line with a tap spacing defined by the system sampling period </w:t>
      </w:r>
      <w:r>
        <w:rPr>
          <w:i/>
        </w:rPr>
        <w:t>T</w:t>
      </w:r>
      <w:r>
        <w:rPr/>
        <w:t xml:space="preserve"> and tap weight coefficients </w:t>
      </w:r>
      <w:r>
        <w:rPr>
          <w:i/>
        </w:rPr>
        <w:t>g</w:t>
      </w:r>
      <w:r>
        <w:rPr>
          <w:i/>
          <w:vertAlign w:val="subscript"/>
        </w:rPr>
        <w:t>n</w:t>
      </w:r>
      <w:r>
        <w:rPr>
          <w:i/>
        </w:rPr>
        <w:t>(t)</w:t>
      </w:r>
      <w:r>
        <w:rPr/>
        <w:t xml:space="preserve">, where </w:t>
      </w:r>
      <w:r>
        <w:rPr>
          <w:i/>
        </w:rPr>
        <w:t>n=0,...,L</w:t>
      </w:r>
      <w:r>
        <w:rPr/>
        <w:t xml:space="preserve"> is the tap index. The number of required taps </w:t>
      </w:r>
      <w:r>
        <w:rPr>
          <w:i/>
        </w:rPr>
        <w:t>L</w:t>
      </w:r>
      <w:r>
        <w:rPr/>
        <w:t xml:space="preserve">, </w:t>
      </w:r>
      <w:r>
        <w:rPr>
          <w:i/>
        </w:rPr>
        <w:t>i.e.,</w:t>
      </w:r>
      <w:r>
        <w:rPr/>
        <w:t xml:space="preserve"> the length of the FIR filter, is determined by the product of the maximum excess delay of the environment and the system sampling rate.</w:t>
      </w:r>
    </w:p>
    <w:p>
      <w:pPr>
        <w:pStyle w:val="Normal"/>
        <w:rPr/>
      </w:pPr>
      <w:r>
        <w:rPr/>
        <w:t xml:space="preserve">The tap weights </w:t>
      </w:r>
      <w:r>
        <w:rPr>
          <w:i/>
        </w:rPr>
        <w:t>g</w:t>
      </w:r>
      <w:r>
        <w:rPr>
          <w:i/>
          <w:vertAlign w:val="subscript"/>
        </w:rPr>
        <w:t>n</w:t>
      </w:r>
      <w:r>
        <w:rPr>
          <w:i/>
        </w:rPr>
        <w:t>(t)</w:t>
      </w:r>
      <w:r>
        <w:rPr/>
        <w:t xml:space="preserve"> can be calculated by taking the signal bandwidth into account. The bandwidth occupied by the real band-pass signal is denoted by </w:t>
      </w:r>
      <w:r>
        <w:rPr>
          <w:i/>
        </w:rPr>
        <w:t>W</w:t>
      </w:r>
      <w:r>
        <w:rPr/>
        <w:t xml:space="preserve">. Then the band occupancy of the equivalent low-pass signal is </w:t>
      </w:r>
      <w:r>
        <w:rPr>
          <w:i/>
        </w:rPr>
        <w:t>| f |</w:t>
      </w:r>
      <w:r>
        <w:rPr/>
        <w:t xml:space="preserve"> </w:t>
      </w:r>
      <w:r>
        <w:rPr>
          <w:rFonts w:eastAsia="Symbol" w:cs="Symbol" w:ascii="Symbol" w:hAnsi="Symbol"/>
        </w:rPr>
        <w:t></w:t>
      </w:r>
      <w:r>
        <w:rPr/>
        <w:t>½</w:t>
      </w:r>
      <w:r>
        <w:rPr>
          <w:i/>
        </w:rPr>
        <w:t>W</w:t>
      </w:r>
      <w:r>
        <w:rPr/>
        <w:t xml:space="preserve">, which allows to define the system sampling rate </w:t>
      </w:r>
      <w:r>
        <w:rPr>
          <w:i/>
        </w:rPr>
        <w:t>1/T=W</w:t>
      </w:r>
      <w:r>
        <w:rPr/>
        <w:t xml:space="preserve">. By this, the channel can be considered band-limited with null spectral components out of the system bandwidth, sampling it with the same rate. Thus, the multiplicative tap weights </w:t>
      </w:r>
      <w:r>
        <w:rPr>
          <w:i/>
        </w:rPr>
        <w:t>g</w:t>
      </w:r>
      <w:r>
        <w:rPr>
          <w:i/>
          <w:vertAlign w:val="subscript"/>
        </w:rPr>
        <w:t>n</w:t>
      </w:r>
      <w:r>
        <w:rPr>
          <w:i/>
        </w:rPr>
        <w:t>(t)</w:t>
      </w:r>
      <w:r>
        <w:rPr/>
        <w:t xml:space="preserve"> are obtained by filtering </w:t>
      </w:r>
      <w:r>
        <w:rPr>
          <w:i/>
        </w:rPr>
        <w:t>h(t,</w:t>
      </w:r>
      <w:r>
        <w:rPr>
          <w:rFonts w:cs="Symbol" w:ascii="Symbol" w:hAnsi="Symbol"/>
          <w:i/>
        </w:rPr>
        <w:t></w:t>
      </w:r>
      <w:r>
        <w:rPr>
          <w:i/>
        </w:rPr>
        <w:t>)</w:t>
      </w:r>
      <w:r>
        <w:rPr/>
        <w:t xml:space="preserve"> with an ideal low-pass filter with cut-off frequency ½</w:t>
      </w:r>
      <w:r>
        <w:rPr>
          <w:i/>
        </w:rPr>
        <w:t>T=W</w:t>
      </w:r>
      <w:r>
        <w:rPr/>
        <w:t>/2 and sampled at rate 1/</w:t>
      </w:r>
      <w:r>
        <w:rPr>
          <w:i/>
        </w:rPr>
        <w:t>T</w:t>
      </w:r>
      <w:r>
        <w:rPr/>
        <w:t>=</w:t>
      </w:r>
      <w:r>
        <w:rPr>
          <w:i/>
        </w:rPr>
        <w:t>W</w:t>
      </w:r>
      <w:r>
        <w:rPr/>
        <w:t xml:space="preserve"> [2]:</w:t>
      </w:r>
    </w:p>
    <w:p>
      <w:pPr>
        <w:pStyle w:val="Normal"/>
        <w:tabs>
          <w:tab w:val="clear" w:pos="284"/>
          <w:tab w:val="left" w:pos="1134" w:leader="none"/>
          <w:tab w:val="right" w:pos="8505" w:leader="none"/>
        </w:tabs>
        <w:rPr/>
      </w:pPr>
      <w:r>
        <w:rPr/>
        <w:tab/>
      </w:r>
      <w:r>
        <w:rPr/>
        <w:drawing>
          <wp:inline distT="0" distB="0" distL="0" distR="0">
            <wp:extent cx="1981200" cy="749300"/>
            <wp:effectExtent l="0" t="0" r="0" b="0"/>
            <wp:docPr id="192" name="Imag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16" descr=""/>
                    <pic:cNvPicPr>
                      <a:picLocks noChangeAspect="1" noChangeArrowheads="1"/>
                    </pic:cNvPicPr>
                  </pic:nvPicPr>
                  <pic:blipFill>
                    <a:blip r:embed="rId190"/>
                    <a:srcRect l="-18" t="-48" r="-18" b="-48"/>
                    <a:stretch>
                      <a:fillRect/>
                    </a:stretch>
                  </pic:blipFill>
                  <pic:spPr bwMode="auto">
                    <a:xfrm>
                      <a:off x="0" y="0"/>
                      <a:ext cx="1981200" cy="749300"/>
                    </a:xfrm>
                    <a:prstGeom prst="rect">
                      <a:avLst/>
                    </a:prstGeom>
                  </pic:spPr>
                </pic:pic>
              </a:graphicData>
            </a:graphic>
          </wp:inline>
        </w:drawing>
      </w:r>
      <w:r>
        <w:rPr/>
        <w:tab/>
      </w:r>
      <w:bookmarkStart w:id="662" w:name="Eq_Sven2"/>
      <w:r>
        <w:rPr/>
        <w:t>(6.2</w:t>
      </w:r>
      <w:bookmarkEnd w:id="662"/>
      <w:r>
        <w:rPr/>
        <w:t>)</w:t>
      </w:r>
    </w:p>
    <w:p>
      <w:pPr>
        <w:pStyle w:val="Normal"/>
        <w:rPr/>
      </w:pPr>
      <w:r>
        <w:rPr/>
        <w:t xml:space="preserve">Substituting </w:t>
      </w:r>
      <w:r>
        <w:rPr>
          <w:i/>
        </w:rPr>
        <w:t>h(t,</w:t>
      </w:r>
      <w:r>
        <w:rPr>
          <w:rFonts w:cs="Symbol" w:ascii="Symbol" w:hAnsi="Symbol"/>
          <w:i/>
        </w:rPr>
        <w:t></w:t>
      </w:r>
      <w:r>
        <w:rPr>
          <w:i/>
        </w:rPr>
        <w:t>)</w:t>
      </w:r>
      <w:r>
        <w:rPr/>
        <w:t xml:space="preserve"> (equation (6.1)) into the equation above yields the tap weights of the FIR filter implementation of the channel model:</w:t>
      </w:r>
    </w:p>
    <w:p>
      <w:pPr>
        <w:pStyle w:val="Normal"/>
        <w:tabs>
          <w:tab w:val="clear" w:pos="284"/>
          <w:tab w:val="left" w:pos="1134" w:leader="none"/>
          <w:tab w:val="right" w:pos="8505" w:leader="none"/>
        </w:tabs>
        <w:rPr/>
      </w:pPr>
      <w:r>
        <w:rPr/>
        <w:tab/>
      </w:r>
      <w:r>
        <w:rPr/>
        <w:drawing>
          <wp:inline distT="0" distB="0" distL="0" distR="0">
            <wp:extent cx="1993900" cy="749300"/>
            <wp:effectExtent l="0" t="0" r="0" b="0"/>
            <wp:docPr id="193" name="Imag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217" descr=""/>
                    <pic:cNvPicPr>
                      <a:picLocks noChangeAspect="1" noChangeArrowheads="1"/>
                    </pic:cNvPicPr>
                  </pic:nvPicPr>
                  <pic:blipFill>
                    <a:blip r:embed="rId191"/>
                    <a:srcRect l="-18" t="-48" r="-18" b="-48"/>
                    <a:stretch>
                      <a:fillRect/>
                    </a:stretch>
                  </pic:blipFill>
                  <pic:spPr bwMode="auto">
                    <a:xfrm>
                      <a:off x="0" y="0"/>
                      <a:ext cx="1993900" cy="749300"/>
                    </a:xfrm>
                    <a:prstGeom prst="rect">
                      <a:avLst/>
                    </a:prstGeom>
                  </pic:spPr>
                </pic:pic>
              </a:graphicData>
            </a:graphic>
          </wp:inline>
        </w:drawing>
      </w:r>
      <w:r>
        <w:rPr/>
        <w:tab/>
        <w:t>(6.3)</w:t>
      </w:r>
    </w:p>
    <w:p>
      <w:pPr>
        <w:pStyle w:val="Normal"/>
        <w:rPr/>
      </w:pPr>
      <w:r>
        <w:rPr/>
        <w:t xml:space="preserve">Thus, each complex amplitude </w:t>
      </w:r>
      <w:r>
        <w:rPr>
          <w:i/>
        </w:rPr>
        <w:t>a</w:t>
      </w:r>
      <w:r>
        <w:rPr>
          <w:i/>
          <w:vertAlign w:val="subscript"/>
        </w:rPr>
        <w:t>i</w:t>
      </w:r>
      <w:r>
        <w:rPr>
          <w:i/>
        </w:rPr>
        <w:t>(t)</w:t>
      </w:r>
      <w:r>
        <w:rPr/>
        <w:t xml:space="preserve"> delivered by the CODIT model is multiplied by a sinc function shifted by the amount of the corresponding time delay </w:t>
      </w:r>
      <w:r>
        <w:rPr>
          <w:rFonts w:cs="Symbol" w:ascii="Symbol" w:hAnsi="Symbol"/>
          <w:i/>
        </w:rPr>
        <w:t></w:t>
      </w:r>
      <w:r>
        <w:rPr>
          <w:i/>
          <w:vertAlign w:val="subscript"/>
        </w:rPr>
        <w:t>i</w:t>
      </w:r>
      <w:r>
        <w:rPr>
          <w:i/>
        </w:rPr>
        <w:t>(t)</w:t>
      </w:r>
      <w:r>
        <w:rPr/>
        <w:t xml:space="preserve"> and summed up for all scatterers </w:t>
      </w:r>
      <w:r>
        <w:rPr>
          <w:i/>
        </w:rPr>
        <w:t>N</w:t>
      </w:r>
      <w:r>
        <w:rPr/>
        <w:t xml:space="preserve">. </w:t>
      </w:r>
    </w:p>
    <w:p>
      <w:pPr>
        <w:pStyle w:val="Normal"/>
        <w:rPr/>
      </w:pPr>
      <w:r>
        <w:rPr/>
        <w:t xml:space="preserve">The sampling frequency used for the "Positioning Simulator" has been chosen to 16 times the bit rate in GSM, </w:t>
      </w:r>
      <w:r>
        <w:rPr>
          <w:i/>
        </w:rPr>
        <w:t>i.e.,</w:t>
      </w:r>
      <w:r>
        <w:rPr/>
        <w:t xml:space="preserve"> 1/</w:t>
      </w:r>
      <w:r>
        <w:rPr>
          <w:i/>
        </w:rPr>
        <w:t>T</w:t>
      </w:r>
      <w:r>
        <w:rPr/>
        <w:t xml:space="preserve"> = </w:t>
      </w:r>
      <w:r>
        <w:rPr>
          <w:i/>
        </w:rPr>
        <w:t>W</w:t>
      </w:r>
      <w:r>
        <w:rPr/>
        <w:t xml:space="preserve"> = 16 · (13e6/48) Hz </w:t>
      </w:r>
      <w:r>
        <w:rPr>
          <w:rFonts w:eastAsia="Symbol" w:cs="Symbol" w:ascii="Symbol" w:hAnsi="Symbol"/>
        </w:rPr>
        <w:t></w:t>
      </w:r>
      <w:r>
        <w:rPr/>
        <w:t xml:space="preserve"> 16 · 270833 Hz </w:t>
      </w:r>
      <w:r>
        <w:rPr>
          <w:rFonts w:eastAsia="Symbol" w:cs="Symbol" w:ascii="Symbol" w:hAnsi="Symbol"/>
        </w:rPr>
        <w:t></w:t>
      </w:r>
      <w:r>
        <w:rPr/>
        <w:t xml:space="preserve"> 4333333 Hz. This relative high sampling frequency has been chosen to allow in the simulations over-sampling at the receiver which may improve the performance of time delay estimation algorithms in a TOA or TDOA based positioning system. In order to implement the above equation (6.3) the sinc function has to be truncated. In the proposed "Positioning Simulator", the impulse responses are truncated to 30 microseconds.</w:t>
      </w:r>
    </w:p>
    <w:p>
      <w:pPr>
        <w:pStyle w:val="Normal"/>
        <w:rPr/>
      </w:pPr>
      <w:r>
        <w:rPr/>
        <w:t>The channel output signal is obtained by convolution of this sampled impulse response with the simulated GMSK signal (sampled at the same rate). Since the channel is power normalized, the signal mean power is kept after this convolution. This allows to simulate interference signals and thermal noise which can be added to the channel output signal.</w:t>
      </w:r>
    </w:p>
    <w:p>
      <w:pPr>
        <w:pStyle w:val="Heading2"/>
        <w:rPr/>
      </w:pPr>
      <w:bookmarkStart w:id="663" w:name="__RefHeading___Toc518036056"/>
      <w:bookmarkEnd w:id="663"/>
      <w:r>
        <w:rPr/>
        <w:t>6.2</w:t>
        <w:tab/>
        <w:t>Sampling in Time Domain</w:t>
      </w:r>
    </w:p>
    <w:p>
      <w:pPr>
        <w:pStyle w:val="Normal"/>
        <w:rPr/>
      </w:pPr>
      <w:r>
        <w:rPr/>
        <w:t>With time-variance being relatively slow for all bands (900 MHz, 1 800 MHz and 1 900 MHz), the channel can be assumed quasi time-invariant, i.e. time-invariant over the duration of one burst. Therefore, no change of the delay profile during a burst has to be modeled and hence, only one sample of the delay profile is required for each burst. Since the channel model is only a function of position, moving vehicles can be easily simulated. For each burst a new channel impulse response is computed based on a given desired position. This allows also to simulate accelerating moving mobiles.</w:t>
      </w:r>
    </w:p>
    <w:p>
      <w:pPr>
        <w:pStyle w:val="Heading2"/>
        <w:rPr/>
      </w:pPr>
      <w:bookmarkStart w:id="664" w:name="__RefHeading___Toc518036057"/>
      <w:bookmarkEnd w:id="664"/>
      <w:r>
        <w:rPr/>
        <w:t>6.3</w:t>
        <w:tab/>
        <w:t>Frequency Hopping</w:t>
      </w:r>
    </w:p>
    <w:p>
      <w:pPr>
        <w:pStyle w:val="Normal"/>
        <w:rPr/>
      </w:pPr>
      <w:r>
        <w:rPr/>
        <w:t>The radio interface of GSM uses slow frequency hopping. Because the channel impulse response delivered by the proposed modified CODIT model has infinite bandwidth, frequency hopping can be easily implemented by filtering out the frequency bands of interest. The complex impulse response of equation (6.1) for one burst is multiplied by exp(</w:t>
      </w:r>
      <w:r>
        <w:rPr>
          <w:i/>
        </w:rPr>
        <w:t>j</w:t>
      </w:r>
      <w:r>
        <w:rPr/>
        <w:t>2</w:t>
      </w:r>
      <w:r>
        <w:rPr>
          <w:rFonts w:cs="Symbol" w:ascii="Symbol" w:hAnsi="Symbol"/>
          <w:i/>
        </w:rPr>
        <w:t></w:t>
      </w:r>
      <w:r>
        <w:rPr>
          <w:i/>
        </w:rPr>
        <w:t>f</w:t>
      </w:r>
      <w:r>
        <w:rPr>
          <w:i/>
          <w:vertAlign w:val="subscript"/>
        </w:rPr>
        <w:t>H</w:t>
      </w:r>
      <w:r>
        <w:rPr>
          <w:rFonts w:cs="Symbol" w:ascii="Symbol" w:hAnsi="Symbol"/>
          <w:i/>
        </w:rPr>
        <w:t></w:t>
      </w:r>
      <w:r>
        <w:rPr>
          <w:i/>
          <w:vertAlign w:val="subscript"/>
        </w:rPr>
        <w:t>i</w:t>
      </w:r>
      <w:r>
        <w:rPr>
          <w:i/>
        </w:rPr>
        <w:t>(t)</w:t>
      </w:r>
      <w:r>
        <w:rPr/>
        <w:t xml:space="preserve">), which results in a frequency translation with magnitude </w:t>
      </w:r>
      <w:r>
        <w:rPr>
          <w:i/>
        </w:rPr>
        <w:t>f</w:t>
      </w:r>
      <w:r>
        <w:rPr>
          <w:i/>
          <w:vertAlign w:val="subscript"/>
        </w:rPr>
        <w:t>H</w:t>
      </w:r>
      <w:r>
        <w:rPr/>
        <w:t xml:space="preserve"> , </w:t>
      </w:r>
      <w:r>
        <w:rPr>
          <w:i/>
        </w:rPr>
        <w:t>i.e.,</w:t>
      </w:r>
      <w:r>
        <w:rPr/>
        <w:t xml:space="preserve"> with spectrum </w:t>
      </w:r>
      <w:r>
        <w:rPr>
          <w:i/>
        </w:rPr>
        <w:t>H(f-f</w:t>
      </w:r>
      <w:r>
        <w:rPr>
          <w:i/>
          <w:vertAlign w:val="subscript"/>
        </w:rPr>
        <w:t>H</w:t>
      </w:r>
      <w:r>
        <w:rPr>
          <w:i/>
        </w:rPr>
        <w:t>)</w:t>
      </w:r>
      <w:r>
        <w:rPr/>
        <w:t xml:space="preserve">. Defining for each burst a different frequency </w:t>
      </w:r>
      <w:r>
        <w:rPr>
          <w:i/>
        </w:rPr>
        <w:t>f</w:t>
      </w:r>
      <w:r>
        <w:rPr>
          <w:i/>
          <w:vertAlign w:val="subscript"/>
        </w:rPr>
        <w:t>H</w:t>
      </w:r>
      <w:r>
        <w:rPr/>
        <w:t xml:space="preserve"> the channel to use for each burst is centered around frequency 0 in base-band. This translated impulse responses are then filtered and sampled as described in subclause 6.1.</w:t>
      </w:r>
    </w:p>
    <w:p>
      <w:pPr>
        <w:pStyle w:val="Heading1"/>
        <w:ind w:left="1134" w:hanging="1134"/>
        <w:rPr/>
      </w:pPr>
      <w:bookmarkStart w:id="665" w:name="__RefHeading___Toc518036058"/>
      <w:bookmarkEnd w:id="665"/>
      <w:r>
        <w:rPr/>
        <w:t>7</w:t>
        <w:tab/>
        <w:t>Position Calculation and Statistical Evaluation</w:t>
      </w:r>
    </w:p>
    <w:p>
      <w:pPr>
        <w:pStyle w:val="Normal"/>
        <w:rPr/>
      </w:pPr>
      <w:r>
        <w:rPr/>
        <w:t>The position calculation function utilizes the available measurements, e.g time of arrival (TOA) measurements from three or more BS-MS links, to produce a position estimate. It is desirable that a position estimate is delivered even in cases where it is not possible to produce the number of measurements required by the particular method. In the latter case e.g. a position estimate related to the position of the serving cell can be used.</w:t>
      </w:r>
    </w:p>
    <w:p>
      <w:pPr>
        <w:pStyle w:val="Normal"/>
        <w:rPr/>
      </w:pPr>
      <w:r>
        <w:rPr/>
        <w:t xml:space="preserve">The statistical evaluation is based on computing the difference between the estimated position </w:t>
      </w:r>
      <w:r>
        <w:rPr/>
      </w:r>
      <m:oMath xmlns:m="http://schemas.openxmlformats.org/officeDocument/2006/math">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y</m:t>
                </m:r>
              </m:e>
            </m:acc>
          </m:e>
        </m:d>
      </m:oMath>
      <w:r>
        <w:rPr/>
        <w:t xml:space="preserve"> and the true position (</w:t>
      </w:r>
      <w:r>
        <w:rPr>
          <w:i/>
        </w:rPr>
        <w:t>x,y</w:t>
      </w:r>
      <w:r>
        <w:rPr/>
        <w:t>). One possible error measure is to define the circular error:</w:t>
      </w:r>
    </w:p>
    <w:tbl>
      <w:tblPr>
        <w:tblW w:w="8522" w:type="dxa"/>
        <w:jc w:val="left"/>
        <w:tblInd w:w="-108" w:type="dxa"/>
        <w:tblLayout w:type="fixed"/>
        <w:tblCellMar>
          <w:top w:w="0" w:type="dxa"/>
          <w:left w:w="108" w:type="dxa"/>
          <w:bottom w:w="0" w:type="dxa"/>
          <w:right w:w="108" w:type="dxa"/>
        </w:tblCellMar>
      </w:tblPr>
      <w:tblGrid>
        <w:gridCol w:w="7338"/>
        <w:gridCol w:w="1184"/>
      </w:tblGrid>
      <w:tr>
        <w:trPr/>
        <w:tc>
          <w:tcPr>
            <w:tcW w:w="7338" w:type="dxa"/>
            <w:tcBorders/>
          </w:tcPr>
          <w:p>
            <w:pPr>
              <w:pStyle w:val="Normal"/>
              <w:widowControl/>
              <w:overflowPunct w:val="false"/>
              <w:autoSpaceDE w:val="false"/>
              <w:bidi w:val="0"/>
              <w:spacing w:before="0" w:after="180"/>
              <w:textAlignment w:val="baseline"/>
              <w:rPr/>
            </w:pPr>
            <w:r>
              <w:rPr/>
              <w:drawing>
                <wp:inline distT="0" distB="0" distL="0" distR="0">
                  <wp:extent cx="1828800" cy="292100"/>
                  <wp:effectExtent l="0" t="0" r="0" b="0"/>
                  <wp:docPr id="194" name="Imag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18" descr=""/>
                          <pic:cNvPicPr>
                            <a:picLocks noChangeAspect="1" noChangeArrowheads="1"/>
                          </pic:cNvPicPr>
                        </pic:nvPicPr>
                        <pic:blipFill>
                          <a:blip r:embed="rId192"/>
                          <a:srcRect l="-20" t="-123" r="-20" b="-123"/>
                          <a:stretch>
                            <a:fillRect/>
                          </a:stretch>
                        </pic:blipFill>
                        <pic:spPr bwMode="auto">
                          <a:xfrm>
                            <a:off x="0" y="0"/>
                            <a:ext cx="1828800" cy="292100"/>
                          </a:xfrm>
                          <a:prstGeom prst="rect">
                            <a:avLst/>
                          </a:prstGeom>
                        </pic:spPr>
                      </pic:pic>
                    </a:graphicData>
                  </a:graphic>
                </wp:inline>
              </w:drawing>
            </w:r>
          </w:p>
        </w:tc>
        <w:tc>
          <w:tcPr>
            <w:tcW w:w="1184" w:type="dxa"/>
            <w:tcBorders/>
          </w:tcPr>
          <w:p>
            <w:pPr>
              <w:pStyle w:val="Normal"/>
              <w:widowControl/>
              <w:overflowPunct w:val="false"/>
              <w:autoSpaceDE w:val="false"/>
              <w:bidi w:val="0"/>
              <w:spacing w:before="0" w:after="180"/>
              <w:textAlignment w:val="baseline"/>
              <w:rPr/>
            </w:pPr>
            <w:r>
              <w:rPr/>
              <w:t>(8.1)</w:t>
            </w:r>
          </w:p>
        </w:tc>
      </w:tr>
    </w:tbl>
    <w:p>
      <w:pPr>
        <w:pStyle w:val="Normal"/>
        <w:rPr/>
      </w:pPr>
      <w:r>
        <w:rPr/>
        <w:t xml:space="preserve">Here subscript </w:t>
      </w:r>
      <w:r>
        <w:rPr>
          <w:i/>
        </w:rPr>
        <w:t>i</w:t>
      </w:r>
      <w:r>
        <w:rPr/>
        <w:t xml:space="preserve"> denotes quantities related to the </w:t>
      </w:r>
      <w:r>
        <w:rPr>
          <w:i/>
        </w:rPr>
        <w:t>i</w:t>
      </w:r>
      <w:r>
        <w:rPr/>
        <w:t>th MS. Statistics on the circular error could be presented by:</w:t>
      </w:r>
    </w:p>
    <w:p>
      <w:pPr>
        <w:pStyle w:val="B1"/>
        <w:rPr/>
      </w:pPr>
      <w:r>
        <w:rPr/>
        <w:t>-</w:t>
        <w:tab/>
        <w:t xml:space="preserve">Plotting the cumulative distribution function (CDF) of </w:t>
      </w:r>
      <w:r>
        <w:rPr>
          <w:i/>
        </w:rPr>
        <w:t>ce</w:t>
      </w:r>
      <w:r>
        <w:rPr/>
        <w:t>.</w:t>
      </w:r>
    </w:p>
    <w:p>
      <w:pPr>
        <w:pStyle w:val="B1"/>
        <w:rPr/>
      </w:pPr>
      <w:r>
        <w:rPr/>
        <w:t>-</w:t>
        <w:tab/>
        <w:t>Displaying certain CDF percentile values, like e.g. 67% and 90% levels.</w:t>
      </w:r>
    </w:p>
    <w:p>
      <w:pPr>
        <w:pStyle w:val="B1"/>
        <w:rPr/>
      </w:pPr>
      <w:r>
        <w:rPr/>
        <w:t>-</w:t>
        <w:tab/>
        <w:t xml:space="preserve">Determine the amount of position estimates satisfying </w:t>
      </w:r>
      <w:r>
        <w:rPr>
          <w:i/>
        </w:rPr>
        <w:t>ce</w:t>
      </w:r>
      <w:r>
        <w:rPr/>
        <w:t xml:space="preserve"> &lt; 125 m.</w:t>
      </w:r>
    </w:p>
    <w:p>
      <w:pPr>
        <w:pStyle w:val="Normal"/>
        <w:rPr/>
      </w:pPr>
      <w:r>
        <w:rPr/>
        <w:t>Another possibility is to compute the root mean square error (</w:t>
      </w:r>
      <w:r>
        <w:rPr>
          <w:i/>
        </w:rPr>
        <w:t>rmse</w:t>
      </w:r>
      <w:r>
        <w:rPr/>
        <w:t>):</w:t>
      </w:r>
    </w:p>
    <w:tbl>
      <w:tblPr>
        <w:tblW w:w="8522" w:type="dxa"/>
        <w:jc w:val="left"/>
        <w:tblInd w:w="-108" w:type="dxa"/>
        <w:tblLayout w:type="fixed"/>
        <w:tblCellMar>
          <w:top w:w="0" w:type="dxa"/>
          <w:left w:w="108" w:type="dxa"/>
          <w:bottom w:w="0" w:type="dxa"/>
          <w:right w:w="108" w:type="dxa"/>
        </w:tblCellMar>
      </w:tblPr>
      <w:tblGrid>
        <w:gridCol w:w="7338"/>
        <w:gridCol w:w="1184"/>
      </w:tblGrid>
      <w:tr>
        <w:trPr/>
        <w:tc>
          <w:tcPr>
            <w:tcW w:w="7338" w:type="dxa"/>
            <w:tcBorders/>
          </w:tcPr>
          <w:p>
            <w:pPr>
              <w:pStyle w:val="Normal"/>
              <w:spacing w:before="0" w:after="180"/>
              <w:rPr>
                <w:sz w:val="24"/>
              </w:rPr>
            </w:pPr>
            <w:r>
              <w:rPr>
                <w:sz w:val="24"/>
              </w:rPr>
              <w:drawing>
                <wp:inline distT="0" distB="0" distL="0" distR="0">
                  <wp:extent cx="2374265" cy="482600"/>
                  <wp:effectExtent l="0" t="0" r="0" b="0"/>
                  <wp:docPr id="195" name="Image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219" descr=""/>
                          <pic:cNvPicPr>
                            <a:picLocks noChangeAspect="1" noChangeArrowheads="1"/>
                          </pic:cNvPicPr>
                        </pic:nvPicPr>
                        <pic:blipFill>
                          <a:blip r:embed="rId193"/>
                          <a:srcRect l="-15" t="-75" r="-15" b="-75"/>
                          <a:stretch>
                            <a:fillRect/>
                          </a:stretch>
                        </pic:blipFill>
                        <pic:spPr bwMode="auto">
                          <a:xfrm>
                            <a:off x="0" y="0"/>
                            <a:ext cx="2374265" cy="482600"/>
                          </a:xfrm>
                          <a:prstGeom prst="rect">
                            <a:avLst/>
                          </a:prstGeom>
                        </pic:spPr>
                      </pic:pic>
                    </a:graphicData>
                  </a:graphic>
                </wp:inline>
              </w:drawing>
            </w:r>
          </w:p>
        </w:tc>
        <w:tc>
          <w:tcPr>
            <w:tcW w:w="1184" w:type="dxa"/>
            <w:tcBorders/>
          </w:tcPr>
          <w:p>
            <w:pPr>
              <w:pStyle w:val="Normal"/>
              <w:widowControl/>
              <w:overflowPunct w:val="false"/>
              <w:autoSpaceDE w:val="false"/>
              <w:bidi w:val="0"/>
              <w:spacing w:before="0" w:after="180"/>
              <w:textAlignment w:val="baseline"/>
              <w:rPr/>
            </w:pPr>
            <w:r>
              <w:rPr/>
              <w:t>(8.2)</w:t>
            </w:r>
          </w:p>
        </w:tc>
      </w:tr>
    </w:tbl>
    <w:p>
      <w:pPr>
        <w:pStyle w:val="Normal"/>
        <w:rPr/>
      </w:pPr>
      <w:r>
        <w:rPr/>
      </w:r>
    </w:p>
    <w:p>
      <w:pPr>
        <w:pStyle w:val="Normal"/>
        <w:rPr/>
      </w:pPr>
      <w:r>
        <w:rPr/>
        <w:t xml:space="preserve">Here N is the total number of positioned MS's. The </w:t>
      </w:r>
      <w:r>
        <w:rPr>
          <w:i/>
        </w:rPr>
        <w:t>rmse</w:t>
      </w:r>
      <w:r>
        <w:rPr/>
        <w:t xml:space="preserve"> calculation is very sensitive to occasional poor position estimates (caused e.g. by poor measurements or lack of measurements). A measure which is less sensitive to these rare so-called outliers is obtained by omitting the 10% worst cases in the </w:t>
      </w:r>
      <w:r>
        <w:rPr>
          <w:i/>
        </w:rPr>
        <w:t>rmse</w:t>
      </w:r>
      <w:r>
        <w:rPr/>
        <w:t xml:space="preserve"> calculation.</w:t>
      </w:r>
    </w:p>
    <w:p>
      <w:pPr>
        <w:pStyle w:val="Heading1"/>
        <w:ind w:left="1134" w:hanging="1134"/>
        <w:rPr/>
      </w:pPr>
      <w:bookmarkStart w:id="666" w:name="__RefHeading___Toc518036059"/>
      <w:bookmarkEnd w:id="666"/>
      <w:r>
        <w:rPr/>
        <w:t>8</w:t>
        <w:tab/>
        <w:t>References</w:t>
      </w:r>
    </w:p>
    <w:p>
      <w:pPr>
        <w:pStyle w:val="EX"/>
        <w:rPr/>
      </w:pPr>
      <w:bookmarkStart w:id="667" w:name="_Ref405092315"/>
      <w:bookmarkStart w:id="668" w:name="_Ref404753263"/>
      <w:bookmarkStart w:id="669" w:name="_Ref404752589"/>
      <w:r>
        <w:rPr/>
        <w:t>[</w:t>
      </w:r>
      <w:bookmarkEnd w:id="668"/>
      <w:r>
        <w:rPr/>
        <w:t>1]</w:t>
        <w:tab/>
        <w:t>W. R. Braun and U. Dersch, "A physical mobile radio channel model", IEEE Transactions on Vehicular Technology, Vol. 40, No. 2, May 1991.</w:t>
      </w:r>
      <w:bookmarkEnd w:id="667"/>
    </w:p>
    <w:p>
      <w:pPr>
        <w:pStyle w:val="EX"/>
        <w:rPr/>
      </w:pPr>
      <w:bookmarkStart w:id="670" w:name="_Ref404753266"/>
      <w:r>
        <w:rPr>
          <w:lang w:val="fr-FR"/>
        </w:rPr>
        <w:t>[</w:t>
      </w:r>
      <w:bookmarkEnd w:id="670"/>
      <w:r>
        <w:rPr>
          <w:lang w:val="fr-FR"/>
        </w:rPr>
        <w:t>2]</w:t>
        <w:tab/>
        <w:t xml:space="preserve">J. Jimenez, </w:t>
      </w:r>
      <w:r>
        <w:rPr>
          <w:i/>
          <w:lang w:val="fr-FR"/>
        </w:rPr>
        <w:t>et al.,</w:t>
      </w:r>
      <w:r>
        <w:rPr>
          <w:lang w:val="fr-FR"/>
        </w:rPr>
        <w:t xml:space="preserve"> "Final propagation model", R2020/TDE/PS/DS/P/040/b1, June 1994.</w:t>
      </w:r>
    </w:p>
    <w:p>
      <w:pPr>
        <w:pStyle w:val="EX"/>
        <w:rPr/>
      </w:pPr>
      <w:bookmarkStart w:id="671" w:name="_Ref404752589"/>
      <w:r>
        <w:rPr/>
        <w:t>[</w:t>
      </w:r>
      <w:bookmarkEnd w:id="671"/>
      <w:r>
        <w:rPr/>
        <w:t>3]</w:t>
        <w:tab/>
        <w:t>L. J. Greenstein, V. Erceg, Y. S. Yeh and M. V. Clark, "A new path-gain/delay-spread propagation model for digital cellular channels", IEEE Transactions on Vehicular Technology, Vol. 46, No. 2, May 1997.</w:t>
      </w:r>
    </w:p>
    <w:p>
      <w:pPr>
        <w:pStyle w:val="EX"/>
        <w:rPr/>
      </w:pPr>
      <w:bookmarkStart w:id="672" w:name="_Ref408422028"/>
      <w:bookmarkStart w:id="673" w:name="_Ref408422023"/>
      <w:bookmarkStart w:id="674" w:name="_Ref404753271"/>
      <w:r>
        <w:rPr/>
        <w:t>[</w:t>
      </w:r>
      <w:bookmarkEnd w:id="672"/>
      <w:r>
        <w:rPr/>
        <w:t>4]</w:t>
        <w:tab/>
        <w:t>D. C. Cox and R. P. Leck, "Distributions of multipath delay spread and average excess delay for 910-MHz urban mobile radio paths," IEEE Transactions on Antennas and Propagation, Vol. AP-23, No. 2, pp. 206-213, March 1975.</w:t>
      </w:r>
      <w:bookmarkEnd w:id="673"/>
    </w:p>
    <w:p>
      <w:pPr>
        <w:pStyle w:val="EX"/>
        <w:rPr/>
      </w:pPr>
      <w:bookmarkStart w:id="675" w:name="_Ref408422034"/>
      <w:r>
        <w:rPr/>
        <w:t>[</w:t>
      </w:r>
      <w:bookmarkEnd w:id="675"/>
      <w:r>
        <w:rPr/>
        <w:t>5]</w:t>
        <w:tab/>
        <w:t>A. S. Bajwa and J. D. Parsons, "Large area characterisation of urban UHF multipath propagation and its relevance to the performance bounds of mobile radio systems," IEE Proceedings, Vol. 132, Pt. F, No. 2, pp- 99-106, April 1985.</w:t>
      </w:r>
    </w:p>
    <w:p>
      <w:pPr>
        <w:pStyle w:val="EX"/>
        <w:rPr/>
      </w:pPr>
      <w:r>
        <w:rPr/>
        <w:t>[6]</w:t>
        <w:tab/>
        <w:t>U. Dersch and R. J. Rüegg, "Simulations of the time and frequency selective outdoor mobile radio channel", IEEE Transactions on Vehicular Technology, Vol. 42, No. 3, pp. 338-344, August 1993.</w:t>
      </w:r>
    </w:p>
    <w:p>
      <w:pPr>
        <w:pStyle w:val="EX"/>
        <w:rPr/>
      </w:pPr>
      <w:bookmarkStart w:id="676" w:name="_Ref404753271"/>
      <w:r>
        <w:rPr/>
        <w:t>[</w:t>
      </w:r>
      <w:bookmarkEnd w:id="676"/>
      <w:r>
        <w:rPr/>
        <w:t>7]</w:t>
        <w:tab/>
        <w:t>W. C. Y. Lee, "Effects on correlation between two mobile radio base-station antennas", IEEE Trans. Communications, Vol. COM-21, No. 11, Nov. 1973, pp. 1214-1224.</w:t>
      </w:r>
    </w:p>
    <w:p>
      <w:pPr>
        <w:pStyle w:val="EX"/>
        <w:rPr/>
      </w:pPr>
      <w:bookmarkStart w:id="677" w:name="_Ref404753274"/>
      <w:r>
        <w:rPr/>
        <w:t>[8]</w:t>
        <w:tab/>
        <w:t>F. Adachi, M. T. Feeney, A. G. Williamson and J. D. Parsons, "Crosscorrelation between the envelope of 900 MHz signals received at a mobile radio base station site", IEE Proceedings, Vol. 133, Pt. F, No. 6, Oct. 1986.</w:t>
      </w:r>
    </w:p>
    <w:p>
      <w:pPr>
        <w:pStyle w:val="EX"/>
        <w:rPr/>
      </w:pPr>
      <w:bookmarkStart w:id="678" w:name="_Ref404753274"/>
      <w:r>
        <w:rPr/>
        <w:t>[</w:t>
      </w:r>
      <w:bookmarkEnd w:id="678"/>
      <w:r>
        <w:rPr/>
        <w:t>9]</w:t>
        <w:tab/>
        <w:t>K. I. Pedersen, P. E. Mogensen and B. H. Fleury, "Power azimuth spectrum in outdoor environments", IEE Electronics Letters, 28</w:t>
      </w:r>
      <w:r>
        <w:rPr>
          <w:vertAlign w:val="superscript"/>
        </w:rPr>
        <w:t>th</w:t>
      </w:r>
      <w:r>
        <w:rPr/>
        <w:t xml:space="preserve"> Aug. 1997, Vol. 33, No. 18.</w:t>
      </w:r>
    </w:p>
    <w:p>
      <w:pPr>
        <w:pStyle w:val="EX"/>
        <w:rPr/>
      </w:pPr>
      <w:bookmarkStart w:id="679" w:name="_Ref404750058"/>
      <w:r>
        <w:rPr/>
        <w:t>[</w:t>
      </w:r>
      <w:bookmarkEnd w:id="679"/>
      <w:r>
        <w:rPr/>
        <w:t>10]</w:t>
        <w:tab/>
        <w:t>Masaharu Hata, "Empirical Formula for Propagation Loss in Land Mobile Radio Service," IEEE Transaction on Vehicular Technology, Vol. VT-29, No. 3 (1980), pp 317-325.</w:t>
      </w:r>
    </w:p>
    <w:p>
      <w:pPr>
        <w:pStyle w:val="Normal"/>
        <w:rPr/>
      </w:pPr>
      <w:r>
        <w:rPr/>
      </w:r>
      <w:r>
        <w:br w:type="page"/>
      </w:r>
    </w:p>
    <w:p>
      <w:pPr>
        <w:pStyle w:val="Heading9"/>
        <w:rPr/>
      </w:pPr>
      <w:bookmarkStart w:id="680" w:name="__RefHeading___Toc518036060"/>
      <w:bookmarkEnd w:id="680"/>
      <w:r>
        <w:rPr/>
        <w:t>Annex V.B:</w:t>
        <w:br/>
        <w:t>Simulations on Co-Existence of EDGE and GSM Modulated Signals</w:t>
      </w:r>
    </w:p>
    <w:p>
      <w:pPr>
        <w:pStyle w:val="Heading1"/>
        <w:ind w:left="1134" w:hanging="1134"/>
        <w:rPr/>
      </w:pPr>
      <w:bookmarkStart w:id="681" w:name="__RefHeading___Toc518036061"/>
      <w:bookmarkEnd w:id="681"/>
      <w:r>
        <w:rPr/>
        <w:t>1</w:t>
        <w:tab/>
        <w:t>Introduction</w:t>
      </w:r>
    </w:p>
    <w:p>
      <w:pPr>
        <w:pStyle w:val="Normal"/>
        <w:rPr/>
      </w:pPr>
      <w:r>
        <w:rPr/>
        <w:t>In a scenario where GSM-GMSK and EDGE-8PSK modulated signals coexist, it is of interest to assess the mutual effect of different modulation formats on the performance of TOA estimation algorithms. The EDGE modulation format has been designed in such a way that mutual orthogonality between EDGE and GSM users is guaranteed for communication purposes. However, since EDGE training sequences have been derived from the binary GSM training sequences, it is possible that at low Signal-to-Noise Ratio (SNRs) levels, where communication cannot take place but TOA estimation is still possible, these two modulation formats interfere with each other.</w:t>
      </w:r>
    </w:p>
    <w:p>
      <w:pPr>
        <w:pStyle w:val="Normal"/>
        <w:rPr/>
      </w:pPr>
      <w:r>
        <w:rPr/>
        <w:t>The present document assesses this problem, providing some simulation results.</w:t>
      </w:r>
    </w:p>
    <w:p>
      <w:pPr>
        <w:pStyle w:val="Normal"/>
        <w:rPr/>
      </w:pPr>
      <w:r>
        <w:rPr/>
        <w:t>A generic TOA estimation can be figured out as follows: the transmitter transmits a modulated burst over the channel. At the receiver side, the burst is correlated with the known training sequence embedded in the transmitted burst. Based on the features of the resulting correlation function, the TOA is estimated.</w:t>
      </w:r>
    </w:p>
    <w:p>
      <w:pPr>
        <w:pStyle w:val="Normal"/>
        <w:rPr/>
      </w:pPr>
      <w:r>
        <w:rPr/>
        <w:t xml:space="preserve">Under ideal circumstances, the correlation function has a peak clearly higher than the adjacent side-lobes; however, due to multipath, noise, etc. side-lobes can emerge, leading to erroneous TOA estimates. To avoid this problem, the correlation function can be checked, and eventually rejected, </w:t>
      </w:r>
      <w:r>
        <w:rPr>
          <w:i/>
        </w:rPr>
        <w:t>before</w:t>
      </w:r>
      <w:r>
        <w:rPr/>
        <w:t xml:space="preserve"> estimating the TOA.</w:t>
      </w:r>
    </w:p>
    <w:p>
      <w:pPr>
        <w:pStyle w:val="Normal"/>
        <w:rPr/>
      </w:pPr>
      <w:r>
        <w:rPr/>
        <w:t xml:space="preserve">This method can be applied also when the modulation format of the received signal is unknown (e.g., when it can be either GMSK or 8PSK). In fact, correlation between an EDGE modulated burst and a GSM training sequence, or vice versa, results in a correlation function without any dominant peak. </w:t>
      </w:r>
    </w:p>
    <w:p>
      <w:pPr>
        <w:pStyle w:val="Normal"/>
        <w:rPr/>
      </w:pPr>
      <w:r>
        <w:rPr/>
        <w:t>Figure 1 reports the correlation functions obtained by correlating an EDGE modulated burst ("EDGE Transmitted") with the corresponding EDGE ("EDGE Assumed") and GSM ("GSM Assumed") training sequences, in ideal condition of a Line-Of-Sight (LOS) noiseless propagation channel. Similar plots are reported for a GSM transmitted burst, on the right-hand side of the figure. It is evident that, when the training sequence does not match with the actual modulation of the received burst, the resulting correlation function is far from the ideal one.</w:t>
      </w:r>
    </w:p>
    <w:p>
      <w:pPr>
        <w:pStyle w:val="Normal"/>
        <w:rPr/>
      </w:pPr>
      <w:r>
        <w:rPr/>
        <w:t>The presence of GSM and EDGE signals at the same time, and its effect on the TOA estimation performance, can be then analyzed by simply estimating the percentage of bursts rejected by the correlation function check procedure.</w:t>
      </w:r>
    </w:p>
    <w:tbl>
      <w:tblPr>
        <w:tblW w:w="9902" w:type="dxa"/>
        <w:jc w:val="center"/>
        <w:tblInd w:w="0" w:type="dxa"/>
        <w:tblLayout w:type="fixed"/>
        <w:tblCellMar>
          <w:top w:w="0" w:type="dxa"/>
          <w:left w:w="108" w:type="dxa"/>
          <w:bottom w:w="0" w:type="dxa"/>
          <w:right w:w="108" w:type="dxa"/>
        </w:tblCellMar>
      </w:tblPr>
      <w:tblGrid>
        <w:gridCol w:w="4951"/>
        <w:gridCol w:w="4951"/>
      </w:tblGrid>
      <w:tr>
        <w:trPr>
          <w:cantSplit w:val="true"/>
        </w:trPr>
        <w:tc>
          <w:tcPr>
            <w:tcW w:w="4951" w:type="dxa"/>
            <w:tcBorders>
              <w:top w:val="single" w:sz="6" w:space="0" w:color="000000"/>
              <w:left w:val="single" w:sz="6" w:space="0" w:color="000000"/>
              <w:bottom w:val="single" w:sz="6" w:space="0" w:color="000000"/>
              <w:right w:val="single" w:sz="6" w:space="0" w:color="000000"/>
            </w:tcBorders>
          </w:tcPr>
          <w:p>
            <w:pPr>
              <w:pStyle w:val="TH"/>
              <w:spacing w:before="60" w:after="180"/>
              <w:rPr>
                <w:lang w:eastAsia="en-US"/>
              </w:rPr>
            </w:pPr>
            <w:r>
              <w:rPr>
                <w:lang w:eastAsia="en-US"/>
              </w:rPr>
              <w:drawing>
                <wp:inline distT="0" distB="0" distL="0" distR="0">
                  <wp:extent cx="2996565" cy="2245995"/>
                  <wp:effectExtent l="0" t="0" r="0" b="0"/>
                  <wp:docPr id="196" name="Image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20" descr=""/>
                          <pic:cNvPicPr>
                            <a:picLocks noChangeAspect="1" noChangeArrowheads="1"/>
                          </pic:cNvPicPr>
                        </pic:nvPicPr>
                        <pic:blipFill>
                          <a:blip r:embed="rId194"/>
                          <a:srcRect l="-3" t="-4" r="-3" b="-4"/>
                          <a:stretch>
                            <a:fillRect/>
                          </a:stretch>
                        </pic:blipFill>
                        <pic:spPr bwMode="auto">
                          <a:xfrm>
                            <a:off x="0" y="0"/>
                            <a:ext cx="2996565" cy="2245995"/>
                          </a:xfrm>
                          <a:prstGeom prst="rect">
                            <a:avLst/>
                          </a:prstGeom>
                        </pic:spPr>
                      </pic:pic>
                    </a:graphicData>
                  </a:graphic>
                </wp:inline>
              </w:drawing>
            </w:r>
          </w:p>
        </w:tc>
        <w:tc>
          <w:tcPr>
            <w:tcW w:w="4951" w:type="dxa"/>
            <w:tcBorders>
              <w:top w:val="single" w:sz="6" w:space="0" w:color="000000"/>
              <w:left w:val="single" w:sz="6" w:space="0" w:color="000000"/>
              <w:bottom w:val="single" w:sz="6" w:space="0" w:color="000000"/>
              <w:right w:val="single" w:sz="6" w:space="0" w:color="000000"/>
            </w:tcBorders>
          </w:tcPr>
          <w:p>
            <w:pPr>
              <w:pStyle w:val="TH"/>
              <w:spacing w:before="60" w:after="180"/>
              <w:rPr>
                <w:lang w:eastAsia="en-US"/>
              </w:rPr>
            </w:pPr>
            <w:r>
              <w:rPr>
                <w:lang w:eastAsia="en-US"/>
              </w:rPr>
              <w:drawing>
                <wp:inline distT="0" distB="0" distL="0" distR="0">
                  <wp:extent cx="2996565" cy="2245995"/>
                  <wp:effectExtent l="0" t="0" r="0" b="0"/>
                  <wp:docPr id="197" name="Image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21" descr=""/>
                          <pic:cNvPicPr>
                            <a:picLocks noChangeAspect="1" noChangeArrowheads="1"/>
                          </pic:cNvPicPr>
                        </pic:nvPicPr>
                        <pic:blipFill>
                          <a:blip r:embed="rId195"/>
                          <a:srcRect l="-3" t="-4" r="-3" b="-4"/>
                          <a:stretch>
                            <a:fillRect/>
                          </a:stretch>
                        </pic:blipFill>
                        <pic:spPr bwMode="auto">
                          <a:xfrm>
                            <a:off x="0" y="0"/>
                            <a:ext cx="2996565" cy="2245995"/>
                          </a:xfrm>
                          <a:prstGeom prst="rect">
                            <a:avLst/>
                          </a:prstGeom>
                        </pic:spPr>
                      </pic:pic>
                    </a:graphicData>
                  </a:graphic>
                </wp:inline>
              </w:drawing>
            </w:r>
          </w:p>
        </w:tc>
      </w:tr>
      <w:tr>
        <w:trPr>
          <w:cantSplit w:val="true"/>
        </w:trPr>
        <w:tc>
          <w:tcPr>
            <w:tcW w:w="4951" w:type="dxa"/>
            <w:tcBorders>
              <w:top w:val="single" w:sz="6" w:space="0" w:color="000000"/>
              <w:left w:val="single" w:sz="6" w:space="0" w:color="000000"/>
              <w:bottom w:val="single" w:sz="4" w:space="0" w:color="000000"/>
              <w:right w:val="single" w:sz="6" w:space="0" w:color="000000"/>
            </w:tcBorders>
          </w:tcPr>
          <w:p>
            <w:pPr>
              <w:pStyle w:val="TH"/>
              <w:spacing w:before="60" w:after="180"/>
              <w:rPr>
                <w:lang w:eastAsia="en-US"/>
              </w:rPr>
            </w:pPr>
            <w:r>
              <w:rPr>
                <w:lang w:eastAsia="en-US"/>
              </w:rPr>
              <w:drawing>
                <wp:inline distT="0" distB="0" distL="0" distR="0">
                  <wp:extent cx="2996565" cy="2245995"/>
                  <wp:effectExtent l="0" t="0" r="0" b="0"/>
                  <wp:docPr id="198" name="Image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22" descr=""/>
                          <pic:cNvPicPr>
                            <a:picLocks noChangeAspect="1" noChangeArrowheads="1"/>
                          </pic:cNvPicPr>
                        </pic:nvPicPr>
                        <pic:blipFill>
                          <a:blip r:embed="rId196"/>
                          <a:srcRect l="-3" t="-4" r="-3" b="-4"/>
                          <a:stretch>
                            <a:fillRect/>
                          </a:stretch>
                        </pic:blipFill>
                        <pic:spPr bwMode="auto">
                          <a:xfrm>
                            <a:off x="0" y="0"/>
                            <a:ext cx="2996565" cy="2245995"/>
                          </a:xfrm>
                          <a:prstGeom prst="rect">
                            <a:avLst/>
                          </a:prstGeom>
                        </pic:spPr>
                      </pic:pic>
                    </a:graphicData>
                  </a:graphic>
                </wp:inline>
              </w:drawing>
            </w:r>
          </w:p>
        </w:tc>
        <w:tc>
          <w:tcPr>
            <w:tcW w:w="4951" w:type="dxa"/>
            <w:tcBorders>
              <w:top w:val="single" w:sz="6" w:space="0" w:color="000000"/>
              <w:left w:val="single" w:sz="6" w:space="0" w:color="000000"/>
              <w:bottom w:val="single" w:sz="4" w:space="0" w:color="000000"/>
              <w:right w:val="single" w:sz="6" w:space="0" w:color="000000"/>
            </w:tcBorders>
          </w:tcPr>
          <w:p>
            <w:pPr>
              <w:pStyle w:val="TH"/>
              <w:spacing w:before="60" w:after="180"/>
              <w:rPr>
                <w:lang w:eastAsia="en-US"/>
              </w:rPr>
            </w:pPr>
            <w:r>
              <w:rPr>
                <w:lang w:eastAsia="en-US"/>
              </w:rPr>
              <w:drawing>
                <wp:inline distT="0" distB="0" distL="0" distR="0">
                  <wp:extent cx="2996565" cy="2245995"/>
                  <wp:effectExtent l="0" t="0" r="0" b="0"/>
                  <wp:docPr id="199" name="Image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223" descr=""/>
                          <pic:cNvPicPr>
                            <a:picLocks noChangeAspect="1" noChangeArrowheads="1"/>
                          </pic:cNvPicPr>
                        </pic:nvPicPr>
                        <pic:blipFill>
                          <a:blip r:embed="rId197"/>
                          <a:srcRect l="-3" t="-4" r="-3" b="-4"/>
                          <a:stretch>
                            <a:fillRect/>
                          </a:stretch>
                        </pic:blipFill>
                        <pic:spPr bwMode="auto">
                          <a:xfrm>
                            <a:off x="0" y="0"/>
                            <a:ext cx="2996565" cy="2245995"/>
                          </a:xfrm>
                          <a:prstGeom prst="rect">
                            <a:avLst/>
                          </a:prstGeom>
                        </pic:spPr>
                      </pic:pic>
                    </a:graphicData>
                  </a:graphic>
                </wp:inline>
              </w:drawing>
            </w:r>
          </w:p>
        </w:tc>
      </w:tr>
    </w:tbl>
    <w:p>
      <w:pPr>
        <w:pStyle w:val="NF"/>
        <w:rPr/>
      </w:pPr>
      <w:r>
        <w:rPr/>
      </w:r>
      <w:bookmarkStart w:id="682" w:name="_Ref468597784"/>
      <w:bookmarkStart w:id="683" w:name="_Ref468597784"/>
    </w:p>
    <w:p>
      <w:pPr>
        <w:pStyle w:val="TF"/>
        <w:rPr/>
      </w:pPr>
      <w:bookmarkStart w:id="684" w:name="_Ref468597784"/>
      <w:r>
        <w:rPr/>
        <w:t xml:space="preserve">Figure </w:t>
      </w:r>
      <w:bookmarkEnd w:id="684"/>
      <w:r>
        <w:rPr/>
        <w:t>1: Examples of correlation functions in a ideal line-of-sight (LOS) noiseless channel</w:t>
      </w:r>
    </w:p>
    <w:p>
      <w:pPr>
        <w:pStyle w:val="Heading1"/>
        <w:ind w:left="1134" w:hanging="1134"/>
        <w:rPr/>
      </w:pPr>
      <w:bookmarkStart w:id="685" w:name="__RefHeading___Toc518036062"/>
      <w:bookmarkEnd w:id="685"/>
      <w:r>
        <w:rPr/>
        <w:t>2</w:t>
        <w:tab/>
        <w:t>Simulations</w:t>
      </w:r>
    </w:p>
    <w:p>
      <w:pPr>
        <w:pStyle w:val="Normal"/>
        <w:rPr/>
      </w:pPr>
      <w:r>
        <w:rPr/>
        <w:t>Simulations have been conducted according to the scheme described in Figure 2. The goal is to calculate the percentage of rejected bursts when the received bursts are correlated with the corresponding GSM and EDGE training sequences.</w:t>
      </w:r>
    </w:p>
    <w:p>
      <w:pPr>
        <w:pStyle w:val="Normal"/>
        <w:rPr/>
      </w:pPr>
      <w:r>
        <w:rPr/>
        <w:t xml:space="preserve">Given a certain Signal-to-Noise Ratio (SNR), a Mobile Station (MS) speed and a channel type compliant with T1P1 models, one EDGE-modulated normal burst and one GSM-modulated normal burst are generated.  The </w:t>
      </w:r>
      <w:r>
        <w:rPr>
          <w:i/>
        </w:rPr>
        <w:t>binary</w:t>
      </w:r>
      <w:r>
        <w:rPr/>
        <w:t xml:space="preserve"> training sequence embedded in the modulated bursts is the same, namely the number 0 (TSC</w:t>
      </w:r>
      <w:r>
        <w:rPr>
          <w:vertAlign w:val="subscript"/>
        </w:rPr>
        <w:t>0</w:t>
      </w:r>
      <w:r>
        <w:rPr/>
        <w:t>).</w:t>
      </w:r>
    </w:p>
    <w:p>
      <w:pPr>
        <w:pStyle w:val="Normal"/>
        <w:rPr/>
      </w:pPr>
      <w:r>
        <w:rPr/>
        <w:t>The transmitted EDGE and GSM bursts propagate over the same AWGN (Additive White Gaussian Noise) multipath channel and are received with a 4</w:t>
      </w:r>
      <w:r>
        <w:rPr>
          <w:vertAlign w:val="superscript"/>
        </w:rPr>
        <w:t>th</w:t>
      </w:r>
      <w:r>
        <w:rPr/>
        <w:t xml:space="preserve"> order Butterworth filter with cutoff frequency of 100 kHz.</w:t>
      </w:r>
    </w:p>
    <w:p>
      <w:pPr>
        <w:pStyle w:val="Normal"/>
        <w:rPr/>
      </w:pPr>
      <w:r>
        <w:rPr/>
        <w:t>The received bursts are correlated with the training sequence 0, considering all possible combinations, i.e., for each transmitted burst, the correlation with the EDGE TSC</w:t>
      </w:r>
      <w:r>
        <w:rPr>
          <w:vertAlign w:val="subscript"/>
        </w:rPr>
        <w:t>0</w:t>
      </w:r>
      <w:r>
        <w:rPr/>
        <w:t xml:space="preserve"> and the correlation with the GSM TSC</w:t>
      </w:r>
      <w:r>
        <w:rPr>
          <w:vertAlign w:val="subscript"/>
        </w:rPr>
        <w:t>0</w:t>
      </w:r>
      <w:r>
        <w:rPr/>
        <w:t xml:space="preserve"> are calculated. The resulting correlation functions are then checked using the same rejection/acceptance criteria.</w:t>
      </w:r>
    </w:p>
    <w:p>
      <w:pPr>
        <w:pStyle w:val="Normal"/>
        <w:rPr/>
      </w:pPr>
      <w:r>
        <w:rPr/>
        <w:t xml:space="preserve">500 Monte Carlo runs have been conducted. The MS speed has been fixed at 3 km/h. Suburban (SU) and Urban A (UA) multipath channels have been considered, with SNR ranging from </w:t>
        <w:noBreakHyphen/>
        <w:t>10 dB to +10 dB. For reference, also the noiseless channel (SNR=Inf ) has been considered.</w:t>
      </w:r>
    </w:p>
    <w:p>
      <w:pPr>
        <w:pStyle w:val="TH"/>
        <w:rPr/>
      </w:pPr>
      <w:r>
        <w:rPr/>
        <w:drawing>
          <wp:inline distT="0" distB="0" distL="0" distR="0">
            <wp:extent cx="6109335" cy="3695700"/>
            <wp:effectExtent l="0" t="0" r="0" b="0"/>
            <wp:docPr id="200" name="Image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24" descr=""/>
                    <pic:cNvPicPr>
                      <a:picLocks noChangeAspect="1" noChangeArrowheads="1"/>
                    </pic:cNvPicPr>
                  </pic:nvPicPr>
                  <pic:blipFill>
                    <a:blip r:embed="rId198"/>
                    <a:srcRect l="-5" t="-9" r="-5" b="-9"/>
                    <a:stretch>
                      <a:fillRect/>
                    </a:stretch>
                  </pic:blipFill>
                  <pic:spPr bwMode="auto">
                    <a:xfrm>
                      <a:off x="0" y="0"/>
                      <a:ext cx="6109335" cy="3695700"/>
                    </a:xfrm>
                    <a:prstGeom prst="rect">
                      <a:avLst/>
                    </a:prstGeom>
                  </pic:spPr>
                </pic:pic>
              </a:graphicData>
            </a:graphic>
          </wp:inline>
        </w:drawing>
      </w:r>
    </w:p>
    <w:p>
      <w:pPr>
        <w:pStyle w:val="TF"/>
        <w:rPr/>
      </w:pPr>
      <w:bookmarkStart w:id="686" w:name="_Ref468529553"/>
      <w:r>
        <w:rPr/>
        <w:t xml:space="preserve">Figure </w:t>
      </w:r>
      <w:bookmarkEnd w:id="686"/>
      <w:r>
        <w:rPr/>
        <w:t>2: Simulation scheme</w:t>
      </w:r>
    </w:p>
    <w:p>
      <w:pPr>
        <w:pStyle w:val="Heading1"/>
        <w:ind w:left="1134" w:hanging="1134"/>
        <w:rPr/>
      </w:pPr>
      <w:bookmarkStart w:id="687" w:name="__RefHeading___Toc518036063"/>
      <w:bookmarkEnd w:id="687"/>
      <w:r>
        <w:rPr/>
        <w:t>3</w:t>
        <w:tab/>
        <w:t>Simulation Results</w:t>
      </w:r>
    </w:p>
    <w:p>
      <w:pPr>
        <w:pStyle w:val="Normal"/>
        <w:rPr/>
      </w:pPr>
      <w:r>
        <w:rPr/>
        <w:t xml:space="preserve">Table </w:t>
      </w:r>
      <w:r>
        <w:rPr>
          <w:lang w:val="en-US" w:eastAsia="en-US"/>
        </w:rPr>
        <w:t>3</w:t>
      </w:r>
      <w:r>
        <w:rPr/>
        <w:t xml:space="preserve"> report results when an EDGE modulated burst is transmitted. The probability that an EDGE burst is accepted, when correlated with the corresponding GSM training sequence ("GSM assumed"), is zero in all cases, with the only exception of the case Suburban@SNR=-10dB, where 2 bursts out of 500, i.e. the 0.4%, are not rejected.</w:t>
      </w:r>
    </w:p>
    <w:p>
      <w:pPr>
        <w:pStyle w:val="Normal"/>
        <w:rPr/>
      </w:pPr>
      <w:r>
        <w:rPr/>
        <w:t>This is the most relevant result; however, a general robustness of the EDGE modulation can be noticed: the probability of an EDGE burst to be rejected when correlated with the correct training sequence ("EDGE assumed") is almost zero for SNR</w:t>
      </w:r>
      <w:r>
        <w:rPr>
          <w:rFonts w:eastAsia="Symbol" w:cs="Symbol" w:ascii="Symbol" w:hAnsi="Symbol"/>
        </w:rPr>
        <w:t></w:t>
      </w:r>
      <w:r>
        <w:rPr/>
        <w:t>0dB, less than 2% @SNR=-5dB and around 14-16% @SNR=-10dB.</w:t>
      </w:r>
    </w:p>
    <w:p>
      <w:pPr>
        <w:pStyle w:val="Normal"/>
        <w:rPr/>
      </w:pPr>
      <w:r>
        <w:rPr/>
        <w:t>The same observations basically apply when a GSM burst is transmitted, though the GMSK modulation results slightly less robust than the 8PSK modulation. In the worst conditions, the probability that GSM bursts are interpreted as EDGE modulated is less than 4% ("EDGE assumed"); while, even in absence of noise or very high SNRs, the multipath can generate rejections of GSM burst, when correlated with the correct training sequence ("GSM assumed").</w:t>
      </w:r>
    </w:p>
    <w:p>
      <w:pPr>
        <w:pStyle w:val="TH"/>
        <w:rPr/>
      </w:pPr>
      <w:bookmarkStart w:id="688" w:name="_Ref468526593"/>
      <w:r>
        <w:rPr/>
        <w:t xml:space="preserve">Table </w:t>
      </w:r>
      <w:r>
        <w:rPr>
          <w:lang w:val="en-US" w:eastAsia="en-US"/>
        </w:rPr>
        <w:t>3</w:t>
      </w:r>
      <w:bookmarkEnd w:id="688"/>
      <w:r>
        <w:rPr/>
        <w:t>: Percentage of rejected bursts when EDGE modulated bursts are transmitted</w:t>
      </w:r>
    </w:p>
    <w:tbl>
      <w:tblPr>
        <w:tblW w:w="10065" w:type="dxa"/>
        <w:jc w:val="left"/>
        <w:tblInd w:w="-5" w:type="dxa"/>
        <w:tblLayout w:type="fixed"/>
        <w:tblCellMar>
          <w:top w:w="0" w:type="dxa"/>
          <w:left w:w="108" w:type="dxa"/>
          <w:bottom w:w="0" w:type="dxa"/>
          <w:right w:w="108" w:type="dxa"/>
        </w:tblCellMar>
      </w:tblPr>
      <w:tblGrid>
        <w:gridCol w:w="1129"/>
        <w:gridCol w:w="1423"/>
        <w:gridCol w:w="1051"/>
        <w:gridCol w:w="1237"/>
        <w:gridCol w:w="1237"/>
        <w:gridCol w:w="1237"/>
        <w:gridCol w:w="1237"/>
        <w:gridCol w:w="1514"/>
      </w:tblGrid>
      <w:tr>
        <w:trPr>
          <w:cantSplit w:val="true"/>
        </w:trPr>
        <w:tc>
          <w:tcPr>
            <w:tcW w:w="1129"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8936" w:type="dxa"/>
            <w:gridSpan w:val="7"/>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SNR, dB</w:t>
            </w:r>
          </w:p>
        </w:tc>
      </w:tr>
      <w:tr>
        <w:trPr/>
        <w:tc>
          <w:tcPr>
            <w:tcW w:w="1129"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423"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05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-10</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-5</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0</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5</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10</w:t>
            </w:r>
          </w:p>
        </w:tc>
        <w:tc>
          <w:tcPr>
            <w:tcW w:w="151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w:t>
            </w:r>
          </w:p>
        </w:tc>
      </w:tr>
      <w:tr>
        <w:trPr>
          <w:cantSplit w:val="true"/>
        </w:trPr>
        <w:tc>
          <w:tcPr>
            <w:tcW w:w="1129" w:type="dxa"/>
            <w:vMerge w:val="restart"/>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EDGE</w:t>
            </w:r>
          </w:p>
          <w:p>
            <w:pPr>
              <w:pStyle w:val="TAL"/>
              <w:rPr>
                <w:lang w:val="en-GB"/>
              </w:rPr>
            </w:pPr>
            <w:r>
              <w:rPr>
                <w:lang w:val="en-GB"/>
              </w:rPr>
              <w:t>assumed</w:t>
            </w:r>
          </w:p>
        </w:tc>
        <w:tc>
          <w:tcPr>
            <w:tcW w:w="14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UA, 3km/h</w:t>
            </w:r>
          </w:p>
        </w:tc>
        <w:tc>
          <w:tcPr>
            <w:tcW w:w="105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15.8</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1.4</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0.2</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0</w:t>
            </w:r>
          </w:p>
        </w:tc>
        <w:tc>
          <w:tcPr>
            <w:tcW w:w="1514"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0</w:t>
            </w:r>
          </w:p>
        </w:tc>
      </w:tr>
      <w:tr>
        <w:trPr>
          <w:cantSplit w:val="true"/>
        </w:trPr>
        <w:tc>
          <w:tcPr>
            <w:tcW w:w="11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fr-FR"/>
              </w:rPr>
            </w:pPr>
            <w:r>
              <w:rPr>
                <w:lang w:val="fr-F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SU, 3km/h</w:t>
            </w:r>
          </w:p>
        </w:tc>
        <w:tc>
          <w:tcPr>
            <w:tcW w:w="105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13.8</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c>
          <w:tcPr>
            <w:tcW w:w="151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r>
      <w:tr>
        <w:trPr>
          <w:cantSplit w:val="true"/>
        </w:trPr>
        <w:tc>
          <w:tcPr>
            <w:tcW w:w="1129" w:type="dxa"/>
            <w:vMerge w:val="restart"/>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w:t>
            </w:r>
          </w:p>
          <w:p>
            <w:pPr>
              <w:pStyle w:val="TAL"/>
              <w:rPr>
                <w:lang w:val="en-GB"/>
              </w:rPr>
            </w:pPr>
            <w:r>
              <w:rPr>
                <w:lang w:val="en-GB"/>
              </w:rPr>
              <w:t>assumed</w:t>
            </w:r>
          </w:p>
        </w:tc>
        <w:tc>
          <w:tcPr>
            <w:tcW w:w="14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UA, 3km/h</w:t>
            </w:r>
          </w:p>
        </w:tc>
        <w:tc>
          <w:tcPr>
            <w:tcW w:w="105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99.6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100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100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100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100</w:t>
            </w:r>
          </w:p>
        </w:tc>
        <w:tc>
          <w:tcPr>
            <w:tcW w:w="1514"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100</w:t>
            </w:r>
          </w:p>
        </w:tc>
      </w:tr>
      <w:tr>
        <w:trPr>
          <w:cantSplit w:val="true"/>
        </w:trPr>
        <w:tc>
          <w:tcPr>
            <w:tcW w:w="112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fr-FR"/>
              </w:rPr>
            </w:pPr>
            <w:r>
              <w:rPr>
                <w:lang w:val="fr-F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SU, 3km/h</w:t>
            </w:r>
          </w:p>
        </w:tc>
        <w:tc>
          <w:tcPr>
            <w:tcW w:w="105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100</w:t>
            </w:r>
          </w:p>
        </w:tc>
        <w:tc>
          <w:tcPr>
            <w:tcW w:w="151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100</w:t>
            </w:r>
          </w:p>
        </w:tc>
      </w:tr>
    </w:tbl>
    <w:p>
      <w:pPr>
        <w:pStyle w:val="FP"/>
        <w:rPr/>
      </w:pPr>
      <w:r>
        <w:rPr/>
      </w:r>
    </w:p>
    <w:p>
      <w:pPr>
        <w:pStyle w:val="TH"/>
        <w:rPr/>
      </w:pPr>
      <w:bookmarkStart w:id="689" w:name="_Ref468526422"/>
      <w:r>
        <w:rPr/>
        <w:t xml:space="preserve">Table </w:t>
      </w:r>
      <w:r>
        <w:rPr>
          <w:lang w:val="en-US" w:eastAsia="en-US"/>
        </w:rPr>
        <w:t>4</w:t>
      </w:r>
      <w:bookmarkEnd w:id="689"/>
      <w:r>
        <w:rPr/>
        <w:t>: Percentage of rejected bursts when GSM modulated bursts are transmitted</w:t>
      </w:r>
    </w:p>
    <w:tbl>
      <w:tblPr>
        <w:tblW w:w="9896" w:type="dxa"/>
        <w:jc w:val="center"/>
        <w:tblInd w:w="0" w:type="dxa"/>
        <w:tblLayout w:type="fixed"/>
        <w:tblCellMar>
          <w:top w:w="0" w:type="dxa"/>
          <w:left w:w="108" w:type="dxa"/>
          <w:bottom w:w="0" w:type="dxa"/>
          <w:right w:w="108" w:type="dxa"/>
        </w:tblCellMar>
      </w:tblPr>
      <w:tblGrid>
        <w:gridCol w:w="1237"/>
        <w:gridCol w:w="1423"/>
        <w:gridCol w:w="1051"/>
        <w:gridCol w:w="1237"/>
        <w:gridCol w:w="1237"/>
        <w:gridCol w:w="1237"/>
        <w:gridCol w:w="1237"/>
        <w:gridCol w:w="1237"/>
      </w:tblGrid>
      <w:tr>
        <w:trPr/>
        <w:tc>
          <w:tcPr>
            <w:tcW w:w="1237"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8659" w:type="dxa"/>
            <w:gridSpan w:val="7"/>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SNR, dB</w:t>
            </w:r>
          </w:p>
        </w:tc>
      </w:tr>
      <w:tr>
        <w:trPr/>
        <w:tc>
          <w:tcPr>
            <w:tcW w:w="1237" w:type="dxa"/>
            <w:tcBorders>
              <w:top w:val="single" w:sz="4" w:space="0" w:color="000000"/>
              <w:left w:val="single" w:sz="4" w:space="0" w:color="000000"/>
              <w:bottom w:val="single" w:sz="4" w:space="0" w:color="000000"/>
              <w:right w:val="single" w:sz="4" w:space="0" w:color="000000"/>
            </w:tcBorders>
          </w:tcPr>
          <w:p>
            <w:pPr>
              <w:pStyle w:val="TAH"/>
              <w:snapToGrid w:val="false"/>
              <w:rPr>
                <w:rFonts w:ascii="Times New Roman" w:hAnsi="Times New Roman" w:cs="Times New Roman"/>
                <w:lang w:eastAsia="en-US"/>
              </w:rPr>
            </w:pPr>
            <w:r>
              <w:rPr>
                <w:rFonts w:cs="Times New Roman" w:ascii="Times New Roman" w:hAnsi="Times New Roman"/>
                <w:lang w:eastAsia="en-US"/>
              </w:rPr>
            </w:r>
          </w:p>
        </w:tc>
        <w:tc>
          <w:tcPr>
            <w:tcW w:w="1423"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05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-10</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-5</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0</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5</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10</w:t>
            </w:r>
          </w:p>
        </w:tc>
        <w:tc>
          <w:tcPr>
            <w:tcW w:w="1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Inf</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EDGE</w:t>
            </w:r>
          </w:p>
          <w:p>
            <w:pPr>
              <w:pStyle w:val="TAL"/>
              <w:rPr>
                <w:lang w:val="en-GB"/>
              </w:rPr>
            </w:pPr>
            <w:r>
              <w:rPr>
                <w:lang w:val="en-GB"/>
              </w:rPr>
              <w:t>assumed</w:t>
            </w:r>
          </w:p>
        </w:tc>
        <w:tc>
          <w:tcPr>
            <w:tcW w:w="14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UA, 3km/h</w:t>
            </w:r>
          </w:p>
        </w:tc>
        <w:tc>
          <w:tcPr>
            <w:tcW w:w="105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96.2</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96.8</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99.2</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99.8</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99.6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99.8</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fr-FR"/>
              </w:rPr>
            </w:pPr>
            <w:r>
              <w:rPr>
                <w:lang w:val="fr-F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SU, 3km/h</w:t>
            </w:r>
          </w:p>
        </w:tc>
        <w:tc>
          <w:tcPr>
            <w:tcW w:w="105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97.2</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96.6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97.8</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99.6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99.6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100</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GSM</w:t>
            </w:r>
          </w:p>
          <w:p>
            <w:pPr>
              <w:pStyle w:val="TAL"/>
              <w:rPr>
                <w:lang w:val="en-GB"/>
              </w:rPr>
            </w:pPr>
            <w:r>
              <w:rPr>
                <w:lang w:val="en-GB"/>
              </w:rPr>
              <w:t>assumed</w:t>
            </w:r>
          </w:p>
        </w:tc>
        <w:tc>
          <w:tcPr>
            <w:tcW w:w="142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UA, 3km/h</w:t>
            </w:r>
          </w:p>
        </w:tc>
        <w:tc>
          <w:tcPr>
            <w:tcW w:w="105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20.4</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3.2</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1.0</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0.6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0.6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0.2</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fr-FR"/>
              </w:rPr>
            </w:pPr>
            <w:r>
              <w:rPr>
                <w:lang w:val="fr-FR"/>
              </w:rPr>
            </w:r>
          </w:p>
        </w:tc>
        <w:tc>
          <w:tcPr>
            <w:tcW w:w="142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SU, 3km/h</w:t>
            </w:r>
          </w:p>
        </w:tc>
        <w:tc>
          <w:tcPr>
            <w:tcW w:w="105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24.8</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4.2</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1.4</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0.6</w:t>
            </w:r>
          </w:p>
        </w:tc>
        <w:tc>
          <w:tcPr>
            <w:tcW w:w="123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0.8</w:t>
            </w:r>
          </w:p>
        </w:tc>
      </w:tr>
    </w:tbl>
    <w:p>
      <w:pPr>
        <w:pStyle w:val="Normal"/>
        <w:rPr/>
      </w:pPr>
      <w:r>
        <w:rPr/>
      </w:r>
    </w:p>
    <w:p>
      <w:pPr>
        <w:pStyle w:val="Normal"/>
        <w:rPr/>
      </w:pPr>
      <w:r>
        <w:rPr/>
        <w:t>Figure 5 and Figure 4 are graphical representations of the results reported in the tables.</w:t>
      </w:r>
    </w:p>
    <w:p>
      <w:pPr>
        <w:pStyle w:val="TH"/>
        <w:rPr/>
      </w:pPr>
      <w:r>
        <w:rPr/>
        <w:drawing>
          <wp:inline distT="0" distB="0" distL="0" distR="0">
            <wp:extent cx="6149340" cy="4612005"/>
            <wp:effectExtent l="0" t="0" r="0" b="0"/>
            <wp:docPr id="201" name="Image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225" descr=""/>
                    <pic:cNvPicPr>
                      <a:picLocks noChangeAspect="1" noChangeArrowheads="1"/>
                    </pic:cNvPicPr>
                  </pic:nvPicPr>
                  <pic:blipFill>
                    <a:blip r:embed="rId199"/>
                    <a:srcRect l="-3" t="-4" r="-3" b="-4"/>
                    <a:stretch>
                      <a:fillRect/>
                    </a:stretch>
                  </pic:blipFill>
                  <pic:spPr bwMode="auto">
                    <a:xfrm>
                      <a:off x="0" y="0"/>
                      <a:ext cx="6149340" cy="4612005"/>
                    </a:xfrm>
                    <a:prstGeom prst="rect">
                      <a:avLst/>
                    </a:prstGeom>
                  </pic:spPr>
                </pic:pic>
              </a:graphicData>
            </a:graphic>
          </wp:inline>
        </w:drawing>
      </w:r>
    </w:p>
    <w:p>
      <w:pPr>
        <w:pStyle w:val="TF"/>
        <w:rPr/>
      </w:pPr>
      <w:bookmarkStart w:id="690" w:name="_Ref468595253"/>
      <w:r>
        <w:rPr/>
        <w:t xml:space="preserve">Figure </w:t>
      </w:r>
      <w:bookmarkEnd w:id="690"/>
      <w:r>
        <w:rPr/>
        <w:t>5: Percentage of rejected EDGE bursts in Urban A, 3 km/h and Suburban, 3 km/h channels</w:t>
      </w:r>
    </w:p>
    <w:p>
      <w:pPr>
        <w:pStyle w:val="TH"/>
        <w:rPr/>
      </w:pPr>
      <w:r>
        <w:rPr/>
        <w:drawing>
          <wp:inline distT="0" distB="0" distL="0" distR="0">
            <wp:extent cx="6149340" cy="4612005"/>
            <wp:effectExtent l="0" t="0" r="0" b="0"/>
            <wp:docPr id="202" name="Image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26" descr=""/>
                    <pic:cNvPicPr>
                      <a:picLocks noChangeAspect="1" noChangeArrowheads="1"/>
                    </pic:cNvPicPr>
                  </pic:nvPicPr>
                  <pic:blipFill>
                    <a:blip r:embed="rId200"/>
                    <a:srcRect l="-3" t="-4" r="-3" b="-4"/>
                    <a:stretch>
                      <a:fillRect/>
                    </a:stretch>
                  </pic:blipFill>
                  <pic:spPr bwMode="auto">
                    <a:xfrm>
                      <a:off x="0" y="0"/>
                      <a:ext cx="6149340" cy="4612005"/>
                    </a:xfrm>
                    <a:prstGeom prst="rect">
                      <a:avLst/>
                    </a:prstGeom>
                  </pic:spPr>
                </pic:pic>
              </a:graphicData>
            </a:graphic>
          </wp:inline>
        </w:drawing>
      </w:r>
    </w:p>
    <w:p>
      <w:pPr>
        <w:pStyle w:val="TF"/>
        <w:rPr/>
      </w:pPr>
      <w:bookmarkStart w:id="691" w:name="_Ref468595264"/>
      <w:r>
        <w:rPr/>
        <w:t>Figure</w:t>
      </w:r>
      <w:bookmarkEnd w:id="691"/>
      <w:r>
        <w:rPr/>
        <w:t xml:space="preserve"> 4: Percentage of rejected GSM bursts in Urban A, 3 km/h and Suburban, 3 km/h channels</w:t>
      </w:r>
    </w:p>
    <w:p>
      <w:pPr>
        <w:pStyle w:val="Heading1"/>
        <w:ind w:left="1134" w:hanging="1134"/>
        <w:rPr/>
      </w:pPr>
      <w:bookmarkStart w:id="692" w:name="__RefHeading___Toc518036064"/>
      <w:bookmarkEnd w:id="692"/>
      <w:r>
        <w:rPr/>
        <w:t>4</w:t>
        <w:tab/>
        <w:t>Conclusions</w:t>
      </w:r>
    </w:p>
    <w:p>
      <w:pPr>
        <w:pStyle w:val="Normal"/>
        <w:rPr/>
      </w:pPr>
      <w:r>
        <w:rPr/>
        <w:t>As a summary of the results reported in the present document, it can be stated that, in the scenarios considered, the orthogonality between GSM and EDGE modulations is basically maintained even at low levels of SNR, where communication is not feasible. In particular, when considering the application of TOA estimation algorithms for MS positioning, it is possible to discriminate one modulation from another by simply checking the correlation function between the received signal and the associated GSM and EDGE training sequences. The probability to mix up the modulations in Suburban and Urban A channels, with a MS speed of 3km/h and SNR</w:t>
      </w:r>
      <w:r>
        <w:rPr>
          <w:rFonts w:eastAsia="Symbol" w:cs="Symbol" w:ascii="Symbol" w:hAnsi="Symbol"/>
        </w:rPr>
        <w:t></w:t>
      </w:r>
      <w:r>
        <w:rPr/>
        <w:t>-10dB is less than 1% for EDGE bursts and less than 4% for GSM bursts. These figures are so low that the performance of TOA estimation algorithms are most likely not affected by the presence of GSM and EDGE modulations.</w:t>
      </w:r>
      <w:r>
        <w:br w:type="page"/>
      </w:r>
    </w:p>
    <w:p>
      <w:pPr>
        <w:pStyle w:val="Heading9"/>
        <w:pBdr>
          <w:top w:val="single" w:sz="4" w:space="3" w:color="000000"/>
        </w:pBdr>
        <w:rPr/>
      </w:pPr>
      <w:bookmarkStart w:id="693" w:name="__RefHeading___Toc518036065"/>
      <w:bookmarkEnd w:id="693"/>
      <w:r>
        <w:rPr/>
        <w:t>Annex W:</w:t>
        <w:br/>
        <w:t>Update of GPRS background information</w:t>
      </w:r>
    </w:p>
    <w:p>
      <w:pPr>
        <w:pStyle w:val="Normal"/>
        <w:rPr/>
      </w:pPr>
      <w:bookmarkStart w:id="694" w:name="_Ref406928247"/>
      <w:bookmarkStart w:id="695" w:name="_Ref406927598"/>
      <w:bookmarkEnd w:id="694"/>
      <w:bookmarkEnd w:id="695"/>
      <w:r>
        <w:rPr/>
        <w:t>ETSI STC SMG2 #34</w:t>
        <w:br/>
        <w:t>Aalborg, Denmark</w:t>
        <w:tab/>
        <w:t>Agenda item 7.2.6.2</w:t>
      </w:r>
    </w:p>
    <w:p>
      <w:pPr>
        <w:pStyle w:val="Normal"/>
        <w:rPr/>
      </w:pPr>
      <w:r>
        <w:rPr/>
        <w:t>10 - 14 January 2000</w:t>
      </w:r>
    </w:p>
    <w:p>
      <w:pPr>
        <w:pStyle w:val="Normal"/>
        <w:rPr/>
      </w:pPr>
      <w:r>
        <w:rPr/>
        <w:t>Source: Alcatel</w:t>
      </w:r>
    </w:p>
    <w:p>
      <w:pPr>
        <w:pStyle w:val="Normal"/>
        <w:rPr>
          <w:b/>
          <w:b/>
        </w:rPr>
      </w:pPr>
      <w:r>
        <w:rPr>
          <w:b/>
        </w:rPr>
        <w:t xml:space="preserve">Title: </w:t>
      </w:r>
      <w:r>
        <w:rPr>
          <w:b/>
          <w:color w:val="000000"/>
          <w:lang w:eastAsia="fr-FR"/>
        </w:rPr>
        <w:t>Justification of CR05.05 on GPRS CS4 receiver performance</w:t>
      </w:r>
    </w:p>
    <w:p>
      <w:pPr>
        <w:pStyle w:val="Heading1"/>
        <w:ind w:left="1134" w:hanging="1134"/>
        <w:rPr/>
      </w:pPr>
      <w:bookmarkStart w:id="696" w:name="_Ref406928247"/>
      <w:bookmarkStart w:id="697" w:name="_Ref406927598"/>
      <w:bookmarkStart w:id="698" w:name="__RefHeading___Toc518036066"/>
      <w:bookmarkEnd w:id="696"/>
      <w:bookmarkEnd w:id="697"/>
      <w:bookmarkEnd w:id="698"/>
      <w:r>
        <w:rPr/>
        <w:t>W.1</w:t>
        <w:tab/>
        <w:t>Introduction</w:t>
      </w:r>
    </w:p>
    <w:p>
      <w:pPr>
        <w:pStyle w:val="Normal"/>
        <w:rPr/>
      </w:pPr>
      <w:r>
        <w:rPr/>
        <w:t>At the last SMG2 meetings, Alcatel raised the problem of GPRS receiver performance (reference interference) for CS4 in TU3 no FH and TU50 no FH propagation conditions. CRs to 05.05 are proposed on this issue in Tdoc SMG2 91/00, 92/00 and 93/00. This paper presents the background of these CRs based on simulation results.</w:t>
      </w:r>
    </w:p>
    <w:p>
      <w:pPr>
        <w:pStyle w:val="Normal"/>
        <w:rPr/>
      </w:pPr>
      <w:r>
        <w:rPr/>
        <w:t>As an introduction to the proposed relaxations, it should be noted that the GPRS receiver interference performance in CS4 case is tested at very high input levels compared to GSM: the usual Eb/N0 assumption of 28 dB (in the presence of a co-channel interference) remains applicable at these levels, meaning that no AGC convergence mechanism is considered. This constraint is particularly stringent for the MS receiver design, therefore the C/Ic requirements at these levels are to be carefully studied.</w:t>
      </w:r>
    </w:p>
    <w:p>
      <w:pPr>
        <w:pStyle w:val="Heading1"/>
        <w:ind w:left="1134" w:hanging="1134"/>
        <w:rPr/>
      </w:pPr>
      <w:bookmarkStart w:id="699" w:name="__RefHeading___Toc518036067"/>
      <w:bookmarkEnd w:id="699"/>
      <w:r>
        <w:rPr/>
        <w:t>W.2</w:t>
        <w:tab/>
        <w:t>References</w:t>
      </w:r>
    </w:p>
    <w:p>
      <w:pPr>
        <w:pStyle w:val="EX"/>
        <w:rPr/>
      </w:pPr>
      <w:r>
        <w:rPr/>
        <w:t>[1]</w:t>
        <w:tab/>
        <w:t>GSM 05.50 v7.1.0 Release 98 "Background for Radio Frequency (RF) requirements"</w:t>
      </w:r>
    </w:p>
    <w:p>
      <w:pPr>
        <w:pStyle w:val="EX"/>
        <w:rPr/>
      </w:pPr>
      <w:r>
        <w:rPr/>
        <w:tab/>
        <w:t>Annex N : C/Ic and Eb/N0 Radio Performance for the GPRS Coding schemes</w:t>
      </w:r>
    </w:p>
    <w:p>
      <w:pPr>
        <w:pStyle w:val="EX"/>
        <w:rPr/>
      </w:pPr>
      <w:r>
        <w:rPr/>
        <w:tab/>
        <w:t>Annex P : Block Error Rate and USF Error Rate for GPRS</w:t>
      </w:r>
    </w:p>
    <w:p>
      <w:pPr>
        <w:pStyle w:val="EX"/>
        <w:rPr/>
      </w:pPr>
      <w:r>
        <w:rPr/>
        <w:tab/>
        <w:t>Annex Q : Block Error Rate and USF Error Rate for GPRS, 1800 MHz</w:t>
      </w:r>
    </w:p>
    <w:p>
      <w:pPr>
        <w:pStyle w:val="EX"/>
        <w:rPr/>
      </w:pPr>
      <w:r>
        <w:rPr/>
        <w:t>[2]</w:t>
        <w:tab/>
        <w:t>Tdoc SMG2 1258/99 Discussion on Noise Factor for GPRS receiver</w:t>
      </w:r>
    </w:p>
    <w:p>
      <w:pPr>
        <w:pStyle w:val="EX"/>
        <w:rPr/>
      </w:pPr>
      <w:r>
        <w:rPr/>
        <w:t>[3]</w:t>
        <w:tab/>
        <w:t>Tdoc SMG2 1697/99 Discussion on GPRS receiver performance</w:t>
      </w:r>
    </w:p>
    <w:p>
      <w:pPr>
        <w:pStyle w:val="Heading1"/>
        <w:ind w:left="1134" w:hanging="1134"/>
        <w:rPr/>
      </w:pPr>
      <w:bookmarkStart w:id="700" w:name="__RefHeading___Toc518036068"/>
      <w:bookmarkEnd w:id="700"/>
      <w:r>
        <w:rPr/>
        <w:t>W.3</w:t>
        <w:tab/>
        <w:t>Simulation assumptions</w:t>
      </w:r>
    </w:p>
    <w:p>
      <w:pPr>
        <w:pStyle w:val="Normal"/>
        <w:rPr/>
      </w:pPr>
      <w:r>
        <w:rPr/>
        <w:t>The simulation assumptions are similar to the ones of 05.50 simulations (refer to [1], Annex K to Q), except that Alcatel simulator incorporates a certain number of impairments: Alcatel simulations aim at complementing the GSM 05.50 simulations presented in the previous annexes, in a way similar to EDGE standardisation, where both ideal simulations and simulations with impairments are being performed (Alcatel simulator can be classified in this last category). Alcatel simulator can therefore be considered as more "realistic" and closer to a real implementation than the other two simulators considered for GPRS in GSM 05.50.</w:t>
      </w:r>
    </w:p>
    <w:p>
      <w:pPr>
        <w:pStyle w:val="Normal"/>
        <w:rPr/>
      </w:pPr>
      <w:r>
        <w:rPr/>
        <w:t>The impairments introduced in the Alcatel simulator are:</w:t>
      </w:r>
    </w:p>
    <w:p>
      <w:pPr>
        <w:pStyle w:val="B1"/>
        <w:rPr/>
      </w:pPr>
      <w:r>
        <w:rPr/>
        <w:t>-</w:t>
        <w:tab/>
        <w:t>fixed point calculation.</w:t>
      </w:r>
    </w:p>
    <w:p>
      <w:pPr>
        <w:pStyle w:val="B1"/>
        <w:rPr/>
      </w:pPr>
      <w:r>
        <w:rPr/>
        <w:t>-</w:t>
        <w:tab/>
        <w:t>A/D and D/A converters.</w:t>
      </w:r>
    </w:p>
    <w:p>
      <w:pPr>
        <w:pStyle w:val="B1"/>
        <w:rPr/>
      </w:pPr>
      <w:r>
        <w:rPr/>
        <w:t>-</w:t>
        <w:tab/>
        <w:t>the filters have a non-constant group delay characteristics.</w:t>
      </w:r>
    </w:p>
    <w:p>
      <w:pPr>
        <w:pStyle w:val="B1"/>
        <w:rPr/>
      </w:pPr>
      <w:r>
        <w:rPr>
          <w:lang w:val="en-US"/>
        </w:rPr>
        <w:t>-</w:t>
        <w:tab/>
        <w:t>synthesiser phase noise.</w:t>
      </w:r>
    </w:p>
    <w:p>
      <w:pPr>
        <w:pStyle w:val="Normal"/>
        <w:rPr/>
      </w:pPr>
      <w:r>
        <w:rPr/>
        <w:t>Simulations are performed in the 900 MHz frequency band:</w:t>
      </w:r>
    </w:p>
    <w:p>
      <w:pPr>
        <w:pStyle w:val="B1"/>
        <w:rPr/>
      </w:pPr>
      <w:r>
        <w:rPr/>
        <w:t>-</w:t>
        <w:tab/>
        <w:t>for TU50 no FH;</w:t>
      </w:r>
    </w:p>
    <w:p>
      <w:pPr>
        <w:pStyle w:val="B1"/>
        <w:rPr/>
      </w:pPr>
      <w:r>
        <w:rPr/>
        <w:t>-</w:t>
        <w:tab/>
        <w:t>for TU3 no FH : the 900 MHz C/I requirement can be derived into a 1800 MHz C/I requirement for TU1.5 propagation conditions.</w:t>
      </w:r>
    </w:p>
    <w:p>
      <w:pPr>
        <w:pStyle w:val="Normal"/>
        <w:rPr/>
      </w:pPr>
      <w:r>
        <w:rPr/>
        <w:t>Additional simulations are also performed in the 1800 MHz frequency band, for TU50 no FH propagation conditions.</w:t>
      </w:r>
    </w:p>
    <w:p>
      <w:pPr>
        <w:pStyle w:val="Heading1"/>
        <w:ind w:left="1134" w:hanging="1134"/>
        <w:rPr/>
      </w:pPr>
      <w:bookmarkStart w:id="701" w:name="__RefHeading___Toc518036069"/>
      <w:bookmarkEnd w:id="701"/>
      <w:r>
        <w:rPr/>
        <w:t>W.4</w:t>
        <w:tab/>
        <w:t>Co-channel interference simulations with varying C/I</w:t>
      </w:r>
    </w:p>
    <w:p>
      <w:pPr>
        <w:pStyle w:val="Normal"/>
        <w:rPr/>
      </w:pPr>
      <w:r>
        <w:rPr/>
        <w:t>Simulations similar to GSM 05.50 simulations (i.e. varying C/I vs. BLER) were performed on interference performance for CS4 in TU50 no FH (900 and 1800 MHz) and TU3 no FH (900 MHz) propagation conditions. The results are depicted on figures 1, 2 and 3 together with ETSI/05.50 simulation results (ETSI1 refers to CSELT simulations and ETSI2 refers to Ericsson simulations).</w:t>
      </w:r>
    </w:p>
    <w:p>
      <w:pPr>
        <w:pStyle w:val="Normal"/>
        <w:rPr/>
      </w:pPr>
      <w:r>
        <w:rPr/>
        <w:t>As already highlighted in document [3], the results show a gap of about 3 dB between the required C/I in ETSI/05.50 simulations and the C/I in Alcatel simulation, for both TU3 no FH and TU50 no FH (900 and 1800 MHz) propagation conditions. Note that this gap was less than 1 dB for CS1, CS2 and CS3, refer to document [3], and thus remains within the 2 dB implementation margin. The gap can therefore not be explained easily by the more realistic simulation conditions (fixed point calculation) and is greater than the 2 dB implementation margin.</w:t>
      </w:r>
    </w:p>
    <w:p>
      <w:pPr>
        <w:pStyle w:val="TH"/>
        <w:rPr/>
      </w:pPr>
      <w:r>
        <w:rPr/>
        <w:drawing>
          <wp:inline distT="0" distB="0" distL="0" distR="0">
            <wp:extent cx="5486400" cy="2689860"/>
            <wp:effectExtent l="0" t="0" r="0" b="0"/>
            <wp:docPr id="203" name="Image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227" descr=""/>
                    <pic:cNvPicPr>
                      <a:picLocks noChangeAspect="1" noChangeArrowheads="1"/>
                    </pic:cNvPicPr>
                  </pic:nvPicPr>
                  <pic:blipFill>
                    <a:blip r:embed="rId201"/>
                    <a:srcRect l="-13" t="-27" r="-13" b="-27"/>
                    <a:stretch>
                      <a:fillRect/>
                    </a:stretch>
                  </pic:blipFill>
                  <pic:spPr bwMode="auto">
                    <a:xfrm>
                      <a:off x="0" y="0"/>
                      <a:ext cx="5486400" cy="2689860"/>
                    </a:xfrm>
                    <a:prstGeom prst="rect">
                      <a:avLst/>
                    </a:prstGeom>
                  </pic:spPr>
                </pic:pic>
              </a:graphicData>
            </a:graphic>
          </wp:inline>
        </w:drawing>
      </w:r>
    </w:p>
    <w:p>
      <w:pPr>
        <w:pStyle w:val="TF"/>
        <w:numPr>
          <w:ilvl w:val="0"/>
          <w:numId w:val="0"/>
        </w:numPr>
        <w:outlineLvl w:val="0"/>
        <w:rPr/>
      </w:pPr>
      <w:r>
        <w:rPr>
          <w:lang w:val="fr-FR"/>
        </w:rPr>
        <w:t xml:space="preserve">Figure 1: TU50 no FH interference simulations (var. </w:t>
      </w:r>
      <w:r>
        <w:rPr/>
        <w:t>C/Ic) - 900 MHz</w:t>
      </w:r>
    </w:p>
    <w:p>
      <w:pPr>
        <w:pStyle w:val="TH"/>
        <w:rPr/>
      </w:pPr>
      <w:r>
        <w:rPr/>
        <w:drawing>
          <wp:inline distT="0" distB="0" distL="0" distR="0">
            <wp:extent cx="5346700" cy="2636520"/>
            <wp:effectExtent l="0" t="0" r="0" b="0"/>
            <wp:docPr id="204" name="Image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28" descr=""/>
                    <pic:cNvPicPr>
                      <a:picLocks noChangeAspect="1" noChangeArrowheads="1"/>
                    </pic:cNvPicPr>
                  </pic:nvPicPr>
                  <pic:blipFill>
                    <a:blip r:embed="rId202"/>
                    <a:srcRect l="-13" t="-27" r="-13" b="-27"/>
                    <a:stretch>
                      <a:fillRect/>
                    </a:stretch>
                  </pic:blipFill>
                  <pic:spPr bwMode="auto">
                    <a:xfrm>
                      <a:off x="0" y="0"/>
                      <a:ext cx="5346700" cy="2636520"/>
                    </a:xfrm>
                    <a:prstGeom prst="rect">
                      <a:avLst/>
                    </a:prstGeom>
                  </pic:spPr>
                </pic:pic>
              </a:graphicData>
            </a:graphic>
          </wp:inline>
        </w:drawing>
      </w:r>
    </w:p>
    <w:p>
      <w:pPr>
        <w:pStyle w:val="TF"/>
        <w:numPr>
          <w:ilvl w:val="0"/>
          <w:numId w:val="0"/>
        </w:numPr>
        <w:outlineLvl w:val="0"/>
        <w:rPr/>
      </w:pPr>
      <w:r>
        <w:rPr>
          <w:lang w:val="fr-FR"/>
        </w:rPr>
        <w:t xml:space="preserve">Figure 2: TU50 no FH interference simulations (var. </w:t>
      </w:r>
      <w:r>
        <w:rPr/>
        <w:t>C/Ic) - 1 800 MHz</w:t>
      </w:r>
    </w:p>
    <w:p>
      <w:pPr>
        <w:pStyle w:val="TH"/>
        <w:rPr/>
      </w:pPr>
      <w:r>
        <w:rPr/>
        <w:drawing>
          <wp:inline distT="0" distB="0" distL="0" distR="0">
            <wp:extent cx="5294630" cy="2921000"/>
            <wp:effectExtent l="0" t="0" r="0" b="0"/>
            <wp:docPr id="205" name="Image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229" descr=""/>
                    <pic:cNvPicPr>
                      <a:picLocks noChangeAspect="1" noChangeArrowheads="1"/>
                    </pic:cNvPicPr>
                  </pic:nvPicPr>
                  <pic:blipFill>
                    <a:blip r:embed="rId203"/>
                    <a:srcRect l="-13" t="-24" r="-13" b="-24"/>
                    <a:stretch>
                      <a:fillRect/>
                    </a:stretch>
                  </pic:blipFill>
                  <pic:spPr bwMode="auto">
                    <a:xfrm>
                      <a:off x="0" y="0"/>
                      <a:ext cx="5294630" cy="2921000"/>
                    </a:xfrm>
                    <a:prstGeom prst="rect">
                      <a:avLst/>
                    </a:prstGeom>
                  </pic:spPr>
                </pic:pic>
              </a:graphicData>
            </a:graphic>
          </wp:inline>
        </w:drawing>
      </w:r>
    </w:p>
    <w:p>
      <w:pPr>
        <w:pStyle w:val="TF"/>
        <w:numPr>
          <w:ilvl w:val="0"/>
          <w:numId w:val="0"/>
        </w:numPr>
        <w:outlineLvl w:val="0"/>
        <w:rPr/>
      </w:pPr>
      <w:r>
        <w:rPr/>
        <w:t>Figure 3: TU3 no FH interference simulations (var. C/Ic) - 900 MHz</w:t>
      </w:r>
    </w:p>
    <w:p>
      <w:pPr>
        <w:pStyle w:val="Heading1"/>
        <w:ind w:left="1134" w:hanging="1134"/>
        <w:rPr/>
      </w:pPr>
      <w:bookmarkStart w:id="702" w:name="__RefHeading___Toc518036070"/>
      <w:bookmarkEnd w:id="702"/>
      <w:r>
        <w:rPr/>
        <w:t>W.5</w:t>
        <w:tab/>
        <w:t>Co-channel interference simulations with varying Eb/N0</w:t>
      </w:r>
    </w:p>
    <w:p>
      <w:pPr>
        <w:pStyle w:val="Normal"/>
        <w:rPr/>
      </w:pPr>
      <w:r>
        <w:rPr/>
        <w:t>As proposed in document [3], simulations were performed with varying Eb/N0 levels, considering different co-channel interferers:</w:t>
      </w:r>
    </w:p>
    <w:p>
      <w:pPr>
        <w:pStyle w:val="B1"/>
        <w:rPr/>
      </w:pPr>
      <w:r>
        <w:rPr/>
        <w:t>-</w:t>
        <w:tab/>
        <w:t>for CS4 TU3 no FH : at C/I = 19 (05.05 specification) / 20 / 21 dB.</w:t>
      </w:r>
    </w:p>
    <w:p>
      <w:pPr>
        <w:pStyle w:val="B1"/>
        <w:rPr/>
      </w:pPr>
      <w:r>
        <w:rPr/>
        <w:t>-</w:t>
        <w:tab/>
        <w:t>for CS4 TU50 no FH @ 900 MHz: at C/I = 23 (05.05 specification) / 24 / 25 dB.</w:t>
      </w:r>
    </w:p>
    <w:p>
      <w:pPr>
        <w:pStyle w:val="B1"/>
        <w:rPr/>
      </w:pPr>
      <w:r>
        <w:rPr/>
        <w:t>-</w:t>
        <w:tab/>
        <w:t>for CS4 TU50 no FH @ 1800 MHz: at C/I = 25 (05.05 specification) / 26 / 27 dB.</w:t>
      </w:r>
    </w:p>
    <w:p>
      <w:pPr>
        <w:pStyle w:val="Normal"/>
        <w:rPr/>
      </w:pPr>
      <w:r>
        <w:rPr/>
        <w:t>These simulations can not be compared to any simulations performed at ETSI. They are depicted in figures 4, 5 and 6.</w:t>
      </w:r>
    </w:p>
    <w:p>
      <w:pPr>
        <w:pStyle w:val="Normal"/>
        <w:rPr>
          <w:i/>
          <w:i/>
          <w:lang w:val="en-US"/>
        </w:rPr>
      </w:pPr>
      <w:r>
        <w:rPr>
          <w:i/>
          <w:lang w:val="en-US"/>
        </w:rPr>
        <w:t>CS4 TU3 no FH (figure 6):</w:t>
      </w:r>
    </w:p>
    <w:p>
      <w:pPr>
        <w:pStyle w:val="Normal"/>
        <w:rPr/>
      </w:pPr>
      <w:r>
        <w:rPr/>
        <w:t>As already mentioned in document [3], the 10% BLER performance is never achieved with the C/I specified in GSM 05.05 (C/I=19 dB), whereas it was expected to achieve it at Eb/N0=28 dB according to GSM 05.50 simulation assumption. This result is off course coherent with the varying C/I simulations that are depicted in figure 3 and the observed gap between the results of Alcatel and the other simulators.</w:t>
      </w:r>
    </w:p>
    <w:p>
      <w:pPr>
        <w:pStyle w:val="Normal"/>
        <w:rPr/>
      </w:pPr>
      <w:r>
        <w:rPr/>
        <w:t>With a relaxation of 1 dB (C/I=20 dB), the 10% BLER performance is not achieved at Eb/N0=28 dB, whereas with a relaxation of 2 dB (C/I=21 dB), the performance is achieved at a level slightly below Eb/N0=28 dB.</w:t>
      </w:r>
    </w:p>
    <w:p>
      <w:pPr>
        <w:pStyle w:val="Normal"/>
        <w:rPr>
          <w:b/>
          <w:b/>
        </w:rPr>
      </w:pPr>
      <w:r>
        <w:rPr>
          <w:b/>
        </w:rPr>
        <w:t>Therefore, it is proposed to relax the C/I of the co-channel interferer of 2 dB from C/I=19 to C/I=21 dB.</w:t>
      </w:r>
    </w:p>
    <w:p>
      <w:pPr>
        <w:pStyle w:val="Normal"/>
        <w:rPr>
          <w:i/>
          <w:i/>
          <w:lang w:val="fr-FR"/>
        </w:rPr>
      </w:pPr>
      <w:r>
        <w:rPr>
          <w:i/>
          <w:lang w:val="fr-FR"/>
        </w:rPr>
        <w:t>CS4 TU50 no FH - 900 MHz (figure 4):</w:t>
      </w:r>
    </w:p>
    <w:p>
      <w:pPr>
        <w:pStyle w:val="Normal"/>
        <w:rPr/>
      </w:pPr>
      <w:r>
        <w:rPr/>
        <w:t>As already mentioned in document [3], the 10% BLER performance with the C/I specified in GSM 05.05 is achieved at an Eb/N0 greater than the 28 dB assumption of the GSM 05.50 simulations. This result is coherent with the varying C/I simulations that are depicted in Figure 1 and the observed gap between the results of Alcatel and the other simulators.</w:t>
      </w:r>
    </w:p>
    <w:p>
      <w:pPr>
        <w:pStyle w:val="Normal"/>
        <w:rPr/>
      </w:pPr>
      <w:r>
        <w:rPr/>
        <w:t>With a relaxation of 1 dB (C/I=24 dB), the 10% BLER performance is achieved at Eb/N0 between 27 and 28 dB ; with a relaxation of 2 dB (C/I=25 dB), the performance is achieved at Eb/N0=26 dB.</w:t>
      </w:r>
    </w:p>
    <w:p>
      <w:pPr>
        <w:pStyle w:val="Normal"/>
        <w:rPr/>
      </w:pPr>
      <w:r>
        <w:rPr>
          <w:b/>
        </w:rPr>
        <w:t>Therefore, it is proposed to relax the C/I of the co-channel interferer of 1 dB from C/I=23 to C/I=24 dB.</w:t>
      </w:r>
    </w:p>
    <w:p>
      <w:pPr>
        <w:pStyle w:val="Normal"/>
        <w:rPr>
          <w:i/>
          <w:i/>
          <w:lang w:val="fr-FR"/>
        </w:rPr>
      </w:pPr>
      <w:r>
        <w:rPr>
          <w:i/>
          <w:lang w:val="fr-FR"/>
        </w:rPr>
        <w:t>CS4 TU50 no FH - 1800 MHz (figure 5):</w:t>
      </w:r>
    </w:p>
    <w:p>
      <w:pPr>
        <w:pStyle w:val="Normal"/>
        <w:rPr/>
      </w:pPr>
      <w:r>
        <w:rPr/>
        <w:t>The 10% BLER performance with the C/I specified in GSM 05.05 (25 dB) is achieved at an Eb/N0 greater than the 28 dB assumption of the GSM 05.50 simulations. This result is coherent with the varying C/I simulations that are depicted in Figure 2 and the observed gap between the results of Alcatel and the other simulators.</w:t>
      </w:r>
    </w:p>
    <w:p>
      <w:pPr>
        <w:pStyle w:val="Normal"/>
        <w:rPr/>
      </w:pPr>
      <w:r>
        <w:rPr/>
        <w:t>With a relaxation of 1 dB (C/I=26 dB), the 10% BLER performance is not achieved at Eb/N0=28 dB, whereas with a relaxation of 2 dB (C/I=27 dB), the performance is achieved at a level very close to Eb/N0=28 dB.</w:t>
      </w:r>
    </w:p>
    <w:p>
      <w:pPr>
        <w:pStyle w:val="Normal"/>
        <w:rPr>
          <w:b/>
          <w:b/>
        </w:rPr>
      </w:pPr>
      <w:r>
        <w:rPr>
          <w:b/>
        </w:rPr>
        <w:t>Therefore, it is proposed to relax the C/I of the co-channel interferer of 2 dB from C/I=25 to C/I=27 dB.</w:t>
      </w:r>
    </w:p>
    <w:p>
      <w:pPr>
        <w:pStyle w:val="NO"/>
        <w:rPr/>
      </w:pPr>
      <w:r>
        <w:rPr/>
        <w:t>NOTE:</w:t>
        <w:tab/>
        <w:t>it is proposed not to include an additional implementation margin to the raw results resulting from Alcatel simulations, as it is believed that the Alcatel simulator is close enough to a real implementation.</w:t>
      </w:r>
    </w:p>
    <w:p>
      <w:pPr>
        <w:pStyle w:val="TH"/>
        <w:rPr/>
      </w:pPr>
      <w:r>
        <w:rPr/>
        <w:drawing>
          <wp:inline distT="0" distB="0" distL="0" distR="0">
            <wp:extent cx="5151120" cy="2641600"/>
            <wp:effectExtent l="0" t="0" r="0" b="0"/>
            <wp:docPr id="206" name="Image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30" descr=""/>
                    <pic:cNvPicPr>
                      <a:picLocks noChangeAspect="1" noChangeArrowheads="1"/>
                    </pic:cNvPicPr>
                  </pic:nvPicPr>
                  <pic:blipFill>
                    <a:blip r:embed="rId204"/>
                    <a:srcRect l="-14" t="-27" r="-14" b="-27"/>
                    <a:stretch>
                      <a:fillRect/>
                    </a:stretch>
                  </pic:blipFill>
                  <pic:spPr bwMode="auto">
                    <a:xfrm>
                      <a:off x="0" y="0"/>
                      <a:ext cx="5151120" cy="2641600"/>
                    </a:xfrm>
                    <a:prstGeom prst="rect">
                      <a:avLst/>
                    </a:prstGeom>
                  </pic:spPr>
                </pic:pic>
              </a:graphicData>
            </a:graphic>
          </wp:inline>
        </w:drawing>
      </w:r>
    </w:p>
    <w:p>
      <w:pPr>
        <w:pStyle w:val="TF"/>
        <w:numPr>
          <w:ilvl w:val="0"/>
          <w:numId w:val="0"/>
        </w:numPr>
        <w:outlineLvl w:val="0"/>
        <w:rPr/>
      </w:pPr>
      <w:r>
        <w:rPr>
          <w:lang w:val="fr-FR"/>
        </w:rPr>
        <w:t xml:space="preserve">Figure 4: TU 50 no FH interference simulations (var. </w:t>
      </w:r>
      <w:r>
        <w:rPr/>
        <w:t>Eb/N0) - 900 MHz</w:t>
      </w:r>
    </w:p>
    <w:p>
      <w:pPr>
        <w:pStyle w:val="TH"/>
        <w:rPr/>
      </w:pPr>
      <w:r>
        <w:rPr/>
        <w:drawing>
          <wp:inline distT="0" distB="0" distL="0" distR="0">
            <wp:extent cx="4838065" cy="2830830"/>
            <wp:effectExtent l="0" t="0" r="0" b="0"/>
            <wp:docPr id="207" name="Image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231" descr=""/>
                    <pic:cNvPicPr>
                      <a:picLocks noChangeAspect="1" noChangeArrowheads="1"/>
                    </pic:cNvPicPr>
                  </pic:nvPicPr>
                  <pic:blipFill>
                    <a:blip r:embed="rId205"/>
                    <a:srcRect l="-13" t="-22" r="-13" b="-22"/>
                    <a:stretch>
                      <a:fillRect/>
                    </a:stretch>
                  </pic:blipFill>
                  <pic:spPr bwMode="auto">
                    <a:xfrm>
                      <a:off x="0" y="0"/>
                      <a:ext cx="4838065" cy="2830830"/>
                    </a:xfrm>
                    <a:prstGeom prst="rect">
                      <a:avLst/>
                    </a:prstGeom>
                  </pic:spPr>
                </pic:pic>
              </a:graphicData>
            </a:graphic>
          </wp:inline>
        </w:drawing>
      </w:r>
    </w:p>
    <w:p>
      <w:pPr>
        <w:pStyle w:val="TF"/>
        <w:rPr/>
      </w:pPr>
      <w:r>
        <w:rPr>
          <w:lang w:val="fr-FR"/>
        </w:rPr>
        <w:t xml:space="preserve">Figure 5: TU 50 no FH interference simulations (var. </w:t>
      </w:r>
      <w:r>
        <w:rPr/>
        <w:t>Eb/N0) - 1 800 MHz</w:t>
      </w:r>
    </w:p>
    <w:p>
      <w:pPr>
        <w:pStyle w:val="TH"/>
        <w:rPr/>
      </w:pPr>
      <w:r>
        <w:rPr/>
        <w:drawing>
          <wp:inline distT="0" distB="0" distL="0" distR="0">
            <wp:extent cx="5273040" cy="2628900"/>
            <wp:effectExtent l="0" t="0" r="0" b="0"/>
            <wp:docPr id="208" name="Image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32" descr=""/>
                    <pic:cNvPicPr>
                      <a:picLocks noChangeAspect="1" noChangeArrowheads="1"/>
                    </pic:cNvPicPr>
                  </pic:nvPicPr>
                  <pic:blipFill>
                    <a:blip r:embed="rId206"/>
                    <a:srcRect l="-13" t="-26" r="-13" b="-26"/>
                    <a:stretch>
                      <a:fillRect/>
                    </a:stretch>
                  </pic:blipFill>
                  <pic:spPr bwMode="auto">
                    <a:xfrm>
                      <a:off x="0" y="0"/>
                      <a:ext cx="5273040" cy="2628900"/>
                    </a:xfrm>
                    <a:prstGeom prst="rect">
                      <a:avLst/>
                    </a:prstGeom>
                  </pic:spPr>
                </pic:pic>
              </a:graphicData>
            </a:graphic>
          </wp:inline>
        </w:drawing>
      </w:r>
    </w:p>
    <w:p>
      <w:pPr>
        <w:pStyle w:val="TF"/>
        <w:numPr>
          <w:ilvl w:val="0"/>
          <w:numId w:val="0"/>
        </w:numPr>
        <w:outlineLvl w:val="0"/>
        <w:rPr/>
      </w:pPr>
      <w:r>
        <w:rPr/>
        <w:t>Figure 6: TU 3 no FH interference simulations (var. Eb/N0) - 900 MHz</w:t>
      </w:r>
    </w:p>
    <w:p>
      <w:pPr>
        <w:pStyle w:val="Heading1"/>
        <w:ind w:left="1134" w:hanging="1134"/>
        <w:rPr/>
      </w:pPr>
      <w:bookmarkStart w:id="703" w:name="__RefHeading___Toc518036071"/>
      <w:bookmarkEnd w:id="703"/>
      <w:r>
        <w:rPr/>
        <w:t>W.6</w:t>
        <w:tab/>
        <w:t>Effect on the MS receiver Noise Factor</w:t>
      </w:r>
    </w:p>
    <w:p>
      <w:pPr>
        <w:pStyle w:val="Normal"/>
        <w:rPr/>
      </w:pPr>
      <w:r>
        <w:rPr/>
        <w:t>In document [3], it is highlighted how the Eb/N0 requirement can be derived into a requirement on Noise Factor of the MS receiver.</w:t>
      </w:r>
    </w:p>
    <w:p>
      <w:pPr>
        <w:pStyle w:val="Normal"/>
        <w:rPr/>
      </w:pPr>
      <w:r>
        <w:rPr/>
        <w:t>With the proposed relaxations:</w:t>
      </w:r>
    </w:p>
    <w:p>
      <w:pPr>
        <w:pStyle w:val="B1"/>
        <w:rPr/>
      </w:pPr>
      <w:r>
        <w:rPr/>
        <w:t>-</w:t>
        <w:tab/>
        <w:t>in TU3 no FH case : the maximum receiver Noise Factor at SL=-70 dBm (Signal Level (SL) = -93 + C/I +2 dB) is 23,5 dB.</w:t>
      </w:r>
    </w:p>
    <w:p>
      <w:pPr>
        <w:pStyle w:val="B1"/>
        <w:rPr/>
      </w:pPr>
      <w:r>
        <w:rPr/>
        <w:t>-</w:t>
        <w:tab/>
        <w:t>in TU50 no FH @ 900 MHz case : the maximum receiver Noise Factor at SL=-67 dBm is 25 dB.</w:t>
      </w:r>
    </w:p>
    <w:p>
      <w:pPr>
        <w:pStyle w:val="B1"/>
        <w:rPr/>
      </w:pPr>
      <w:r>
        <w:rPr/>
        <w:t>-</w:t>
        <w:tab/>
        <w:t>in TU50 no FH @ 1800 MHz case : the maximum receiver Noise Factor at SL=-64 dBm is 27,5 dB.</w:t>
      </w:r>
    </w:p>
    <w:p>
      <w:pPr>
        <w:pStyle w:val="Normal"/>
        <w:rPr/>
      </w:pPr>
      <w:r>
        <w:rPr/>
        <w:t>These requirements are comparable with the other requirements for CS1, CS2 and CS3 in different propagation conditions, which are in the range 23 dB to 28 dB (refer to document [3]) and seem therefore acceptable from an MS implementation point of view.</w:t>
      </w:r>
    </w:p>
    <w:p>
      <w:pPr>
        <w:pStyle w:val="Heading1"/>
        <w:spacing w:before="120" w:after="120"/>
        <w:ind w:left="1134" w:hanging="1134"/>
        <w:rPr/>
      </w:pPr>
      <w:bookmarkStart w:id="704" w:name="__RefHeading___Toc518036072"/>
      <w:bookmarkEnd w:id="704"/>
      <w:r>
        <w:rPr/>
        <w:t>W.7</w:t>
        <w:tab/>
        <w:t>Conclusion</w:t>
      </w:r>
    </w:p>
    <w:p>
      <w:pPr>
        <w:pStyle w:val="Normal"/>
        <w:rPr/>
      </w:pPr>
      <w:r>
        <w:rPr/>
        <w:t>As requested in last SMG2 WPB meeting in Sophia, Alcatel further investigated the problems of GPRS interference performance with CS4 in TU3 no FH (900 MHz) and TU50 no FH (900 and 1800 MHz) propagation conditions, on the basis of simulations with receiver impairments. The results presented in this paper show that a C/Ic relaxation of 2 dB for CS4 - TU3 no FH and CS4 - TU50 no FH (1800 MHz) and of 1 dB for CS4 - TU50 no FH (900 MHz), allows to solve these problems : the 10% BLER performance is achieved with these relaxations at Eb/N0 very close to 28 dB, which was the original assumption of GSM 05.50 simulations. A more reasonable constraint on the Noise Factor of the GPRS receiver is also finally obtained.</w:t>
      </w:r>
    </w:p>
    <w:p>
      <w:pPr>
        <w:pStyle w:val="Normal"/>
        <w:rPr/>
      </w:pPr>
      <w:r>
        <w:rPr/>
        <w:t>These relaxations are proposed to be introduced:</w:t>
      </w:r>
    </w:p>
    <w:p>
      <w:pPr>
        <w:pStyle w:val="B1"/>
        <w:rPr/>
      </w:pPr>
      <w:r>
        <w:rPr/>
        <w:t>-</w:t>
        <w:tab/>
        <w:t>for TU50 no FH in the 900 MHz and in the 1 800 MHz bands</w:t>
      </w:r>
    </w:p>
    <w:p>
      <w:pPr>
        <w:pStyle w:val="B1"/>
        <w:rPr/>
      </w:pPr>
      <w:r>
        <w:rPr/>
        <w:t>-</w:t>
        <w:tab/>
        <w:t>for TU3 no FH in the 900 MHz band and for TU1.5 no FH in the 1 800 MHz band, as these reference environments are equivalent.</w:t>
      </w:r>
    </w:p>
    <w:p>
      <w:pPr>
        <w:pStyle w:val="Normal"/>
        <w:rPr/>
      </w:pPr>
      <w:r>
        <w:rPr/>
        <w:t>CRs against GSM 05.05 Release 97, 98 and 99 are proposed for approval in SMG2 WPB in Tdoc SMG2 91/00, 92/00 and 93/00.</w:t>
      </w:r>
      <w:r>
        <w:br w:type="page"/>
      </w:r>
    </w:p>
    <w:p>
      <w:pPr>
        <w:pStyle w:val="Heading9"/>
        <w:rPr/>
      </w:pPr>
      <w:bookmarkStart w:id="705" w:name="__RefHeading___Toc518036073"/>
      <w:bookmarkEnd w:id="705"/>
      <w:r>
        <w:rPr/>
        <w:t>Annex X:</w:t>
        <w:br/>
        <w:t>8-PSK Scenarios</w:t>
      </w:r>
    </w:p>
    <w:p>
      <w:pPr>
        <w:pStyle w:val="Heading1"/>
        <w:ind w:left="1134" w:hanging="1134"/>
        <w:rPr/>
      </w:pPr>
      <w:bookmarkStart w:id="706" w:name="__RefHeading___Toc518036074"/>
      <w:bookmarkEnd w:id="706"/>
      <w:r>
        <w:rPr/>
        <w:t>X.1</w:t>
        <w:tab/>
        <w:t>Assumptions</w:t>
      </w:r>
    </w:p>
    <w:p>
      <w:pPr>
        <w:pStyle w:val="Normal"/>
        <w:tabs>
          <w:tab w:val="clear" w:pos="284"/>
          <w:tab w:val="left" w:pos="3969" w:leader="none"/>
        </w:tabs>
        <w:rPr/>
      </w:pPr>
      <w:r>
        <w:rPr/>
        <w:t>Noise bandwidth of the uplink and downlink is:</w:t>
        <w:tab/>
        <w:t>200 kHz</w:t>
      </w:r>
    </w:p>
    <w:p>
      <w:pPr>
        <w:pStyle w:val="Normal"/>
        <w:tabs>
          <w:tab w:val="clear" w:pos="284"/>
          <w:tab w:val="left" w:pos="3969" w:leader="none"/>
        </w:tabs>
        <w:rPr/>
      </w:pPr>
      <w:r>
        <w:rPr/>
        <w:t>BTS Transmit Power 900 MHz:</w:t>
        <w:tab/>
        <w:t>43 dBm</w:t>
      </w:r>
    </w:p>
    <w:p>
      <w:pPr>
        <w:pStyle w:val="Normal"/>
        <w:tabs>
          <w:tab w:val="clear" w:pos="284"/>
          <w:tab w:val="left" w:pos="3969" w:leader="none"/>
        </w:tabs>
        <w:rPr/>
      </w:pPr>
      <w:r>
        <w:rPr/>
        <w:t>BTS Transmit Power 1800 MHz:</w:t>
        <w:tab/>
        <w:t>43 dBm</w:t>
      </w:r>
    </w:p>
    <w:p>
      <w:pPr>
        <w:pStyle w:val="Normal"/>
        <w:tabs>
          <w:tab w:val="clear" w:pos="284"/>
          <w:tab w:val="left" w:pos="3969" w:leader="none"/>
        </w:tabs>
        <w:rPr/>
      </w:pPr>
      <w:r>
        <w:rPr/>
        <w:t>MS Transmit Power 900 MHz</w:t>
        <w:tab/>
        <w:t>33 dBm</w:t>
      </w:r>
    </w:p>
    <w:p>
      <w:pPr>
        <w:pStyle w:val="Normal"/>
        <w:tabs>
          <w:tab w:val="clear" w:pos="284"/>
          <w:tab w:val="left" w:pos="3969" w:leader="none"/>
        </w:tabs>
        <w:rPr/>
      </w:pPr>
      <w:r>
        <w:rPr/>
        <w:t>MS Transmit Power 1800 MHz</w:t>
        <w:tab/>
        <w:t>30 dBm</w:t>
      </w:r>
    </w:p>
    <w:p>
      <w:pPr>
        <w:pStyle w:val="Normal"/>
        <w:tabs>
          <w:tab w:val="clear" w:pos="284"/>
          <w:tab w:val="left" w:pos="3969" w:leader="none"/>
        </w:tabs>
        <w:rPr/>
      </w:pPr>
      <w:r>
        <w:rPr/>
        <w:t>BTS Noise Floor (200 kHz)</w:t>
        <w:tab/>
        <w:t>-112 dBm</w:t>
      </w:r>
    </w:p>
    <w:p>
      <w:pPr>
        <w:pStyle w:val="Normal"/>
        <w:tabs>
          <w:tab w:val="clear" w:pos="284"/>
          <w:tab w:val="left" w:pos="3969" w:leader="none"/>
        </w:tabs>
        <w:rPr/>
      </w:pPr>
      <w:r>
        <w:rPr/>
        <w:t>MS Noise Floor (200 kHz)</w:t>
        <w:tab/>
        <w:t>-110 dBm</w:t>
      </w:r>
    </w:p>
    <w:p>
      <w:pPr>
        <w:pStyle w:val="Heading1"/>
        <w:ind w:left="1134" w:hanging="1134"/>
        <w:rPr/>
      </w:pPr>
      <w:bookmarkStart w:id="707" w:name="__RefHeading___Toc518036075"/>
      <w:bookmarkEnd w:id="707"/>
      <w:r>
        <w:rPr/>
        <w:t>X.2</w:t>
        <w:tab/>
        <w:t>Closest Approach</w:t>
      </w:r>
    </w:p>
    <w:p>
      <w:pPr>
        <w:pStyle w:val="Normal"/>
        <w:rPr/>
      </w:pPr>
      <w:r>
        <w:rPr/>
        <w:t>In this situation it is necessary to understand how close an MS can be to a BTS and still maintain an operational up and downlink.</w:t>
      </w:r>
    </w:p>
    <w:p>
      <w:pPr>
        <w:pStyle w:val="Heading2"/>
        <w:rPr/>
      </w:pPr>
      <w:bookmarkStart w:id="708" w:name="__RefHeading___Toc518036076"/>
      <w:bookmarkEnd w:id="708"/>
      <w:r>
        <w:rPr/>
        <w:t>X.2.1</w:t>
        <w:tab/>
        <w:t>Closest Approach, Coordinated</w:t>
      </w:r>
    </w:p>
    <w:p>
      <w:pPr>
        <w:pStyle w:val="Heading3"/>
        <w:rPr/>
      </w:pPr>
      <w:bookmarkStart w:id="709" w:name="__RefHeading___Toc518036077"/>
      <w:bookmarkEnd w:id="709"/>
      <w:r>
        <w:rPr/>
        <w:t>X.2.1.1</w:t>
        <w:tab/>
        <w:t>Closest Approach BTS Transmitting, Coordinated</w:t>
      </w:r>
    </w:p>
    <w:p>
      <w:pPr>
        <w:pStyle w:val="Heading4"/>
        <w:ind w:left="1418" w:hanging="1418"/>
        <w:rPr/>
      </w:pPr>
      <w:bookmarkStart w:id="710" w:name="__RefHeading___Toc518036078"/>
      <w:bookmarkEnd w:id="710"/>
      <w:r>
        <w:rPr/>
        <w:t>X.2.1.1.1</w:t>
        <w:tab/>
        <w:t>Nominal Error Rate Requirement at High Input Levels</w:t>
      </w:r>
    </w:p>
    <w:p>
      <w:pPr>
        <w:pStyle w:val="Normal"/>
        <w:rPr/>
      </w:pPr>
      <w:r>
        <w:rPr/>
        <w:t>An MS is specified to operate properly until the received tone exceeds -26 dBm for MS operating in the GSM900 band and the DCS1800 band.</w:t>
      </w:r>
    </w:p>
    <w:p>
      <w:pPr>
        <w:pStyle w:val="Normal"/>
        <w:rPr/>
      </w:pPr>
      <w:r>
        <w:rPr/>
        <w:t>For a BTS transmitting 43 dBm with an antenna gain of 10 dBi this implies that the coupling loss would need to be:</w:t>
      </w:r>
    </w:p>
    <w:p>
      <w:pPr>
        <w:pStyle w:val="B1"/>
        <w:rPr/>
      </w:pPr>
      <w:r>
        <w:rPr/>
        <w:t>-</w:t>
        <w:tab/>
        <w:t>Transmit Power + Antenna Gain (MS + BTS) - Static Level Req.</w:t>
      </w:r>
    </w:p>
    <w:p>
      <w:pPr>
        <w:pStyle w:val="B1"/>
        <w:rPr/>
      </w:pPr>
      <w:r>
        <w:rPr/>
        <w:t>-</w:t>
        <w:tab/>
        <w:t>43 + 10 - (-26) = 79 dB.</w:t>
      </w:r>
    </w:p>
    <w:p>
      <w:pPr>
        <w:pStyle w:val="Normal"/>
        <w:rPr/>
      </w:pPr>
      <w:r>
        <w:rPr/>
        <w:t>For a BTS which provides downlink power control the required coupling loss is reduced by the amount of power control. Assuming 30 dB of forward link dynamic power control this becomes:</w:t>
      </w:r>
    </w:p>
    <w:p>
      <w:pPr>
        <w:pStyle w:val="B1"/>
        <w:rPr/>
      </w:pPr>
      <w:r>
        <w:rPr/>
        <w:t>-</w:t>
        <w:tab/>
        <w:t>Transmit Power + Antenna Gain (MS + BTS) - Power Control - Static Level Req.</w:t>
      </w:r>
    </w:p>
    <w:p>
      <w:pPr>
        <w:pStyle w:val="B1"/>
        <w:rPr/>
      </w:pPr>
      <w:r>
        <w:rPr/>
        <w:t>-</w:t>
        <w:tab/>
        <w:t>43 + 10 - 30 - (-26) = 49 dB.</w:t>
      </w:r>
    </w:p>
    <w:p>
      <w:pPr>
        <w:pStyle w:val="Heading4"/>
        <w:ind w:left="1418" w:hanging="1418"/>
        <w:rPr/>
      </w:pPr>
      <w:bookmarkStart w:id="711" w:name="__RefHeading___Toc518036079"/>
      <w:bookmarkEnd w:id="711"/>
      <w:r>
        <w:rPr/>
        <w:t>X.2.1.1.2</w:t>
        <w:tab/>
        <w:t>MS Receiver Intermodulation Characteristics</w:t>
      </w:r>
    </w:p>
    <w:p>
      <w:pPr>
        <w:pStyle w:val="Normal"/>
        <w:rPr/>
      </w:pPr>
      <w:r>
        <w:rPr/>
        <w:t>In a situation where the BTS is transmitting multiple carriers at regular frequency spacing as would be the case for regular frequency reuse plans the MS will experience the generation if intermodulation products on it operating channel. Working backwards from the MS intermodulation characteristics in GSM 05.05 it can be shown that the input third order intercept of a MS is:</w:t>
      </w:r>
    </w:p>
    <w:p>
      <w:pPr>
        <w:pStyle w:val="B1"/>
        <w:rPr/>
      </w:pPr>
      <w:r>
        <w:rPr/>
        <w:t>-</w:t>
        <w:tab/>
        <w:t>-9.5 dBm for GSM900.</w:t>
      </w:r>
    </w:p>
    <w:p>
      <w:pPr>
        <w:pStyle w:val="B1"/>
        <w:rPr/>
      </w:pPr>
      <w:r>
        <w:rPr/>
        <w:t>-</w:t>
        <w:tab/>
        <w:t>-18.5 dBm for DCS1800.</w:t>
      </w:r>
    </w:p>
    <w:p>
      <w:pPr>
        <w:pStyle w:val="Normal"/>
        <w:rPr/>
      </w:pPr>
      <w:r>
        <w:rPr/>
        <w:t>Since the interfering tones, which are causing the MS to generate intermodulation products, are communicating with other mobiles in the same cell they can be assumed to be transmitting at maximum power. To operate MCS 1 at close range the intermodulation products must be at least 8 dB below the desired signal. To run MCS 9 the intermodulation products must be at least 24 dB below the desired signal.</w:t>
      </w:r>
    </w:p>
    <w:p>
      <w:pPr>
        <w:pStyle w:val="Normal"/>
        <w:rPr/>
      </w:pPr>
      <w:r>
        <w:rPr/>
        <w:t>Given a maximum allowable signal on channel of -26 dBm the intermodulation products need to be at least 8 and 24 dB below the desired signal to enable MCS 1 or MCS 9 respectively. The allowable intermodulation products are then -34 dBm and - 50 dBm. The following assumes that the desired and interfering signals are at the same power level out of the BTS. Where downlink power control is used on the desired channel the acceptable intermodulation energy is reduced and the required coupling loss for the interfering tones would have to be adjusted.</w:t>
      </w:r>
    </w:p>
    <w:p>
      <w:pPr>
        <w:pStyle w:val="Normal"/>
        <w:rPr/>
      </w:pPr>
      <w:r>
        <w:rPr/>
        <w:t>For GSM900 the two rates are enabled with input interfering signal levels of:</w:t>
      </w:r>
    </w:p>
    <w:p>
      <w:pPr>
        <w:pStyle w:val="B1"/>
        <w:rPr/>
      </w:pPr>
      <w:r>
        <w:rPr/>
        <w:t>Input power at MS = (Intermod Product + 2*IIP3)/3</w:t>
      </w:r>
    </w:p>
    <w:p>
      <w:pPr>
        <w:pStyle w:val="B2"/>
        <w:rPr/>
      </w:pPr>
      <w:r>
        <w:rPr/>
        <w:t>(-34 + 2*(-9.5))/3 = -17,7 dBm</w:t>
      </w:r>
    </w:p>
    <w:p>
      <w:pPr>
        <w:pStyle w:val="B1"/>
        <w:rPr/>
      </w:pPr>
      <w:r>
        <w:rPr/>
        <w:t>Input power at MS = (Intermod Product + 2*IIP3)/3</w:t>
      </w:r>
    </w:p>
    <w:p>
      <w:pPr>
        <w:pStyle w:val="B2"/>
        <w:rPr/>
      </w:pPr>
      <w:r>
        <w:rPr/>
        <w:t>(-50 + 2*(-9.5))/3 = -23,0 dBm</w:t>
      </w:r>
    </w:p>
    <w:p>
      <w:pPr>
        <w:pStyle w:val="Normal"/>
        <w:rPr/>
      </w:pPr>
      <w:r>
        <w:rPr/>
        <w:t>For DCS1800 the two rates are enabled with input interfering signal levels of:</w:t>
      </w:r>
    </w:p>
    <w:p>
      <w:pPr>
        <w:pStyle w:val="B1"/>
        <w:rPr/>
      </w:pPr>
      <w:r>
        <w:rPr/>
        <w:t>Input power at MS = (Intermod Product + 2*IIP3)/3</w:t>
      </w:r>
    </w:p>
    <w:p>
      <w:pPr>
        <w:pStyle w:val="B2"/>
        <w:rPr/>
      </w:pPr>
      <w:r>
        <w:rPr/>
        <w:t>(-34 + 2*(-18.5))/3 = -23,7 dBm</w:t>
      </w:r>
    </w:p>
    <w:p>
      <w:pPr>
        <w:pStyle w:val="B1"/>
        <w:rPr/>
      </w:pPr>
      <w:r>
        <w:rPr/>
        <w:t>Input power at MS = (Intermod Product + 2*IIP3)/3</w:t>
      </w:r>
    </w:p>
    <w:p>
      <w:pPr>
        <w:pStyle w:val="B2"/>
        <w:rPr/>
      </w:pPr>
      <w:r>
        <w:rPr/>
        <w:t>(-50 + 2*(-18.5))/3 = -29,0 dBm</w:t>
      </w:r>
    </w:p>
    <w:p>
      <w:pPr>
        <w:pStyle w:val="TH"/>
        <w:rPr/>
      </w:pPr>
      <w:r>
        <w:rPr/>
        <w:t>Table X.1: Minimum coupling losses based on MS receiver intermodulation requirements</w:t>
      </w:r>
    </w:p>
    <w:tbl>
      <w:tblPr>
        <w:tblW w:w="7938" w:type="dxa"/>
        <w:jc w:val="center"/>
        <w:tblInd w:w="0" w:type="dxa"/>
        <w:tblLayout w:type="fixed"/>
        <w:tblCellMar>
          <w:top w:w="0" w:type="dxa"/>
          <w:left w:w="108" w:type="dxa"/>
          <w:bottom w:w="0" w:type="dxa"/>
          <w:right w:w="108" w:type="dxa"/>
        </w:tblCellMar>
      </w:tblPr>
      <w:tblGrid>
        <w:gridCol w:w="2376"/>
        <w:gridCol w:w="1242"/>
        <w:gridCol w:w="1440"/>
        <w:gridCol w:w="1440"/>
        <w:gridCol w:w="1440"/>
      </w:tblGrid>
      <w:tr>
        <w:trPr/>
        <w:tc>
          <w:tcPr>
            <w:tcW w:w="2376"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2682"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GSM900</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DCS1800</w:t>
            </w:r>
          </w:p>
        </w:tc>
      </w:tr>
      <w:tr>
        <w:trPr>
          <w:trHeight w:val="23" w:hRule="atLeast"/>
        </w:trPr>
        <w:tc>
          <w:tcPr>
            <w:tcW w:w="237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Rate</w:t>
            </w:r>
          </w:p>
        </w:tc>
        <w:tc>
          <w:tcPr>
            <w:tcW w:w="124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MCS1</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MCS 9</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MCS 1</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MCS 9</w:t>
            </w:r>
          </w:p>
        </w:tc>
      </w:tr>
      <w:tr>
        <w:trPr>
          <w:trHeight w:val="23" w:hRule="atLeast"/>
        </w:trPr>
        <w:tc>
          <w:tcPr>
            <w:tcW w:w="237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Transmit (dBm)</w:t>
            </w:r>
          </w:p>
        </w:tc>
        <w:tc>
          <w:tcPr>
            <w:tcW w:w="12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43.0 </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43.0</w:t>
            </w:r>
          </w:p>
        </w:tc>
      </w:tr>
      <w:tr>
        <w:trPr>
          <w:trHeight w:val="23" w:hRule="atLeast"/>
        </w:trPr>
        <w:tc>
          <w:tcPr>
            <w:tcW w:w="237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(dBi)</w:t>
            </w:r>
          </w:p>
        </w:tc>
        <w:tc>
          <w:tcPr>
            <w:tcW w:w="12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r>
      <w:tr>
        <w:trPr>
          <w:trHeight w:val="23" w:hRule="atLeast"/>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lang w:val="en-GB"/>
              </w:rPr>
              <w:t>Tolerable Signal (dBm)</w:t>
            </w:r>
          </w:p>
        </w:tc>
        <w:tc>
          <w:tcPr>
            <w:tcW w:w="12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-17.7</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-23.7</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-29.0</w:t>
            </w:r>
          </w:p>
        </w:tc>
      </w:tr>
      <w:tr>
        <w:trPr>
          <w:trHeight w:val="23" w:hRule="atLeast"/>
        </w:trPr>
        <w:tc>
          <w:tcPr>
            <w:tcW w:w="237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Coupling loss Req'd (dB)</w:t>
            </w:r>
          </w:p>
        </w:tc>
        <w:tc>
          <w:tcPr>
            <w:tcW w:w="12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70.7</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76.0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76.7</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82.0</w:t>
              <w:br/>
              <w:t>(note)</w:t>
            </w:r>
          </w:p>
        </w:tc>
      </w:tr>
      <w:tr>
        <w:trPr>
          <w:trHeight w:val="23" w:hRule="atLeast"/>
        </w:trPr>
        <w:tc>
          <w:tcPr>
            <w:tcW w:w="7938"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When there is no power control the minimum coupling loss is 79 dB due to NER requirements. This will put desired signal at -26 dBm. With 82 dBm the desired signal goes to -29 dB and the intermodulation tones are at -50 dBm. This is 3 dB short of assumed MCS 9 operation at 24 dB Increasing the coupling loss 1.5 dB drops the desired by 1.5 abd the intermod products by 4.5 which then gived the required 24 dB.</w:t>
            </w:r>
          </w:p>
        </w:tc>
      </w:tr>
    </w:tbl>
    <w:p>
      <w:pPr>
        <w:pStyle w:val="FP"/>
        <w:rPr/>
      </w:pPr>
      <w:r>
        <w:rPr/>
      </w:r>
    </w:p>
    <w:p>
      <w:pPr>
        <w:pStyle w:val="Heading3"/>
        <w:rPr/>
      </w:pPr>
      <w:bookmarkStart w:id="712" w:name="__RefHeading___Toc518036080"/>
      <w:bookmarkEnd w:id="712"/>
      <w:r>
        <w:rPr/>
        <w:t>X.2.1.2</w:t>
        <w:tab/>
        <w:t>Closest Approach MS Transmitting, Coordinated</w:t>
      </w:r>
    </w:p>
    <w:p>
      <w:pPr>
        <w:pStyle w:val="Heading4"/>
        <w:ind w:left="1418" w:hanging="1418"/>
        <w:rPr/>
      </w:pPr>
      <w:bookmarkStart w:id="713" w:name="__RefHeading___Toc518036081"/>
      <w:bookmarkEnd w:id="713"/>
      <w:r>
        <w:rPr/>
        <w:t>X.2.1.2.1</w:t>
        <w:tab/>
        <w:t>Nominal Error Rate at High Input Levels</w:t>
      </w:r>
    </w:p>
    <w:p>
      <w:pPr>
        <w:pStyle w:val="Normal"/>
        <w:rPr/>
      </w:pPr>
      <w:r>
        <w:rPr/>
        <w:t>A BTS is required to operate properly until the received tone exceeds -26 dBm for BTS operating in the GSM900 band and the DCS1800 band.</w:t>
      </w:r>
    </w:p>
    <w:p>
      <w:pPr>
        <w:pStyle w:val="Heading5"/>
        <w:ind w:left="1701" w:hanging="1701"/>
        <w:rPr/>
      </w:pPr>
      <w:bookmarkStart w:id="714" w:name="__RefHeading___Toc518036082"/>
      <w:bookmarkEnd w:id="714"/>
      <w:r>
        <w:rPr/>
        <w:t>X.2.1.2.1.1</w:t>
        <w:tab/>
        <w:t>GSM900 BTS</w:t>
      </w:r>
    </w:p>
    <w:p>
      <w:pPr>
        <w:pStyle w:val="Normal"/>
        <w:rPr/>
      </w:pPr>
      <w:r>
        <w:rPr/>
        <w:t>For a MS which is operating with uplink power control the required coupling loss is reduced by the amount of power control. For a class E1 mobile in the GSM900 band the power control range is 28 dB and the resulting coupling loss required is:</w:t>
      </w:r>
    </w:p>
    <w:p>
      <w:pPr>
        <w:pStyle w:val="B1"/>
        <w:rPr/>
      </w:pPr>
      <w:r>
        <w:rPr/>
        <w:t>-</w:t>
        <w:tab/>
        <w:t>Transmit Power + Antenna Gain (MS + BTS) - Power Control - Static Level Req.</w:t>
      </w:r>
    </w:p>
    <w:p>
      <w:pPr>
        <w:pStyle w:val="B1"/>
        <w:rPr/>
      </w:pPr>
      <w:r>
        <w:rPr/>
        <w:t>-</w:t>
        <w:tab/>
        <w:t>33 + 10 - 28 - (-26) = 41 dB.</w:t>
      </w:r>
    </w:p>
    <w:p>
      <w:pPr>
        <w:pStyle w:val="Heading5"/>
        <w:ind w:left="1701" w:hanging="1701"/>
        <w:rPr/>
      </w:pPr>
      <w:bookmarkStart w:id="715" w:name="__RefHeading___Toc518036083"/>
      <w:bookmarkEnd w:id="715"/>
      <w:r>
        <w:rPr/>
        <w:t>X.2.1.2.1.2</w:t>
        <w:tab/>
        <w:t>DCS1800 BTS</w:t>
      </w:r>
    </w:p>
    <w:p>
      <w:pPr>
        <w:pStyle w:val="Normal"/>
        <w:rPr/>
      </w:pPr>
      <w:r>
        <w:rPr/>
        <w:t>For a MS which is operating with uplink power control the required coupling loss is reduced by the amount of power control. For a class E1 mobile in the DCS1800 band the power control range is 30 dB and the resulting coupling loss required is:</w:t>
      </w:r>
    </w:p>
    <w:p>
      <w:pPr>
        <w:pStyle w:val="B1"/>
        <w:rPr/>
      </w:pPr>
      <w:r>
        <w:rPr/>
        <w:t>-</w:t>
        <w:tab/>
        <w:t>Transmit Power + Antenna Gain (MS + BTS) - Power Control - Static Level Req.</w:t>
      </w:r>
    </w:p>
    <w:p>
      <w:pPr>
        <w:pStyle w:val="B1"/>
        <w:rPr/>
      </w:pPr>
      <w:r>
        <w:rPr/>
        <w:t>-</w:t>
        <w:tab/>
        <w:t>30 + 10 - 30 - (-26) = 36 dB.</w:t>
      </w:r>
    </w:p>
    <w:p>
      <w:pPr>
        <w:pStyle w:val="Heading4"/>
        <w:ind w:left="1418" w:hanging="1418"/>
        <w:rPr/>
      </w:pPr>
      <w:bookmarkStart w:id="716" w:name="__RefHeading___Toc518036084"/>
      <w:bookmarkEnd w:id="716"/>
      <w:r>
        <w:rPr/>
        <w:t>X.2.1.2.2</w:t>
        <w:tab/>
        <w:t>BTS Receiver Intermodulation Characteristics</w:t>
      </w:r>
    </w:p>
    <w:p>
      <w:pPr>
        <w:pStyle w:val="Normal"/>
        <w:rPr/>
      </w:pPr>
      <w:r>
        <w:rPr/>
        <w:t>In a situation where a BTS is receiving multiple high power carriers at regular frequency spacings from multiple close in coordinated mobiles, which are under power control, the BTS will experience the generation if intermodulation products on its operating channel. Working backwards from the BTS intermodulation characteristics in GSM 05.05 it can be shown that the input third order intercept of a BTS is:</w:t>
      </w:r>
    </w:p>
    <w:p>
      <w:pPr>
        <w:pStyle w:val="B1"/>
        <w:rPr/>
      </w:pPr>
      <w:r>
        <w:rPr/>
        <w:t>-</w:t>
        <w:tab/>
        <w:t>-9.5 dBm for GSM900.</w:t>
      </w:r>
    </w:p>
    <w:p>
      <w:pPr>
        <w:pStyle w:val="B1"/>
        <w:rPr/>
      </w:pPr>
      <w:r>
        <w:rPr/>
        <w:t>-</w:t>
        <w:tab/>
        <w:t>-18.5 dBm for DCS1800.</w:t>
      </w:r>
    </w:p>
    <w:p>
      <w:pPr>
        <w:pStyle w:val="Normal"/>
        <w:rPr/>
      </w:pPr>
      <w:r>
        <w:rPr/>
        <w:t>In the case of coordinated mobiles in close approach to the BTS the uplink power control protects the BTS. To operate MCS 1 at close range the intermodulation products must be at least 8 dB below the desired signal. To run MCS 9 the intermodulation products must be at least 24 dB below the desired signal.</w:t>
      </w:r>
    </w:p>
    <w:p>
      <w:pPr>
        <w:pStyle w:val="Normal"/>
        <w:rPr/>
      </w:pPr>
      <w:r>
        <w:rPr/>
        <w:t xml:space="preserve">Given a maximum allowable signal on channel of -26 dBm the intermodulation products need to be at least 8 and 24 dB below the desired signal to enable MCS 1 or MCS 9 respectively. The allowable intermodulation products are then </w:t>
        <w:noBreakHyphen/>
        <w:t>34 dBm and -50 dBm.</w:t>
      </w:r>
    </w:p>
    <w:p>
      <w:pPr>
        <w:pStyle w:val="Normal"/>
        <w:rPr/>
      </w:pPr>
      <w:r>
        <w:rPr/>
        <w:t>For GSM900 the two rates are enabled with input interfering signal levels of:</w:t>
      </w:r>
    </w:p>
    <w:p>
      <w:pPr>
        <w:pStyle w:val="B1"/>
        <w:rPr/>
      </w:pPr>
      <w:r>
        <w:rPr/>
        <w:t>Input power at MS = (Intermod Product + 2*IIP3)/3</w:t>
      </w:r>
    </w:p>
    <w:p>
      <w:pPr>
        <w:pStyle w:val="B2"/>
        <w:rPr/>
      </w:pPr>
      <w:r>
        <w:rPr/>
        <w:t>(-34 + 2*(-9.5))/3 = -17.7 dBm</w:t>
      </w:r>
    </w:p>
    <w:p>
      <w:pPr>
        <w:pStyle w:val="B1"/>
        <w:rPr/>
      </w:pPr>
      <w:r>
        <w:rPr/>
        <w:t>Input power at MS = (Intermod Product + 2*IIP3)/3</w:t>
      </w:r>
    </w:p>
    <w:p>
      <w:pPr>
        <w:pStyle w:val="B2"/>
        <w:rPr/>
      </w:pPr>
      <w:r>
        <w:rPr/>
        <w:t>(-50 + 2*(-9.5))/3 = -23.0 dBm</w:t>
      </w:r>
    </w:p>
    <w:p>
      <w:pPr>
        <w:pStyle w:val="Normal"/>
        <w:rPr/>
      </w:pPr>
      <w:r>
        <w:rPr/>
        <w:t>For DCS1800 the two rates are enabled with input interfering signal levels of:</w:t>
      </w:r>
    </w:p>
    <w:p>
      <w:pPr>
        <w:pStyle w:val="B1"/>
        <w:rPr/>
      </w:pPr>
      <w:r>
        <w:rPr/>
        <w:t>Input power at MS = (Intermod Product + 2*IIP3)/3</w:t>
      </w:r>
    </w:p>
    <w:p>
      <w:pPr>
        <w:pStyle w:val="B2"/>
        <w:rPr/>
      </w:pPr>
      <w:r>
        <w:rPr/>
        <w:t>(-34 + 2*(-18.5))/3 = -23.7 dBm</w:t>
      </w:r>
    </w:p>
    <w:p>
      <w:pPr>
        <w:pStyle w:val="B1"/>
        <w:rPr/>
      </w:pPr>
      <w:r>
        <w:rPr/>
        <w:t>Input power at MS = (Intermod Product + 2*IIP3)/3</w:t>
      </w:r>
    </w:p>
    <w:p>
      <w:pPr>
        <w:pStyle w:val="B2"/>
        <w:rPr/>
      </w:pPr>
      <w:r>
        <w:rPr/>
        <w:t>(-50 + 2*(-18.5))/3 = -29.0 dBm</w:t>
      </w:r>
    </w:p>
    <w:p>
      <w:pPr>
        <w:pStyle w:val="TH"/>
        <w:rPr/>
      </w:pPr>
      <w:r>
        <w:rPr/>
        <w:t>Table X.2: Minimum coupling losses based on BTS receiver intermodulation requirements</w:t>
      </w:r>
    </w:p>
    <w:tbl>
      <w:tblPr>
        <w:tblW w:w="7938" w:type="dxa"/>
        <w:jc w:val="center"/>
        <w:tblInd w:w="0" w:type="dxa"/>
        <w:tblLayout w:type="fixed"/>
        <w:tblCellMar>
          <w:top w:w="0" w:type="dxa"/>
          <w:left w:w="108" w:type="dxa"/>
          <w:bottom w:w="0" w:type="dxa"/>
          <w:right w:w="108" w:type="dxa"/>
        </w:tblCellMar>
      </w:tblPr>
      <w:tblGrid>
        <w:gridCol w:w="2178"/>
        <w:gridCol w:w="1440"/>
        <w:gridCol w:w="1440"/>
        <w:gridCol w:w="1440"/>
        <w:gridCol w:w="1440"/>
      </w:tblGrid>
      <w:tr>
        <w:trPr/>
        <w:tc>
          <w:tcPr>
            <w:tcW w:w="2178"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GSM900</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DCS1800</w:t>
            </w:r>
          </w:p>
        </w:tc>
      </w:tr>
      <w:tr>
        <w:trPr>
          <w:trHeight w:val="23" w:hRule="atLeast"/>
        </w:trPr>
        <w:tc>
          <w:tcPr>
            <w:tcW w:w="217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Rate</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MCS1</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MCS 9</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MCS 1</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MCS 9</w:t>
            </w:r>
          </w:p>
        </w:tc>
      </w:tr>
      <w:tr>
        <w:trPr>
          <w:trHeight w:val="23" w:hRule="atLeast"/>
        </w:trPr>
        <w:tc>
          <w:tcPr>
            <w:tcW w:w="21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Transmit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5.0 </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tc>
      </w:tr>
      <w:tr>
        <w:trPr>
          <w:trHeight w:val="23" w:hRule="atLeast"/>
        </w:trPr>
        <w:tc>
          <w:tcPr>
            <w:tcW w:w="21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(dBi)</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r>
      <w:tr>
        <w:trPr>
          <w:trHeight w:val="23" w:hRule="atLeast"/>
        </w:trPr>
        <w:tc>
          <w:tcPr>
            <w:tcW w:w="21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Tolerable Signal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-17.7</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-23.7</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-29.0</w:t>
            </w:r>
          </w:p>
        </w:tc>
      </w:tr>
      <w:tr>
        <w:trPr>
          <w:trHeight w:val="23" w:hRule="atLeast"/>
        </w:trPr>
        <w:tc>
          <w:tcPr>
            <w:tcW w:w="2178" w:type="dxa"/>
            <w:tcBorders>
              <w:top w:val="single" w:sz="4" w:space="0" w:color="000000"/>
              <w:left w:val="single" w:sz="4" w:space="0" w:color="000000"/>
              <w:bottom w:val="single" w:sz="4" w:space="0" w:color="000000"/>
              <w:right w:val="single" w:sz="4" w:space="0" w:color="000000"/>
            </w:tcBorders>
          </w:tcPr>
          <w:p>
            <w:pPr>
              <w:pStyle w:val="TAL"/>
              <w:rPr/>
            </w:pPr>
            <w:r>
              <w:rPr>
                <w:lang w:val="en-GB"/>
              </w:rPr>
              <w:t>Coupling loss Req'd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32.7</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38.0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33.7</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39</w:t>
            </w:r>
          </w:p>
        </w:tc>
      </w:tr>
    </w:tbl>
    <w:p>
      <w:pPr>
        <w:pStyle w:val="FP"/>
        <w:rPr/>
      </w:pPr>
      <w:r>
        <w:rPr/>
      </w:r>
    </w:p>
    <w:p>
      <w:pPr>
        <w:pStyle w:val="Heading3"/>
        <w:rPr/>
      </w:pPr>
      <w:bookmarkStart w:id="717" w:name="__RefHeading___Toc518036085"/>
      <w:bookmarkEnd w:id="717"/>
      <w:r>
        <w:rPr/>
        <w:t>X.2.1.3</w:t>
        <w:tab/>
        <w:t>Minimum Coupling for Coordinated Case</w:t>
      </w:r>
    </w:p>
    <w:p>
      <w:pPr>
        <w:pStyle w:val="Heading4"/>
        <w:ind w:left="1418" w:hanging="1418"/>
        <w:rPr/>
      </w:pPr>
      <w:bookmarkStart w:id="718" w:name="__RefHeading___Toc518036086"/>
      <w:bookmarkEnd w:id="718"/>
      <w:r>
        <w:rPr/>
        <w:t>X.2.1.3.1</w:t>
        <w:tab/>
        <w:t>Downlink Power Control Enabled</w:t>
      </w:r>
    </w:p>
    <w:p>
      <w:pPr>
        <w:pStyle w:val="Normal"/>
        <w:rPr/>
      </w:pPr>
      <w:r>
        <w:rPr/>
        <w:t>If the MS receive intermodulation is not implicated then the downlink coupling loss could be as low as 49 dB where downlink power control is deployed. When MS intermodulation performance is implicated the minimum coupling loss required is 71 dB for GSM900 and 77 dB for DCS1800 for a functional coordinated link in the up and downlink (MCS 1). The limiting case was found to be in the downlink direction.</w:t>
      </w:r>
    </w:p>
    <w:p>
      <w:pPr>
        <w:pStyle w:val="Heading4"/>
        <w:ind w:left="1418" w:hanging="1418"/>
        <w:rPr/>
      </w:pPr>
      <w:bookmarkStart w:id="719" w:name="__RefHeading___Toc518036087"/>
      <w:bookmarkEnd w:id="719"/>
      <w:r>
        <w:rPr/>
        <w:t>X.2.1.3.2</w:t>
        <w:tab/>
        <w:t>No Downlink Power Control</w:t>
      </w:r>
    </w:p>
    <w:p>
      <w:pPr>
        <w:pStyle w:val="Normal"/>
        <w:rPr/>
      </w:pPr>
      <w:r>
        <w:rPr/>
        <w:t>The worst case is found in subclause X.2.1.1.1, where downlink power control is not used, and was calculated to be 79 dB for GSM900 and DCS1800 due to nominal error rate specifications for EDGE MS. For GSM900 this is sufficient to get the intermodulation products low enough to allow for MCS 9 operation. For DCS1800 MCS 9 operations would require a coupling loss of 83,5 dB before the signal to intermod product ratio is large enough.</w:t>
      </w:r>
    </w:p>
    <w:p>
      <w:pPr>
        <w:pStyle w:val="Heading2"/>
        <w:rPr/>
      </w:pPr>
      <w:bookmarkStart w:id="720" w:name="__RefHeading___Toc518036088"/>
      <w:bookmarkEnd w:id="720"/>
      <w:r>
        <w:rPr/>
        <w:t>X.2.2</w:t>
        <w:tab/>
        <w:t>Closest Approach, Uncoordinated</w:t>
      </w:r>
    </w:p>
    <w:p>
      <w:pPr>
        <w:pStyle w:val="Normal"/>
        <w:rPr/>
      </w:pPr>
      <w:r>
        <w:rPr/>
        <w:t>The case of interest for uncoordinated MS/BTS interactions is the scenario where the MS is far from its serving cell and close to a BTS operating in a different sub-band. No power control can be assumed in the up or down link.</w:t>
      </w:r>
    </w:p>
    <w:p>
      <w:pPr>
        <w:pStyle w:val="Heading3"/>
        <w:rPr/>
      </w:pPr>
      <w:bookmarkStart w:id="721" w:name="__RefHeading___Toc518036089"/>
      <w:bookmarkEnd w:id="721"/>
      <w:r>
        <w:rPr/>
        <w:t>X.2.2.1</w:t>
        <w:tab/>
        <w:t>Closest Approach BTS Transmitting, Uncoordinated</w:t>
      </w:r>
    </w:p>
    <w:p>
      <w:pPr>
        <w:pStyle w:val="Heading4"/>
        <w:ind w:left="1418" w:hanging="1418"/>
        <w:rPr/>
      </w:pPr>
      <w:bookmarkStart w:id="722" w:name="__RefHeading___Toc518036090"/>
      <w:bookmarkEnd w:id="722"/>
      <w:r>
        <w:rPr/>
        <w:t>X.2.2.1.1</w:t>
        <w:tab/>
        <w:t>Noise Masking</w:t>
      </w:r>
    </w:p>
    <w:p>
      <w:pPr>
        <w:pStyle w:val="Normal"/>
        <w:rPr/>
      </w:pPr>
      <w:r>
        <w:rPr/>
        <w:t>This occurs as a result of the wideband mask of the BTS, and it is a function of the frequency offset. Since the MS is far away from its serving cell it is assumed to be operating close to its sensitivity level. Given a noise floor, which is at -110 dBm (200 kHz) in the MS, the required coupling loss to get the BTS noise down to the MS noise floor can be calculated.</w:t>
      </w:r>
    </w:p>
    <w:p>
      <w:pPr>
        <w:pStyle w:val="TH"/>
        <w:rPr/>
      </w:pPr>
      <w:r>
        <w:rPr/>
        <w:t>Table X.3: Coupling loss required due to BTS noise masking.</w:t>
      </w:r>
    </w:p>
    <w:tbl>
      <w:tblPr>
        <w:tblW w:w="8352" w:type="dxa"/>
        <w:jc w:val="center"/>
        <w:tblInd w:w="0" w:type="dxa"/>
        <w:tblLayout w:type="fixed"/>
        <w:tblCellMar>
          <w:top w:w="0" w:type="dxa"/>
          <w:left w:w="108" w:type="dxa"/>
          <w:bottom w:w="0" w:type="dxa"/>
          <w:right w:w="108" w:type="dxa"/>
        </w:tblCellMar>
      </w:tblPr>
      <w:tblGrid>
        <w:gridCol w:w="2592"/>
        <w:gridCol w:w="1440"/>
        <w:gridCol w:w="1440"/>
        <w:gridCol w:w="1440"/>
        <w:gridCol w:w="1440"/>
      </w:tblGrid>
      <w:tr>
        <w:trPr/>
        <w:tc>
          <w:tcPr>
            <w:tcW w:w="25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Frequency Band</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GSM900</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DCS1800</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Frequency Offset</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1 800 kHz</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6 000 kHz</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1 800 kHz</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6 000 kHz</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Power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Mask (dBc) (200 kHz)</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-85</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(MS+BTS)</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Noise Floor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Coupling loss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78</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78</w:t>
            </w:r>
          </w:p>
        </w:tc>
      </w:tr>
    </w:tbl>
    <w:p>
      <w:pPr>
        <w:pStyle w:val="FP"/>
        <w:rPr/>
      </w:pPr>
      <w:r>
        <w:rPr/>
      </w:r>
    </w:p>
    <w:p>
      <w:pPr>
        <w:pStyle w:val="Heading4"/>
        <w:ind w:left="1418" w:hanging="1418"/>
        <w:rPr/>
      </w:pPr>
      <w:bookmarkStart w:id="723" w:name="__RefHeading___Toc518036091"/>
      <w:bookmarkEnd w:id="723"/>
      <w:r>
        <w:rPr/>
        <w:t>X.2.2.1.2</w:t>
        <w:tab/>
        <w:t>MS Receiver Intermodulation Characteristics</w:t>
      </w:r>
    </w:p>
    <w:p>
      <w:pPr>
        <w:pStyle w:val="Normal"/>
        <w:rPr/>
      </w:pPr>
      <w:r>
        <w:rPr/>
        <w:t>From GSM 05.05 the input levels, which will generate intermodulation products at the same level as the MS noise floor are:</w:t>
      </w:r>
    </w:p>
    <w:p>
      <w:pPr>
        <w:pStyle w:val="B1"/>
        <w:rPr/>
      </w:pPr>
      <w:r>
        <w:rPr/>
        <w:t>-</w:t>
        <w:tab/>
        <w:t>-43 dBm for GSM900.</w:t>
      </w:r>
    </w:p>
    <w:p>
      <w:pPr>
        <w:pStyle w:val="B1"/>
        <w:rPr/>
      </w:pPr>
      <w:r>
        <w:rPr/>
        <w:t>-</w:t>
        <w:tab/>
        <w:t>-49 dBm for DCS1800.</w:t>
      </w:r>
    </w:p>
    <w:p>
      <w:pPr>
        <w:pStyle w:val="TH"/>
        <w:rPr/>
      </w:pPr>
      <w:r>
        <w:rPr/>
        <w:t>Table X.4: Minimum coupling losses based on MS receiver intermodulation requirements</w:t>
      </w:r>
    </w:p>
    <w:tbl>
      <w:tblPr>
        <w:tblW w:w="5058" w:type="dxa"/>
        <w:jc w:val="center"/>
        <w:tblInd w:w="0" w:type="dxa"/>
        <w:tblLayout w:type="fixed"/>
        <w:tblCellMar>
          <w:top w:w="0" w:type="dxa"/>
          <w:left w:w="108" w:type="dxa"/>
          <w:bottom w:w="0" w:type="dxa"/>
          <w:right w:w="108" w:type="dxa"/>
        </w:tblCellMar>
      </w:tblPr>
      <w:tblGrid>
        <w:gridCol w:w="2358"/>
        <w:gridCol w:w="1260"/>
        <w:gridCol w:w="1440"/>
      </w:tblGrid>
      <w:tr>
        <w:trPr/>
        <w:tc>
          <w:tcPr>
            <w:tcW w:w="2358"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GSM900</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DCS1800</w:t>
            </w:r>
          </w:p>
        </w:tc>
      </w:tr>
      <w:tr>
        <w:trPr>
          <w:trHeight w:val="23" w:hRule="atLeast"/>
        </w:trPr>
        <w:tc>
          <w:tcPr>
            <w:tcW w:w="235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Transmit (dBm)</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43.0 </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43.0</w:t>
            </w:r>
          </w:p>
        </w:tc>
      </w:tr>
      <w:tr>
        <w:trPr>
          <w:trHeight w:val="23" w:hRule="atLeast"/>
        </w:trPr>
        <w:tc>
          <w:tcPr>
            <w:tcW w:w="235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(dBi)</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r>
      <w:tr>
        <w:trPr>
          <w:trHeight w:val="23" w:hRule="atLeast"/>
        </w:trPr>
        <w:tc>
          <w:tcPr>
            <w:tcW w:w="235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Tolerable Signal (dBm)</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-49.0</w:t>
            </w:r>
          </w:p>
        </w:tc>
      </w:tr>
      <w:tr>
        <w:trPr>
          <w:trHeight w:val="23" w:hRule="atLeast"/>
        </w:trPr>
        <w:tc>
          <w:tcPr>
            <w:tcW w:w="235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Coupling loss Req'd (dB)</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96.0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102.0</w:t>
            </w:r>
          </w:p>
        </w:tc>
      </w:tr>
    </w:tbl>
    <w:p>
      <w:pPr>
        <w:pStyle w:val="FP"/>
        <w:rPr/>
      </w:pPr>
      <w:r>
        <w:rPr/>
      </w:r>
    </w:p>
    <w:p>
      <w:pPr>
        <w:pStyle w:val="Heading4"/>
        <w:ind w:left="1418" w:hanging="1418"/>
        <w:rPr>
          <w:lang w:val="sv-SE"/>
        </w:rPr>
      </w:pPr>
      <w:bookmarkStart w:id="724" w:name="__RefHeading___Toc518036092"/>
      <w:bookmarkEnd w:id="724"/>
      <w:r>
        <w:rPr>
          <w:lang w:val="sv-SE"/>
        </w:rPr>
        <w:t>X.2.2.1.3</w:t>
        <w:tab/>
        <w:t>BTS Tx Inter/Intra Modulation Masking</w:t>
      </w:r>
    </w:p>
    <w:p>
      <w:pPr>
        <w:pStyle w:val="Normal"/>
        <w:rPr/>
      </w:pPr>
      <w:r>
        <w:rPr/>
        <w:t>This occurs as a result of the inter/intra modulation products of the BTS, and it is a function of the frequency offset. It should be noted that, the tx inter/intra modulation products generated by the BTS will be at exactly the same frequencies as those generated in the MS due to the transmit tones from the BTS. Since the MS is far away from its serving cell it is assumed to be operating close to its sensitivity level. Given a noise floor, which is at -110 dBm (200 kHz) in the MS, the required coupling loss to get the BTS inter/intra modulation products down to the MS noise floor can be calculated.</w:t>
      </w:r>
    </w:p>
    <w:p>
      <w:pPr>
        <w:pStyle w:val="TH"/>
        <w:rPr/>
      </w:pPr>
      <w:r>
        <w:rPr/>
        <w:t>Table X.5: Coupling loss required due to BTS Tx inter/intra modulation masking</w:t>
      </w:r>
    </w:p>
    <w:tbl>
      <w:tblPr>
        <w:tblW w:w="5472" w:type="dxa"/>
        <w:jc w:val="center"/>
        <w:tblInd w:w="0" w:type="dxa"/>
        <w:tblLayout w:type="fixed"/>
        <w:tblCellMar>
          <w:top w:w="0" w:type="dxa"/>
          <w:left w:w="108" w:type="dxa"/>
          <w:bottom w:w="0" w:type="dxa"/>
          <w:right w:w="108" w:type="dxa"/>
        </w:tblCellMar>
      </w:tblPr>
      <w:tblGrid>
        <w:gridCol w:w="2592"/>
        <w:gridCol w:w="1440"/>
        <w:gridCol w:w="1440"/>
      </w:tblGrid>
      <w:tr>
        <w:trPr/>
        <w:tc>
          <w:tcPr>
            <w:tcW w:w="25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Frequency Band</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GSM900</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DCS1800</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Power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Mask (dBc)</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(MS+BTS)</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Noise Floor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r>
      <w:tr>
        <w:trPr/>
        <w:tc>
          <w:tcPr>
            <w:tcW w:w="259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Coupling loss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w:t>
            </w:r>
          </w:p>
        </w:tc>
      </w:tr>
    </w:tbl>
    <w:p>
      <w:pPr>
        <w:pStyle w:val="FP"/>
        <w:rPr/>
      </w:pPr>
      <w:r>
        <w:rPr/>
      </w:r>
    </w:p>
    <w:p>
      <w:pPr>
        <w:pStyle w:val="Heading3"/>
        <w:rPr/>
      </w:pPr>
      <w:bookmarkStart w:id="725" w:name="__RefHeading___Toc518036093"/>
      <w:bookmarkEnd w:id="725"/>
      <w:r>
        <w:rPr/>
        <w:t>X.2.2.2</w:t>
        <w:tab/>
        <w:t>Minimum Coupling for Uncoordinated Case</w:t>
      </w:r>
    </w:p>
    <w:p>
      <w:pPr>
        <w:pStyle w:val="Normal"/>
        <w:rPr/>
      </w:pPr>
      <w:r>
        <w:rPr/>
        <w:t>From the above analysis the normal degradation mode will be that of BTS noise masking of the receiver performance. In that instance, depending on the relative frequency offset, the minimum coupling loss which allows an uncoordinated MS to operate is 83 dB for offsets from 1 800 kHz to 6 000 kHz and 78 dB for &gt; 6 000 kHz offset.</w:t>
      </w:r>
    </w:p>
    <w:p>
      <w:pPr>
        <w:pStyle w:val="Normal"/>
        <w:rPr/>
      </w:pPr>
      <w:r>
        <w:rPr/>
        <w:t>Where the uncoordinated MS is operating on an ARFCN, which is exposed to intermodulation products, it has been found that the MS receiver performance limits the link, since the BTS tx intermodulation products and the MS receiver intermodulation products will land on exactly the same frequencies. In that scenario, the required coupling losses were found to be 96 dB and 102 dB respectively for 900 MHz and 1 800 MHz operation respectively.</w:t>
      </w:r>
    </w:p>
    <w:p>
      <w:pPr>
        <w:pStyle w:val="Heading1"/>
        <w:ind w:left="1134" w:hanging="1134"/>
        <w:rPr/>
      </w:pPr>
      <w:bookmarkStart w:id="726" w:name="__RefHeading___Toc518036094"/>
      <w:bookmarkEnd w:id="726"/>
      <w:r>
        <w:rPr/>
        <w:t>X.3</w:t>
        <w:tab/>
        <w:t>Analysis of Specifications</w:t>
      </w:r>
    </w:p>
    <w:p>
      <w:pPr>
        <w:pStyle w:val="Normal"/>
        <w:rPr/>
      </w:pPr>
      <w:r>
        <w:rPr/>
        <w:t>Given the analysis in subclause X.2 to establish propagation conditions which will allow coordinated and uncoordinated MSs to successfully operate on the up and down links this section will examine the specifications of GSM 05.05 for EDGE operation.</w:t>
      </w:r>
    </w:p>
    <w:p>
      <w:pPr>
        <w:pStyle w:val="Heading2"/>
        <w:rPr/>
      </w:pPr>
      <w:bookmarkStart w:id="727" w:name="__RefHeading___Toc518036095"/>
      <w:bookmarkEnd w:id="727"/>
      <w:r>
        <w:rPr/>
        <w:t>X.3.1</w:t>
        <w:tab/>
        <w:t>Scenario 1: Single BTS and MS</w:t>
      </w:r>
    </w:p>
    <w:p>
      <w:pPr>
        <w:pStyle w:val="Heading3"/>
        <w:rPr/>
      </w:pPr>
      <w:bookmarkStart w:id="728" w:name="__RefHeading___Toc518036096"/>
      <w:bookmarkEnd w:id="728"/>
      <w:r>
        <w:rPr/>
        <w:t>X.3.1.1</w:t>
        <w:tab/>
        <w:t>Specifications Affected (GSM 05.05)</w:t>
      </w:r>
    </w:p>
    <w:p>
      <w:pPr>
        <w:pStyle w:val="B1"/>
        <w:tabs>
          <w:tab w:val="clear" w:pos="284"/>
          <w:tab w:val="left" w:pos="1701" w:leader="none"/>
        </w:tabs>
        <w:rPr/>
      </w:pPr>
      <w:r>
        <w:rPr/>
        <w:t>Subclause 6.1</w:t>
        <w:tab/>
        <w:t>Nominal error rates (maximum receiver levels).</w:t>
      </w:r>
    </w:p>
    <w:p>
      <w:pPr>
        <w:pStyle w:val="B1"/>
        <w:tabs>
          <w:tab w:val="clear" w:pos="284"/>
          <w:tab w:val="left" w:pos="1701" w:leader="none"/>
        </w:tabs>
        <w:rPr/>
      </w:pPr>
      <w:r>
        <w:rPr/>
        <w:t>Subclause 6.2</w:t>
        <w:tab/>
        <w:t>Nominal error rates (maximum receiver levels).</w:t>
      </w:r>
    </w:p>
    <w:p>
      <w:pPr>
        <w:pStyle w:val="Heading3"/>
        <w:rPr/>
      </w:pPr>
      <w:bookmarkStart w:id="729" w:name="__RefHeading___Toc518036097"/>
      <w:bookmarkEnd w:id="729"/>
      <w:r>
        <w:rPr/>
        <w:t>X.3.1.2</w:t>
        <w:tab/>
        <w:t>Maximum Receiver Levels</w:t>
      </w:r>
    </w:p>
    <w:p>
      <w:pPr>
        <w:pStyle w:val="Normal"/>
        <w:rPr/>
      </w:pPr>
      <w:r>
        <w:rPr/>
        <w:t>This case has been analyzed in subclause X.2.1.1.1.</w:t>
      </w:r>
    </w:p>
    <w:p>
      <w:pPr>
        <w:pStyle w:val="Heading3"/>
        <w:rPr/>
      </w:pPr>
      <w:bookmarkStart w:id="730" w:name="__RefHeading___Toc518036098"/>
      <w:bookmarkEnd w:id="730"/>
      <w:r>
        <w:rPr/>
        <w:t>X.3.1.3</w:t>
        <w:tab/>
        <w:t>Reference Sensitivity Level</w:t>
      </w:r>
    </w:p>
    <w:p>
      <w:pPr>
        <w:pStyle w:val="Heading4"/>
        <w:ind w:left="1418" w:hanging="1418"/>
        <w:rPr/>
      </w:pPr>
      <w:bookmarkStart w:id="731" w:name="__RefHeading___Toc518036099"/>
      <w:bookmarkEnd w:id="731"/>
      <w:r>
        <w:rPr/>
        <w:t>X.3.1.3.1</w:t>
        <w:tab/>
        <w:t>Coverage Limit</w:t>
      </w:r>
    </w:p>
    <w:p>
      <w:pPr>
        <w:pStyle w:val="Normal"/>
        <w:rPr/>
      </w:pPr>
      <w:r>
        <w:rPr/>
        <w:t>The absolute sensitivity of the BTS and MS will determine the coverage characteristics of the BTS and MS. The actual result is a complex function of building geometry, antenna height, building penetration loss, and a number of other factors.</w:t>
      </w:r>
    </w:p>
    <w:p>
      <w:pPr>
        <w:pStyle w:val="Heading4"/>
        <w:ind w:left="1418" w:hanging="1418"/>
        <w:rPr/>
      </w:pPr>
      <w:bookmarkStart w:id="732" w:name="__RefHeading___Toc518036100"/>
      <w:bookmarkEnd w:id="732"/>
      <w:r>
        <w:rPr/>
        <w:t>X.3.1.3.2</w:t>
        <w:tab/>
        <w:t>Link Balance</w:t>
      </w:r>
    </w:p>
    <w:p>
      <w:pPr>
        <w:pStyle w:val="Normal"/>
        <w:rPr/>
      </w:pPr>
      <w:r>
        <w:rPr/>
        <w:t>Link balance for symmetric operation is determined from relatively few factors assuming that the uplink and downlink channels are reciprocal. Assuming equivalent Eb/No for the MS and BTS, and given a MS with a transmit power of 33 dBm at 900 MHz, and 30 dBm at 1800 MHz, and a receiver noise floor of -110 dBm in both bands, and a BTS with a noise floor of -112 dBm and a diversity benefit of 5 dB in the uplink balance occurs at the following BTS power:</w:t>
      </w:r>
    </w:p>
    <w:p>
      <w:pPr>
        <w:pStyle w:val="B1"/>
        <w:rPr/>
      </w:pPr>
      <w:r>
        <w:rPr/>
        <w:t>BTS Transmit Power (Balanced)  = MS tx power - BTS noise floor + BTS Diversity + MS noise floor.</w:t>
      </w:r>
    </w:p>
    <w:p>
      <w:pPr>
        <w:pStyle w:val="Normal"/>
        <w:rPr/>
      </w:pPr>
      <w:r>
        <w:rPr/>
        <w:t>For 900 MHz</w:t>
      </w:r>
    </w:p>
    <w:p>
      <w:pPr>
        <w:pStyle w:val="B1"/>
        <w:rPr/>
      </w:pPr>
      <w:r>
        <w:rPr/>
        <w:t>BTS Transmit Power (Balanced) = 33 dBm -  (-112 dBm) + 5 dB +  (-110 dBm) = 40 dBm.</w:t>
      </w:r>
    </w:p>
    <w:p>
      <w:pPr>
        <w:pStyle w:val="Normal"/>
        <w:rPr/>
      </w:pPr>
      <w:r>
        <w:rPr/>
        <w:t>For 1800 MHz</w:t>
      </w:r>
    </w:p>
    <w:p>
      <w:pPr>
        <w:pStyle w:val="B1"/>
        <w:rPr/>
      </w:pPr>
      <w:r>
        <w:rPr/>
        <w:t>BTS Transmit Power (Balanced) = 30 dBm -  (-112 dBm) + 5 dB +  (-110 dBm) = 37 dBm.</w:t>
      </w:r>
    </w:p>
    <w:p>
      <w:pPr>
        <w:pStyle w:val="Heading2"/>
        <w:rPr/>
      </w:pPr>
      <w:bookmarkStart w:id="733" w:name="__RefHeading___Toc518036101"/>
      <w:bookmarkEnd w:id="733"/>
      <w:r>
        <w:rPr/>
        <w:t>X.3.2</w:t>
        <w:tab/>
        <w:t>Scenario 2: Multiple MS and BTS, Coordinated</w:t>
      </w:r>
    </w:p>
    <w:p>
      <w:pPr>
        <w:pStyle w:val="Normal"/>
        <w:rPr/>
      </w:pPr>
      <w:r>
        <w:rPr/>
        <w:t>Coordinated operation is assumed ie BTS's belong to same PLMN.  Collocated MS's and collocated BTS's are dealt with in Scenarios 4 and 5, respectively.</w:t>
      </w:r>
    </w:p>
    <w:p>
      <w:pPr>
        <w:pStyle w:val="TH"/>
        <w:rPr/>
      </w:pPr>
      <w:r>
        <w:rPr/>
        <w:drawing>
          <wp:inline distT="0" distB="0" distL="0" distR="0">
            <wp:extent cx="5572760" cy="1715135"/>
            <wp:effectExtent l="0" t="0" r="0" b="0"/>
            <wp:docPr id="209" name="Image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33" descr=""/>
                    <pic:cNvPicPr>
                      <a:picLocks noChangeAspect="1" noChangeArrowheads="1"/>
                    </pic:cNvPicPr>
                  </pic:nvPicPr>
                  <pic:blipFill>
                    <a:blip r:embed="rId207"/>
                    <a:srcRect l="-6" t="-21" r="-6" b="-21"/>
                    <a:stretch>
                      <a:fillRect/>
                    </a:stretch>
                  </pic:blipFill>
                  <pic:spPr bwMode="auto">
                    <a:xfrm>
                      <a:off x="0" y="0"/>
                      <a:ext cx="5572760" cy="1715135"/>
                    </a:xfrm>
                    <a:prstGeom prst="rect">
                      <a:avLst/>
                    </a:prstGeom>
                  </pic:spPr>
                </pic:pic>
              </a:graphicData>
            </a:graphic>
          </wp:inline>
        </w:drawing>
      </w:r>
    </w:p>
    <w:p>
      <w:pPr>
        <w:pStyle w:val="TF"/>
        <w:rPr/>
      </w:pPr>
      <w:r>
        <w:rPr/>
        <w:t>Figure X.1: Near/far</w:t>
      </w:r>
    </w:p>
    <w:p>
      <w:pPr>
        <w:pStyle w:val="NF"/>
        <w:rPr/>
      </w:pPr>
      <w:r>
        <w:rPr/>
      </w:r>
    </w:p>
    <w:p>
      <w:pPr>
        <w:pStyle w:val="TH"/>
        <w:rPr/>
      </w:pPr>
      <w:r>
        <w:rPr/>
        <w:drawing>
          <wp:inline distT="0" distB="0" distL="0" distR="0">
            <wp:extent cx="5572760" cy="1715135"/>
            <wp:effectExtent l="0" t="0" r="0" b="0"/>
            <wp:docPr id="210" name="Image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34" descr=""/>
                    <pic:cNvPicPr>
                      <a:picLocks noChangeAspect="1" noChangeArrowheads="1"/>
                    </pic:cNvPicPr>
                  </pic:nvPicPr>
                  <pic:blipFill>
                    <a:blip r:embed="rId208"/>
                    <a:srcRect l="-6" t="-21" r="-6" b="-21"/>
                    <a:stretch>
                      <a:fillRect/>
                    </a:stretch>
                  </pic:blipFill>
                  <pic:spPr bwMode="auto">
                    <a:xfrm>
                      <a:off x="0" y="0"/>
                      <a:ext cx="5572760" cy="1715135"/>
                    </a:xfrm>
                    <a:prstGeom prst="rect">
                      <a:avLst/>
                    </a:prstGeom>
                  </pic:spPr>
                </pic:pic>
              </a:graphicData>
            </a:graphic>
          </wp:inline>
        </w:drawing>
      </w:r>
    </w:p>
    <w:p>
      <w:pPr>
        <w:pStyle w:val="TF"/>
        <w:rPr/>
      </w:pPr>
      <w:r>
        <w:rPr/>
        <w:t>Figure X.2: BTS intermodulation</w:t>
      </w:r>
    </w:p>
    <w:p>
      <w:pPr>
        <w:pStyle w:val="NF"/>
        <w:rPr/>
      </w:pPr>
      <w:r>
        <w:rPr/>
      </w:r>
    </w:p>
    <w:p>
      <w:pPr>
        <w:pStyle w:val="TH"/>
        <w:rPr/>
      </w:pPr>
      <w:r>
        <w:rPr/>
        <w:drawing>
          <wp:inline distT="0" distB="0" distL="0" distR="0">
            <wp:extent cx="5572760" cy="1715135"/>
            <wp:effectExtent l="0" t="0" r="0" b="0"/>
            <wp:docPr id="211" name="Image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35" descr=""/>
                    <pic:cNvPicPr>
                      <a:picLocks noChangeAspect="1" noChangeArrowheads="1"/>
                    </pic:cNvPicPr>
                  </pic:nvPicPr>
                  <pic:blipFill>
                    <a:blip r:embed="rId209"/>
                    <a:srcRect l="-6" t="-21" r="-6" b="-21"/>
                    <a:stretch>
                      <a:fillRect/>
                    </a:stretch>
                  </pic:blipFill>
                  <pic:spPr bwMode="auto">
                    <a:xfrm>
                      <a:off x="0" y="0"/>
                      <a:ext cx="5572760" cy="1715135"/>
                    </a:xfrm>
                    <a:prstGeom prst="rect">
                      <a:avLst/>
                    </a:prstGeom>
                  </pic:spPr>
                </pic:pic>
              </a:graphicData>
            </a:graphic>
          </wp:inline>
        </w:drawing>
      </w:r>
    </w:p>
    <w:p>
      <w:pPr>
        <w:pStyle w:val="TF"/>
        <w:rPr/>
      </w:pPr>
      <w:r>
        <w:rPr/>
        <w:t>Figure X.3: Intra BTS intermodulation</w:t>
      </w:r>
    </w:p>
    <w:p>
      <w:pPr>
        <w:pStyle w:val="Heading3"/>
        <w:rPr/>
      </w:pPr>
      <w:bookmarkStart w:id="734" w:name="__RefHeading___Toc518036102"/>
      <w:bookmarkEnd w:id="734"/>
      <w:r>
        <w:rPr/>
        <w:t>X.3.2.1</w:t>
        <w:tab/>
        <w:t>Specifications Affected (GSM 05.05)</w:t>
      </w:r>
    </w:p>
    <w:p>
      <w:pPr>
        <w:pStyle w:val="B1"/>
        <w:tabs>
          <w:tab w:val="clear" w:pos="284"/>
          <w:tab w:val="left" w:pos="1701" w:leader="none"/>
        </w:tabs>
        <w:rPr/>
      </w:pPr>
      <w:r>
        <w:rPr/>
        <w:t>Subclause 4.1</w:t>
        <w:tab/>
        <w:t>Adaptive power control.</w:t>
      </w:r>
    </w:p>
    <w:p>
      <w:pPr>
        <w:pStyle w:val="B1"/>
        <w:tabs>
          <w:tab w:val="clear" w:pos="284"/>
          <w:tab w:val="left" w:pos="1701" w:leader="none"/>
        </w:tabs>
        <w:rPr/>
      </w:pPr>
      <w:r>
        <w:rPr/>
        <w:t>Subclause 4.2</w:t>
        <w:tab/>
        <w:t>Output RF spectrum.</w:t>
      </w:r>
    </w:p>
    <w:p>
      <w:pPr>
        <w:pStyle w:val="B1"/>
        <w:tabs>
          <w:tab w:val="clear" w:pos="284"/>
          <w:tab w:val="left" w:pos="1701" w:leader="none"/>
        </w:tabs>
        <w:rPr/>
      </w:pPr>
      <w:r>
        <w:rPr/>
        <w:t>Subclause 4.7.1</w:t>
        <w:tab/>
        <w:t>Intermodulation attenuation, BTS (see figure X.2).</w:t>
      </w:r>
    </w:p>
    <w:p>
      <w:pPr>
        <w:pStyle w:val="B1"/>
        <w:tabs>
          <w:tab w:val="clear" w:pos="284"/>
          <w:tab w:val="left" w:pos="1701" w:leader="none"/>
        </w:tabs>
        <w:rPr/>
      </w:pPr>
      <w:r>
        <w:rPr/>
        <w:t>Subclause 4.7.2</w:t>
        <w:tab/>
        <w:t>Intra BTS intermodulation attenuation (see figure X.3).</w:t>
      </w:r>
    </w:p>
    <w:p>
      <w:pPr>
        <w:pStyle w:val="B1"/>
        <w:tabs>
          <w:tab w:val="clear" w:pos="284"/>
          <w:tab w:val="left" w:pos="1701" w:leader="none"/>
        </w:tabs>
        <w:rPr/>
      </w:pPr>
      <w:r>
        <w:rPr/>
        <w:t>Subclause 5.1</w:t>
        <w:tab/>
        <w:t>Blocking, in-band (near/far effect).</w:t>
      </w:r>
    </w:p>
    <w:p>
      <w:pPr>
        <w:pStyle w:val="B1"/>
        <w:tabs>
          <w:tab w:val="clear" w:pos="284"/>
          <w:tab w:val="left" w:pos="1701" w:leader="none"/>
        </w:tabs>
        <w:rPr/>
      </w:pPr>
      <w:r>
        <w:rPr/>
        <w:t>Subclause 6.3</w:t>
        <w:tab/>
        <w:t>Reference interference level.</w:t>
      </w:r>
    </w:p>
    <w:p>
      <w:pPr>
        <w:pStyle w:val="Heading3"/>
        <w:rPr/>
      </w:pPr>
      <w:bookmarkStart w:id="735" w:name="__RefHeading___Toc518036103"/>
      <w:bookmarkEnd w:id="735"/>
      <w:r>
        <w:rPr/>
        <w:t>X.3.2.2</w:t>
        <w:tab/>
        <w:t>Adaptive Power Control (GSM 05.05, subclause 4.1)</w:t>
      </w:r>
    </w:p>
    <w:p>
      <w:pPr>
        <w:pStyle w:val="Normal"/>
        <w:rPr/>
      </w:pPr>
      <w:r>
        <w:rPr/>
        <w:t>This was examined in X.2.1.1.1.</w:t>
      </w:r>
    </w:p>
    <w:p>
      <w:pPr>
        <w:pStyle w:val="Heading3"/>
        <w:rPr/>
      </w:pPr>
      <w:bookmarkStart w:id="736" w:name="__RefHeading___Toc518036104"/>
      <w:bookmarkEnd w:id="736"/>
      <w:r>
        <w:rPr/>
        <w:t>X.3.2.3</w:t>
        <w:tab/>
        <w:t>Output RF Spectrum (GSM 05.05, subclause 4.1)</w:t>
      </w:r>
    </w:p>
    <w:p>
      <w:pPr>
        <w:pStyle w:val="Normal"/>
        <w:rPr/>
      </w:pPr>
      <w:r>
        <w:rPr/>
        <w:t>In closest approach to a BTS, a single MS will transmit energy into adjacent channels and beyond. For channels, which are offset from the MS ARFCN by 200 kHz, 400 kHz, and 600 kHz:</w:t>
      </w:r>
    </w:p>
    <w:p>
      <w:pPr>
        <w:pStyle w:val="B1"/>
        <w:rPr/>
      </w:pPr>
      <w:r>
        <w:rPr/>
        <w:t>[TBD]</w:t>
      </w:r>
    </w:p>
    <w:p>
      <w:pPr>
        <w:pStyle w:val="Normal"/>
        <w:rPr/>
      </w:pPr>
      <w:r>
        <w:rPr/>
        <w:t>For larger offsets the amount of desensitization of the BTS can be calculated.</w:t>
      </w:r>
    </w:p>
    <w:p>
      <w:pPr>
        <w:pStyle w:val="Normal"/>
        <w:rPr/>
      </w:pPr>
      <w:r>
        <w:rPr/>
        <w:t>For GSM900, given a BTS noise floor -112 dBm, with downlink power control enabled the closest approach mobile will induce.</w:t>
      </w:r>
    </w:p>
    <w:p>
      <w:pPr>
        <w:pStyle w:val="TH"/>
        <w:rPr/>
      </w:pPr>
      <w:r>
        <w:rPr/>
        <w:t>Table X.6: Desensitization of BTS due to the presence of close in coordinated GSM900 MS.</w:t>
      </w:r>
    </w:p>
    <w:tbl>
      <w:tblPr>
        <w:tblW w:w="7011" w:type="dxa"/>
        <w:jc w:val="center"/>
        <w:tblInd w:w="0" w:type="dxa"/>
        <w:tblLayout w:type="fixed"/>
        <w:tblCellMar>
          <w:top w:w="0" w:type="dxa"/>
          <w:left w:w="108" w:type="dxa"/>
          <w:bottom w:w="0" w:type="dxa"/>
          <w:right w:w="108" w:type="dxa"/>
        </w:tblCellMar>
      </w:tblPr>
      <w:tblGrid>
        <w:gridCol w:w="2691"/>
        <w:gridCol w:w="1440"/>
        <w:gridCol w:w="1440"/>
        <w:gridCol w:w="1440"/>
      </w:tblGrid>
      <w:tr>
        <w:trPr/>
        <w:tc>
          <w:tcPr>
            <w:tcW w:w="26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Offset</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1 800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3 000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6 000 kHz</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pPr>
            <w:r>
              <w:rPr>
                <w:lang w:val="en-GB"/>
              </w:rPr>
              <w:t>Mobile Power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nb-NO"/>
              </w:rPr>
            </w:pPr>
            <w:r>
              <w:rPr>
                <w:lang w:val="nb-NO"/>
              </w:rPr>
              <w:t>Mask at offset (200 kHz)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-76</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Coupling loss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-49</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-49</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-49</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(MS + BTS)</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nb-NO"/>
              </w:rPr>
            </w:pPr>
            <w:r>
              <w:rPr>
                <w:lang w:val="nb-NO"/>
              </w:rPr>
              <w:t>Mask Power at BTS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-102</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-104</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Desensitization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10.4</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8.6</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r>
    </w:tbl>
    <w:p>
      <w:pPr>
        <w:pStyle w:val="FP"/>
        <w:rPr/>
      </w:pPr>
      <w:r>
        <w:rPr/>
      </w:r>
    </w:p>
    <w:p>
      <w:pPr>
        <w:pStyle w:val="Normal"/>
        <w:rPr/>
      </w:pPr>
      <w:r>
        <w:rPr/>
        <w:t>For DCS1800, given a BTS noise floor -112 dBm, with downlink power control enabled the closest approach mobile will induce.</w:t>
      </w:r>
    </w:p>
    <w:p>
      <w:pPr>
        <w:pStyle w:val="TH"/>
        <w:rPr/>
      </w:pPr>
      <w:r>
        <w:rPr/>
        <w:t>Table X.7: Desensitization of BTS due to the presence of close in coordinated DCS1800 MS</w:t>
      </w:r>
    </w:p>
    <w:tbl>
      <w:tblPr>
        <w:tblW w:w="5571" w:type="dxa"/>
        <w:jc w:val="center"/>
        <w:tblInd w:w="0" w:type="dxa"/>
        <w:tblLayout w:type="fixed"/>
        <w:tblCellMar>
          <w:top w:w="0" w:type="dxa"/>
          <w:left w:w="108" w:type="dxa"/>
          <w:bottom w:w="0" w:type="dxa"/>
          <w:right w:w="108" w:type="dxa"/>
        </w:tblCellMar>
      </w:tblPr>
      <w:tblGrid>
        <w:gridCol w:w="2691"/>
        <w:gridCol w:w="1440"/>
        <w:gridCol w:w="1440"/>
      </w:tblGrid>
      <w:tr>
        <w:trPr/>
        <w:tc>
          <w:tcPr>
            <w:tcW w:w="26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Offset</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1 800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6 000 kHz</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Mobile Power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nb-NO"/>
              </w:rPr>
            </w:pPr>
            <w:r>
              <w:rPr>
                <w:lang w:val="nb-NO"/>
              </w:rPr>
              <w:t>Mask at offset (200 kHz)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-64</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-72</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pPr>
            <w:r>
              <w:rPr>
                <w:lang w:val="en-GB"/>
              </w:rPr>
              <w:t>Antenna Gain (MS + BTS)</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Coupling loss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-49</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-49</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nb-NO"/>
              </w:rPr>
            </w:pPr>
            <w:r>
              <w:rPr>
                <w:lang w:val="nb-NO"/>
              </w:rPr>
              <w:t>Mask Power at BTS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-111</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Desensitization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r>
    </w:tbl>
    <w:p>
      <w:pPr>
        <w:pStyle w:val="Normal"/>
        <w:rPr/>
      </w:pPr>
      <w:r>
        <w:rPr/>
      </w:r>
    </w:p>
    <w:p>
      <w:pPr>
        <w:pStyle w:val="Heading3"/>
        <w:rPr/>
      </w:pPr>
      <w:bookmarkStart w:id="737" w:name="__RefHeading___Toc518036105"/>
      <w:bookmarkEnd w:id="737"/>
      <w:r>
        <w:rPr/>
        <w:t>X.3.2.4</w:t>
        <w:tab/>
        <w:t>Inter/Intra Modulation Attenuation, BTS (GSM 05.05, subclauses 4.7.1 and 4.7.2)</w:t>
      </w:r>
    </w:p>
    <w:p>
      <w:pPr>
        <w:pStyle w:val="Normal"/>
        <w:rPr/>
      </w:pPr>
      <w:r>
        <w:rPr/>
        <w:t>With 30 dB of coupling assumed between the antenna faces of a sectorized cellsite the intermodulation distortions should be same or less than the allowable intra BTS intermodulation levels.</w:t>
      </w:r>
    </w:p>
    <w:p>
      <w:pPr>
        <w:pStyle w:val="Normal"/>
        <w:rPr/>
      </w:pPr>
      <w:r>
        <w:rPr/>
        <w:t>For coordinated system with even channel spacing inter/intra modulation products can land on channel as in band interference.</w:t>
      </w:r>
    </w:p>
    <w:p>
      <w:pPr>
        <w:pStyle w:val="Normal"/>
        <w:rPr/>
      </w:pPr>
      <w:r>
        <w:rPr/>
        <w:t>Given an MCS 9 channel that requires, for example, 25 dB of C/I, and the BTS supports 30 dB of dynamic power control then the system would have to provide at least 55 dB of suppression to mitigate the impact of Inter/Intra Modulation products.</w:t>
      </w:r>
    </w:p>
    <w:p>
      <w:pPr>
        <w:pStyle w:val="Normal"/>
        <w:rPr/>
      </w:pPr>
      <w:r>
        <w:rPr/>
        <w:t>The uncoordinated problem is examined in more detail in clause X.5.</w:t>
      </w:r>
    </w:p>
    <w:p>
      <w:pPr>
        <w:pStyle w:val="Normal"/>
        <w:rPr/>
      </w:pPr>
      <w:r>
        <w:rPr/>
        <w:t>The impacts of transmit and receive intermodulations are also examined in subclauses X.2.1.1.2, X.2.2.1.2, X.2.2.1.3, and clause X.5.</w:t>
      </w:r>
    </w:p>
    <w:p>
      <w:pPr>
        <w:pStyle w:val="Heading3"/>
        <w:rPr/>
      </w:pPr>
      <w:bookmarkStart w:id="738" w:name="__RefHeading___Toc518036106"/>
      <w:bookmarkEnd w:id="738"/>
      <w:r>
        <w:rPr/>
        <w:t>X.3.2.5</w:t>
        <w:tab/>
        <w:t>Blocking (GSM 05.05, subclause 5.1)</w:t>
      </w:r>
    </w:p>
    <w:p>
      <w:pPr>
        <w:pStyle w:val="Normal"/>
        <w:rPr/>
      </w:pPr>
      <w:r>
        <w:rPr/>
        <w:t>Blocking occurs when a receiver is unable to distinguish between a low power desired signal in the presence of a high powered interferer which is not on channel (distinct from C/I).</w:t>
      </w:r>
    </w:p>
    <w:p>
      <w:pPr>
        <w:pStyle w:val="Normal"/>
        <w:rPr/>
      </w:pPr>
      <w:r>
        <w:rPr/>
        <w:t>In a coordinated scenario these conditions are manifest where a desired MS is operating far from the serving BTS and there are other coordinated mobile in close proximity to the BTS. This case was analyzed for the uplink in subclause X.3.2.3 and from those results it can be seen that the desensitization associated with the MS wide band noise is in fact a dominant mechanism for operational blocking.</w:t>
      </w:r>
    </w:p>
    <w:p>
      <w:pPr>
        <w:pStyle w:val="Normal"/>
        <w:rPr/>
      </w:pPr>
      <w:r>
        <w:rPr/>
        <w:t>For the downlink the coordinated case is not applicable since a single BTS has all of its transceivers in one place.</w:t>
      </w:r>
    </w:p>
    <w:p>
      <w:pPr>
        <w:pStyle w:val="Normal"/>
        <w:rPr/>
      </w:pPr>
      <w:r>
        <w:rPr/>
        <w:t>In the case of multiple BTSs this is an issue of network C/I performance and is a function of the deployed channel reuse rate. This is covered more extensively in clause X.4.</w:t>
      </w:r>
    </w:p>
    <w:p>
      <w:pPr>
        <w:pStyle w:val="Heading3"/>
        <w:rPr/>
      </w:pPr>
      <w:bookmarkStart w:id="739" w:name="__RefHeading___Toc518036107"/>
      <w:bookmarkEnd w:id="739"/>
      <w:r>
        <w:rPr/>
        <w:t>X.3.2.6</w:t>
        <w:tab/>
        <w:t>Reference Interference Level</w:t>
      </w:r>
    </w:p>
    <w:p>
      <w:pPr>
        <w:pStyle w:val="Normal"/>
        <w:rPr/>
      </w:pPr>
      <w:r>
        <w:rPr/>
        <w:t>[TBD]</w:t>
      </w:r>
    </w:p>
    <w:p>
      <w:pPr>
        <w:pStyle w:val="Heading2"/>
        <w:rPr/>
      </w:pPr>
      <w:bookmarkStart w:id="740" w:name="__RefHeading___Toc518036108"/>
      <w:bookmarkEnd w:id="740"/>
      <w:r>
        <w:rPr/>
        <w:t>X.3.3</w:t>
        <w:tab/>
        <w:t>Scenario 3: Multiple MS and BTS, Uncoordinated</w:t>
      </w:r>
    </w:p>
    <w:p>
      <w:pPr>
        <w:pStyle w:val="TH"/>
        <w:rPr/>
      </w:pPr>
      <w:r>
        <w:rPr/>
        <w:drawing>
          <wp:inline distT="0" distB="0" distL="0" distR="0">
            <wp:extent cx="5864860" cy="1533525"/>
            <wp:effectExtent l="0" t="0" r="0" b="0"/>
            <wp:docPr id="212" name="Image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36" descr=""/>
                    <pic:cNvPicPr>
                      <a:picLocks noChangeAspect="1" noChangeArrowheads="1"/>
                    </pic:cNvPicPr>
                  </pic:nvPicPr>
                  <pic:blipFill>
                    <a:blip r:embed="rId210"/>
                    <a:srcRect l="-8" t="-30" r="-8" b="-30"/>
                    <a:stretch>
                      <a:fillRect/>
                    </a:stretch>
                  </pic:blipFill>
                  <pic:spPr bwMode="auto">
                    <a:xfrm>
                      <a:off x="0" y="0"/>
                      <a:ext cx="5864860" cy="1533525"/>
                    </a:xfrm>
                    <a:prstGeom prst="rect">
                      <a:avLst/>
                    </a:prstGeom>
                  </pic:spPr>
                </pic:pic>
              </a:graphicData>
            </a:graphic>
          </wp:inline>
        </w:drawing>
      </w:r>
    </w:p>
    <w:p>
      <w:pPr>
        <w:pStyle w:val="TF"/>
        <w:rPr/>
      </w:pPr>
      <w:r>
        <w:rPr/>
        <w:t>Figure X.4: Blocking scenario</w:t>
      </w:r>
    </w:p>
    <w:p>
      <w:pPr>
        <w:pStyle w:val="TH"/>
        <w:rPr/>
      </w:pPr>
      <w:r>
        <w:rPr/>
        <w:drawing>
          <wp:inline distT="0" distB="0" distL="0" distR="0">
            <wp:extent cx="4889500" cy="1155700"/>
            <wp:effectExtent l="0" t="0" r="0" b="0"/>
            <wp:docPr id="213" name="Image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37" descr=""/>
                    <pic:cNvPicPr>
                      <a:picLocks noChangeAspect="1" noChangeArrowheads="1"/>
                    </pic:cNvPicPr>
                  </pic:nvPicPr>
                  <pic:blipFill>
                    <a:blip r:embed="rId211"/>
                    <a:srcRect l="-10" t="-40" r="-10" b="-40"/>
                    <a:stretch>
                      <a:fillRect/>
                    </a:stretch>
                  </pic:blipFill>
                  <pic:spPr bwMode="auto">
                    <a:xfrm>
                      <a:off x="0" y="0"/>
                      <a:ext cx="4889500" cy="1155700"/>
                    </a:xfrm>
                    <a:prstGeom prst="rect">
                      <a:avLst/>
                    </a:prstGeom>
                  </pic:spPr>
                </pic:pic>
              </a:graphicData>
            </a:graphic>
          </wp:inline>
        </w:drawing>
      </w:r>
    </w:p>
    <w:p>
      <w:pPr>
        <w:pStyle w:val="TF"/>
        <w:rPr/>
      </w:pPr>
      <w:r>
        <w:rPr/>
        <w:t>Figure X.5: BTS transmit intermodulation masking and MS transmit mask</w:t>
      </w:r>
    </w:p>
    <w:p>
      <w:pPr>
        <w:pStyle w:val="TH"/>
        <w:rPr/>
      </w:pPr>
      <w:r>
        <w:rPr/>
        <w:drawing>
          <wp:inline distT="0" distB="0" distL="0" distR="0">
            <wp:extent cx="5793105" cy="1850390"/>
            <wp:effectExtent l="0" t="0" r="0" b="0"/>
            <wp:docPr id="214" name="Image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38" descr=""/>
                    <pic:cNvPicPr>
                      <a:picLocks noChangeAspect="1" noChangeArrowheads="1"/>
                    </pic:cNvPicPr>
                  </pic:nvPicPr>
                  <pic:blipFill>
                    <a:blip r:embed="rId212"/>
                    <a:srcRect l="-8" t="-25" r="-8" b="-25"/>
                    <a:stretch>
                      <a:fillRect/>
                    </a:stretch>
                  </pic:blipFill>
                  <pic:spPr bwMode="auto">
                    <a:xfrm>
                      <a:off x="0" y="0"/>
                      <a:ext cx="5793105" cy="1850390"/>
                    </a:xfrm>
                    <a:prstGeom prst="rect">
                      <a:avLst/>
                    </a:prstGeom>
                  </pic:spPr>
                </pic:pic>
              </a:graphicData>
            </a:graphic>
          </wp:inline>
        </w:drawing>
      </w:r>
    </w:p>
    <w:p>
      <w:pPr>
        <w:pStyle w:val="TF"/>
        <w:rPr/>
      </w:pPr>
      <w:r>
        <w:rPr/>
        <w:t>Figure X.6: BTS receiver intermodulation masking</w:t>
      </w:r>
    </w:p>
    <w:p>
      <w:pPr>
        <w:pStyle w:val="Heading3"/>
        <w:rPr/>
      </w:pPr>
      <w:bookmarkStart w:id="741" w:name="__RefHeading___Toc518036109"/>
      <w:bookmarkEnd w:id="741"/>
      <w:r>
        <w:rPr/>
        <w:t>X.3.3.1</w:t>
        <w:tab/>
        <w:t>Specifications Affected (GSM 05.05)</w:t>
      </w:r>
    </w:p>
    <w:p>
      <w:pPr>
        <w:pStyle w:val="B1"/>
        <w:tabs>
          <w:tab w:val="clear" w:pos="284"/>
          <w:tab w:val="left" w:pos="1701" w:leader="none"/>
        </w:tabs>
        <w:rPr/>
      </w:pPr>
      <w:r>
        <w:rPr/>
        <w:t>Subclause 4.2</w:t>
        <w:tab/>
        <w:t>Output RF spectrum.</w:t>
      </w:r>
    </w:p>
    <w:p>
      <w:pPr>
        <w:pStyle w:val="B1"/>
        <w:tabs>
          <w:tab w:val="clear" w:pos="284"/>
          <w:tab w:val="left" w:pos="1701" w:leader="none"/>
        </w:tabs>
        <w:rPr/>
      </w:pPr>
      <w:r>
        <w:rPr/>
        <w:t>Subclause 4.7</w:t>
        <w:tab/>
        <w:t>Intermodulation (see figure X.5).</w:t>
      </w:r>
    </w:p>
    <w:p>
      <w:pPr>
        <w:pStyle w:val="B1"/>
        <w:tabs>
          <w:tab w:val="clear" w:pos="284"/>
          <w:tab w:val="left" w:pos="1701" w:leader="none"/>
        </w:tabs>
        <w:rPr/>
      </w:pPr>
      <w:r>
        <w:rPr/>
        <w:t>Subclause 5.1</w:t>
        <w:tab/>
        <w:t>Blocking, in-band, up and down links (see figure X.4).</w:t>
      </w:r>
    </w:p>
    <w:p>
      <w:pPr>
        <w:pStyle w:val="B1"/>
        <w:tabs>
          <w:tab w:val="clear" w:pos="284"/>
          <w:tab w:val="left" w:pos="1701" w:leader="none"/>
        </w:tabs>
        <w:rPr/>
      </w:pPr>
      <w:r>
        <w:rPr/>
        <w:t>Subclause 5.3</w:t>
        <w:tab/>
        <w:t>Intermodulation, in-band (see figure X.6).</w:t>
      </w:r>
    </w:p>
    <w:p>
      <w:pPr>
        <w:pStyle w:val="Heading3"/>
        <w:rPr/>
      </w:pPr>
      <w:bookmarkStart w:id="742" w:name="__RefHeading___Toc518036110"/>
      <w:bookmarkEnd w:id="742"/>
      <w:r>
        <w:rPr/>
        <w:t>X.3.3.2</w:t>
        <w:tab/>
        <w:t>Output RF Spectrum (GSM 05.05, subclause 4.2)</w:t>
      </w:r>
    </w:p>
    <w:p>
      <w:pPr>
        <w:pStyle w:val="Normal"/>
        <w:rPr/>
      </w:pPr>
      <w:r>
        <w:rPr/>
        <w:t>This case was examined in X.2.2.1.1 for the downlink.</w:t>
      </w:r>
    </w:p>
    <w:p>
      <w:pPr>
        <w:pStyle w:val="Normal"/>
        <w:rPr>
          <w:i/>
          <w:i/>
        </w:rPr>
      </w:pPr>
      <w:r>
        <w:rPr>
          <w:i/>
        </w:rPr>
        <w:t>Uplink:</w:t>
      </w:r>
    </w:p>
    <w:p>
      <w:pPr>
        <w:pStyle w:val="Normal"/>
        <w:rPr/>
      </w:pPr>
      <w:r>
        <w:rPr/>
        <w:t>In closest approach to a BTS, a single MS will transmit energy into adjacent channels and beyond. For larger offsets, which is the case that applies to uncoordinated scenarios, the amount of desensitization of the BTS can be calculated.</w:t>
      </w:r>
    </w:p>
    <w:p>
      <w:pPr>
        <w:pStyle w:val="Normal"/>
        <w:rPr/>
      </w:pPr>
      <w:r>
        <w:rPr/>
        <w:t>For GSM900, given a BTS noise floor -112 dBm, noise masking only, a closest approach uncoordinated mobile will induce.</w:t>
      </w:r>
    </w:p>
    <w:p>
      <w:pPr>
        <w:pStyle w:val="TH"/>
        <w:rPr/>
      </w:pPr>
      <w:r>
        <w:rPr/>
        <w:t>Table X.8: Desensitization of BTS due to the presence of close in uncoordinated GSM900 MS</w:t>
      </w:r>
    </w:p>
    <w:tbl>
      <w:tblPr>
        <w:tblW w:w="7011" w:type="dxa"/>
        <w:jc w:val="center"/>
        <w:tblInd w:w="0" w:type="dxa"/>
        <w:tblLayout w:type="fixed"/>
        <w:tblCellMar>
          <w:top w:w="0" w:type="dxa"/>
          <w:left w:w="108" w:type="dxa"/>
          <w:bottom w:w="0" w:type="dxa"/>
          <w:right w:w="108" w:type="dxa"/>
        </w:tblCellMar>
      </w:tblPr>
      <w:tblGrid>
        <w:gridCol w:w="2691"/>
        <w:gridCol w:w="1440"/>
        <w:gridCol w:w="1440"/>
        <w:gridCol w:w="1440"/>
      </w:tblGrid>
      <w:tr>
        <w:trPr/>
        <w:tc>
          <w:tcPr>
            <w:tcW w:w="26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Offset</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1 800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3 000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6 000 kHz</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Mobile Power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33</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nb-NO"/>
              </w:rPr>
            </w:pPr>
            <w:r>
              <w:rPr>
                <w:lang w:val="nb-NO"/>
              </w:rPr>
              <w:t>Mask at offset (200 kHz)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-76</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pPr>
            <w:r>
              <w:rPr>
                <w:lang w:val="en-GB"/>
              </w:rPr>
              <w:t>Antenna Gain (BTS + MS)</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Coupling loss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-78</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nb-NO"/>
              </w:rPr>
            </w:pPr>
            <w:r>
              <w:rPr>
                <w:lang w:val="nb-NO"/>
              </w:rPr>
              <w:t>Mask Power at BTS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-108</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-111</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Desensitization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5.4</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Power at BTS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r>
    </w:tbl>
    <w:p>
      <w:pPr>
        <w:pStyle w:val="FP"/>
        <w:rPr/>
      </w:pPr>
      <w:r>
        <w:rPr/>
      </w:r>
    </w:p>
    <w:p>
      <w:pPr>
        <w:pStyle w:val="Normal"/>
        <w:rPr/>
      </w:pPr>
      <w:r>
        <w:rPr/>
        <w:t>For DCS1800, given a BTS noise floor -112 dBm, noise masking only, a closest approach uncoordinated mobile will induce.</w:t>
      </w:r>
    </w:p>
    <w:p>
      <w:pPr>
        <w:pStyle w:val="TH"/>
        <w:rPr/>
      </w:pPr>
      <w:r>
        <w:rPr/>
        <w:t>Table X.9: Desensitization of BTS due to the presence of close in uncoordinated DCS1800 MS.</w:t>
      </w:r>
    </w:p>
    <w:tbl>
      <w:tblPr>
        <w:tblW w:w="5571" w:type="dxa"/>
        <w:jc w:val="center"/>
        <w:tblInd w:w="0" w:type="dxa"/>
        <w:tblLayout w:type="fixed"/>
        <w:tblCellMar>
          <w:top w:w="0" w:type="dxa"/>
          <w:left w:w="108" w:type="dxa"/>
          <w:bottom w:w="0" w:type="dxa"/>
          <w:right w:w="108" w:type="dxa"/>
        </w:tblCellMar>
      </w:tblPr>
      <w:tblGrid>
        <w:gridCol w:w="2691"/>
        <w:gridCol w:w="1440"/>
        <w:gridCol w:w="1440"/>
      </w:tblGrid>
      <w:tr>
        <w:trPr/>
        <w:tc>
          <w:tcPr>
            <w:tcW w:w="26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Offset</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1 800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6 000 kHz</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Mobile Power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nb-NO"/>
              </w:rPr>
            </w:pPr>
            <w:r>
              <w:rPr>
                <w:lang w:val="nb-NO"/>
              </w:rPr>
              <w:t>Mask at offset (200 kHz)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-78</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(MS + BTS)</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pPr>
            <w:r>
              <w:rPr>
                <w:lang w:val="en-GB"/>
              </w:rPr>
              <w:t>Coupling loss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-78</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nb-NO"/>
              </w:rPr>
            </w:pPr>
            <w:r>
              <w:rPr>
                <w:lang w:val="nb-NO"/>
              </w:rPr>
              <w:t>Mask Power at BTS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-116</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Desensitization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w:t>
            </w:r>
          </w:p>
        </w:tc>
      </w:tr>
      <w:tr>
        <w:trPr/>
        <w:tc>
          <w:tcPr>
            <w:tcW w:w="269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Power at BTS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-38</w:t>
            </w:r>
          </w:p>
        </w:tc>
      </w:tr>
    </w:tbl>
    <w:p>
      <w:pPr>
        <w:pStyle w:val="FP"/>
        <w:rPr/>
      </w:pPr>
      <w:r>
        <w:rPr/>
      </w:r>
    </w:p>
    <w:p>
      <w:pPr>
        <w:pStyle w:val="Normal"/>
        <w:rPr/>
      </w:pPr>
      <w:r>
        <w:rPr/>
        <w:t>From the above, it can be seen, that even with relatively large coupling losses the wideband noise of the mobile is a dominant desensitization mechanism.</w:t>
      </w:r>
    </w:p>
    <w:p>
      <w:pPr>
        <w:pStyle w:val="Normal"/>
        <w:rPr/>
      </w:pPr>
      <w:r>
        <w:rPr/>
        <w:t>In situations where an uncoordinated mobile is experiencing receive intermodulation events the coupling loss required for it to work are much larger and would not be able to get close enough to the BTS to measurably desensitize it.</w:t>
      </w:r>
    </w:p>
    <w:p>
      <w:pPr>
        <w:pStyle w:val="Heading3"/>
        <w:rPr/>
      </w:pPr>
      <w:bookmarkStart w:id="743" w:name="__RefHeading___Toc518036111"/>
      <w:bookmarkEnd w:id="743"/>
      <w:r>
        <w:rPr/>
        <w:t>X.3.3.3</w:t>
        <w:tab/>
        <w:t>Transmit Intermodulation (GSM 05.05, subclause 4.7)</w:t>
      </w:r>
    </w:p>
    <w:p>
      <w:pPr>
        <w:pStyle w:val="Normal"/>
        <w:rPr/>
      </w:pPr>
      <w:r>
        <w:rPr/>
        <w:t>This case was examined in subclause X.2.2.1.3.</w:t>
      </w:r>
    </w:p>
    <w:p>
      <w:pPr>
        <w:pStyle w:val="Heading3"/>
        <w:rPr/>
      </w:pPr>
      <w:bookmarkStart w:id="744" w:name="__RefHeading___Toc518036112"/>
      <w:bookmarkEnd w:id="744"/>
      <w:r>
        <w:rPr/>
        <w:t>X.3.3.4</w:t>
        <w:tab/>
        <w:t>Blocking, In-Band Up and Down Links (GSM 05.05, subclause 5.1)</w:t>
      </w:r>
    </w:p>
    <w:p>
      <w:pPr>
        <w:pStyle w:val="Normal"/>
        <w:rPr/>
      </w:pPr>
      <w:r>
        <w:rPr/>
        <w:t>The downlink scenario is examined in subclause X.2.2.1.1.</w:t>
      </w:r>
    </w:p>
    <w:p>
      <w:pPr>
        <w:pStyle w:val="Normal"/>
        <w:rPr>
          <w:i/>
          <w:i/>
        </w:rPr>
      </w:pPr>
      <w:r>
        <w:rPr>
          <w:i/>
        </w:rPr>
        <w:t>Uplink:</w:t>
      </w:r>
    </w:p>
    <w:p>
      <w:pPr>
        <w:pStyle w:val="Normal"/>
        <w:rPr/>
      </w:pPr>
      <w:r>
        <w:rPr/>
        <w:t>From subclause X.2.2.2, the minimum coupling losses when intermodulation products are not involved are 83 dB for MS operating 1 800 kHz to 6 000 kHz away from the desired channel, and 78 dB for MS &gt; 6 000 kHz offset in frequency. From the BTS these coupling losses set the noise at the MS antenna equal to the noise in the MS which yields a 3 dB desensitization in the MS. In the reverse direction these coupling losses yield:</w:t>
      </w:r>
    </w:p>
    <w:p>
      <w:pPr>
        <w:pStyle w:val="B1"/>
        <w:rPr/>
      </w:pPr>
      <w:r>
        <w:rPr/>
        <w:t>MS Power + Antenna (BTS + MS) - Coupling loss</w:t>
      </w:r>
    </w:p>
    <w:p>
      <w:pPr>
        <w:pStyle w:val="B2"/>
        <w:rPr/>
      </w:pPr>
      <w:r>
        <w:rPr/>
        <w:t>33 dBm + 10 dB - 83 dB = -40 dBm at the BTS (GSM900, 1 800 kHz to 6 000 kHz offset)</w:t>
      </w:r>
    </w:p>
    <w:p>
      <w:pPr>
        <w:pStyle w:val="B2"/>
        <w:rPr/>
      </w:pPr>
      <w:r>
        <w:rPr/>
        <w:t>30 dBm + 10 dB - 83 dB = -43 dBm at the BTS (DCS1800, 1 800 kHz to 6 000 kHz offset)</w:t>
      </w:r>
    </w:p>
    <w:p>
      <w:pPr>
        <w:pStyle w:val="B2"/>
        <w:rPr/>
      </w:pPr>
      <w:r>
        <w:rPr/>
        <w:t>33 dBm + 10 dB - 78 dB = -35 dBm at the BTS (GSM900, &gt; 6 000 kHz offset)</w:t>
      </w:r>
    </w:p>
    <w:p>
      <w:pPr>
        <w:pStyle w:val="B2"/>
        <w:rPr/>
      </w:pPr>
      <w:r>
        <w:rPr/>
        <w:t>30 dBm + 10 dB - 78 dB = -38 dBm at the BTS (DCS1800, &gt; 6 000 kHz offset)</w:t>
      </w:r>
    </w:p>
    <w:p>
      <w:pPr>
        <w:pStyle w:val="Normal"/>
        <w:rPr/>
      </w:pPr>
      <w:r>
        <w:rPr/>
        <w:t>For these values the associated amount of BTS desensitization is.</w:t>
      </w:r>
    </w:p>
    <w:p>
      <w:pPr>
        <w:pStyle w:val="TH"/>
        <w:rPr/>
      </w:pPr>
      <w:r>
        <w:rPr/>
        <w:t>Table X.10: Achievable Operational Blocking Levels</w:t>
      </w:r>
    </w:p>
    <w:tbl>
      <w:tblPr>
        <w:tblW w:w="8208" w:type="dxa"/>
        <w:jc w:val="center"/>
        <w:tblInd w:w="0" w:type="dxa"/>
        <w:tblLayout w:type="fixed"/>
        <w:tblCellMar>
          <w:top w:w="0" w:type="dxa"/>
          <w:left w:w="108" w:type="dxa"/>
          <w:bottom w:w="0" w:type="dxa"/>
          <w:right w:w="108" w:type="dxa"/>
        </w:tblCellMar>
      </w:tblPr>
      <w:tblGrid>
        <w:gridCol w:w="2448"/>
        <w:gridCol w:w="1440"/>
        <w:gridCol w:w="1440"/>
        <w:gridCol w:w="1440"/>
        <w:gridCol w:w="1440"/>
      </w:tblGrid>
      <w:tr>
        <w:trPr/>
        <w:tc>
          <w:tcPr>
            <w:tcW w:w="2448"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GSM900</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DCS1800</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Offset</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3 000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6 000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1 800 kHz</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6 000 kHz</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Mask (200 kHz)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-76</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-78</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Signal Level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lang w:val="en-GB"/>
              </w:rPr>
              <w:t>-38</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Noise Power at BTS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-111</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-113</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-116</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Noise Floor of BTS (dBm)</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-112</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-112</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-112</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-112</w:t>
            </w:r>
          </w:p>
        </w:tc>
      </w:tr>
      <w:tr>
        <w:trPr/>
        <w:tc>
          <w:tcPr>
            <w:tcW w:w="24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Desensitization (dB)</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2.5</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w:t>
            </w:r>
          </w:p>
        </w:tc>
      </w:tr>
    </w:tbl>
    <w:p>
      <w:pPr>
        <w:pStyle w:val="FP"/>
        <w:rPr/>
      </w:pPr>
      <w:r>
        <w:rPr/>
      </w:r>
    </w:p>
    <w:p>
      <w:pPr>
        <w:pStyle w:val="Normal"/>
        <w:rPr/>
      </w:pPr>
      <w:r>
        <w:rPr/>
        <w:t>These values represent the signals that would be observed in practice at a BTS that is operating in a near far relationship with different PLMN. Since the exiting test levels in GSM 05.05 subclause 5.1 are significantly higher than the above the BTS response to the MS tone levels received operationally there is significant margin in that specification.</w:t>
      </w:r>
    </w:p>
    <w:p>
      <w:pPr>
        <w:pStyle w:val="Normal"/>
        <w:rPr/>
      </w:pPr>
      <w:r>
        <w:rPr/>
        <w:t>When the frequency planning of the serving network is such that the MS generates intermodulation products which land on its operating channel the MS will need significantly more coupling loss in order to operate.</w:t>
      </w:r>
    </w:p>
    <w:p>
      <w:pPr>
        <w:pStyle w:val="Heading3"/>
        <w:rPr/>
      </w:pPr>
      <w:bookmarkStart w:id="745" w:name="__RefHeading___Toc518036113"/>
      <w:bookmarkEnd w:id="745"/>
      <w:r>
        <w:rPr/>
        <w:t>X.3.3.5</w:t>
        <w:tab/>
        <w:t>BTS Receiver Intermodulation (GSM 05.05, subclause 5.3)</w:t>
      </w:r>
    </w:p>
    <w:p>
      <w:pPr>
        <w:pStyle w:val="Normal"/>
        <w:rPr/>
      </w:pPr>
      <w:r>
        <w:rPr/>
        <w:t>From GSM 05.50, the input levels, which will generate intermodulation products at the same level as the BTS noise floor are:</w:t>
      </w:r>
    </w:p>
    <w:p>
      <w:pPr>
        <w:pStyle w:val="B1"/>
        <w:rPr/>
      </w:pPr>
      <w:r>
        <w:rPr/>
        <w:t>-</w:t>
        <w:tab/>
        <w:t>-43 dBm for GSM900.</w:t>
      </w:r>
    </w:p>
    <w:p>
      <w:pPr>
        <w:pStyle w:val="B1"/>
        <w:rPr/>
      </w:pPr>
      <w:r>
        <w:rPr/>
        <w:t>-</w:t>
        <w:tab/>
        <w:t>-49 dBm for DCS1800.</w:t>
      </w:r>
    </w:p>
    <w:p>
      <w:pPr>
        <w:pStyle w:val="TH"/>
        <w:rPr/>
      </w:pPr>
      <w:r>
        <w:rPr/>
        <w:t>Table X.11: Minimum Coupling Losses Based on MS receiver Intermodulation Requirements</w:t>
      </w:r>
    </w:p>
    <w:tbl>
      <w:tblPr>
        <w:tblW w:w="5058" w:type="dxa"/>
        <w:jc w:val="center"/>
        <w:tblInd w:w="0" w:type="dxa"/>
        <w:tblLayout w:type="fixed"/>
        <w:tblCellMar>
          <w:top w:w="0" w:type="dxa"/>
          <w:left w:w="108" w:type="dxa"/>
          <w:bottom w:w="0" w:type="dxa"/>
          <w:right w:w="108" w:type="dxa"/>
        </w:tblCellMar>
      </w:tblPr>
      <w:tblGrid>
        <w:gridCol w:w="2358"/>
        <w:gridCol w:w="1260"/>
        <w:gridCol w:w="1440"/>
      </w:tblGrid>
      <w:tr>
        <w:trPr/>
        <w:tc>
          <w:tcPr>
            <w:tcW w:w="2358" w:type="dxa"/>
            <w:tcBorders>
              <w:top w:val="single" w:sz="4" w:space="0" w:color="000000"/>
              <w:left w:val="single" w:sz="4" w:space="0" w:color="000000"/>
              <w:bottom w:val="single" w:sz="4" w:space="0" w:color="000000"/>
              <w:right w:val="single" w:sz="4" w:space="0" w:color="000000"/>
            </w:tcBorders>
          </w:tcPr>
          <w:p>
            <w:pPr>
              <w:pStyle w:val="TAH"/>
              <w:snapToGrid w:val="false"/>
              <w:rPr>
                <w:lang w:eastAsia="en-US"/>
              </w:rPr>
            </w:pPr>
            <w:r>
              <w:rPr>
                <w:lang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GSM900</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DCS1800</w:t>
            </w:r>
          </w:p>
        </w:tc>
      </w:tr>
      <w:tr>
        <w:trPr>
          <w:trHeight w:val="23" w:hRule="atLeast"/>
        </w:trPr>
        <w:tc>
          <w:tcPr>
            <w:tcW w:w="235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MS Transmit (dBm)</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 xml:space="preserve">33.0 </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30.0</w:t>
            </w:r>
          </w:p>
        </w:tc>
      </w:tr>
      <w:tr>
        <w:trPr>
          <w:trHeight w:val="23" w:hRule="atLeast"/>
        </w:trPr>
        <w:tc>
          <w:tcPr>
            <w:tcW w:w="235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Antenna Gain (dBi)</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r>
      <w:tr>
        <w:trPr>
          <w:trHeight w:val="23" w:hRule="atLeast"/>
        </w:trPr>
        <w:tc>
          <w:tcPr>
            <w:tcW w:w="235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Tolerable Signal (dBm)</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-43.0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-49.0</w:t>
            </w:r>
          </w:p>
        </w:tc>
      </w:tr>
      <w:tr>
        <w:trPr>
          <w:trHeight w:val="23" w:hRule="atLeast"/>
        </w:trPr>
        <w:tc>
          <w:tcPr>
            <w:tcW w:w="235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Coupling loss Req'd (dB)</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86.0</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89.0</w:t>
            </w:r>
          </w:p>
        </w:tc>
      </w:tr>
    </w:tbl>
    <w:p>
      <w:pPr>
        <w:pStyle w:val="FP"/>
        <w:rPr/>
      </w:pPr>
      <w:r>
        <w:rPr/>
      </w:r>
    </w:p>
    <w:p>
      <w:pPr>
        <w:pStyle w:val="Normal"/>
        <w:rPr/>
      </w:pPr>
      <w:r>
        <w:rPr/>
        <w:t>If the coupling loss exceeds this the intermodulation products will not be high enough to cause a problem. As noted in subclause X.2.2.2 in situations where intermodulation generation is possible on the up and down links the coupling losses required to allow a mobile to operate are much larger than and as such this should not be a normal operational impairment.</w:t>
      </w:r>
    </w:p>
    <w:p>
      <w:pPr>
        <w:pStyle w:val="Heading1"/>
        <w:ind w:left="1134" w:hanging="1134"/>
        <w:rPr/>
      </w:pPr>
      <w:bookmarkStart w:id="746" w:name="__RefHeading___Toc518036114"/>
      <w:bookmarkEnd w:id="746"/>
      <w:r>
        <w:rPr/>
        <w:t>X.4</w:t>
        <w:tab/>
        <w:t>C/I Limited Coordinated MS and BTS</w:t>
      </w:r>
    </w:p>
    <w:p>
      <w:pPr>
        <w:pStyle w:val="Normal"/>
        <w:rPr/>
      </w:pPr>
      <w:r>
        <w:rPr/>
        <w:t>This is the situation where a mobile is operating in a system with many BTSs arranged in regular reuse patterns. In this case it is necessary to understand the baseline C/I condition that will apply in the coverage area. The following assumes that the system would be otherwise functional from an absolute signal level standpoint.</w:t>
      </w:r>
    </w:p>
    <w:p>
      <w:pPr>
        <w:pStyle w:val="Heading2"/>
        <w:rPr>
          <w:lang w:val="it-IT"/>
        </w:rPr>
      </w:pPr>
      <w:bookmarkStart w:id="747" w:name="__RefHeading___Toc518036115"/>
      <w:bookmarkEnd w:id="747"/>
      <w:r>
        <w:rPr>
          <w:lang w:val="it-IT"/>
        </w:rPr>
        <w:t>X.4.1</w:t>
        <w:tab/>
        <w:t>N=4/12 Reuse Pattern, Geometric C/I</w:t>
      </w:r>
    </w:p>
    <w:p>
      <w:pPr>
        <w:pStyle w:val="Normal"/>
        <w:rPr/>
      </w:pPr>
      <w:r>
        <w:rPr/>
        <w:t>The following figure shows the mean C/I levels expected in a N=4/12 reuse pattern. This was generated assuming a propagation factor of 38 dB/decade.</w:t>
      </w:r>
    </w:p>
    <w:p>
      <w:pPr>
        <w:pStyle w:val="TH"/>
        <w:rPr/>
      </w:pPr>
      <w:r>
        <w:rPr/>
        <w:drawing>
          <wp:inline distT="0" distB="0" distL="0" distR="0">
            <wp:extent cx="3829685" cy="3923665"/>
            <wp:effectExtent l="0" t="0" r="0" b="0"/>
            <wp:docPr id="215" name="Image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39" descr=""/>
                    <pic:cNvPicPr>
                      <a:picLocks noChangeAspect="1" noChangeArrowheads="1"/>
                    </pic:cNvPicPr>
                  </pic:nvPicPr>
                  <pic:blipFill>
                    <a:blip r:embed="rId213"/>
                    <a:srcRect l="-9" t="7066" r="-9" b="-9"/>
                    <a:stretch>
                      <a:fillRect/>
                    </a:stretch>
                  </pic:blipFill>
                  <pic:spPr bwMode="auto">
                    <a:xfrm>
                      <a:off x="0" y="0"/>
                      <a:ext cx="3829685" cy="3923665"/>
                    </a:xfrm>
                    <a:prstGeom prst="rect">
                      <a:avLst/>
                    </a:prstGeom>
                  </pic:spPr>
                </pic:pic>
              </a:graphicData>
            </a:graphic>
          </wp:inline>
        </w:drawing>
      </w:r>
    </w:p>
    <w:p>
      <w:pPr>
        <w:pStyle w:val="TF"/>
        <w:rPr/>
      </w:pPr>
      <w:r>
        <w:rPr/>
        <w:t>Figure X.7: Geometric C/I contours for N=4/12 reuse pattern</w:t>
      </w:r>
    </w:p>
    <w:p>
      <w:pPr>
        <w:pStyle w:val="Heading2"/>
        <w:rPr>
          <w:lang w:val="en-US"/>
        </w:rPr>
      </w:pPr>
      <w:bookmarkStart w:id="748" w:name="__RefHeading___Toc518036116"/>
      <w:bookmarkEnd w:id="748"/>
      <w:r>
        <w:rPr>
          <w:lang w:val="en-US"/>
        </w:rPr>
        <w:t>X.4.2</w:t>
        <w:tab/>
        <w:t>N=4/12 Reuse Pattern, C/I CDF</w:t>
      </w:r>
    </w:p>
    <w:p>
      <w:pPr>
        <w:pStyle w:val="Normal"/>
        <w:rPr/>
      </w:pPr>
      <w:r>
        <w:rPr/>
        <w:t>The following figure shows the C/I CDF that corresponds to Figure X.7 with the assumption of a 6 dB standard deviation for the shadowing component.</w:t>
      </w:r>
    </w:p>
    <w:p>
      <w:pPr>
        <w:pStyle w:val="TH"/>
        <w:rPr/>
      </w:pPr>
      <w:r>
        <w:rPr/>
        <w:drawing>
          <wp:inline distT="0" distB="0" distL="0" distR="0">
            <wp:extent cx="5563870" cy="3895725"/>
            <wp:effectExtent l="0" t="0" r="0" b="0"/>
            <wp:docPr id="216" name="Image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40" descr=""/>
                    <pic:cNvPicPr>
                      <a:picLocks noChangeAspect="1" noChangeArrowheads="1"/>
                    </pic:cNvPicPr>
                  </pic:nvPicPr>
                  <pic:blipFill>
                    <a:blip r:embed="rId214"/>
                    <a:srcRect l="-6" t="-9" r="4680" b="-9"/>
                    <a:stretch>
                      <a:fillRect/>
                    </a:stretch>
                  </pic:blipFill>
                  <pic:spPr bwMode="auto">
                    <a:xfrm>
                      <a:off x="0" y="0"/>
                      <a:ext cx="5563870" cy="3895725"/>
                    </a:xfrm>
                    <a:prstGeom prst="rect">
                      <a:avLst/>
                    </a:prstGeom>
                  </pic:spPr>
                </pic:pic>
              </a:graphicData>
            </a:graphic>
          </wp:inline>
        </w:drawing>
      </w:r>
    </w:p>
    <w:p>
      <w:pPr>
        <w:pStyle w:val="TF"/>
        <w:rPr/>
      </w:pPr>
      <w:r>
        <w:rPr/>
        <w:t>Figure X.8: CDF of C/I for an N=4/12 reuse plan with shadowing standard deviation of 6 dB</w:t>
      </w:r>
    </w:p>
    <w:p>
      <w:pPr>
        <w:pStyle w:val="FP"/>
        <w:rPr/>
      </w:pPr>
      <w:r>
        <w:rPr/>
      </w:r>
    </w:p>
    <w:p>
      <w:pPr>
        <w:pStyle w:val="Heading2"/>
        <w:rPr/>
      </w:pPr>
      <w:bookmarkStart w:id="749" w:name="__RefHeading___Toc518036117"/>
      <w:bookmarkEnd w:id="749"/>
      <w:r>
        <w:rPr/>
        <w:t>X.4.3</w:t>
        <w:tab/>
        <w:t>Adjacent Channel Interference</w:t>
      </w:r>
    </w:p>
    <w:p>
      <w:pPr>
        <w:pStyle w:val="Normal"/>
        <w:rPr/>
      </w:pPr>
      <w:r>
        <w:rPr/>
        <w:t>Adjacent channel interference can be represented as a co channel interference which the system is more tolerant of.</w:t>
      </w:r>
    </w:p>
    <w:p>
      <w:pPr>
        <w:pStyle w:val="B1"/>
        <w:rPr/>
      </w:pPr>
      <w:r>
        <w:rPr/>
        <w:t>[TBD]</w:t>
      </w:r>
    </w:p>
    <w:p>
      <w:pPr>
        <w:pStyle w:val="FP"/>
        <w:rPr/>
      </w:pPr>
      <w:r>
        <w:rPr/>
      </w:r>
    </w:p>
    <w:p>
      <w:pPr>
        <w:pStyle w:val="Heading1"/>
        <w:ind w:left="1134" w:hanging="1134"/>
        <w:rPr/>
      </w:pPr>
      <w:bookmarkStart w:id="750" w:name="__RefHeading___Toc518036118"/>
      <w:bookmarkEnd w:id="750"/>
      <w:r>
        <w:rPr/>
        <w:t>X.5</w:t>
        <w:tab/>
        <w:t>BTS Inter and Intra Modulation</w:t>
      </w:r>
    </w:p>
    <w:p>
      <w:pPr>
        <w:pStyle w:val="Normal"/>
        <w:rPr/>
      </w:pPr>
      <w:r>
        <w:rPr/>
        <w:t>BTS inter and intra modulations are additional sources of interfering energy between systems. For coordinated MS if the inter/intra modulation energy is too high it would have the potential to limit the available downlink power control range. For uncoordinated MS there is potential for inter/intra modulation components falling on channel and causing undesirable interference.  The worst case for the uncoordinated systems is that the serving and interfering cell are at opposite ends of the same coverage area with the uncoordinated MS close to the interferer and far from the serving BTS.</w:t>
      </w:r>
    </w:p>
    <w:p>
      <w:pPr>
        <w:pStyle w:val="Normal"/>
        <w:rPr/>
      </w:pPr>
      <w:r>
        <w:rPr/>
        <w:t>In operation, the use of DTX and forward link power control will significantly reduce the actual inter/intra modulation energy radiated from the interfering BTS. Figure X.7 illustrated the inherent C/I baseline for the network deployed on an N=4/12 reuse plan. That figure does not show the impact of shadowing, however, it can be seen that the average C/I at the cell EDGE at the extreme opposite end of the coverage is ~ 20 dB. It is thus desirable then that the inter /intra modulation performance would not adversely impact that performance.</w:t>
      </w:r>
    </w:p>
    <w:p>
      <w:pPr>
        <w:pStyle w:val="Heading2"/>
        <w:rPr/>
      </w:pPr>
      <w:bookmarkStart w:id="751" w:name="__RefHeading___Toc518036119"/>
      <w:bookmarkEnd w:id="751"/>
      <w:r>
        <w:rPr/>
        <w:t>X.5.1</w:t>
        <w:tab/>
        <w:t>Simplified Analysis</w:t>
      </w:r>
    </w:p>
    <w:p>
      <w:pPr>
        <w:pStyle w:val="Normal"/>
        <w:rPr/>
      </w:pPr>
      <w:r>
        <w:rPr/>
        <w:t>The following analysis examines the impact on performance of -60 dBc intra/inter intermodulation. (while the calculations make use of absolute values for distance, the results are dependent upon relative geometry).</w:t>
      </w:r>
    </w:p>
    <w:p>
      <w:pPr>
        <w:pStyle w:val="TH"/>
        <w:rPr/>
      </w:pPr>
      <w:r>
        <w:rPr/>
        <w:drawing>
          <wp:inline distT="0" distB="0" distL="0" distR="0">
            <wp:extent cx="4390390" cy="708660"/>
            <wp:effectExtent l="0" t="0" r="0" b="0"/>
            <wp:docPr id="217" name="Image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41" descr=""/>
                    <pic:cNvPicPr>
                      <a:picLocks noChangeAspect="1" noChangeArrowheads="1"/>
                    </pic:cNvPicPr>
                  </pic:nvPicPr>
                  <pic:blipFill>
                    <a:blip r:embed="rId215"/>
                    <a:srcRect l="-8" t="-51" r="-8" b="-51"/>
                    <a:stretch>
                      <a:fillRect/>
                    </a:stretch>
                  </pic:blipFill>
                  <pic:spPr bwMode="auto">
                    <a:xfrm>
                      <a:off x="0" y="0"/>
                      <a:ext cx="4390390" cy="708660"/>
                    </a:xfrm>
                    <a:prstGeom prst="rect">
                      <a:avLst/>
                    </a:prstGeom>
                  </pic:spPr>
                </pic:pic>
              </a:graphicData>
            </a:graphic>
          </wp:inline>
        </w:drawing>
      </w:r>
    </w:p>
    <w:p>
      <w:pPr>
        <w:pStyle w:val="TF"/>
        <w:rPr/>
      </w:pPr>
      <w:r>
        <w:rPr/>
        <w:t>Figure X.9: Representation of relative geometry for BTS intra/inter modulation performance</w:t>
      </w:r>
    </w:p>
    <w:p>
      <w:pPr>
        <w:pStyle w:val="Normal"/>
        <w:rPr/>
      </w:pPr>
      <w:r>
        <w:rPr/>
        <w:t>The parameters are:</w:t>
      </w:r>
    </w:p>
    <w:p>
      <w:pPr>
        <w:pStyle w:val="B1"/>
        <w:rPr/>
      </w:pPr>
      <w:r>
        <w:rPr>
          <w:i/>
        </w:rPr>
        <w:t>IMD</w:t>
      </w:r>
      <w:r>
        <w:rPr/>
        <w:t xml:space="preserve"> = -60 dBc (intra BTS intermodulation attentuation level).</w:t>
      </w:r>
    </w:p>
    <w:p>
      <w:pPr>
        <w:pStyle w:val="B2"/>
        <w:rPr/>
      </w:pPr>
      <w:r>
        <w:rPr>
          <w:rFonts w:eastAsia="Symbol" w:cs="Symbol" w:ascii="Symbol" w:hAnsi="Symbol"/>
        </w:rPr>
        <w:t></w:t>
      </w:r>
      <w:r>
        <w:rPr/>
        <w:t xml:space="preserve"> </w:t>
      </w:r>
      <w:r>
        <w:rPr/>
        <w:t>= 38 (decade loss figure).</w:t>
      </w:r>
    </w:p>
    <w:p>
      <w:pPr>
        <w:pStyle w:val="B2"/>
        <w:rPr/>
      </w:pPr>
      <w:r>
        <w:rPr/>
        <w:drawing>
          <wp:inline distT="0" distB="0" distL="0" distR="0">
            <wp:extent cx="545465" cy="152400"/>
            <wp:effectExtent l="0" t="0" r="0" b="0"/>
            <wp:docPr id="218" name="Image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42" descr=""/>
                    <pic:cNvPicPr>
                      <a:picLocks noChangeAspect="1" noChangeArrowheads="1"/>
                    </pic:cNvPicPr>
                  </pic:nvPicPr>
                  <pic:blipFill>
                    <a:blip r:embed="rId216"/>
                    <a:srcRect l="-66" t="-236" r="-66" b="-236"/>
                    <a:stretch>
                      <a:fillRect/>
                    </a:stretch>
                  </pic:blipFill>
                  <pic:spPr bwMode="auto">
                    <a:xfrm>
                      <a:off x="0" y="0"/>
                      <a:ext cx="545465" cy="152400"/>
                    </a:xfrm>
                    <a:prstGeom prst="rect">
                      <a:avLst/>
                    </a:prstGeom>
                  </pic:spPr>
                </pic:pic>
              </a:graphicData>
            </a:graphic>
          </wp:inline>
        </w:drawing>
      </w:r>
      <w:r>
        <w:rPr/>
        <w:t xml:space="preserve"> </w:t>
      </w:r>
      <w:r>
        <w:rPr/>
        <w:t>dB (minimum C/I).</w:t>
      </w:r>
    </w:p>
    <w:p>
      <w:pPr>
        <w:pStyle w:val="B2"/>
        <w:rPr/>
      </w:pPr>
      <w:r>
        <w:rPr/>
        <w:drawing>
          <wp:inline distT="0" distB="0" distL="0" distR="0">
            <wp:extent cx="1257300" cy="316865"/>
            <wp:effectExtent l="0" t="0" r="0" b="0"/>
            <wp:docPr id="219" name="Image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43" descr=""/>
                    <pic:cNvPicPr>
                      <a:picLocks noChangeAspect="1" noChangeArrowheads="1"/>
                    </pic:cNvPicPr>
                  </pic:nvPicPr>
                  <pic:blipFill>
                    <a:blip r:embed="rId217"/>
                    <a:srcRect l="-29" t="-114" r="-29" b="-114"/>
                    <a:stretch>
                      <a:fillRect/>
                    </a:stretch>
                  </pic:blipFill>
                  <pic:spPr bwMode="auto">
                    <a:xfrm>
                      <a:off x="0" y="0"/>
                      <a:ext cx="1257300" cy="316865"/>
                    </a:xfrm>
                    <a:prstGeom prst="rect">
                      <a:avLst/>
                    </a:prstGeom>
                  </pic:spPr>
                </pic:pic>
              </a:graphicData>
            </a:graphic>
          </wp:inline>
        </w:drawing>
      </w:r>
      <w:r>
        <w:rPr/>
        <w:t>(distance ratio which will meet desired C/I given IMD).</w:t>
      </w:r>
    </w:p>
    <w:p>
      <w:pPr>
        <w:pStyle w:val="B2"/>
        <w:rPr/>
      </w:pPr>
      <w:r>
        <w:rPr/>
        <w:drawing>
          <wp:inline distT="0" distB="0" distL="0" distR="0">
            <wp:extent cx="825500" cy="190500"/>
            <wp:effectExtent l="0" t="0" r="0" b="0"/>
            <wp:docPr id="220" name="Image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44" descr=""/>
                    <pic:cNvPicPr>
                      <a:picLocks noChangeAspect="1" noChangeArrowheads="1"/>
                    </pic:cNvPicPr>
                  </pic:nvPicPr>
                  <pic:blipFill>
                    <a:blip r:embed="rId218"/>
                    <a:srcRect l="-44" t="-189" r="-44" b="-189"/>
                    <a:stretch>
                      <a:fillRect/>
                    </a:stretch>
                  </pic:blipFill>
                  <pic:spPr bwMode="auto">
                    <a:xfrm>
                      <a:off x="0" y="0"/>
                      <a:ext cx="825500" cy="190500"/>
                    </a:xfrm>
                    <a:prstGeom prst="rect">
                      <a:avLst/>
                    </a:prstGeom>
                  </pic:spPr>
                </pic:pic>
              </a:graphicData>
            </a:graphic>
          </wp:inline>
        </w:drawing>
      </w:r>
      <w:r>
        <w:rPr/>
        <w:t>m (maximum cell site radius).</w:t>
      </w:r>
    </w:p>
    <w:p>
      <w:pPr>
        <w:pStyle w:val="B2"/>
        <w:rPr/>
      </w:pPr>
      <w:r>
        <w:rPr/>
        <w:drawing>
          <wp:inline distT="0" distB="0" distL="0" distR="0">
            <wp:extent cx="533400" cy="381000"/>
            <wp:effectExtent l="0" t="0" r="0" b="0"/>
            <wp:docPr id="221" name="Image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45" descr=""/>
                    <pic:cNvPicPr>
                      <a:picLocks noChangeAspect="1" noChangeArrowheads="1"/>
                    </pic:cNvPicPr>
                  </pic:nvPicPr>
                  <pic:blipFill>
                    <a:blip r:embed="rId219"/>
                    <a:srcRect l="-68" t="-95" r="-68" b="-95"/>
                    <a:stretch>
                      <a:fillRect/>
                    </a:stretch>
                  </pic:blipFill>
                  <pic:spPr bwMode="auto">
                    <a:xfrm>
                      <a:off x="0" y="0"/>
                      <a:ext cx="533400" cy="381000"/>
                    </a:xfrm>
                    <a:prstGeom prst="rect">
                      <a:avLst/>
                    </a:prstGeom>
                  </pic:spPr>
                </pic:pic>
              </a:graphicData>
            </a:graphic>
          </wp:inline>
        </w:drawing>
      </w:r>
      <w:r>
        <w:rPr/>
        <w:t xml:space="preserve"> </w:t>
      </w:r>
      <w:r>
        <w:rPr/>
        <w:t>(base to coordinated mobile R</w:t>
      </w:r>
      <w:r>
        <w:rPr>
          <w:vertAlign w:val="subscript"/>
        </w:rPr>
        <w:t>2</w:t>
      </w:r>
      <w:r>
        <w:rPr/>
        <w:t xml:space="preserve"> / interfering base to mobile R</w:t>
      </w:r>
      <w:r>
        <w:rPr>
          <w:vertAlign w:val="subscript"/>
        </w:rPr>
        <w:t>1</w:t>
      </w:r>
      <w:r>
        <w:rPr/>
        <w:t>).</w:t>
      </w:r>
    </w:p>
    <w:p>
      <w:pPr>
        <w:pStyle w:val="B2"/>
        <w:rPr/>
      </w:pPr>
      <w:r>
        <w:rPr/>
        <w:drawing>
          <wp:inline distT="0" distB="0" distL="0" distR="0">
            <wp:extent cx="1548765" cy="342900"/>
            <wp:effectExtent l="0" t="0" r="0" b="0"/>
            <wp:docPr id="222" name="Image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46" descr=""/>
                    <pic:cNvPicPr>
                      <a:picLocks noChangeAspect="1" noChangeArrowheads="1"/>
                    </pic:cNvPicPr>
                  </pic:nvPicPr>
                  <pic:blipFill>
                    <a:blip r:embed="rId220"/>
                    <a:srcRect l="-23" t="-105" r="-23" b="-105"/>
                    <a:stretch>
                      <a:fillRect/>
                    </a:stretch>
                  </pic:blipFill>
                  <pic:spPr bwMode="auto">
                    <a:xfrm>
                      <a:off x="0" y="0"/>
                      <a:ext cx="1548765" cy="342900"/>
                    </a:xfrm>
                    <a:prstGeom prst="rect">
                      <a:avLst/>
                    </a:prstGeom>
                  </pic:spPr>
                </pic:pic>
              </a:graphicData>
            </a:graphic>
          </wp:inline>
        </w:drawing>
      </w:r>
      <w:r>
        <w:rPr/>
        <w:t>m (R where C/I due to interfering base meets required minimum C/I).</w:t>
      </w:r>
    </w:p>
    <w:p>
      <w:pPr>
        <w:pStyle w:val="Normal"/>
        <w:rPr/>
      </w:pPr>
      <w:r>
        <w:rPr/>
        <w:t>Because the distance to the interfering base station is small, the reduction in antenna gain has to be accounted for. An additional factor of 10 dB needs to be accounted for.</w:t>
      </w:r>
    </w:p>
    <w:p>
      <w:pPr>
        <w:pStyle w:val="Normal"/>
        <w:rPr/>
      </w:pPr>
      <w:r>
        <w:rPr/>
        <w:t>Therefore, the region below 10 dB is restricted to:</w:t>
      </w:r>
    </w:p>
    <w:p>
      <w:pPr>
        <w:pStyle w:val="B1"/>
        <w:rPr/>
      </w:pPr>
      <w:r>
        <w:rPr/>
        <w:drawing>
          <wp:inline distT="0" distB="0" distL="0" distR="0">
            <wp:extent cx="1002665" cy="177165"/>
            <wp:effectExtent l="0" t="0" r="0" b="0"/>
            <wp:docPr id="223" name="Image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47" descr=""/>
                    <pic:cNvPicPr>
                      <a:picLocks noChangeAspect="1" noChangeArrowheads="1"/>
                    </pic:cNvPicPr>
                  </pic:nvPicPr>
                  <pic:blipFill>
                    <a:blip r:embed="rId221"/>
                    <a:srcRect l="-36" t="-203" r="-36" b="-203"/>
                    <a:stretch>
                      <a:fillRect/>
                    </a:stretch>
                  </pic:blipFill>
                  <pic:spPr bwMode="auto">
                    <a:xfrm>
                      <a:off x="0" y="0"/>
                      <a:ext cx="1002665" cy="177165"/>
                    </a:xfrm>
                    <a:prstGeom prst="rect">
                      <a:avLst/>
                    </a:prstGeom>
                  </pic:spPr>
                </pic:pic>
              </a:graphicData>
            </a:graphic>
          </wp:inline>
        </w:drawing>
      </w:r>
      <w:r>
        <w:rPr/>
        <w:t xml:space="preserve"> </w:t>
      </w:r>
      <w:r>
        <w:rPr/>
        <w:t>dB (assumed antenna gain correction).</w:t>
      </w:r>
    </w:p>
    <w:p>
      <w:pPr>
        <w:pStyle w:val="B1"/>
        <w:rPr/>
      </w:pPr>
      <w:r>
        <w:rPr/>
        <w:drawing>
          <wp:inline distT="0" distB="0" distL="0" distR="0">
            <wp:extent cx="1828800" cy="316865"/>
            <wp:effectExtent l="0" t="0" r="0" b="0"/>
            <wp:docPr id="224" name="Image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48" descr=""/>
                    <pic:cNvPicPr>
                      <a:picLocks noChangeAspect="1" noChangeArrowheads="1"/>
                    </pic:cNvPicPr>
                  </pic:nvPicPr>
                  <pic:blipFill>
                    <a:blip r:embed="rId222"/>
                    <a:srcRect l="-20" t="-114" r="-20" b="-114"/>
                    <a:stretch>
                      <a:fillRect/>
                    </a:stretch>
                  </pic:blipFill>
                  <pic:spPr bwMode="auto">
                    <a:xfrm>
                      <a:off x="0" y="0"/>
                      <a:ext cx="1828800" cy="316865"/>
                    </a:xfrm>
                    <a:prstGeom prst="rect">
                      <a:avLst/>
                    </a:prstGeom>
                  </pic:spPr>
                </pic:pic>
              </a:graphicData>
            </a:graphic>
          </wp:inline>
        </w:drawing>
      </w:r>
    </w:p>
    <w:p>
      <w:pPr>
        <w:pStyle w:val="B1"/>
        <w:rPr/>
      </w:pPr>
      <w:r>
        <w:rPr/>
        <w:drawing>
          <wp:inline distT="0" distB="0" distL="0" distR="0">
            <wp:extent cx="1548765" cy="342900"/>
            <wp:effectExtent l="0" t="0" r="0" b="0"/>
            <wp:docPr id="225" name="Image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49" descr=""/>
                    <pic:cNvPicPr>
                      <a:picLocks noChangeAspect="1" noChangeArrowheads="1"/>
                    </pic:cNvPicPr>
                  </pic:nvPicPr>
                  <pic:blipFill>
                    <a:blip r:embed="rId223"/>
                    <a:srcRect l="-23" t="-105" r="-23" b="-105"/>
                    <a:stretch>
                      <a:fillRect/>
                    </a:stretch>
                  </pic:blipFill>
                  <pic:spPr bwMode="auto">
                    <a:xfrm>
                      <a:off x="0" y="0"/>
                      <a:ext cx="1548765" cy="342900"/>
                    </a:xfrm>
                    <a:prstGeom prst="rect">
                      <a:avLst/>
                    </a:prstGeom>
                  </pic:spPr>
                </pic:pic>
              </a:graphicData>
            </a:graphic>
          </wp:inline>
        </w:drawing>
      </w:r>
      <w:r>
        <w:rPr/>
        <w:t xml:space="preserve"> </w:t>
      </w:r>
      <w:r>
        <w:rPr/>
        <w:t>m</w:t>
      </w:r>
    </w:p>
    <w:p>
      <w:pPr>
        <w:pStyle w:val="B1"/>
        <w:rPr/>
      </w:pPr>
      <w:r>
        <w:rPr/>
        <w:t>So in this case, it has been shown that only the last 2.6% of the range is potentially exposed.</w:t>
      </w:r>
    </w:p>
    <w:p>
      <w:pPr>
        <w:pStyle w:val="B1"/>
        <w:rPr/>
      </w:pPr>
      <w:r>
        <w:rPr/>
        <w:drawing>
          <wp:inline distT="0" distB="0" distL="0" distR="0">
            <wp:extent cx="622300" cy="381000"/>
            <wp:effectExtent l="0" t="0" r="0" b="0"/>
            <wp:docPr id="226" name="Image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50" descr=""/>
                    <pic:cNvPicPr>
                      <a:picLocks noChangeAspect="1" noChangeArrowheads="1"/>
                    </pic:cNvPicPr>
                  </pic:nvPicPr>
                  <pic:blipFill>
                    <a:blip r:embed="rId224"/>
                    <a:srcRect l="-58" t="-95" r="-58" b="-95"/>
                    <a:stretch>
                      <a:fillRect/>
                    </a:stretch>
                  </pic:blipFill>
                  <pic:spPr bwMode="auto">
                    <a:xfrm>
                      <a:off x="0" y="0"/>
                      <a:ext cx="622300" cy="381000"/>
                    </a:xfrm>
                    <a:prstGeom prst="rect">
                      <a:avLst/>
                    </a:prstGeom>
                  </pic:spPr>
                </pic:pic>
              </a:graphicData>
            </a:graphic>
          </wp:inline>
        </w:drawing>
      </w:r>
    </w:p>
    <w:p>
      <w:pPr>
        <w:pStyle w:val="B1"/>
        <w:rPr/>
      </w:pPr>
      <w:r>
        <w:rPr/>
        <w:t>This is 0.23% of the area.</w:t>
      </w:r>
    </w:p>
    <w:p>
      <w:pPr>
        <w:pStyle w:val="B1"/>
        <w:rPr/>
      </w:pPr>
      <w:r>
        <w:rPr/>
        <w:drawing>
          <wp:inline distT="0" distB="0" distL="0" distR="0">
            <wp:extent cx="876300" cy="444500"/>
            <wp:effectExtent l="0" t="0" r="0" b="0"/>
            <wp:docPr id="227" name="Image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51" descr=""/>
                    <pic:cNvPicPr>
                      <a:picLocks noChangeAspect="1" noChangeArrowheads="1"/>
                    </pic:cNvPicPr>
                  </pic:nvPicPr>
                  <pic:blipFill>
                    <a:blip r:embed="rId225"/>
                    <a:srcRect l="-41" t="-81" r="-41" b="-81"/>
                    <a:stretch>
                      <a:fillRect/>
                    </a:stretch>
                  </pic:blipFill>
                  <pic:spPr bwMode="auto">
                    <a:xfrm>
                      <a:off x="0" y="0"/>
                      <a:ext cx="876300" cy="444500"/>
                    </a:xfrm>
                    <a:prstGeom prst="rect">
                      <a:avLst/>
                    </a:prstGeom>
                  </pic:spPr>
                </pic:pic>
              </a:graphicData>
            </a:graphic>
          </wp:inline>
        </w:drawing>
      </w:r>
    </w:p>
    <w:p>
      <w:pPr>
        <w:pStyle w:val="Normal"/>
        <w:rPr/>
      </w:pPr>
      <w:r>
        <w:rPr/>
        <w:t>Where power control is used and when less than the maximum number of channels is operating, the actual IMD levels will be significantly reduced.</w:t>
      </w:r>
    </w:p>
    <w:p>
      <w:pPr>
        <w:pStyle w:val="Heading2"/>
        <w:rPr/>
      </w:pPr>
      <w:bookmarkStart w:id="752" w:name="__RefHeading___Toc518036120"/>
      <w:bookmarkEnd w:id="752"/>
      <w:r>
        <w:rPr/>
        <w:t>X.5.2</w:t>
        <w:tab/>
        <w:t>Normal BTS to Normal BTS (Same EIRP)</w:t>
      </w:r>
    </w:p>
    <w:p>
      <w:pPr>
        <w:pStyle w:val="TH"/>
        <w:rPr/>
      </w:pPr>
      <w:r>
        <w:rPr/>
        <w:drawing>
          <wp:inline distT="0" distB="0" distL="0" distR="0">
            <wp:extent cx="4361815" cy="1542415"/>
            <wp:effectExtent l="0" t="0" r="0" b="0"/>
            <wp:docPr id="228" name="Image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52" descr=""/>
                    <pic:cNvPicPr>
                      <a:picLocks noChangeAspect="1" noChangeArrowheads="1"/>
                    </pic:cNvPicPr>
                  </pic:nvPicPr>
                  <pic:blipFill>
                    <a:blip r:embed="rId226"/>
                    <a:srcRect l="-8" t="-23" r="-8" b="-23"/>
                    <a:stretch>
                      <a:fillRect/>
                    </a:stretch>
                  </pic:blipFill>
                  <pic:spPr bwMode="auto">
                    <a:xfrm>
                      <a:off x="0" y="0"/>
                      <a:ext cx="4361815" cy="1542415"/>
                    </a:xfrm>
                    <a:prstGeom prst="rect">
                      <a:avLst/>
                    </a:prstGeom>
                  </pic:spPr>
                </pic:pic>
              </a:graphicData>
            </a:graphic>
          </wp:inline>
        </w:drawing>
      </w:r>
    </w:p>
    <w:p>
      <w:pPr>
        <w:pStyle w:val="TF"/>
        <w:rPr/>
      </w:pPr>
      <w:r>
        <w:rPr/>
        <w:t>Figure X.10: Relative geometry for inter/intra modulation analysis</w:t>
      </w:r>
    </w:p>
    <w:p>
      <w:pPr>
        <w:pStyle w:val="Normal"/>
        <w:rPr/>
      </w:pPr>
      <w:r>
        <w:rPr/>
        <w:t>The serving cell is part of a N=4/12 reuse plan. The serving cell and the uncoordinated cell are operating with the same EIRP.</w:t>
      </w:r>
    </w:p>
    <w:p>
      <w:pPr>
        <w:pStyle w:val="Normal"/>
        <w:rPr/>
      </w:pPr>
      <w:r>
        <w:rPr/>
        <w:t xml:space="preserve">In figures X.11 and X.13 show the geometric C/I for a 60 dBc and 70 dBc rms. interferer. The antenna height is 40 m. Low gain antennas are used which provide very little vertical pattern rolloff close in to the BTSs. Propagation constant is 38 dB per decade. </w:t>
      </w:r>
    </w:p>
    <w:p>
      <w:pPr>
        <w:pStyle w:val="Normal"/>
        <w:rPr/>
      </w:pPr>
      <w:r>
        <w:rPr/>
        <w:t>Figures X.12 and X.14 show the C/I CDFs for 60 dBc and 70 dBc rms. interferers. There is no significant degradation compared to figure X.8.</w:t>
      </w:r>
    </w:p>
    <w:p>
      <w:pPr>
        <w:pStyle w:val="TH"/>
        <w:rPr/>
      </w:pPr>
      <w:r>
        <w:rPr/>
        <w:drawing>
          <wp:inline distT="0" distB="0" distL="0" distR="0">
            <wp:extent cx="3829685" cy="3877310"/>
            <wp:effectExtent l="0" t="0" r="0" b="0"/>
            <wp:docPr id="229" name="Image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253" descr=""/>
                    <pic:cNvPicPr>
                      <a:picLocks noChangeAspect="1" noChangeArrowheads="1"/>
                    </pic:cNvPicPr>
                  </pic:nvPicPr>
                  <pic:blipFill>
                    <a:blip r:embed="rId227"/>
                    <a:srcRect l="-9" t="7066" r="-9" b="-9"/>
                    <a:stretch>
                      <a:fillRect/>
                    </a:stretch>
                  </pic:blipFill>
                  <pic:spPr bwMode="auto">
                    <a:xfrm>
                      <a:off x="0" y="0"/>
                      <a:ext cx="3829685" cy="3877310"/>
                    </a:xfrm>
                    <a:prstGeom prst="rect">
                      <a:avLst/>
                    </a:prstGeom>
                  </pic:spPr>
                </pic:pic>
              </a:graphicData>
            </a:graphic>
          </wp:inline>
        </w:drawing>
      </w:r>
    </w:p>
    <w:p>
      <w:pPr>
        <w:pStyle w:val="TF"/>
        <w:rPr/>
      </w:pPr>
      <w:r>
        <w:rPr/>
        <w:t>Figure X.11: Geometric C/I contours for worst-case interfering cell (interferer at -60 dBc)</w:t>
      </w:r>
    </w:p>
    <w:p>
      <w:pPr>
        <w:pStyle w:val="TH"/>
        <w:rPr/>
      </w:pPr>
      <w:r>
        <w:rPr/>
        <w:drawing>
          <wp:inline distT="0" distB="0" distL="0" distR="0">
            <wp:extent cx="4945380" cy="3525520"/>
            <wp:effectExtent l="0" t="0" r="0" b="0"/>
            <wp:docPr id="230" name="Image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54" descr=""/>
                    <pic:cNvPicPr>
                      <a:picLocks noChangeAspect="1" noChangeArrowheads="1"/>
                    </pic:cNvPicPr>
                  </pic:nvPicPr>
                  <pic:blipFill>
                    <a:blip r:embed="rId228"/>
                    <a:srcRect l="-6" t="-9" r="6246" b="-9"/>
                    <a:stretch>
                      <a:fillRect/>
                    </a:stretch>
                  </pic:blipFill>
                  <pic:spPr bwMode="auto">
                    <a:xfrm>
                      <a:off x="0" y="0"/>
                      <a:ext cx="4945380" cy="3525520"/>
                    </a:xfrm>
                    <a:prstGeom prst="rect">
                      <a:avLst/>
                    </a:prstGeom>
                  </pic:spPr>
                </pic:pic>
              </a:graphicData>
            </a:graphic>
          </wp:inline>
        </w:drawing>
      </w:r>
    </w:p>
    <w:p>
      <w:pPr>
        <w:pStyle w:val="TF"/>
        <w:rPr/>
      </w:pPr>
      <w:r>
        <w:rPr/>
        <w:t>Figure X.12: C/I CDF for N=4/12 and interferer at -60 dBc, standard deviation = 6 dB</w:t>
      </w:r>
    </w:p>
    <w:p>
      <w:pPr>
        <w:pStyle w:val="TH"/>
        <w:rPr/>
      </w:pPr>
      <w:bookmarkStart w:id="753" w:name="_1093355723"/>
      <w:bookmarkStart w:id="754" w:name="_1019635138"/>
      <w:bookmarkStart w:id="755" w:name="_1019628426"/>
      <w:bookmarkStart w:id="756" w:name="_1006067878"/>
      <w:bookmarkEnd w:id="753"/>
      <w:bookmarkEnd w:id="754"/>
      <w:bookmarkEnd w:id="755"/>
      <w:bookmarkEnd w:id="756"/>
      <w:r>
        <w:rPr/>
        <w:object w:dxaOrig="6031" w:dyaOrig="6106">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301.55pt;height:305.3pt" filled="f" o:ole="">
            <v:imagedata r:id="rId230" o:title=""/>
          </v:shape>
          <o:OLEObject Type="Embed" ProgID="" ShapeID="ole_rId229" DrawAspect="Content" ObjectID="_1602735148" r:id="rId229"/>
        </w:object>
      </w:r>
    </w:p>
    <w:p>
      <w:pPr>
        <w:pStyle w:val="TF"/>
        <w:rPr/>
      </w:pPr>
      <w:r>
        <w:rPr/>
        <w:t>Figure X.13: Geometric C/I contours for worst-case interfering cell (interferer at -70 dBc)</w:t>
      </w:r>
    </w:p>
    <w:p>
      <w:pPr>
        <w:pStyle w:val="TH"/>
        <w:rPr/>
      </w:pPr>
      <w:r>
        <w:rPr/>
        <w:drawing>
          <wp:inline distT="0" distB="0" distL="0" distR="0">
            <wp:extent cx="4839970" cy="3443605"/>
            <wp:effectExtent l="0" t="0" r="0" b="0"/>
            <wp:docPr id="231" name="Image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255" descr=""/>
                    <pic:cNvPicPr>
                      <a:picLocks noChangeAspect="1" noChangeArrowheads="1"/>
                    </pic:cNvPicPr>
                  </pic:nvPicPr>
                  <pic:blipFill>
                    <a:blip r:embed="rId231"/>
                    <a:srcRect l="-6" t="-9" r="6246" b="-9"/>
                    <a:stretch>
                      <a:fillRect/>
                    </a:stretch>
                  </pic:blipFill>
                  <pic:spPr bwMode="auto">
                    <a:xfrm>
                      <a:off x="0" y="0"/>
                      <a:ext cx="4839970" cy="3443605"/>
                    </a:xfrm>
                    <a:prstGeom prst="rect">
                      <a:avLst/>
                    </a:prstGeom>
                  </pic:spPr>
                </pic:pic>
              </a:graphicData>
            </a:graphic>
          </wp:inline>
        </w:drawing>
      </w:r>
    </w:p>
    <w:p>
      <w:pPr>
        <w:pStyle w:val="TF"/>
        <w:rPr/>
      </w:pPr>
      <w:r>
        <w:rPr/>
        <w:t>Figure X.1:  C/I CDF for N=4/12 and interferer at -70 dBc, standard deviation = 6 dB</w:t>
      </w:r>
    </w:p>
    <w:p>
      <w:pPr>
        <w:pStyle w:val="Heading2"/>
        <w:rPr/>
      </w:pPr>
      <w:bookmarkStart w:id="757" w:name="__RefHeading___Toc518036121"/>
      <w:bookmarkEnd w:id="757"/>
      <w:r>
        <w:rPr/>
        <w:t>X.5.3</w:t>
        <w:tab/>
        <w:t>Normal to Micro (Micro BTS EIRP is 20 dB less than Normal BTS)</w:t>
      </w:r>
    </w:p>
    <w:p>
      <w:pPr>
        <w:pStyle w:val="TH"/>
        <w:rPr/>
      </w:pPr>
      <w:r>
        <w:rPr/>
        <w:drawing>
          <wp:inline distT="0" distB="0" distL="0" distR="0">
            <wp:extent cx="4361815" cy="1542415"/>
            <wp:effectExtent l="0" t="0" r="0" b="0"/>
            <wp:docPr id="232" name="Image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56" descr=""/>
                    <pic:cNvPicPr>
                      <a:picLocks noChangeAspect="1" noChangeArrowheads="1"/>
                    </pic:cNvPicPr>
                  </pic:nvPicPr>
                  <pic:blipFill>
                    <a:blip r:embed="rId232"/>
                    <a:srcRect l="-8" t="-23" r="-8" b="-23"/>
                    <a:stretch>
                      <a:fillRect/>
                    </a:stretch>
                  </pic:blipFill>
                  <pic:spPr bwMode="auto">
                    <a:xfrm>
                      <a:off x="0" y="0"/>
                      <a:ext cx="4361815" cy="1542415"/>
                    </a:xfrm>
                    <a:prstGeom prst="rect">
                      <a:avLst/>
                    </a:prstGeom>
                  </pic:spPr>
                </pic:pic>
              </a:graphicData>
            </a:graphic>
          </wp:inline>
        </w:drawing>
      </w:r>
    </w:p>
    <w:p>
      <w:pPr>
        <w:pStyle w:val="TF"/>
        <w:rPr/>
      </w:pPr>
      <w:r>
        <w:rPr/>
        <w:t>Figure X.15: Relative geometry for inter/intra modulation analysis for Normal to Micro BTS</w:t>
      </w:r>
    </w:p>
    <w:p>
      <w:pPr>
        <w:pStyle w:val="Normal"/>
        <w:rPr/>
      </w:pPr>
      <w:r>
        <w:rPr/>
        <w:t>In this case the microcell is assumed to have an EIRP which is 20 dB less than the normal BTS.  Since the normal BTS is transmitting with an EIRP which is 20 dB higher than the micro BTS the apparent inter/ intra modulation energy is 20 dB higher relative to the micro transmit power.</w:t>
      </w:r>
    </w:p>
    <w:p>
      <w:pPr>
        <w:pStyle w:val="Normal"/>
        <w:rPr/>
      </w:pPr>
      <w:r>
        <w:rPr/>
        <w:t>The serving cell is an omni microcell which is part of an N=7 reuse plan. The microcell network is assumed to have its antennas deployed at 20 m.</w:t>
      </w:r>
    </w:p>
    <w:p>
      <w:pPr>
        <w:pStyle w:val="Normal"/>
        <w:rPr/>
      </w:pPr>
      <w:r>
        <w:rPr/>
        <w:t>In figures X.15 and X.18 show the geometric C/I for a 60 dBc and 70 dBc rms. interferer. Thus, relative to the microcell, the intermodulation energy is apparently at 40 dBc and 50 dBc relative to the microcell carriers. The uncoordinated antenna height is 40 m. Low gain antenna patterns are used which provide very little vertical pattern rolloff close in to the BTSs. Propagation constant is 35 dB per decade.</w:t>
      </w:r>
    </w:p>
    <w:p>
      <w:pPr>
        <w:pStyle w:val="Normal"/>
        <w:rPr/>
      </w:pPr>
      <w:r>
        <w:rPr/>
        <w:t>Figures X.17 and X.19 show the C/I CDFs for 60 dBc and 70 dBc rms. interferers.</w:t>
      </w:r>
    </w:p>
    <w:p>
      <w:pPr>
        <w:pStyle w:val="TH"/>
        <w:rPr/>
      </w:pPr>
      <w:r>
        <w:rPr/>
        <w:drawing>
          <wp:inline distT="0" distB="0" distL="0" distR="0">
            <wp:extent cx="3829685" cy="3877310"/>
            <wp:effectExtent l="0" t="0" r="0" b="0"/>
            <wp:docPr id="233" name="Image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57" descr=""/>
                    <pic:cNvPicPr>
                      <a:picLocks noChangeAspect="1" noChangeArrowheads="1"/>
                    </pic:cNvPicPr>
                  </pic:nvPicPr>
                  <pic:blipFill>
                    <a:blip r:embed="rId233"/>
                    <a:srcRect l="-9" t="-9" r="-9" b="-9"/>
                    <a:stretch>
                      <a:fillRect/>
                    </a:stretch>
                  </pic:blipFill>
                  <pic:spPr bwMode="auto">
                    <a:xfrm>
                      <a:off x="0" y="0"/>
                      <a:ext cx="3829685" cy="3877310"/>
                    </a:xfrm>
                    <a:prstGeom prst="rect">
                      <a:avLst/>
                    </a:prstGeom>
                  </pic:spPr>
                </pic:pic>
              </a:graphicData>
            </a:graphic>
          </wp:inline>
        </w:drawing>
      </w:r>
    </w:p>
    <w:p>
      <w:pPr>
        <w:pStyle w:val="TF"/>
        <w:rPr/>
      </w:pPr>
      <w:r>
        <w:rPr/>
        <w:t>Figure X.16: Geometric C/I contours for a Microcell with Normal BTS interferer</w:t>
        <w:br/>
        <w:t>that is radiating intermodulation emissions at 40 dB rms below the Microcell EIRP</w:t>
      </w:r>
    </w:p>
    <w:p>
      <w:pPr>
        <w:pStyle w:val="TH"/>
        <w:rPr/>
      </w:pPr>
      <w:r>
        <w:rPr/>
        <w:drawing>
          <wp:inline distT="0" distB="0" distL="0" distR="0">
            <wp:extent cx="4525010" cy="3159125"/>
            <wp:effectExtent l="0" t="0" r="0" b="0"/>
            <wp:docPr id="234" name="Image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58" descr=""/>
                    <pic:cNvPicPr>
                      <a:picLocks noChangeAspect="1" noChangeArrowheads="1"/>
                    </pic:cNvPicPr>
                  </pic:nvPicPr>
                  <pic:blipFill>
                    <a:blip r:embed="rId234"/>
                    <a:srcRect l="-6" t="2320" r="6246" b="-9"/>
                    <a:stretch>
                      <a:fillRect/>
                    </a:stretch>
                  </pic:blipFill>
                  <pic:spPr bwMode="auto">
                    <a:xfrm>
                      <a:off x="0" y="0"/>
                      <a:ext cx="4525010" cy="3159125"/>
                    </a:xfrm>
                    <a:prstGeom prst="rect">
                      <a:avLst/>
                    </a:prstGeom>
                  </pic:spPr>
                </pic:pic>
              </a:graphicData>
            </a:graphic>
          </wp:inline>
        </w:drawing>
      </w:r>
    </w:p>
    <w:p>
      <w:pPr>
        <w:pStyle w:val="TF"/>
        <w:rPr/>
      </w:pPr>
      <w:r>
        <w:rPr/>
        <w:t>Figure X.17: C/I CDF for an N=7 omni network with an interfering Normal BTS</w:t>
        <w:br/>
        <w:t>that is radiating intermodulation emissiona at 40 dB rms below the Microcell EIRP,</w:t>
        <w:br/>
        <w:t>standard deviation = 6 dB</w:t>
      </w:r>
    </w:p>
    <w:p>
      <w:pPr>
        <w:pStyle w:val="TH"/>
        <w:rPr/>
      </w:pPr>
      <w:r>
        <w:rPr/>
        <w:drawing>
          <wp:inline distT="0" distB="0" distL="0" distR="0">
            <wp:extent cx="3829685" cy="3877310"/>
            <wp:effectExtent l="0" t="0" r="0" b="0"/>
            <wp:docPr id="235" name="Image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59" descr=""/>
                    <pic:cNvPicPr>
                      <a:picLocks noChangeAspect="1" noChangeArrowheads="1"/>
                    </pic:cNvPicPr>
                  </pic:nvPicPr>
                  <pic:blipFill>
                    <a:blip r:embed="rId235"/>
                    <a:srcRect l="-9" t="-9" r="-9" b="-9"/>
                    <a:stretch>
                      <a:fillRect/>
                    </a:stretch>
                  </pic:blipFill>
                  <pic:spPr bwMode="auto">
                    <a:xfrm>
                      <a:off x="0" y="0"/>
                      <a:ext cx="3829685" cy="3877310"/>
                    </a:xfrm>
                    <a:prstGeom prst="rect">
                      <a:avLst/>
                    </a:prstGeom>
                  </pic:spPr>
                </pic:pic>
              </a:graphicData>
            </a:graphic>
          </wp:inline>
        </w:drawing>
      </w:r>
    </w:p>
    <w:p>
      <w:pPr>
        <w:pStyle w:val="TF"/>
        <w:rPr/>
      </w:pPr>
      <w:r>
        <w:rPr/>
        <w:t>Figure X.18: Geometric C/I contours for a Microcell with Normal BTS interferer</w:t>
        <w:br/>
        <w:t>that is radiating intermodulation emissions at 50 dB rms below the Microcell EIRP</w:t>
      </w:r>
    </w:p>
    <w:p>
      <w:pPr>
        <w:pStyle w:val="TH"/>
        <w:rPr/>
      </w:pPr>
      <w:r>
        <w:rPr/>
        <w:drawing>
          <wp:inline distT="0" distB="0" distL="0" distR="0">
            <wp:extent cx="4525010" cy="3159125"/>
            <wp:effectExtent l="0" t="0" r="0" b="0"/>
            <wp:docPr id="236" name="Image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60" descr=""/>
                    <pic:cNvPicPr>
                      <a:picLocks noChangeAspect="1" noChangeArrowheads="1"/>
                    </pic:cNvPicPr>
                  </pic:nvPicPr>
                  <pic:blipFill>
                    <a:blip r:embed="rId236"/>
                    <a:srcRect l="-6" t="2320" r="6246" b="-9"/>
                    <a:stretch>
                      <a:fillRect/>
                    </a:stretch>
                  </pic:blipFill>
                  <pic:spPr bwMode="auto">
                    <a:xfrm>
                      <a:off x="0" y="0"/>
                      <a:ext cx="4525010" cy="3159125"/>
                    </a:xfrm>
                    <a:prstGeom prst="rect">
                      <a:avLst/>
                    </a:prstGeom>
                  </pic:spPr>
                </pic:pic>
              </a:graphicData>
            </a:graphic>
          </wp:inline>
        </w:drawing>
      </w:r>
    </w:p>
    <w:p>
      <w:pPr>
        <w:pStyle w:val="TF"/>
        <w:rPr/>
      </w:pPr>
      <w:r>
        <w:rPr/>
        <w:t>Figure X.19: C/I CDF for an N=7 omni network with an interfering Normal BTS</w:t>
        <w:br/>
        <w:t>that is radiating intermodulation emissiona at 50 dB rms below the Microcell EIRP,</w:t>
        <w:br/>
        <w:t>standard deviation = 6 dB</w:t>
      </w:r>
    </w:p>
    <w:p>
      <w:pPr>
        <w:pStyle w:val="FP"/>
        <w:rPr/>
      </w:pPr>
      <w:r>
        <w:rPr/>
      </w:r>
    </w:p>
    <w:p>
      <w:pPr>
        <w:pStyle w:val="Heading9"/>
        <w:rPr>
          <w:lang w:val="fr-FR"/>
        </w:rPr>
      </w:pPr>
      <w:bookmarkStart w:id="758" w:name="__RefHeading___Toc518036122"/>
      <w:bookmarkEnd w:id="758"/>
      <w:r>
        <w:rPr>
          <w:lang w:val="fr-FR"/>
        </w:rPr>
        <w:t>Annex Y:</w:t>
        <w:br/>
        <w:t>T-GSM 900 system scenarios</w:t>
      </w:r>
    </w:p>
    <w:p>
      <w:pPr>
        <w:pStyle w:val="Heading1"/>
        <w:ind w:left="1134" w:hanging="1134"/>
        <w:rPr>
          <w:lang w:val="en-US"/>
        </w:rPr>
      </w:pPr>
      <w:bookmarkStart w:id="759" w:name="__RefHeading___Toc518036123"/>
      <w:bookmarkEnd w:id="759"/>
      <w:r>
        <w:rPr>
          <w:lang w:val="en-US"/>
        </w:rPr>
        <w:t>Y.0</w:t>
        <w:tab/>
        <w:t>Introduction</w:t>
      </w:r>
    </w:p>
    <w:p>
      <w:pPr>
        <w:pStyle w:val="TextBodyIndent"/>
        <w:rPr/>
      </w:pPr>
      <w:r>
        <w:rPr/>
        <w:t>This paper discusses system scenarios for T-GSM 900 operation primarily in respect of the 05.05 series of recommendations. To develop the T-GSM 900 standard, all the relevant scenarios need to be considered for each part of 05.05 and the most critical cases identified. The process may then be iterated to arrive at final parameters that meet both service and implementation requirements.</w:t>
      </w:r>
    </w:p>
    <w:p>
      <w:pPr>
        <w:pStyle w:val="Heading1"/>
        <w:ind w:left="1134" w:hanging="1134"/>
        <w:rPr/>
      </w:pPr>
      <w:bookmarkStart w:id="760" w:name="__RefHeading___Toc518036124"/>
      <w:bookmarkEnd w:id="760"/>
      <w:r>
        <w:rPr/>
        <w:t>Y.1</w:t>
        <w:tab/>
        <w:t>Frequency bands and channel arrangement</w:t>
      </w:r>
    </w:p>
    <w:p>
      <w:pPr>
        <w:pStyle w:val="Normal"/>
        <w:jc w:val="both"/>
        <w:rPr/>
      </w:pPr>
      <w:r>
        <w:rPr/>
        <w:t>T-GSM 900 systems are specified for the following frequency band. It is recognised that a guard band is required at the crossover from up link to down link at 915 MHz. See also CEPT ECC Report No. 5 on Adjacent Band Compatibility between TAPS (T-GSM 900) and GSM at 915 MHz:</w:t>
      </w:r>
    </w:p>
    <w:p>
      <w:pPr>
        <w:pStyle w:val="Normal"/>
        <w:jc w:val="both"/>
        <w:rPr/>
      </w:pPr>
      <w:r>
        <w:rPr/>
        <w:t>T-GSM 900 Band</w:t>
      </w:r>
    </w:p>
    <w:p>
      <w:pPr>
        <w:pStyle w:val="Normal"/>
        <w:ind w:left="851" w:hanging="0"/>
        <w:jc w:val="both"/>
        <w:rPr/>
      </w:pPr>
      <w:r>
        <w:rPr/>
        <w:t>870.4 – 876 MHz: mobile transmit, base receive;</w:t>
      </w:r>
    </w:p>
    <w:p>
      <w:pPr>
        <w:pStyle w:val="Normal"/>
        <w:ind w:left="851" w:hanging="0"/>
        <w:jc w:val="both"/>
        <w:rPr/>
      </w:pPr>
      <w:r>
        <w:rPr/>
        <w:t>915.4 – 921 MHz: base transmit, mobile receive;</w:t>
      </w:r>
    </w:p>
    <w:p>
      <w:pPr>
        <w:pStyle w:val="Normal"/>
        <w:jc w:val="both"/>
        <w:rPr/>
      </w:pPr>
      <w:r>
        <w:rPr/>
        <w:t>with a carrier spacing of 200 kHz.</w:t>
      </w:r>
    </w:p>
    <w:p>
      <w:pPr>
        <w:pStyle w:val="Heading1"/>
        <w:ind w:left="1134" w:hanging="1134"/>
        <w:rPr/>
      </w:pPr>
      <w:bookmarkStart w:id="761" w:name="__RefHeading___Toc518036125"/>
      <w:bookmarkEnd w:id="761"/>
      <w:r>
        <w:rPr/>
        <w:t>Y.2</w:t>
        <w:tab/>
        <w:t>System Scenario Calculations for T-GSM 900 systems</w:t>
      </w:r>
    </w:p>
    <w:p>
      <w:pPr>
        <w:pStyle w:val="Heading2"/>
        <w:rPr/>
      </w:pPr>
      <w:bookmarkStart w:id="762" w:name="__RefHeading___Toc518036126"/>
      <w:bookmarkEnd w:id="762"/>
      <w:r>
        <w:rPr/>
        <w:t>Y.2.1</w:t>
        <w:tab/>
        <w:t>Worst case proximity scenarios</w:t>
      </w:r>
    </w:p>
    <w:p>
      <w:pPr>
        <w:pStyle w:val="Normal"/>
        <w:rPr/>
      </w:pPr>
      <w:r>
        <w:rPr/>
        <w:t>The purpose of the present document is to justify the adoption of E-GSM 900 radio frequency requirements to the T-GSM 900 system with minimal changes. This will make it easy to adapt standard GSM technology. Parameters like body loss and multiple interference margin are chosen to be identical that was used in GSM 900 or DCS 1800 system scenario calculations performed earlier in SMG. This was decided for to keep comparison with different system scenario calculations easy. It has to be noted that with chosen approach the T-GSM 900 scenario calculations are somewhat pessimistic compared to the scenarios for GSM 900. This is because the user densities expected in the T-GSM 900 are much lower than those of GSM 900.</w:t>
      </w:r>
    </w:p>
    <w:p>
      <w:pPr>
        <w:pStyle w:val="Normal"/>
        <w:jc w:val="both"/>
        <w:rPr/>
      </w:pPr>
      <w:r>
        <w:rPr/>
        <w:t xml:space="preserve">As was seen with GSM 900 and DCS 1800 cases all worst case scenarios are not met. Compromises have been made where the parameters have statistical probabilities of occurrences and implementation issues. Evidently it would also be more severe to block a BTS than a single MS. Statistical properties of occurrence determine that the co-ordinated case is more important to meet than the uncoordinated case. Because of limited spectrum available in the T-GSM 900 band and the adjacent location to the GSM P band at 915 MHz it is relevant to assume that systems are operated in a co-ordinated manner in all cases. </w:t>
      </w:r>
    </w:p>
    <w:p>
      <w:pPr>
        <w:pStyle w:val="Normal"/>
        <w:rPr/>
      </w:pPr>
      <w:r>
        <w:rPr/>
        <w:t xml:space="preserve">Tables below show examples of close proximity scenarios in urban and rural environments for GSM 900 and T-GSM 900 systems. </w:t>
      </w:r>
    </w:p>
    <w:p>
      <w:pPr>
        <w:pStyle w:val="TH"/>
        <w:rPr/>
      </w:pPr>
      <w:r>
        <w:rPr/>
        <w:t xml:space="preserve">Table </w:t>
      </w:r>
      <w:r>
        <w:rPr>
          <w:lang w:val="en-US" w:eastAsia="en-US"/>
        </w:rPr>
        <w:t>1</w:t>
      </w:r>
      <w:r>
        <w:rPr/>
        <w:t xml:space="preserve">  Worst case proximity scenarios for T-GSM 900</w:t>
      </w:r>
    </w:p>
    <w:tbl>
      <w:tblPr>
        <w:tblW w:w="9180" w:type="dxa"/>
        <w:jc w:val="center"/>
        <w:tblInd w:w="0" w:type="dxa"/>
        <w:tblLayout w:type="fixed"/>
        <w:tblCellMar>
          <w:top w:w="0" w:type="dxa"/>
          <w:left w:w="28" w:type="dxa"/>
          <w:bottom w:w="0" w:type="dxa"/>
          <w:right w:w="28" w:type="dxa"/>
        </w:tblCellMar>
      </w:tblPr>
      <w:tblGrid>
        <w:gridCol w:w="3510"/>
        <w:gridCol w:w="1134"/>
        <w:gridCol w:w="1276"/>
        <w:gridCol w:w="1276"/>
        <w:gridCol w:w="992"/>
        <w:gridCol w:w="992"/>
      </w:tblGrid>
      <w:tr>
        <w:trPr>
          <w:trHeight w:val="200" w:hRule="atLeast"/>
        </w:trPr>
        <w:tc>
          <w:tcPr>
            <w:tcW w:w="3510" w:type="dxa"/>
            <w:tcBorders>
              <w:top w:val="single" w:sz="4" w:space="0" w:color="000000"/>
              <w:left w:val="single" w:sz="4" w:space="0" w:color="000000"/>
            </w:tcBorders>
          </w:tcPr>
          <w:p>
            <w:pPr>
              <w:pStyle w:val="Normal"/>
              <w:keepNext w:val="true"/>
              <w:snapToGrid w:val="false"/>
              <w:spacing w:before="0" w:after="180"/>
              <w:rPr/>
            </w:pPr>
            <w:r>
              <w:rPr/>
            </w:r>
          </w:p>
        </w:tc>
        <w:tc>
          <w:tcPr>
            <w:tcW w:w="1134" w:type="dxa"/>
            <w:tcBorders>
              <w:top w:val="single" w:sz="4" w:space="0" w:color="000000"/>
              <w:left w:val="single" w:sz="4" w:space="0" w:color="000000"/>
            </w:tcBorders>
          </w:tcPr>
          <w:p>
            <w:pPr>
              <w:pStyle w:val="Normal"/>
              <w:keepNext w:val="true"/>
              <w:spacing w:before="0" w:after="180"/>
              <w:rPr/>
            </w:pPr>
            <w:r>
              <w:rPr>
                <w:u w:val="single"/>
              </w:rPr>
              <w:t>Rural</w:t>
            </w:r>
            <w:r>
              <w:rPr/>
              <w:t xml:space="preserve"> </w:t>
            </w:r>
          </w:p>
        </w:tc>
        <w:tc>
          <w:tcPr>
            <w:tcW w:w="1276" w:type="dxa"/>
            <w:tcBorders>
              <w:top w:val="single" w:sz="4" w:space="0" w:color="000000"/>
            </w:tcBorders>
          </w:tcPr>
          <w:p>
            <w:pPr>
              <w:pStyle w:val="Normal"/>
              <w:keepNext w:val="true"/>
              <w:snapToGrid w:val="false"/>
              <w:spacing w:before="0" w:after="180"/>
              <w:rPr/>
            </w:pPr>
            <w:r>
              <w:rPr/>
            </w:r>
          </w:p>
        </w:tc>
        <w:tc>
          <w:tcPr>
            <w:tcW w:w="1276" w:type="dxa"/>
            <w:tcBorders>
              <w:top w:val="single" w:sz="4" w:space="0" w:color="000000"/>
              <w:left w:val="single" w:sz="4" w:space="0" w:color="000000"/>
            </w:tcBorders>
          </w:tcPr>
          <w:p>
            <w:pPr>
              <w:pStyle w:val="Normal"/>
              <w:keepNext w:val="true"/>
              <w:spacing w:before="0" w:after="180"/>
              <w:rPr>
                <w:u w:val="single"/>
              </w:rPr>
            </w:pPr>
            <w:r>
              <w:rPr>
                <w:u w:val="single"/>
              </w:rPr>
              <w:t>Urban</w:t>
            </w:r>
          </w:p>
        </w:tc>
        <w:tc>
          <w:tcPr>
            <w:tcW w:w="992" w:type="dxa"/>
            <w:tcBorders>
              <w:top w:val="single" w:sz="4" w:space="0" w:color="000000"/>
            </w:tcBorders>
          </w:tcPr>
          <w:p>
            <w:pPr>
              <w:pStyle w:val="Normal"/>
              <w:keepNext w:val="true"/>
              <w:snapToGrid w:val="false"/>
              <w:spacing w:before="0" w:after="180"/>
              <w:rPr/>
            </w:pPr>
            <w:r>
              <w:rPr/>
            </w:r>
          </w:p>
        </w:tc>
        <w:tc>
          <w:tcPr>
            <w:tcW w:w="992" w:type="dxa"/>
            <w:tcBorders>
              <w:top w:val="single" w:sz="4" w:space="0" w:color="000000"/>
              <w:right w:val="single" w:sz="4" w:space="0" w:color="000000"/>
            </w:tcBorders>
          </w:tcPr>
          <w:p>
            <w:pPr>
              <w:pStyle w:val="Normal"/>
              <w:keepNext w:val="true"/>
              <w:snapToGrid w:val="false"/>
              <w:spacing w:before="0" w:after="180"/>
              <w:rPr/>
            </w:pPr>
            <w:r>
              <w:rPr/>
            </w:r>
          </w:p>
        </w:tc>
      </w:tr>
      <w:tr>
        <w:trPr>
          <w:trHeight w:val="200" w:hRule="atLeast"/>
        </w:trPr>
        <w:tc>
          <w:tcPr>
            <w:tcW w:w="3510" w:type="dxa"/>
            <w:tcBorders>
              <w:left w:val="single" w:sz="4" w:space="0" w:color="000000"/>
            </w:tcBorders>
          </w:tcPr>
          <w:p>
            <w:pPr>
              <w:pStyle w:val="Normal"/>
              <w:keepNext w:val="true"/>
              <w:snapToGrid w:val="false"/>
              <w:spacing w:before="0" w:after="180"/>
              <w:rPr/>
            </w:pPr>
            <w:r>
              <w:rPr/>
            </w:r>
          </w:p>
        </w:tc>
        <w:tc>
          <w:tcPr>
            <w:tcW w:w="1134" w:type="dxa"/>
            <w:tcBorders>
              <w:left w:val="single" w:sz="4" w:space="0" w:color="000000"/>
            </w:tcBorders>
          </w:tcPr>
          <w:p>
            <w:pPr>
              <w:pStyle w:val="Normal"/>
              <w:keepNext w:val="true"/>
              <w:spacing w:before="0" w:after="180"/>
              <w:rPr/>
            </w:pPr>
            <w:r>
              <w:rPr/>
              <w:t>Street</w:t>
            </w:r>
          </w:p>
        </w:tc>
        <w:tc>
          <w:tcPr>
            <w:tcW w:w="1276" w:type="dxa"/>
            <w:tcBorders/>
          </w:tcPr>
          <w:p>
            <w:pPr>
              <w:pStyle w:val="Normal"/>
              <w:keepNext w:val="true"/>
              <w:spacing w:before="0" w:after="180"/>
              <w:rPr/>
            </w:pPr>
            <w:r>
              <w:rPr/>
              <w:t>Building</w:t>
            </w:r>
          </w:p>
        </w:tc>
        <w:tc>
          <w:tcPr>
            <w:tcW w:w="1276" w:type="dxa"/>
            <w:tcBorders>
              <w:left w:val="single" w:sz="4" w:space="0" w:color="000000"/>
            </w:tcBorders>
          </w:tcPr>
          <w:p>
            <w:pPr>
              <w:pStyle w:val="Normal"/>
              <w:keepNext w:val="true"/>
              <w:spacing w:before="0" w:after="180"/>
              <w:rPr/>
            </w:pPr>
            <w:r>
              <w:rPr/>
              <w:t>Street</w:t>
            </w:r>
          </w:p>
        </w:tc>
        <w:tc>
          <w:tcPr>
            <w:tcW w:w="992" w:type="dxa"/>
            <w:tcBorders/>
          </w:tcPr>
          <w:p>
            <w:pPr>
              <w:pStyle w:val="Normal"/>
              <w:keepNext w:val="true"/>
              <w:spacing w:before="0" w:after="180"/>
              <w:rPr/>
            </w:pPr>
            <w:r>
              <w:rPr/>
              <w:t>Building</w:t>
            </w:r>
          </w:p>
        </w:tc>
        <w:tc>
          <w:tcPr>
            <w:tcW w:w="992" w:type="dxa"/>
            <w:tcBorders>
              <w:right w:val="single" w:sz="4" w:space="0" w:color="000000"/>
            </w:tcBorders>
          </w:tcPr>
          <w:p>
            <w:pPr>
              <w:pStyle w:val="Normal"/>
              <w:keepNext w:val="true"/>
              <w:spacing w:before="0" w:after="180"/>
              <w:rPr/>
            </w:pPr>
            <w:r>
              <w:rPr/>
              <w:t xml:space="preserve">Street </w:t>
            </w:r>
          </w:p>
        </w:tc>
      </w:tr>
      <w:tr>
        <w:trPr>
          <w:trHeight w:val="200" w:hRule="atLeast"/>
        </w:trPr>
        <w:tc>
          <w:tcPr>
            <w:tcW w:w="3510" w:type="dxa"/>
            <w:tcBorders>
              <w:left w:val="single" w:sz="4" w:space="0" w:color="000000"/>
              <w:bottom w:val="single" w:sz="6" w:space="0" w:color="000000"/>
            </w:tcBorders>
          </w:tcPr>
          <w:p>
            <w:pPr>
              <w:pStyle w:val="Normal"/>
              <w:keepNext w:val="true"/>
              <w:snapToGrid w:val="false"/>
              <w:spacing w:before="0" w:after="180"/>
              <w:rPr/>
            </w:pPr>
            <w:r>
              <w:rPr/>
            </w:r>
          </w:p>
        </w:tc>
        <w:tc>
          <w:tcPr>
            <w:tcW w:w="1134" w:type="dxa"/>
            <w:tcBorders>
              <w:left w:val="single" w:sz="4" w:space="0" w:color="000000"/>
              <w:bottom w:val="single" w:sz="6" w:space="0" w:color="000000"/>
            </w:tcBorders>
          </w:tcPr>
          <w:p>
            <w:pPr>
              <w:pStyle w:val="Normal"/>
              <w:keepNext w:val="true"/>
              <w:snapToGrid w:val="false"/>
              <w:spacing w:before="0" w:after="180"/>
              <w:rPr/>
            </w:pPr>
            <w:r>
              <w:rPr/>
            </w:r>
          </w:p>
        </w:tc>
        <w:tc>
          <w:tcPr>
            <w:tcW w:w="1276" w:type="dxa"/>
            <w:tcBorders>
              <w:bottom w:val="single" w:sz="6" w:space="0" w:color="000000"/>
            </w:tcBorders>
          </w:tcPr>
          <w:p>
            <w:pPr>
              <w:pStyle w:val="Normal"/>
              <w:keepNext w:val="true"/>
              <w:spacing w:before="0" w:after="180"/>
              <w:rPr/>
            </w:pPr>
            <w:r>
              <w:rPr/>
              <w:t>[1]</w:t>
            </w:r>
          </w:p>
        </w:tc>
        <w:tc>
          <w:tcPr>
            <w:tcW w:w="1276" w:type="dxa"/>
            <w:tcBorders>
              <w:left w:val="single" w:sz="4" w:space="0" w:color="000000"/>
              <w:bottom w:val="single" w:sz="6" w:space="0" w:color="000000"/>
            </w:tcBorders>
          </w:tcPr>
          <w:p>
            <w:pPr>
              <w:pStyle w:val="Normal"/>
              <w:keepNext w:val="true"/>
              <w:snapToGrid w:val="false"/>
              <w:spacing w:before="0" w:after="180"/>
              <w:rPr/>
            </w:pPr>
            <w:r>
              <w:rPr/>
            </w:r>
          </w:p>
        </w:tc>
        <w:tc>
          <w:tcPr>
            <w:tcW w:w="992" w:type="dxa"/>
            <w:tcBorders>
              <w:bottom w:val="single" w:sz="6" w:space="0" w:color="000000"/>
            </w:tcBorders>
          </w:tcPr>
          <w:p>
            <w:pPr>
              <w:pStyle w:val="Normal"/>
              <w:keepNext w:val="true"/>
              <w:spacing w:before="0" w:after="180"/>
              <w:rPr/>
            </w:pPr>
            <w:r>
              <w:rPr/>
              <w:t>[1]</w:t>
            </w:r>
          </w:p>
        </w:tc>
        <w:tc>
          <w:tcPr>
            <w:tcW w:w="992" w:type="dxa"/>
            <w:tcBorders>
              <w:bottom w:val="single" w:sz="6" w:space="0" w:color="000000"/>
              <w:right w:val="single" w:sz="4" w:space="0" w:color="000000"/>
            </w:tcBorders>
          </w:tcPr>
          <w:p>
            <w:pPr>
              <w:pStyle w:val="Normal"/>
              <w:keepNext w:val="true"/>
              <w:snapToGrid w:val="false"/>
              <w:spacing w:before="0" w:after="180"/>
              <w:rPr/>
            </w:pPr>
            <w:r>
              <w:rPr/>
            </w:r>
          </w:p>
        </w:tc>
      </w:tr>
      <w:tr>
        <w:trPr>
          <w:trHeight w:val="200" w:hRule="atLeast"/>
        </w:trPr>
        <w:tc>
          <w:tcPr>
            <w:tcW w:w="3510" w:type="dxa"/>
            <w:tcBorders>
              <w:left w:val="single" w:sz="4" w:space="0" w:color="000000"/>
            </w:tcBorders>
          </w:tcPr>
          <w:p>
            <w:pPr>
              <w:pStyle w:val="Normal"/>
              <w:keepNext w:val="true"/>
              <w:spacing w:before="0" w:after="180"/>
              <w:rPr/>
            </w:pPr>
            <w:r>
              <w:rPr/>
              <w:t>BTS height, H</w:t>
            </w:r>
            <w:r>
              <w:rPr>
                <w:position w:val="-6"/>
              </w:rPr>
              <w:t>b</w:t>
            </w:r>
            <w:r>
              <w:rPr/>
              <w:t xml:space="preserve"> (m)</w:t>
            </w:r>
          </w:p>
        </w:tc>
        <w:tc>
          <w:tcPr>
            <w:tcW w:w="1134" w:type="dxa"/>
            <w:tcBorders>
              <w:left w:val="single" w:sz="4" w:space="0" w:color="000000"/>
            </w:tcBorders>
          </w:tcPr>
          <w:p>
            <w:pPr>
              <w:pStyle w:val="Normal"/>
              <w:keepNext w:val="true"/>
              <w:spacing w:before="0" w:after="180"/>
              <w:rPr/>
            </w:pPr>
            <w:r>
              <w:rPr/>
              <w:t>20</w:t>
            </w:r>
          </w:p>
        </w:tc>
        <w:tc>
          <w:tcPr>
            <w:tcW w:w="1276" w:type="dxa"/>
            <w:tcBorders/>
          </w:tcPr>
          <w:p>
            <w:pPr>
              <w:pStyle w:val="Normal"/>
              <w:keepNext w:val="true"/>
              <w:spacing w:before="0" w:after="180"/>
              <w:rPr/>
            </w:pPr>
            <w:r>
              <w:rPr/>
              <w:t>15</w:t>
            </w:r>
          </w:p>
        </w:tc>
        <w:tc>
          <w:tcPr>
            <w:tcW w:w="1276" w:type="dxa"/>
            <w:tcBorders>
              <w:left w:val="single" w:sz="4" w:space="0" w:color="000000"/>
            </w:tcBorders>
          </w:tcPr>
          <w:p>
            <w:pPr>
              <w:pStyle w:val="Normal"/>
              <w:keepNext w:val="true"/>
              <w:spacing w:before="0" w:after="180"/>
              <w:rPr/>
            </w:pPr>
            <w:r>
              <w:rPr/>
              <w:t>15</w:t>
            </w:r>
          </w:p>
        </w:tc>
        <w:tc>
          <w:tcPr>
            <w:tcW w:w="992" w:type="dxa"/>
            <w:tcBorders/>
          </w:tcPr>
          <w:p>
            <w:pPr>
              <w:pStyle w:val="Normal"/>
              <w:keepNext w:val="true"/>
              <w:spacing w:before="0" w:after="180"/>
              <w:rPr/>
            </w:pPr>
            <w:r>
              <w:rPr/>
              <w:t>30</w:t>
            </w:r>
          </w:p>
        </w:tc>
        <w:tc>
          <w:tcPr>
            <w:tcW w:w="992" w:type="dxa"/>
            <w:tcBorders>
              <w:right w:val="single" w:sz="4" w:space="0" w:color="000000"/>
            </w:tcBorders>
          </w:tcPr>
          <w:p>
            <w:pPr>
              <w:pStyle w:val="Normal"/>
              <w:keepNext w:val="true"/>
              <w:spacing w:before="0" w:after="180"/>
              <w:rPr/>
            </w:pPr>
            <w:r>
              <w:rPr/>
              <w:t>30</w:t>
            </w:r>
          </w:p>
        </w:tc>
      </w:tr>
      <w:tr>
        <w:trPr>
          <w:trHeight w:val="200" w:hRule="atLeast"/>
        </w:trPr>
        <w:tc>
          <w:tcPr>
            <w:tcW w:w="3510" w:type="dxa"/>
            <w:tcBorders>
              <w:left w:val="single" w:sz="4" w:space="0" w:color="000000"/>
            </w:tcBorders>
          </w:tcPr>
          <w:p>
            <w:pPr>
              <w:pStyle w:val="Normal"/>
              <w:keepNext w:val="true"/>
              <w:spacing w:before="0" w:after="180"/>
              <w:rPr/>
            </w:pPr>
            <w:r>
              <w:rPr/>
              <w:t>MS height, H</w:t>
            </w:r>
            <w:r>
              <w:rPr>
                <w:position w:val="-6"/>
              </w:rPr>
              <w:t>m</w:t>
            </w:r>
            <w:r>
              <w:rPr/>
              <w:t xml:space="preserve"> (m)</w:t>
            </w:r>
          </w:p>
        </w:tc>
        <w:tc>
          <w:tcPr>
            <w:tcW w:w="1134" w:type="dxa"/>
            <w:tcBorders>
              <w:left w:val="single" w:sz="4" w:space="0" w:color="000000"/>
            </w:tcBorders>
          </w:tcPr>
          <w:p>
            <w:pPr>
              <w:pStyle w:val="Normal"/>
              <w:keepNext w:val="true"/>
              <w:spacing w:before="0" w:after="180"/>
              <w:rPr/>
            </w:pPr>
            <w:r>
              <w:rPr/>
              <w:t>1.5</w:t>
            </w:r>
          </w:p>
        </w:tc>
        <w:tc>
          <w:tcPr>
            <w:tcW w:w="1276" w:type="dxa"/>
            <w:tcBorders/>
          </w:tcPr>
          <w:p>
            <w:pPr>
              <w:pStyle w:val="Normal"/>
              <w:keepNext w:val="true"/>
              <w:spacing w:before="0" w:after="180"/>
              <w:rPr/>
            </w:pPr>
            <w:r>
              <w:rPr/>
              <w:t>15</w:t>
            </w:r>
          </w:p>
        </w:tc>
        <w:tc>
          <w:tcPr>
            <w:tcW w:w="1276" w:type="dxa"/>
            <w:tcBorders>
              <w:left w:val="single" w:sz="4" w:space="0" w:color="000000"/>
            </w:tcBorders>
          </w:tcPr>
          <w:p>
            <w:pPr>
              <w:pStyle w:val="Normal"/>
              <w:keepNext w:val="true"/>
              <w:spacing w:before="0" w:after="180"/>
              <w:rPr/>
            </w:pPr>
            <w:r>
              <w:rPr/>
              <w:t>1.5</w:t>
            </w:r>
          </w:p>
        </w:tc>
        <w:tc>
          <w:tcPr>
            <w:tcW w:w="992" w:type="dxa"/>
            <w:tcBorders/>
          </w:tcPr>
          <w:p>
            <w:pPr>
              <w:pStyle w:val="Normal"/>
              <w:keepNext w:val="true"/>
              <w:spacing w:before="0" w:after="180"/>
              <w:rPr/>
            </w:pPr>
            <w:r>
              <w:rPr/>
              <w:t>20</w:t>
            </w:r>
          </w:p>
        </w:tc>
        <w:tc>
          <w:tcPr>
            <w:tcW w:w="992" w:type="dxa"/>
            <w:tcBorders>
              <w:right w:val="single" w:sz="4" w:space="0" w:color="000000"/>
            </w:tcBorders>
          </w:tcPr>
          <w:p>
            <w:pPr>
              <w:pStyle w:val="Normal"/>
              <w:keepNext w:val="true"/>
              <w:spacing w:before="0" w:after="180"/>
              <w:rPr/>
            </w:pPr>
            <w:r>
              <w:rPr/>
              <w:t>1.5</w:t>
            </w:r>
          </w:p>
        </w:tc>
      </w:tr>
      <w:tr>
        <w:trPr>
          <w:trHeight w:val="200" w:hRule="atLeast"/>
        </w:trPr>
        <w:tc>
          <w:tcPr>
            <w:tcW w:w="3510" w:type="dxa"/>
            <w:tcBorders>
              <w:left w:val="single" w:sz="4" w:space="0" w:color="000000"/>
            </w:tcBorders>
          </w:tcPr>
          <w:p>
            <w:pPr>
              <w:pStyle w:val="Normal"/>
              <w:keepNext w:val="true"/>
              <w:spacing w:before="0" w:after="180"/>
              <w:rPr>
                <w:position w:val="-7"/>
              </w:rPr>
            </w:pPr>
            <w:r>
              <w:rPr>
                <w:position w:val="-6"/>
              </w:rPr>
              <w:t>Horizontal separation (m) [4]</w:t>
            </w:r>
          </w:p>
        </w:tc>
        <w:tc>
          <w:tcPr>
            <w:tcW w:w="1134" w:type="dxa"/>
            <w:tcBorders>
              <w:left w:val="single" w:sz="4" w:space="0" w:color="000000"/>
            </w:tcBorders>
          </w:tcPr>
          <w:p>
            <w:pPr>
              <w:pStyle w:val="Normal"/>
              <w:keepNext w:val="true"/>
              <w:spacing w:before="0" w:after="180"/>
              <w:rPr>
                <w:position w:val="-7"/>
              </w:rPr>
            </w:pPr>
            <w:r>
              <w:rPr>
                <w:position w:val="-7"/>
              </w:rPr>
              <w:t>30</w:t>
            </w:r>
          </w:p>
        </w:tc>
        <w:tc>
          <w:tcPr>
            <w:tcW w:w="1276" w:type="dxa"/>
            <w:tcBorders/>
          </w:tcPr>
          <w:p>
            <w:pPr>
              <w:pStyle w:val="Normal"/>
              <w:keepNext w:val="true"/>
              <w:spacing w:before="0" w:after="180"/>
              <w:rPr>
                <w:position w:val="-7"/>
              </w:rPr>
            </w:pPr>
            <w:r>
              <w:rPr>
                <w:position w:val="-7"/>
              </w:rPr>
              <w:t>30</w:t>
            </w:r>
          </w:p>
        </w:tc>
        <w:tc>
          <w:tcPr>
            <w:tcW w:w="1276" w:type="dxa"/>
            <w:tcBorders>
              <w:left w:val="single" w:sz="4" w:space="0" w:color="000000"/>
            </w:tcBorders>
          </w:tcPr>
          <w:p>
            <w:pPr>
              <w:pStyle w:val="Normal"/>
              <w:keepNext w:val="true"/>
              <w:spacing w:before="0" w:after="180"/>
              <w:rPr>
                <w:position w:val="-7"/>
              </w:rPr>
            </w:pPr>
            <w:r>
              <w:rPr>
                <w:position w:val="-7"/>
              </w:rPr>
              <w:t>15</w:t>
            </w:r>
          </w:p>
        </w:tc>
        <w:tc>
          <w:tcPr>
            <w:tcW w:w="992" w:type="dxa"/>
            <w:tcBorders/>
          </w:tcPr>
          <w:p>
            <w:pPr>
              <w:pStyle w:val="Normal"/>
              <w:keepNext w:val="true"/>
              <w:spacing w:before="0" w:after="180"/>
              <w:rPr>
                <w:position w:val="-7"/>
              </w:rPr>
            </w:pPr>
            <w:r>
              <w:rPr>
                <w:position w:val="-7"/>
              </w:rPr>
              <w:t>60</w:t>
            </w:r>
          </w:p>
        </w:tc>
        <w:tc>
          <w:tcPr>
            <w:tcW w:w="992" w:type="dxa"/>
            <w:tcBorders>
              <w:right w:val="single" w:sz="4" w:space="0" w:color="000000"/>
            </w:tcBorders>
          </w:tcPr>
          <w:p>
            <w:pPr>
              <w:pStyle w:val="Normal"/>
              <w:keepNext w:val="true"/>
              <w:spacing w:before="0" w:after="180"/>
              <w:rPr>
                <w:position w:val="-7"/>
              </w:rPr>
            </w:pPr>
            <w:r>
              <w:rPr>
                <w:position w:val="-7"/>
              </w:rPr>
              <w:t>15</w:t>
            </w:r>
          </w:p>
        </w:tc>
      </w:tr>
      <w:tr>
        <w:trPr>
          <w:trHeight w:val="200" w:hRule="atLeast"/>
        </w:trPr>
        <w:tc>
          <w:tcPr>
            <w:tcW w:w="3510" w:type="dxa"/>
            <w:tcBorders>
              <w:left w:val="single" w:sz="4" w:space="0" w:color="000000"/>
            </w:tcBorders>
          </w:tcPr>
          <w:p>
            <w:pPr>
              <w:pStyle w:val="Normal"/>
              <w:keepNext w:val="true"/>
              <w:spacing w:before="0" w:after="180"/>
              <w:rPr>
                <w:position w:val="-7"/>
              </w:rPr>
            </w:pPr>
            <w:r>
              <w:rPr/>
              <w:t>BTS antenna gain, G</w:t>
            </w:r>
            <w:r>
              <w:rPr>
                <w:position w:val="-6"/>
              </w:rPr>
              <w:t xml:space="preserve">b </w:t>
            </w:r>
            <w:r>
              <w:rPr/>
              <w:t>(dB) [2]</w:t>
            </w:r>
          </w:p>
        </w:tc>
        <w:tc>
          <w:tcPr>
            <w:tcW w:w="1134" w:type="dxa"/>
            <w:tcBorders>
              <w:left w:val="single" w:sz="4" w:space="0" w:color="000000"/>
            </w:tcBorders>
          </w:tcPr>
          <w:p>
            <w:pPr>
              <w:pStyle w:val="Normal"/>
              <w:keepNext w:val="true"/>
              <w:spacing w:before="0" w:after="180"/>
              <w:rPr/>
            </w:pPr>
            <w:r>
              <w:rPr/>
              <w:t>18</w:t>
            </w:r>
          </w:p>
        </w:tc>
        <w:tc>
          <w:tcPr>
            <w:tcW w:w="1276" w:type="dxa"/>
            <w:tcBorders/>
          </w:tcPr>
          <w:p>
            <w:pPr>
              <w:pStyle w:val="Normal"/>
              <w:keepNext w:val="true"/>
              <w:spacing w:before="0" w:after="180"/>
              <w:rPr/>
            </w:pPr>
            <w:r>
              <w:rPr/>
              <w:t>10</w:t>
            </w:r>
          </w:p>
        </w:tc>
        <w:tc>
          <w:tcPr>
            <w:tcW w:w="1276" w:type="dxa"/>
            <w:tcBorders>
              <w:left w:val="single" w:sz="4" w:space="0" w:color="000000"/>
            </w:tcBorders>
          </w:tcPr>
          <w:p>
            <w:pPr>
              <w:pStyle w:val="Normal"/>
              <w:keepNext w:val="true"/>
              <w:spacing w:before="0" w:after="180"/>
              <w:rPr/>
            </w:pPr>
            <w:r>
              <w:rPr/>
              <w:t>10</w:t>
            </w:r>
          </w:p>
        </w:tc>
        <w:tc>
          <w:tcPr>
            <w:tcW w:w="992" w:type="dxa"/>
            <w:tcBorders/>
          </w:tcPr>
          <w:p>
            <w:pPr>
              <w:pStyle w:val="Normal"/>
              <w:keepNext w:val="true"/>
              <w:spacing w:before="0" w:after="180"/>
              <w:rPr/>
            </w:pPr>
            <w:r>
              <w:rPr/>
              <w:t>18</w:t>
            </w:r>
          </w:p>
        </w:tc>
        <w:tc>
          <w:tcPr>
            <w:tcW w:w="992" w:type="dxa"/>
            <w:tcBorders>
              <w:right w:val="single" w:sz="4" w:space="0" w:color="000000"/>
            </w:tcBorders>
          </w:tcPr>
          <w:p>
            <w:pPr>
              <w:pStyle w:val="Normal"/>
              <w:keepNext w:val="true"/>
              <w:spacing w:before="0" w:after="180"/>
              <w:rPr/>
            </w:pPr>
            <w:r>
              <w:rPr/>
              <w:t>18</w:t>
            </w:r>
          </w:p>
        </w:tc>
      </w:tr>
      <w:tr>
        <w:trPr>
          <w:trHeight w:val="200" w:hRule="atLeast"/>
        </w:trPr>
        <w:tc>
          <w:tcPr>
            <w:tcW w:w="3510" w:type="dxa"/>
            <w:tcBorders>
              <w:left w:val="single" w:sz="4" w:space="0" w:color="000000"/>
            </w:tcBorders>
          </w:tcPr>
          <w:p>
            <w:pPr>
              <w:pStyle w:val="Normal"/>
              <w:keepNext w:val="true"/>
              <w:spacing w:before="0" w:after="180"/>
              <w:rPr/>
            </w:pPr>
            <w:r>
              <w:rPr/>
              <w:t>BTS antenna gain, G'</w:t>
            </w:r>
            <w:r>
              <w:rPr>
                <w:position w:val="-6"/>
              </w:rPr>
              <w:t>b</w:t>
            </w:r>
            <w:r>
              <w:rPr/>
              <w:t xml:space="preserve"> (dB) [3]</w:t>
            </w:r>
          </w:p>
        </w:tc>
        <w:tc>
          <w:tcPr>
            <w:tcW w:w="1134" w:type="dxa"/>
            <w:tcBorders>
              <w:left w:val="single" w:sz="4" w:space="0" w:color="000000"/>
            </w:tcBorders>
          </w:tcPr>
          <w:p>
            <w:pPr>
              <w:pStyle w:val="Normal"/>
              <w:keepNext w:val="true"/>
              <w:spacing w:before="0" w:after="180"/>
              <w:rPr/>
            </w:pPr>
            <w:r>
              <w:rPr/>
              <w:t xml:space="preserve"> </w:t>
            </w:r>
            <w:r>
              <w:rPr/>
              <w:t>0</w:t>
            </w:r>
          </w:p>
        </w:tc>
        <w:tc>
          <w:tcPr>
            <w:tcW w:w="1276" w:type="dxa"/>
            <w:tcBorders/>
          </w:tcPr>
          <w:p>
            <w:pPr>
              <w:pStyle w:val="Normal"/>
              <w:keepNext w:val="true"/>
              <w:spacing w:before="0" w:after="180"/>
              <w:rPr/>
            </w:pPr>
            <w:r>
              <w:rPr/>
              <w:t>10</w:t>
            </w:r>
          </w:p>
        </w:tc>
        <w:tc>
          <w:tcPr>
            <w:tcW w:w="1276" w:type="dxa"/>
            <w:tcBorders>
              <w:left w:val="single" w:sz="4" w:space="0" w:color="000000"/>
            </w:tcBorders>
          </w:tcPr>
          <w:p>
            <w:pPr>
              <w:pStyle w:val="Normal"/>
              <w:keepNext w:val="true"/>
              <w:spacing w:before="0" w:after="180"/>
              <w:rPr/>
            </w:pPr>
            <w:r>
              <w:rPr/>
              <w:t>2</w:t>
            </w:r>
          </w:p>
        </w:tc>
        <w:tc>
          <w:tcPr>
            <w:tcW w:w="992" w:type="dxa"/>
            <w:tcBorders/>
          </w:tcPr>
          <w:p>
            <w:pPr>
              <w:pStyle w:val="Normal"/>
              <w:keepNext w:val="true"/>
              <w:spacing w:before="0" w:after="180"/>
              <w:rPr/>
            </w:pPr>
            <w:r>
              <w:rPr/>
              <w:t>13</w:t>
            </w:r>
          </w:p>
        </w:tc>
        <w:tc>
          <w:tcPr>
            <w:tcW w:w="992" w:type="dxa"/>
            <w:tcBorders>
              <w:right w:val="single" w:sz="4" w:space="0" w:color="000000"/>
            </w:tcBorders>
          </w:tcPr>
          <w:p>
            <w:pPr>
              <w:pStyle w:val="Normal"/>
              <w:keepNext w:val="true"/>
              <w:spacing w:before="0" w:after="180"/>
              <w:rPr/>
            </w:pPr>
            <w:r>
              <w:rPr/>
              <w:t>0</w:t>
            </w:r>
          </w:p>
        </w:tc>
      </w:tr>
      <w:tr>
        <w:trPr>
          <w:trHeight w:val="200" w:hRule="atLeast"/>
        </w:trPr>
        <w:tc>
          <w:tcPr>
            <w:tcW w:w="3510" w:type="dxa"/>
            <w:tcBorders>
              <w:left w:val="single" w:sz="4" w:space="0" w:color="000000"/>
            </w:tcBorders>
          </w:tcPr>
          <w:p>
            <w:pPr>
              <w:pStyle w:val="Normal"/>
              <w:keepNext w:val="true"/>
              <w:spacing w:before="0" w:after="180"/>
              <w:rPr/>
            </w:pPr>
            <w:r>
              <w:rPr/>
              <w:t>MS antenna gain, G</w:t>
            </w:r>
            <w:r>
              <w:rPr>
                <w:position w:val="-6"/>
              </w:rPr>
              <w:t xml:space="preserve">m </w:t>
            </w:r>
            <w:r>
              <w:rPr/>
              <w:t>(dB)</w:t>
            </w:r>
          </w:p>
        </w:tc>
        <w:tc>
          <w:tcPr>
            <w:tcW w:w="1134" w:type="dxa"/>
            <w:tcBorders>
              <w:left w:val="single" w:sz="4" w:space="0" w:color="000000"/>
            </w:tcBorders>
          </w:tcPr>
          <w:p>
            <w:pPr>
              <w:pStyle w:val="Normal"/>
              <w:keepNext w:val="true"/>
              <w:spacing w:before="0" w:after="180"/>
              <w:rPr/>
            </w:pPr>
            <w:r>
              <w:rPr/>
              <w:t>0</w:t>
            </w:r>
          </w:p>
        </w:tc>
        <w:tc>
          <w:tcPr>
            <w:tcW w:w="1276" w:type="dxa"/>
            <w:tcBorders/>
          </w:tcPr>
          <w:p>
            <w:pPr>
              <w:pStyle w:val="Normal"/>
              <w:keepNext w:val="true"/>
              <w:spacing w:before="0" w:after="180"/>
              <w:rPr/>
            </w:pPr>
            <w:r>
              <w:rPr/>
              <w:t>0</w:t>
            </w:r>
          </w:p>
        </w:tc>
        <w:tc>
          <w:tcPr>
            <w:tcW w:w="1276" w:type="dxa"/>
            <w:tcBorders>
              <w:left w:val="single" w:sz="4" w:space="0" w:color="000000"/>
            </w:tcBorders>
          </w:tcPr>
          <w:p>
            <w:pPr>
              <w:pStyle w:val="Normal"/>
              <w:keepNext w:val="true"/>
              <w:spacing w:before="0" w:after="180"/>
              <w:rPr/>
            </w:pPr>
            <w:r>
              <w:rPr/>
              <w:t>0</w:t>
            </w:r>
          </w:p>
        </w:tc>
        <w:tc>
          <w:tcPr>
            <w:tcW w:w="992" w:type="dxa"/>
            <w:tcBorders/>
          </w:tcPr>
          <w:p>
            <w:pPr>
              <w:pStyle w:val="Normal"/>
              <w:keepNext w:val="true"/>
              <w:spacing w:before="0" w:after="180"/>
              <w:rPr/>
            </w:pPr>
            <w:r>
              <w:rPr/>
              <w:t>0</w:t>
            </w:r>
          </w:p>
        </w:tc>
        <w:tc>
          <w:tcPr>
            <w:tcW w:w="992" w:type="dxa"/>
            <w:tcBorders>
              <w:right w:val="single" w:sz="4" w:space="0" w:color="000000"/>
            </w:tcBorders>
          </w:tcPr>
          <w:p>
            <w:pPr>
              <w:pStyle w:val="Normal"/>
              <w:keepNext w:val="true"/>
              <w:spacing w:before="0" w:after="180"/>
              <w:rPr/>
            </w:pPr>
            <w:r>
              <w:rPr/>
              <w:t>0</w:t>
            </w:r>
          </w:p>
        </w:tc>
      </w:tr>
      <w:tr>
        <w:trPr>
          <w:trHeight w:val="200" w:hRule="atLeast"/>
        </w:trPr>
        <w:tc>
          <w:tcPr>
            <w:tcW w:w="3510" w:type="dxa"/>
            <w:tcBorders>
              <w:left w:val="single" w:sz="4" w:space="0" w:color="000000"/>
            </w:tcBorders>
          </w:tcPr>
          <w:p>
            <w:pPr>
              <w:pStyle w:val="Normal"/>
              <w:keepNext w:val="true"/>
              <w:spacing w:before="0" w:after="180"/>
              <w:rPr>
                <w:position w:val="-7"/>
              </w:rPr>
            </w:pPr>
            <w:r>
              <w:rPr>
                <w:position w:val="-7"/>
              </w:rPr>
              <w:t>Path loss into building (dB)</w:t>
            </w:r>
          </w:p>
        </w:tc>
        <w:tc>
          <w:tcPr>
            <w:tcW w:w="1134" w:type="dxa"/>
            <w:tcBorders>
              <w:left w:val="single" w:sz="4" w:space="0" w:color="000000"/>
            </w:tcBorders>
          </w:tcPr>
          <w:p>
            <w:pPr>
              <w:pStyle w:val="Normal"/>
              <w:keepNext w:val="true"/>
              <w:snapToGrid w:val="false"/>
              <w:spacing w:before="0" w:after="180"/>
              <w:rPr>
                <w:position w:val="-7"/>
              </w:rPr>
            </w:pPr>
            <w:r>
              <w:rPr>
                <w:position w:val="-7"/>
              </w:rPr>
            </w:r>
          </w:p>
        </w:tc>
        <w:tc>
          <w:tcPr>
            <w:tcW w:w="1276" w:type="dxa"/>
            <w:tcBorders/>
          </w:tcPr>
          <w:p>
            <w:pPr>
              <w:pStyle w:val="Normal"/>
              <w:keepNext w:val="true"/>
              <w:spacing w:before="0" w:after="180"/>
              <w:rPr>
                <w:position w:val="-7"/>
              </w:rPr>
            </w:pPr>
            <w:r>
              <w:rPr>
                <w:position w:val="-7"/>
              </w:rPr>
              <w:t>6</w:t>
            </w:r>
          </w:p>
        </w:tc>
        <w:tc>
          <w:tcPr>
            <w:tcW w:w="1276" w:type="dxa"/>
            <w:tcBorders>
              <w:left w:val="single" w:sz="4" w:space="0" w:color="000000"/>
            </w:tcBorders>
          </w:tcPr>
          <w:p>
            <w:pPr>
              <w:pStyle w:val="Normal"/>
              <w:keepNext w:val="true"/>
              <w:snapToGrid w:val="false"/>
              <w:spacing w:before="0" w:after="180"/>
              <w:rPr>
                <w:position w:val="-7"/>
              </w:rPr>
            </w:pPr>
            <w:r>
              <w:rPr>
                <w:position w:val="-7"/>
              </w:rPr>
            </w:r>
          </w:p>
        </w:tc>
        <w:tc>
          <w:tcPr>
            <w:tcW w:w="992" w:type="dxa"/>
            <w:tcBorders/>
          </w:tcPr>
          <w:p>
            <w:pPr>
              <w:pStyle w:val="Normal"/>
              <w:keepNext w:val="true"/>
              <w:spacing w:before="0" w:after="180"/>
              <w:rPr>
                <w:position w:val="-7"/>
              </w:rPr>
            </w:pPr>
            <w:r>
              <w:rPr>
                <w:position w:val="-7"/>
              </w:rPr>
              <w:t>6</w:t>
            </w:r>
          </w:p>
        </w:tc>
        <w:tc>
          <w:tcPr>
            <w:tcW w:w="992" w:type="dxa"/>
            <w:tcBorders>
              <w:right w:val="single" w:sz="4" w:space="0" w:color="000000"/>
            </w:tcBorders>
          </w:tcPr>
          <w:p>
            <w:pPr>
              <w:pStyle w:val="Normal"/>
              <w:keepNext w:val="true"/>
              <w:snapToGrid w:val="false"/>
              <w:spacing w:before="0" w:after="180"/>
              <w:rPr>
                <w:position w:val="-7"/>
              </w:rPr>
            </w:pPr>
            <w:r>
              <w:rPr>
                <w:position w:val="-7"/>
              </w:rPr>
            </w:r>
          </w:p>
        </w:tc>
      </w:tr>
      <w:tr>
        <w:trPr>
          <w:trHeight w:val="200" w:hRule="atLeast"/>
        </w:trPr>
        <w:tc>
          <w:tcPr>
            <w:tcW w:w="3510" w:type="dxa"/>
            <w:tcBorders>
              <w:left w:val="single" w:sz="4" w:space="0" w:color="000000"/>
            </w:tcBorders>
          </w:tcPr>
          <w:p>
            <w:pPr>
              <w:pStyle w:val="Normal"/>
              <w:keepNext w:val="true"/>
              <w:spacing w:before="0" w:after="180"/>
              <w:rPr>
                <w:position w:val="-7"/>
              </w:rPr>
            </w:pPr>
            <w:r>
              <w:rPr>
                <w:position w:val="-7"/>
              </w:rPr>
              <w:t>Cable/Connector Loss (dB)</w:t>
            </w:r>
          </w:p>
        </w:tc>
        <w:tc>
          <w:tcPr>
            <w:tcW w:w="1134" w:type="dxa"/>
            <w:tcBorders>
              <w:left w:val="single" w:sz="4" w:space="0" w:color="000000"/>
            </w:tcBorders>
          </w:tcPr>
          <w:p>
            <w:pPr>
              <w:pStyle w:val="Normal"/>
              <w:keepNext w:val="true"/>
              <w:spacing w:before="0" w:after="180"/>
              <w:rPr>
                <w:position w:val="-7"/>
              </w:rPr>
            </w:pPr>
            <w:r>
              <w:rPr>
                <w:position w:val="-7"/>
              </w:rPr>
              <w:t>2</w:t>
            </w:r>
          </w:p>
        </w:tc>
        <w:tc>
          <w:tcPr>
            <w:tcW w:w="1276" w:type="dxa"/>
            <w:tcBorders/>
          </w:tcPr>
          <w:p>
            <w:pPr>
              <w:pStyle w:val="Normal"/>
              <w:keepNext w:val="true"/>
              <w:spacing w:before="0" w:after="180"/>
              <w:rPr>
                <w:position w:val="-7"/>
              </w:rPr>
            </w:pPr>
            <w:r>
              <w:rPr>
                <w:position w:val="-7"/>
              </w:rPr>
              <w:t>2</w:t>
            </w:r>
          </w:p>
        </w:tc>
        <w:tc>
          <w:tcPr>
            <w:tcW w:w="1276" w:type="dxa"/>
            <w:tcBorders>
              <w:left w:val="single" w:sz="4" w:space="0" w:color="000000"/>
            </w:tcBorders>
          </w:tcPr>
          <w:p>
            <w:pPr>
              <w:pStyle w:val="Normal"/>
              <w:keepNext w:val="true"/>
              <w:spacing w:before="0" w:after="180"/>
              <w:rPr>
                <w:position w:val="-7"/>
              </w:rPr>
            </w:pPr>
            <w:r>
              <w:rPr>
                <w:position w:val="-7"/>
              </w:rPr>
              <w:t>2</w:t>
            </w:r>
          </w:p>
        </w:tc>
        <w:tc>
          <w:tcPr>
            <w:tcW w:w="992" w:type="dxa"/>
            <w:tcBorders/>
          </w:tcPr>
          <w:p>
            <w:pPr>
              <w:pStyle w:val="Normal"/>
              <w:keepNext w:val="true"/>
              <w:spacing w:before="0" w:after="180"/>
              <w:rPr>
                <w:position w:val="-7"/>
              </w:rPr>
            </w:pPr>
            <w:r>
              <w:rPr>
                <w:position w:val="-7"/>
              </w:rPr>
              <w:t>2</w:t>
            </w:r>
          </w:p>
        </w:tc>
        <w:tc>
          <w:tcPr>
            <w:tcW w:w="992" w:type="dxa"/>
            <w:tcBorders>
              <w:right w:val="single" w:sz="4" w:space="0" w:color="000000"/>
            </w:tcBorders>
          </w:tcPr>
          <w:p>
            <w:pPr>
              <w:pStyle w:val="Normal"/>
              <w:keepNext w:val="true"/>
              <w:spacing w:before="0" w:after="180"/>
              <w:rPr>
                <w:position w:val="-7"/>
              </w:rPr>
            </w:pPr>
            <w:r>
              <w:rPr>
                <w:position w:val="-7"/>
              </w:rPr>
              <w:t>2</w:t>
            </w:r>
          </w:p>
        </w:tc>
      </w:tr>
      <w:tr>
        <w:trPr>
          <w:trHeight w:val="200" w:hRule="atLeast"/>
        </w:trPr>
        <w:tc>
          <w:tcPr>
            <w:tcW w:w="3510" w:type="dxa"/>
            <w:tcBorders>
              <w:left w:val="single" w:sz="4" w:space="0" w:color="000000"/>
            </w:tcBorders>
          </w:tcPr>
          <w:p>
            <w:pPr>
              <w:pStyle w:val="Normal"/>
              <w:keepNext w:val="true"/>
              <w:spacing w:before="0" w:after="180"/>
              <w:rPr>
                <w:position w:val="-7"/>
              </w:rPr>
            </w:pPr>
            <w:r>
              <w:rPr>
                <w:position w:val="-7"/>
              </w:rPr>
              <w:t>Body Loss  (dB)</w:t>
            </w:r>
          </w:p>
        </w:tc>
        <w:tc>
          <w:tcPr>
            <w:tcW w:w="1134" w:type="dxa"/>
            <w:tcBorders>
              <w:left w:val="single" w:sz="4" w:space="0" w:color="000000"/>
            </w:tcBorders>
          </w:tcPr>
          <w:p>
            <w:pPr>
              <w:pStyle w:val="Normal"/>
              <w:keepNext w:val="true"/>
              <w:spacing w:before="0" w:after="180"/>
              <w:rPr>
                <w:position w:val="-7"/>
              </w:rPr>
            </w:pPr>
            <w:r>
              <w:rPr>
                <w:position w:val="-7"/>
              </w:rPr>
              <w:t>1</w:t>
            </w:r>
          </w:p>
        </w:tc>
        <w:tc>
          <w:tcPr>
            <w:tcW w:w="1276" w:type="dxa"/>
            <w:tcBorders/>
          </w:tcPr>
          <w:p>
            <w:pPr>
              <w:pStyle w:val="Normal"/>
              <w:keepNext w:val="true"/>
              <w:spacing w:before="0" w:after="180"/>
              <w:rPr>
                <w:position w:val="-7"/>
              </w:rPr>
            </w:pPr>
            <w:r>
              <w:rPr>
                <w:position w:val="-7"/>
              </w:rPr>
              <w:t>1</w:t>
            </w:r>
          </w:p>
        </w:tc>
        <w:tc>
          <w:tcPr>
            <w:tcW w:w="1276" w:type="dxa"/>
            <w:tcBorders>
              <w:left w:val="single" w:sz="4" w:space="0" w:color="000000"/>
            </w:tcBorders>
          </w:tcPr>
          <w:p>
            <w:pPr>
              <w:pStyle w:val="Normal"/>
              <w:keepNext w:val="true"/>
              <w:spacing w:before="0" w:after="180"/>
              <w:rPr>
                <w:position w:val="-7"/>
              </w:rPr>
            </w:pPr>
            <w:r>
              <w:rPr>
                <w:position w:val="-7"/>
              </w:rPr>
              <w:t>1</w:t>
            </w:r>
          </w:p>
        </w:tc>
        <w:tc>
          <w:tcPr>
            <w:tcW w:w="992" w:type="dxa"/>
            <w:tcBorders/>
          </w:tcPr>
          <w:p>
            <w:pPr>
              <w:pStyle w:val="Normal"/>
              <w:keepNext w:val="true"/>
              <w:spacing w:before="0" w:after="180"/>
              <w:rPr>
                <w:position w:val="-7"/>
              </w:rPr>
            </w:pPr>
            <w:r>
              <w:rPr>
                <w:position w:val="-7"/>
              </w:rPr>
              <w:t>1</w:t>
            </w:r>
          </w:p>
        </w:tc>
        <w:tc>
          <w:tcPr>
            <w:tcW w:w="992" w:type="dxa"/>
            <w:tcBorders>
              <w:right w:val="single" w:sz="4" w:space="0" w:color="000000"/>
            </w:tcBorders>
          </w:tcPr>
          <w:p>
            <w:pPr>
              <w:pStyle w:val="Normal"/>
              <w:keepNext w:val="true"/>
              <w:spacing w:before="0" w:after="180"/>
              <w:rPr>
                <w:position w:val="-7"/>
              </w:rPr>
            </w:pPr>
            <w:r>
              <w:rPr>
                <w:position w:val="-7"/>
              </w:rPr>
              <w:t>1</w:t>
            </w:r>
          </w:p>
        </w:tc>
      </w:tr>
      <w:tr>
        <w:trPr>
          <w:trHeight w:val="200" w:hRule="atLeast"/>
        </w:trPr>
        <w:tc>
          <w:tcPr>
            <w:tcW w:w="3510" w:type="dxa"/>
            <w:tcBorders>
              <w:left w:val="single" w:sz="4" w:space="0" w:color="000000"/>
            </w:tcBorders>
          </w:tcPr>
          <w:p>
            <w:pPr>
              <w:pStyle w:val="Normal"/>
              <w:keepNext w:val="true"/>
              <w:snapToGrid w:val="false"/>
              <w:spacing w:before="0" w:after="180"/>
              <w:rPr>
                <w:position w:val="-7"/>
                <w:u w:val="single"/>
              </w:rPr>
            </w:pPr>
            <w:r>
              <w:rPr>
                <w:position w:val="-7"/>
                <w:u w:val="single"/>
              </w:rPr>
            </w:r>
          </w:p>
        </w:tc>
        <w:tc>
          <w:tcPr>
            <w:tcW w:w="1134" w:type="dxa"/>
            <w:tcBorders>
              <w:left w:val="single" w:sz="4" w:space="0" w:color="000000"/>
            </w:tcBorders>
          </w:tcPr>
          <w:p>
            <w:pPr>
              <w:pStyle w:val="Normal"/>
              <w:keepNext w:val="true"/>
              <w:snapToGrid w:val="false"/>
              <w:spacing w:before="0" w:after="180"/>
              <w:rPr>
                <w:position w:val="-7"/>
                <w:u w:val="single"/>
              </w:rPr>
            </w:pPr>
            <w:r>
              <w:rPr>
                <w:position w:val="-7"/>
                <w:u w:val="single"/>
              </w:rPr>
            </w:r>
          </w:p>
        </w:tc>
        <w:tc>
          <w:tcPr>
            <w:tcW w:w="1276" w:type="dxa"/>
            <w:tcBorders/>
          </w:tcPr>
          <w:p>
            <w:pPr>
              <w:pStyle w:val="Normal"/>
              <w:keepNext w:val="true"/>
              <w:snapToGrid w:val="false"/>
              <w:spacing w:before="0" w:after="180"/>
              <w:rPr>
                <w:position w:val="-7"/>
                <w:u w:val="single"/>
              </w:rPr>
            </w:pPr>
            <w:r>
              <w:rPr>
                <w:position w:val="-7"/>
                <w:u w:val="single"/>
              </w:rPr>
            </w:r>
          </w:p>
        </w:tc>
        <w:tc>
          <w:tcPr>
            <w:tcW w:w="1276" w:type="dxa"/>
            <w:tcBorders>
              <w:left w:val="single" w:sz="4" w:space="0" w:color="000000"/>
            </w:tcBorders>
          </w:tcPr>
          <w:p>
            <w:pPr>
              <w:pStyle w:val="Normal"/>
              <w:keepNext w:val="true"/>
              <w:snapToGrid w:val="false"/>
              <w:spacing w:before="0" w:after="180"/>
              <w:rPr>
                <w:position w:val="-7"/>
                <w:u w:val="single"/>
              </w:rPr>
            </w:pPr>
            <w:r>
              <w:rPr>
                <w:position w:val="-7"/>
                <w:u w:val="single"/>
              </w:rPr>
            </w:r>
          </w:p>
        </w:tc>
        <w:tc>
          <w:tcPr>
            <w:tcW w:w="992" w:type="dxa"/>
            <w:tcBorders/>
          </w:tcPr>
          <w:p>
            <w:pPr>
              <w:pStyle w:val="Normal"/>
              <w:keepNext w:val="true"/>
              <w:snapToGrid w:val="false"/>
              <w:spacing w:before="0" w:after="180"/>
              <w:rPr>
                <w:position w:val="-7"/>
                <w:u w:val="single"/>
              </w:rPr>
            </w:pPr>
            <w:r>
              <w:rPr>
                <w:position w:val="-7"/>
                <w:u w:val="single"/>
              </w:rPr>
            </w:r>
          </w:p>
        </w:tc>
        <w:tc>
          <w:tcPr>
            <w:tcW w:w="992" w:type="dxa"/>
            <w:tcBorders>
              <w:right w:val="single" w:sz="4" w:space="0" w:color="000000"/>
            </w:tcBorders>
          </w:tcPr>
          <w:p>
            <w:pPr>
              <w:pStyle w:val="Normal"/>
              <w:keepNext w:val="true"/>
              <w:snapToGrid w:val="false"/>
              <w:spacing w:before="0" w:after="180"/>
              <w:rPr>
                <w:position w:val="-7"/>
                <w:u w:val="single"/>
              </w:rPr>
            </w:pPr>
            <w:r>
              <w:rPr>
                <w:position w:val="-7"/>
                <w:u w:val="single"/>
              </w:rPr>
            </w:r>
          </w:p>
        </w:tc>
      </w:tr>
      <w:tr>
        <w:trPr>
          <w:trHeight w:val="200" w:hRule="atLeast"/>
        </w:trPr>
        <w:tc>
          <w:tcPr>
            <w:tcW w:w="3510" w:type="dxa"/>
            <w:tcBorders>
              <w:top w:val="single" w:sz="6" w:space="0" w:color="000000"/>
              <w:left w:val="single" w:sz="4" w:space="0" w:color="000000"/>
              <w:bottom w:val="single" w:sz="4" w:space="0" w:color="000000"/>
            </w:tcBorders>
          </w:tcPr>
          <w:p>
            <w:pPr>
              <w:pStyle w:val="Normal"/>
              <w:keepNext w:val="true"/>
              <w:spacing w:before="0" w:after="180"/>
              <w:rPr/>
            </w:pPr>
            <w:r>
              <w:rPr>
                <w:position w:val="-6"/>
              </w:rPr>
              <w:t>Path loss - antenna gain (dB)</w:t>
            </w:r>
          </w:p>
        </w:tc>
        <w:tc>
          <w:tcPr>
            <w:tcW w:w="1134" w:type="dxa"/>
            <w:tcBorders>
              <w:top w:val="single" w:sz="6" w:space="0" w:color="000000"/>
              <w:left w:val="single" w:sz="4" w:space="0" w:color="000000"/>
              <w:bottom w:val="single" w:sz="4" w:space="0" w:color="000000"/>
            </w:tcBorders>
          </w:tcPr>
          <w:p>
            <w:pPr>
              <w:pStyle w:val="Normal"/>
              <w:keepNext w:val="true"/>
              <w:spacing w:before="0" w:after="180"/>
              <w:rPr>
                <w:position w:val="-7"/>
              </w:rPr>
            </w:pPr>
            <w:r>
              <w:rPr>
                <w:position w:val="-7"/>
              </w:rPr>
              <w:t>65</w:t>
            </w:r>
          </w:p>
        </w:tc>
        <w:tc>
          <w:tcPr>
            <w:tcW w:w="1276" w:type="dxa"/>
            <w:tcBorders>
              <w:top w:val="single" w:sz="6" w:space="0" w:color="000000"/>
              <w:bottom w:val="single" w:sz="4" w:space="0" w:color="000000"/>
            </w:tcBorders>
          </w:tcPr>
          <w:p>
            <w:pPr>
              <w:pStyle w:val="Normal"/>
              <w:keepNext w:val="true"/>
              <w:spacing w:before="0" w:after="180"/>
              <w:rPr>
                <w:position w:val="-7"/>
              </w:rPr>
            </w:pPr>
            <w:r>
              <w:rPr>
                <w:position w:val="-7"/>
              </w:rPr>
              <w:t>60</w:t>
            </w:r>
          </w:p>
        </w:tc>
        <w:tc>
          <w:tcPr>
            <w:tcW w:w="1276" w:type="dxa"/>
            <w:tcBorders>
              <w:top w:val="single" w:sz="6" w:space="0" w:color="000000"/>
              <w:left w:val="single" w:sz="4" w:space="0" w:color="000000"/>
              <w:bottom w:val="single" w:sz="4" w:space="0" w:color="000000"/>
            </w:tcBorders>
          </w:tcPr>
          <w:p>
            <w:pPr>
              <w:pStyle w:val="Normal"/>
              <w:keepNext w:val="true"/>
              <w:spacing w:before="0" w:after="180"/>
              <w:rPr>
                <w:position w:val="-7"/>
              </w:rPr>
            </w:pPr>
            <w:r>
              <w:rPr>
                <w:position w:val="-7"/>
              </w:rPr>
              <w:t>59</w:t>
            </w:r>
          </w:p>
        </w:tc>
        <w:tc>
          <w:tcPr>
            <w:tcW w:w="992" w:type="dxa"/>
            <w:tcBorders>
              <w:top w:val="single" w:sz="6" w:space="0" w:color="000000"/>
              <w:bottom w:val="single" w:sz="4" w:space="0" w:color="000000"/>
            </w:tcBorders>
          </w:tcPr>
          <w:p>
            <w:pPr>
              <w:pStyle w:val="Normal"/>
              <w:keepNext w:val="true"/>
              <w:spacing w:before="0" w:after="180"/>
              <w:rPr>
                <w:position w:val="-7"/>
              </w:rPr>
            </w:pPr>
            <w:r>
              <w:rPr>
                <w:position w:val="-7"/>
              </w:rPr>
              <w:t>63</w:t>
            </w:r>
          </w:p>
        </w:tc>
        <w:tc>
          <w:tcPr>
            <w:tcW w:w="992" w:type="dxa"/>
            <w:tcBorders>
              <w:top w:val="single" w:sz="6" w:space="0" w:color="000000"/>
              <w:bottom w:val="single" w:sz="4" w:space="0" w:color="000000"/>
              <w:right w:val="single" w:sz="4" w:space="0" w:color="000000"/>
            </w:tcBorders>
          </w:tcPr>
          <w:p>
            <w:pPr>
              <w:pStyle w:val="Normal"/>
              <w:keepNext w:val="true"/>
              <w:spacing w:before="0" w:after="180"/>
              <w:rPr>
                <w:position w:val="-7"/>
              </w:rPr>
            </w:pPr>
            <w:r>
              <w:rPr>
                <w:position w:val="-7"/>
              </w:rPr>
              <w:t>65</w:t>
            </w:r>
          </w:p>
        </w:tc>
      </w:tr>
    </w:tbl>
    <w:p>
      <w:pPr>
        <w:pStyle w:val="FP"/>
        <w:rPr/>
      </w:pPr>
      <w:r>
        <w:rPr/>
      </w:r>
    </w:p>
    <w:p>
      <w:pPr>
        <w:pStyle w:val="NO"/>
        <w:rPr/>
      </w:pPr>
      <w:r>
        <w:rPr/>
        <w:t>Notes:</w:t>
        <w:tab/>
        <w:t>[1]</w:t>
        <w:tab/>
        <w:t>Handset at height H</w:t>
      </w:r>
      <w:r>
        <w:rPr>
          <w:position w:val="-6"/>
        </w:rPr>
        <w:t>m</w:t>
      </w:r>
      <w:r>
        <w:rPr/>
        <w:t xml:space="preserve"> in building </w:t>
      </w:r>
    </w:p>
    <w:p>
      <w:pPr>
        <w:pStyle w:val="NO"/>
        <w:rPr/>
      </w:pPr>
      <w:r>
        <w:rPr/>
        <w:tab/>
        <w:t>[2]</w:t>
        <w:tab/>
        <w:t>Bore-sight gain</w:t>
      </w:r>
    </w:p>
    <w:p>
      <w:pPr>
        <w:pStyle w:val="NO"/>
        <w:rPr/>
      </w:pPr>
      <w:r>
        <w:rPr/>
        <w:tab/>
        <w:t>[3]</w:t>
        <w:tab/>
        <w:t>Gain in direction of MS</w:t>
      </w:r>
    </w:p>
    <w:p>
      <w:pPr>
        <w:pStyle w:val="NO"/>
        <w:rPr/>
      </w:pPr>
      <w:r>
        <w:rPr/>
        <w:tab/>
        <w:t>[4]</w:t>
        <w:tab/>
        <w:t>Horizontal separation between MS and BTS</w:t>
      </w:r>
    </w:p>
    <w:p>
      <w:pPr>
        <w:pStyle w:val="Normal"/>
        <w:rPr/>
      </w:pPr>
      <w:r>
        <w:rPr/>
      </w:r>
    </w:p>
    <w:p>
      <w:pPr>
        <w:pStyle w:val="Normal"/>
        <w:rPr/>
      </w:pPr>
      <w:r>
        <w:rPr/>
        <w:t>Path loss is assumed to be free space i.e. 31.5 + 20 log d(m) dB for GSM 900 and T-GSM 900 systems, where d is the length of the sloping line connecting the transmit and receive antennas. The coupling loss is defined between antenna connectors. The transmitter power and receiver sensitivity is measured at the respective antenna connectors.</w:t>
      </w:r>
    </w:p>
    <w:p>
      <w:pPr>
        <w:pStyle w:val="Normal"/>
        <w:jc w:val="both"/>
        <w:rPr/>
      </w:pPr>
      <w:r>
        <w:rPr/>
        <w:t>Coupling between BTSs may result either from the co-siting of BTSs or from several BTSs in close proximity with directional antenna. The minimum coupling loss between BTSs is assumed to be 30 dB. This is defined as the loss between the transmitter combiner output and the receiver multi-coupler input.</w:t>
      </w:r>
    </w:p>
    <w:p>
      <w:pPr>
        <w:pStyle w:val="Normal"/>
        <w:jc w:val="both"/>
        <w:rPr/>
      </w:pPr>
      <w:r>
        <w:rPr/>
        <w:t>T-GSM 900 system scenario calculations use a value for dense urban area MCL of 59 dB.</w:t>
      </w:r>
    </w:p>
    <w:p>
      <w:pPr>
        <w:pStyle w:val="Normal"/>
        <w:jc w:val="both"/>
        <w:rPr/>
      </w:pPr>
      <w:r>
        <w:rPr/>
        <w:t>MS to MS close proximity MCL is 34.5 dB for GSM 900 and T-GSM 900. Recent measures indicate that body loss for small hand-sets is closer to 10 dB rather than the used 1 dB (05.50 v 6.0.2 Appendix H). The requirements for the worst case scenario would be relaxed by this difference and easier to meet.</w:t>
      </w:r>
    </w:p>
    <w:p>
      <w:pPr>
        <w:pStyle w:val="Normal"/>
        <w:jc w:val="both"/>
        <w:rPr/>
      </w:pPr>
      <w:r>
        <w:rPr/>
        <w:t>Worst case scenarios usually involve a "near/far" problem of some kind, the component scenario assumptions as given in the scenarios paper for "near" and "far" can be summarised as follows.</w:t>
      </w:r>
    </w:p>
    <w:p>
      <w:pPr>
        <w:pStyle w:val="TH"/>
        <w:rPr/>
      </w:pPr>
      <w:r>
        <w:rPr/>
      </w:r>
    </w:p>
    <w:tbl>
      <w:tblPr>
        <w:tblW w:w="3091" w:type="dxa"/>
        <w:jc w:val="center"/>
        <w:tblInd w:w="0" w:type="dxa"/>
        <w:tblLayout w:type="fixed"/>
        <w:tblCellMar>
          <w:top w:w="0" w:type="dxa"/>
          <w:left w:w="28" w:type="dxa"/>
          <w:bottom w:w="0" w:type="dxa"/>
          <w:right w:w="28" w:type="dxa"/>
        </w:tblCellMar>
      </w:tblPr>
      <w:tblGrid>
        <w:gridCol w:w="1545"/>
        <w:gridCol w:w="1546"/>
      </w:tblGrid>
      <w:tr>
        <w:trPr/>
        <w:tc>
          <w:tcPr>
            <w:tcW w:w="154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"Near"</w:t>
            </w:r>
          </w:p>
        </w:tc>
        <w:tc>
          <w:tcPr>
            <w:tcW w:w="154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MCL [dB]</w:t>
            </w:r>
          </w:p>
        </w:tc>
      </w:tr>
      <w:tr>
        <w:trPr/>
        <w:tc>
          <w:tcPr>
            <w:tcW w:w="154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BTS -&gt; MS</w:t>
            </w:r>
          </w:p>
        </w:tc>
        <w:tc>
          <w:tcPr>
            <w:tcW w:w="1546"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59</w:t>
            </w:r>
          </w:p>
        </w:tc>
      </w:tr>
      <w:tr>
        <w:trPr/>
        <w:tc>
          <w:tcPr>
            <w:tcW w:w="154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MS -&gt; BTS</w:t>
            </w:r>
          </w:p>
        </w:tc>
        <w:tc>
          <w:tcPr>
            <w:tcW w:w="1546"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59</w:t>
            </w:r>
          </w:p>
        </w:tc>
      </w:tr>
      <w:tr>
        <w:trPr/>
        <w:tc>
          <w:tcPr>
            <w:tcW w:w="154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MS -&gt; MS</w:t>
            </w:r>
          </w:p>
        </w:tc>
        <w:tc>
          <w:tcPr>
            <w:tcW w:w="1546"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34.5</w:t>
            </w:r>
          </w:p>
        </w:tc>
      </w:tr>
      <w:tr>
        <w:trPr/>
        <w:tc>
          <w:tcPr>
            <w:tcW w:w="154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BTS -&gt; BTS</w:t>
            </w:r>
          </w:p>
        </w:tc>
        <w:tc>
          <w:tcPr>
            <w:tcW w:w="1546"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30</w:t>
            </w:r>
          </w:p>
        </w:tc>
      </w:tr>
    </w:tbl>
    <w:p>
      <w:pPr>
        <w:pStyle w:val="FP"/>
        <w:rPr/>
      </w:pPr>
      <w:r>
        <w:rPr/>
      </w:r>
    </w:p>
    <w:p>
      <w:pPr>
        <w:pStyle w:val="TH"/>
        <w:rPr/>
      </w:pPr>
      <w:r>
        <w:rPr/>
      </w:r>
    </w:p>
    <w:tbl>
      <w:tblPr>
        <w:tblW w:w="4071" w:type="dxa"/>
        <w:jc w:val="center"/>
        <w:tblInd w:w="0" w:type="dxa"/>
        <w:tblLayout w:type="fixed"/>
        <w:tblCellMar>
          <w:top w:w="0" w:type="dxa"/>
          <w:left w:w="28" w:type="dxa"/>
          <w:bottom w:w="0" w:type="dxa"/>
          <w:right w:w="28" w:type="dxa"/>
        </w:tblCellMar>
      </w:tblPr>
      <w:tblGrid>
        <w:gridCol w:w="1357"/>
        <w:gridCol w:w="1357"/>
        <w:gridCol w:w="1357"/>
      </w:tblGrid>
      <w:tr>
        <w:trPr/>
        <w:tc>
          <w:tcPr>
            <w:tcW w:w="13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"Far"</w:t>
            </w:r>
          </w:p>
        </w:tc>
        <w:tc>
          <w:tcPr>
            <w:tcW w:w="13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TX power [dBm]</w:t>
            </w:r>
          </w:p>
        </w:tc>
        <w:tc>
          <w:tcPr>
            <w:tcW w:w="135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RX Sensitivity [dBm]</w:t>
            </w:r>
          </w:p>
        </w:tc>
      </w:tr>
      <w:tr>
        <w:trPr/>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BTS</w:t>
            </w:r>
          </w:p>
        </w:tc>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39</w:t>
            </w:r>
          </w:p>
        </w:tc>
        <w:tc>
          <w:tcPr>
            <w:tcW w:w="135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-104</w:t>
            </w:r>
          </w:p>
        </w:tc>
      </w:tr>
      <w:tr>
        <w:trPr/>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MS</w:t>
            </w:r>
          </w:p>
        </w:tc>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33</w:t>
            </w:r>
          </w:p>
        </w:tc>
        <w:tc>
          <w:tcPr>
            <w:tcW w:w="135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-102</w:t>
            </w:r>
          </w:p>
        </w:tc>
      </w:tr>
    </w:tbl>
    <w:p>
      <w:pPr>
        <w:pStyle w:val="FP"/>
        <w:rPr/>
      </w:pPr>
      <w:r>
        <w:rPr/>
      </w:r>
    </w:p>
    <w:p>
      <w:pPr>
        <w:pStyle w:val="Normal"/>
        <w:ind w:right="-720" w:hanging="0"/>
        <w:rPr/>
      </w:pPr>
      <w:r>
        <w:rPr/>
        <w:t>Other parameters used in scenario calculations are:</w:t>
      </w:r>
    </w:p>
    <w:p>
      <w:pPr>
        <w:pStyle w:val="TH"/>
        <w:rPr/>
      </w:pPr>
      <w:r>
        <w:rPr/>
      </w:r>
    </w:p>
    <w:tbl>
      <w:tblPr>
        <w:tblW w:w="5774" w:type="dxa"/>
        <w:jc w:val="center"/>
        <w:tblInd w:w="0" w:type="dxa"/>
        <w:tblLayout w:type="fixed"/>
        <w:tblCellMar>
          <w:top w:w="0" w:type="dxa"/>
          <w:left w:w="108" w:type="dxa"/>
          <w:bottom w:w="0" w:type="dxa"/>
          <w:right w:w="108" w:type="dxa"/>
        </w:tblCellMar>
      </w:tblPr>
      <w:tblGrid>
        <w:gridCol w:w="3506"/>
        <w:gridCol w:w="2268"/>
      </w:tblGrid>
      <w:tr>
        <w:trPr/>
        <w:tc>
          <w:tcPr>
            <w:tcW w:w="3506"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rPr>
                <w:b/>
                <w:b/>
              </w:rPr>
            </w:pPr>
            <w:r>
              <w:rPr>
                <w:b/>
              </w:rPr>
              <w:t>Parameter</w:t>
            </w:r>
          </w:p>
        </w:tc>
        <w:tc>
          <w:tcPr>
            <w:tcW w:w="2268"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jc w:val="center"/>
              <w:rPr>
                <w:b/>
                <w:b/>
              </w:rPr>
            </w:pPr>
            <w:r>
              <w:rPr>
                <w:b/>
              </w:rPr>
              <w:t>Value [dB]</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rPr/>
            </w:pPr>
            <w:r>
              <w:rPr/>
              <w:t>BTS power control range</w:t>
            </w:r>
          </w:p>
        </w:tc>
        <w:tc>
          <w:tcPr>
            <w:tcW w:w="2268"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jc w:val="center"/>
              <w:rPr/>
            </w:pPr>
            <w:r>
              <w:rPr/>
              <w:t>30</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rPr/>
            </w:pPr>
            <w:r>
              <w:rPr/>
              <w:t>MS power control range</w:t>
            </w:r>
          </w:p>
        </w:tc>
        <w:tc>
          <w:tcPr>
            <w:tcW w:w="2268"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jc w:val="center"/>
              <w:rPr/>
            </w:pPr>
            <w:r>
              <w:rPr/>
              <w:t>26</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rPr/>
            </w:pPr>
            <w:r>
              <w:rPr/>
              <w:t>C/I margin</w:t>
            </w:r>
          </w:p>
        </w:tc>
        <w:tc>
          <w:tcPr>
            <w:tcW w:w="2268"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jc w:val="center"/>
              <w:rPr/>
            </w:pPr>
            <w:r>
              <w:rPr/>
              <w:t>9</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rPr/>
            </w:pPr>
            <w:r>
              <w:rPr/>
              <w:t>Multiple interferers margin (MIM)</w:t>
            </w:r>
          </w:p>
        </w:tc>
        <w:tc>
          <w:tcPr>
            <w:tcW w:w="2268"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jc w:val="center"/>
              <w:rPr/>
            </w:pPr>
            <w:r>
              <w:rPr/>
              <w:t>10</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rPr/>
            </w:pPr>
            <w:r>
              <w:rPr/>
              <w:t>Transient margin</w:t>
            </w:r>
          </w:p>
        </w:tc>
        <w:tc>
          <w:tcPr>
            <w:tcW w:w="2268"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jc w:val="center"/>
              <w:rPr/>
            </w:pPr>
            <w:r>
              <w:rPr/>
              <w:t>20</w:t>
            </w:r>
          </w:p>
        </w:tc>
      </w:tr>
      <w:tr>
        <w:trPr/>
        <w:tc>
          <w:tcPr>
            <w:tcW w:w="3506"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rPr/>
            </w:pPr>
            <w:r>
              <w:rPr/>
              <w:t>Margin for other IM's</w:t>
            </w:r>
          </w:p>
        </w:tc>
        <w:tc>
          <w:tcPr>
            <w:tcW w:w="2268" w:type="dxa"/>
            <w:tcBorders>
              <w:top w:val="single" w:sz="4" w:space="0" w:color="000000"/>
              <w:left w:val="single" w:sz="4" w:space="0" w:color="000000"/>
              <w:bottom w:val="single" w:sz="4" w:space="0" w:color="000000"/>
              <w:right w:val="single" w:sz="4" w:space="0" w:color="000000"/>
            </w:tcBorders>
          </w:tcPr>
          <w:p>
            <w:pPr>
              <w:pStyle w:val="Normal"/>
              <w:spacing w:before="0" w:after="180"/>
              <w:ind w:right="-720" w:hanging="0"/>
              <w:jc w:val="center"/>
              <w:rPr/>
            </w:pPr>
            <w:r>
              <w:rPr/>
              <w:t>3</w:t>
            </w:r>
          </w:p>
        </w:tc>
      </w:tr>
    </w:tbl>
    <w:p>
      <w:pPr>
        <w:pStyle w:val="FP"/>
        <w:rPr/>
      </w:pPr>
      <w:r>
        <w:rPr/>
      </w:r>
    </w:p>
    <w:p>
      <w:pPr>
        <w:pStyle w:val="Normal"/>
        <w:ind w:right="-720" w:hanging="0"/>
        <w:rPr/>
      </w:pPr>
      <w:r>
        <w:rPr/>
        <w:t>It is suggested that MIM for T-GSM 900 should be much lower than 10 dB because of the lower amount of carriers possible, but as was stated in the beginning GSM 900 system scenario calculation parameters are chosen for comparison reasons.</w:t>
      </w:r>
    </w:p>
    <w:p>
      <w:pPr>
        <w:pStyle w:val="Heading1"/>
        <w:ind w:left="1134" w:hanging="1134"/>
        <w:rPr/>
      </w:pPr>
      <w:bookmarkStart w:id="763" w:name="__RefHeading___Toc518036127"/>
      <w:bookmarkEnd w:id="763"/>
      <w:r>
        <w:rPr/>
        <w:t>Y.3</w:t>
        <w:tab/>
        <w:t>Worst Case Scenario Requirements</w:t>
      </w:r>
    </w:p>
    <w:p>
      <w:pPr>
        <w:pStyle w:val="Heading2"/>
        <w:rPr/>
      </w:pPr>
      <w:bookmarkStart w:id="764" w:name="__RefHeading___Toc518036128"/>
      <w:bookmarkEnd w:id="764"/>
      <w:r>
        <w:rPr/>
        <w:t>Y.3.1</w:t>
        <w:tab/>
        <w:t>Transmitter</w:t>
      </w:r>
    </w:p>
    <w:p>
      <w:pPr>
        <w:pStyle w:val="Heading3"/>
        <w:rPr/>
      </w:pPr>
      <w:bookmarkStart w:id="765" w:name="__RefHeading___Toc518036129"/>
      <w:bookmarkEnd w:id="765"/>
      <w:r>
        <w:rPr/>
        <w:t>Y.3.1.1</w:t>
        <w:tab/>
        <w:t>Modulation, Spurs and noise</w:t>
      </w:r>
    </w:p>
    <w:p>
      <w:pPr>
        <w:pStyle w:val="Heading4"/>
        <w:ind w:left="1418" w:hanging="1418"/>
        <w:rPr/>
      </w:pPr>
      <w:bookmarkStart w:id="766" w:name="__RefHeading___Toc518036130"/>
      <w:r>
        <w:rPr/>
        <w:t>Y.3.1.1.1</w:t>
        <w:tab/>
        <w:t>Co-ordinated BTS -&gt; MS</w:t>
      </w:r>
      <w:bookmarkEnd w:id="766"/>
      <w:r>
        <w:rPr/>
        <w:t xml:space="preserve"> </w:t>
      </w:r>
    </w:p>
    <w:p>
      <w:pPr>
        <w:pStyle w:val="Normal"/>
        <w:rPr/>
      </w:pPr>
      <w:r>
        <w:rPr/>
        <w:t xml:space="preserve">Max. Tx noise level in Rx bandwidth = [BTS power] - [Power control range] - [C/I margin] - [MIM] = </w:t>
      </w:r>
    </w:p>
    <w:p>
      <w:pPr>
        <w:pStyle w:val="Normal"/>
        <w:jc w:val="right"/>
        <w:rPr/>
      </w:pPr>
      <w:r>
        <w:rPr/>
        <w:t xml:space="preserve">39 – 30 – 9 –10 = </w:t>
      </w:r>
      <w:r>
        <w:rPr>
          <w:b/>
        </w:rPr>
        <w:t>- 10 dBm</w:t>
      </w:r>
    </w:p>
    <w:p>
      <w:pPr>
        <w:pStyle w:val="Heading4"/>
        <w:ind w:left="1418" w:hanging="1418"/>
        <w:rPr/>
      </w:pPr>
      <w:bookmarkStart w:id="767" w:name="__RefHeading___Toc518036131"/>
      <w:r>
        <w:rPr/>
        <w:t>Y.3.1.1.2</w:t>
        <w:tab/>
        <w:t>Uncoordinated BTS -&gt; MS</w:t>
      </w:r>
      <w:bookmarkEnd w:id="767"/>
      <w:r>
        <w:rPr/>
        <w:t xml:space="preserve"> </w:t>
      </w:r>
    </w:p>
    <w:p>
      <w:pPr>
        <w:pStyle w:val="Normal"/>
        <w:rPr/>
      </w:pPr>
      <w:r>
        <w:rPr/>
        <w:t>Max. Tx. level of noise in Rx. bandwidth = [MS sensitivity] - [C/I margin] - [MIM] + [MCL] =</w:t>
      </w:r>
    </w:p>
    <w:p>
      <w:pPr>
        <w:pStyle w:val="Normal"/>
        <w:jc w:val="right"/>
        <w:rPr/>
      </w:pPr>
      <w:r>
        <w:rPr/>
        <w:t xml:space="preserve"> </w:t>
      </w:r>
      <w:r>
        <w:rPr/>
        <w:t xml:space="preserve">-102 – 9 – 10 + 59 =  </w:t>
      </w:r>
      <w:r>
        <w:rPr>
          <w:b/>
        </w:rPr>
        <w:t>-62 dBm</w:t>
      </w:r>
    </w:p>
    <w:p>
      <w:pPr>
        <w:pStyle w:val="Normal"/>
        <w:rPr/>
      </w:pPr>
      <w:r>
        <w:rPr/>
        <w:t xml:space="preserve">Max. Tx level of spur in Rx bandwidth = [MS sensitivity] - [C/I margin] +  [MCL] = </w:t>
      </w:r>
    </w:p>
    <w:p>
      <w:pPr>
        <w:pStyle w:val="Normal"/>
        <w:jc w:val="right"/>
        <w:rPr/>
      </w:pPr>
      <w:r>
        <w:rPr/>
        <w:t xml:space="preserve">-102 – 9 +  53 = </w:t>
      </w:r>
      <w:r>
        <w:rPr>
          <w:b/>
        </w:rPr>
        <w:t>-52 dBm</w:t>
      </w:r>
    </w:p>
    <w:p>
      <w:pPr>
        <w:pStyle w:val="Heading4"/>
        <w:ind w:left="1418" w:hanging="1418"/>
        <w:rPr/>
      </w:pPr>
      <w:bookmarkStart w:id="768" w:name="__RefHeading___Toc518036132"/>
      <w:r>
        <w:rPr/>
        <w:t>Y.3.1.1.3</w:t>
        <w:tab/>
        <w:t>Coordinated &amp; Uncoordinated MS -&gt; BTS</w:t>
      </w:r>
      <w:bookmarkEnd w:id="768"/>
      <w:r>
        <w:rPr/>
        <w:t xml:space="preserve"> </w:t>
      </w:r>
    </w:p>
    <w:p>
      <w:pPr>
        <w:pStyle w:val="Normal"/>
        <w:rPr/>
      </w:pPr>
      <w:r>
        <w:rPr/>
        <w:t xml:space="preserve">Max. Tx level in Rx bandwidth = [BTS sensitivity] - [C/I margin] + [MCL] = </w:t>
      </w:r>
    </w:p>
    <w:p>
      <w:pPr>
        <w:pStyle w:val="Normal"/>
        <w:jc w:val="right"/>
        <w:rPr/>
      </w:pPr>
      <w:r>
        <w:rPr/>
        <w:t xml:space="preserve">-104 – 9 + 59 = </w:t>
      </w:r>
      <w:r>
        <w:rPr>
          <w:b/>
        </w:rPr>
        <w:t>-52 dBm</w:t>
      </w:r>
    </w:p>
    <w:p>
      <w:pPr>
        <w:pStyle w:val="Heading4"/>
        <w:ind w:left="1418" w:hanging="1418"/>
        <w:rPr/>
      </w:pPr>
      <w:bookmarkStart w:id="769" w:name="__RefHeading___Toc518036133"/>
      <w:bookmarkEnd w:id="769"/>
      <w:r>
        <w:rPr/>
        <w:t>Y.3.1.1.4</w:t>
        <w:tab/>
        <w:t>Coordinated &amp; Uncoordinated MS -&gt; MS</w:t>
      </w:r>
    </w:p>
    <w:p>
      <w:pPr>
        <w:pStyle w:val="Normal"/>
        <w:rPr/>
      </w:pPr>
      <w:r>
        <w:rPr/>
        <w:t xml:space="preserve">Max Tx level in Rx bandwidth = [MS sensitivity] - [C/I margin] + [MCL] = </w:t>
      </w:r>
    </w:p>
    <w:p>
      <w:pPr>
        <w:pStyle w:val="Normal"/>
        <w:jc w:val="right"/>
        <w:rPr/>
      </w:pPr>
      <w:r>
        <w:rPr/>
        <w:t xml:space="preserve">-102 – 9 + 34.5 = </w:t>
      </w:r>
      <w:r>
        <w:rPr>
          <w:b/>
        </w:rPr>
        <w:t>-76.5 dBm</w:t>
      </w:r>
    </w:p>
    <w:p>
      <w:pPr>
        <w:pStyle w:val="Heading4"/>
        <w:ind w:left="1418" w:hanging="1418"/>
        <w:rPr/>
      </w:pPr>
      <w:bookmarkStart w:id="770" w:name="__RefHeading___Toc518036134"/>
      <w:bookmarkEnd w:id="770"/>
      <w:r>
        <w:rPr/>
        <w:t>Y.3.1.1.5</w:t>
        <w:tab/>
        <w:t>Coordinated &amp; Uncoordinated  BTS -&gt; BTS</w:t>
      </w:r>
    </w:p>
    <w:p>
      <w:pPr>
        <w:pStyle w:val="Normal"/>
        <w:rPr/>
      </w:pPr>
      <w:r>
        <w:rPr/>
        <w:t xml:space="preserve">Max Tx level noise in Rx bandwidth= [BTS sensitivity] - [C/I margin] - [MIM] + [MCL] = </w:t>
      </w:r>
    </w:p>
    <w:p>
      <w:pPr>
        <w:pStyle w:val="Normal"/>
        <w:jc w:val="right"/>
        <w:rPr/>
      </w:pPr>
      <w:r>
        <w:rPr/>
        <w:t xml:space="preserve">-104 – 9 –10 + 30 = </w:t>
      </w:r>
      <w:r>
        <w:rPr>
          <w:b/>
        </w:rPr>
        <w:t>-93 dBm</w:t>
      </w:r>
    </w:p>
    <w:p>
      <w:pPr>
        <w:pStyle w:val="Heading3"/>
        <w:rPr/>
      </w:pPr>
      <w:bookmarkStart w:id="771" w:name="__RefHeading___Toc518036135"/>
      <w:bookmarkEnd w:id="771"/>
      <w:r>
        <w:rPr/>
        <w:t>Y.3.1.2</w:t>
        <w:tab/>
        <w:t>Switching transients</w:t>
      </w:r>
    </w:p>
    <w:p>
      <w:pPr>
        <w:pStyle w:val="Heading4"/>
        <w:ind w:left="1418" w:hanging="1418"/>
        <w:rPr/>
      </w:pPr>
      <w:bookmarkStart w:id="772" w:name="__RefHeading___Toc518036136"/>
      <w:bookmarkEnd w:id="772"/>
      <w:r>
        <w:rPr/>
        <w:t>Y.3.1.2.1</w:t>
        <w:tab/>
        <w:t>Uncoordinated MS -&gt; BTS</w:t>
      </w:r>
    </w:p>
    <w:p>
      <w:pPr>
        <w:pStyle w:val="Normal"/>
        <w:rPr/>
      </w:pPr>
      <w:r>
        <w:rPr/>
        <w:t xml:space="preserve">Max. peak level in effective Rx BW at MS = [BTS sensit.] - [C/I margin] + [MCL] + [Transient margin] = </w:t>
      </w:r>
    </w:p>
    <w:p>
      <w:pPr>
        <w:pStyle w:val="Normal"/>
        <w:jc w:val="right"/>
        <w:rPr/>
      </w:pPr>
      <w:r>
        <w:rPr/>
        <w:t xml:space="preserve">-104 – 9 + 59 + 20 = </w:t>
      </w:r>
      <w:r>
        <w:rPr>
          <w:b/>
        </w:rPr>
        <w:t>-34 dBm</w:t>
      </w:r>
    </w:p>
    <w:p>
      <w:pPr>
        <w:pStyle w:val="Heading4"/>
        <w:ind w:left="1418" w:hanging="1418"/>
        <w:rPr/>
      </w:pPr>
      <w:bookmarkStart w:id="773" w:name="__RefHeading___Toc518036137"/>
      <w:r>
        <w:rPr/>
        <w:t>Y.3.1.2.2</w:t>
        <w:tab/>
        <w:t>Uncoordinated BTS -&gt; MS</w:t>
      </w:r>
      <w:bookmarkEnd w:id="773"/>
      <w:r>
        <w:rPr/>
        <w:t xml:space="preserve"> </w:t>
      </w:r>
    </w:p>
    <w:p>
      <w:pPr>
        <w:pStyle w:val="Normal"/>
        <w:rPr/>
      </w:pPr>
      <w:r>
        <w:rPr/>
        <w:t>Max. peak level in effective Rx BW at BTS = [MS sensit.] - [C/I margin] + [MCL] + [Transient margin] =</w:t>
      </w:r>
    </w:p>
    <w:p>
      <w:pPr>
        <w:pStyle w:val="Normal"/>
        <w:jc w:val="right"/>
        <w:rPr/>
      </w:pPr>
      <w:r>
        <w:rPr/>
        <w:t xml:space="preserve">-102 – 9 + 59 + 20 = </w:t>
      </w:r>
      <w:r>
        <w:rPr>
          <w:b/>
        </w:rPr>
        <w:t>-32 dBm</w:t>
      </w:r>
    </w:p>
    <w:p>
      <w:pPr>
        <w:pStyle w:val="Heading3"/>
        <w:rPr/>
      </w:pPr>
      <w:bookmarkStart w:id="774" w:name="__RefHeading___Toc518036138"/>
      <w:bookmarkEnd w:id="774"/>
      <w:r>
        <w:rPr/>
        <w:t>Y.3.1.3</w:t>
        <w:tab/>
        <w:t>Intermodulation</w:t>
      </w:r>
    </w:p>
    <w:p>
      <w:pPr>
        <w:pStyle w:val="Heading4"/>
        <w:ind w:left="1418" w:hanging="1418"/>
        <w:rPr/>
      </w:pPr>
      <w:bookmarkStart w:id="775" w:name="__RefHeading___Toc518036139"/>
      <w:bookmarkEnd w:id="775"/>
      <w:r>
        <w:rPr/>
        <w:t>Y.3.1.3.1</w:t>
        <w:tab/>
        <w:t>Coordinated BTS -&gt; MS</w:t>
      </w:r>
    </w:p>
    <w:p>
      <w:pPr>
        <w:pStyle w:val="Normal"/>
        <w:keepNext w:val="true"/>
        <w:widowControl w:val="false"/>
        <w:rPr/>
      </w:pPr>
      <w:r>
        <w:rPr/>
        <w:t xml:space="preserve">Required IM attenuation in BTS = [C/I margin] + [BTS power ctrl range] + [margin for other IMs] = </w:t>
      </w:r>
    </w:p>
    <w:p>
      <w:pPr>
        <w:pStyle w:val="Normal"/>
        <w:keepNext w:val="true"/>
        <w:widowControl w:val="false"/>
        <w:jc w:val="right"/>
        <w:rPr/>
      </w:pPr>
      <w:r>
        <w:rPr/>
        <w:t xml:space="preserve">9 + 30 + 3 = </w:t>
      </w:r>
      <w:r>
        <w:rPr>
          <w:b/>
        </w:rPr>
        <w:t>42 dB</w:t>
      </w:r>
    </w:p>
    <w:p>
      <w:pPr>
        <w:pStyle w:val="Heading4"/>
        <w:ind w:left="1418" w:hanging="1418"/>
        <w:rPr/>
      </w:pPr>
      <w:bookmarkStart w:id="776" w:name="__RefHeading___Toc518036140"/>
      <w:r>
        <w:rPr/>
        <w:t>Y.3.1.3.2</w:t>
        <w:tab/>
        <w:t>Uncoordinated BTS -&gt; MS</w:t>
      </w:r>
      <w:bookmarkEnd w:id="776"/>
      <w:r>
        <w:rPr/>
        <w:t xml:space="preserve"> </w:t>
      </w:r>
    </w:p>
    <w:p>
      <w:pPr>
        <w:pStyle w:val="Normal"/>
        <w:rPr/>
      </w:pPr>
      <w:r>
        <w:rPr/>
        <w:t>Required IM attenuat. in BTS = [BTS power] - {[Max. allowed lev. at MS1] + [MCL BTS2-&gt;MS1]} =</w:t>
      </w:r>
    </w:p>
    <w:p>
      <w:pPr>
        <w:pStyle w:val="Normal"/>
        <w:jc w:val="right"/>
        <w:rPr/>
      </w:pPr>
      <w:r>
        <w:rPr/>
        <w:t xml:space="preserve">39 - {[-102 – 9 –3] + 59} = </w:t>
      </w:r>
      <w:r>
        <w:rPr>
          <w:b/>
        </w:rPr>
        <w:t>94 dB</w:t>
      </w:r>
    </w:p>
    <w:p>
      <w:pPr>
        <w:pStyle w:val="Heading4"/>
        <w:ind w:left="1418" w:hanging="1418"/>
        <w:rPr/>
      </w:pPr>
      <w:bookmarkStart w:id="777" w:name="__RefHeading___Toc518036141"/>
      <w:bookmarkEnd w:id="777"/>
      <w:r>
        <w:rPr/>
        <w:t>Y.3.1.3.3</w:t>
        <w:tab/>
        <w:t>Uncoordinated MSs -&gt; BTS</w:t>
      </w:r>
    </w:p>
    <w:p>
      <w:pPr>
        <w:pStyle w:val="Normal"/>
        <w:rPr/>
      </w:pPr>
      <w:r>
        <w:rPr/>
        <w:t xml:space="preserve">Required IM attenuat. in MS = [MS power] - {[Max. allowed level at BTS2] + [MCL MS-&gt;BTS2]} = </w:t>
      </w:r>
    </w:p>
    <w:p>
      <w:pPr>
        <w:pStyle w:val="Normal"/>
        <w:jc w:val="right"/>
        <w:rPr/>
      </w:pPr>
      <w:r>
        <w:rPr/>
        <w:t xml:space="preserve">33 – {[-104 –9 –3] + 59} = </w:t>
      </w:r>
      <w:r>
        <w:rPr>
          <w:b/>
        </w:rPr>
        <w:t>90 dB</w:t>
      </w:r>
    </w:p>
    <w:p>
      <w:pPr>
        <w:pStyle w:val="Heading4"/>
        <w:ind w:left="1418" w:hanging="1418"/>
        <w:rPr/>
      </w:pPr>
      <w:bookmarkStart w:id="778" w:name="__RefHeading___Toc518036142"/>
      <w:r>
        <w:rPr/>
        <w:t>Y.3.1.3.4</w:t>
        <w:tab/>
        <w:t>Uncoordinated MS &amp; MS -&gt; MS</w:t>
      </w:r>
      <w:bookmarkEnd w:id="778"/>
      <w:r>
        <w:rPr/>
        <w:t xml:space="preserve"> </w:t>
      </w:r>
    </w:p>
    <w:p>
      <w:pPr>
        <w:pStyle w:val="Normal"/>
        <w:rPr/>
      </w:pPr>
      <w:r>
        <w:rPr/>
        <w:t xml:space="preserve">Required IM attenuat. in MS = [MS power] - {[Max. allowed level at MS3] + [MCL MS-&gt;MS3]} = </w:t>
      </w:r>
    </w:p>
    <w:p>
      <w:pPr>
        <w:pStyle w:val="Normal"/>
        <w:jc w:val="right"/>
        <w:rPr/>
      </w:pPr>
      <w:r>
        <w:rPr/>
        <w:t xml:space="preserve">33 - {[-102 –9 –3] + 34.5} = </w:t>
      </w:r>
      <w:r>
        <w:rPr>
          <w:b/>
        </w:rPr>
        <w:t>112.5 dB</w:t>
      </w:r>
    </w:p>
    <w:p>
      <w:pPr>
        <w:pStyle w:val="Heading2"/>
        <w:rPr/>
      </w:pPr>
      <w:bookmarkStart w:id="779" w:name="__RefHeading___Toc518036143"/>
      <w:bookmarkEnd w:id="779"/>
      <w:r>
        <w:rPr/>
        <w:t>Y.3.2</w:t>
        <w:tab/>
        <w:t>Receiver</w:t>
      </w:r>
    </w:p>
    <w:p>
      <w:pPr>
        <w:pStyle w:val="Heading3"/>
        <w:rPr/>
      </w:pPr>
      <w:bookmarkStart w:id="780" w:name="__RefHeading___Toc518036144"/>
      <w:bookmarkEnd w:id="780"/>
      <w:r>
        <w:rPr/>
        <w:t>Y.3.2.1</w:t>
        <w:tab/>
        <w:t>Blocking</w:t>
      </w:r>
    </w:p>
    <w:p>
      <w:pPr>
        <w:pStyle w:val="Heading4"/>
        <w:ind w:left="1418" w:hanging="1418"/>
        <w:rPr/>
      </w:pPr>
      <w:bookmarkStart w:id="781" w:name="__RefHeading___Toc518036145"/>
      <w:bookmarkEnd w:id="781"/>
      <w:r>
        <w:rPr/>
        <w:t>Y.3.2.1.1</w:t>
        <w:tab/>
        <w:t>Coordinated &amp; Uncoordinated  BTS -&gt; MS</w:t>
      </w:r>
    </w:p>
    <w:p>
      <w:pPr>
        <w:pStyle w:val="Normal"/>
        <w:rPr/>
      </w:pPr>
      <w:r>
        <w:rPr/>
        <w:t xml:space="preserve">Max. level at MS receiver = [BTS power] + [MIM] - [MCL] = </w:t>
      </w:r>
    </w:p>
    <w:p>
      <w:pPr>
        <w:pStyle w:val="Normal"/>
        <w:jc w:val="right"/>
        <w:rPr/>
      </w:pPr>
      <w:r>
        <w:rPr/>
        <w:t xml:space="preserve">39 + 10 – 59 = </w:t>
      </w:r>
      <w:r>
        <w:rPr>
          <w:b/>
        </w:rPr>
        <w:t>-10 dBm</w:t>
      </w:r>
    </w:p>
    <w:p>
      <w:pPr>
        <w:pStyle w:val="Heading4"/>
        <w:ind w:left="1418" w:hanging="1418"/>
        <w:rPr/>
      </w:pPr>
      <w:bookmarkStart w:id="782" w:name="__RefHeading___Toc518036146"/>
      <w:r>
        <w:rPr/>
        <w:t>Y.3.2.1.2</w:t>
        <w:tab/>
        <w:t>Coordinated MS -&gt; BTS</w:t>
      </w:r>
      <w:bookmarkEnd w:id="782"/>
      <w:r>
        <w:rPr/>
        <w:t xml:space="preserve"> </w:t>
      </w:r>
    </w:p>
    <w:p>
      <w:pPr>
        <w:pStyle w:val="Normal"/>
        <w:rPr/>
      </w:pPr>
      <w:r>
        <w:rPr/>
        <w:t xml:space="preserve">Max level at BTS receiver = [MS power] - [Power control range] - [MCL] = </w:t>
      </w:r>
    </w:p>
    <w:p>
      <w:pPr>
        <w:pStyle w:val="Normal"/>
        <w:jc w:val="right"/>
        <w:rPr/>
      </w:pPr>
      <w:r>
        <w:rPr/>
        <w:t xml:space="preserve">33 – 26 – 59 = </w:t>
      </w:r>
      <w:r>
        <w:rPr>
          <w:b/>
        </w:rPr>
        <w:t>-52 dBm</w:t>
      </w:r>
    </w:p>
    <w:p>
      <w:pPr>
        <w:pStyle w:val="Heading4"/>
        <w:ind w:left="1418" w:hanging="1418"/>
        <w:rPr/>
      </w:pPr>
      <w:bookmarkStart w:id="783" w:name="__RefHeading___Toc518036147"/>
      <w:r>
        <w:rPr/>
        <w:t>Y.3.2.1.3</w:t>
        <w:tab/>
        <w:t>Uncoordinated MS -&gt; BTS</w:t>
      </w:r>
      <w:bookmarkEnd w:id="783"/>
      <w:r>
        <w:rPr/>
        <w:t xml:space="preserve"> </w:t>
      </w:r>
    </w:p>
    <w:p>
      <w:pPr>
        <w:pStyle w:val="Normal"/>
        <w:rPr/>
      </w:pPr>
      <w:r>
        <w:rPr/>
        <w:t xml:space="preserve">Max level at BTS receiver = [MS power]  - [MCL] = </w:t>
      </w:r>
    </w:p>
    <w:p>
      <w:pPr>
        <w:pStyle w:val="Normal"/>
        <w:jc w:val="right"/>
        <w:rPr/>
      </w:pPr>
      <w:r>
        <w:rPr/>
        <w:t xml:space="preserve">33 – 59 = </w:t>
      </w:r>
      <w:r>
        <w:rPr>
          <w:b/>
        </w:rPr>
        <w:t>-26 dBm</w:t>
      </w:r>
    </w:p>
    <w:p>
      <w:pPr>
        <w:pStyle w:val="Heading4"/>
        <w:ind w:left="1418" w:hanging="1418"/>
        <w:rPr/>
      </w:pPr>
      <w:bookmarkStart w:id="784" w:name="__RefHeading___Toc518036148"/>
      <w:r>
        <w:rPr/>
        <w:t>Y.3.2.1.4</w:t>
        <w:tab/>
        <w:t>Coordinated &amp; Uncoordinated  MS -&gt; MS</w:t>
      </w:r>
      <w:bookmarkEnd w:id="784"/>
      <w:r>
        <w:rPr/>
        <w:t xml:space="preserve"> </w:t>
      </w:r>
    </w:p>
    <w:p>
      <w:pPr>
        <w:pStyle w:val="Normal"/>
        <w:rPr/>
      </w:pPr>
      <w:r>
        <w:rPr/>
        <w:t xml:space="preserve">Max. level at MS receiver = [MS power] - [MCL] = </w:t>
      </w:r>
    </w:p>
    <w:p>
      <w:pPr>
        <w:pStyle w:val="Normal"/>
        <w:jc w:val="right"/>
        <w:rPr/>
      </w:pPr>
      <w:r>
        <w:rPr/>
        <w:t xml:space="preserve">33 - 34.5 = </w:t>
      </w:r>
      <w:r>
        <w:rPr>
          <w:b/>
        </w:rPr>
        <w:t>-1.5 dBm</w:t>
      </w:r>
    </w:p>
    <w:p>
      <w:pPr>
        <w:pStyle w:val="Heading4"/>
        <w:ind w:left="1418" w:hanging="1418"/>
        <w:rPr/>
      </w:pPr>
      <w:bookmarkStart w:id="785" w:name="__RefHeading___Toc518036149"/>
      <w:r>
        <w:rPr/>
        <w:t>Y.3.2.1.5</w:t>
        <w:tab/>
        <w:t>Coordinated &amp; Uncoordinated  BTS -&gt; BTS</w:t>
      </w:r>
      <w:bookmarkEnd w:id="785"/>
      <w:r>
        <w:rPr/>
        <w:t xml:space="preserve"> </w:t>
      </w:r>
    </w:p>
    <w:p>
      <w:pPr>
        <w:pStyle w:val="Normal"/>
        <w:rPr/>
      </w:pPr>
      <w:r>
        <w:rPr/>
        <w:t xml:space="preserve">Max. level at BTS receiver = [BTS power] + [Multiple interferers margin] - [MCL] = </w:t>
      </w:r>
    </w:p>
    <w:p>
      <w:pPr>
        <w:pStyle w:val="Normal"/>
        <w:jc w:val="right"/>
        <w:rPr/>
      </w:pPr>
      <w:r>
        <w:rPr/>
        <w:t xml:space="preserve">39 + 10 – 30 = </w:t>
      </w:r>
      <w:r>
        <w:rPr>
          <w:b/>
        </w:rPr>
        <w:t>19 dBm</w:t>
      </w:r>
    </w:p>
    <w:p>
      <w:pPr>
        <w:pStyle w:val="Heading3"/>
        <w:rPr/>
      </w:pPr>
      <w:bookmarkStart w:id="786" w:name="__RefHeading___Toc518036150"/>
      <w:bookmarkEnd w:id="786"/>
      <w:r>
        <w:rPr/>
        <w:t>Y.3.2.2</w:t>
        <w:tab/>
        <w:t>Intermodulation</w:t>
      </w:r>
    </w:p>
    <w:p>
      <w:pPr>
        <w:pStyle w:val="Heading4"/>
        <w:ind w:left="1418" w:hanging="1418"/>
        <w:rPr/>
      </w:pPr>
      <w:bookmarkStart w:id="787" w:name="__RefHeading___Toc518036151"/>
      <w:r>
        <w:rPr/>
        <w:t>Y.3.2.2.1</w:t>
        <w:tab/>
        <w:t>Coordinated &amp; Uncoordinated  BTS -&gt; MS</w:t>
      </w:r>
      <w:bookmarkEnd w:id="787"/>
      <w:r>
        <w:rPr/>
        <w:t xml:space="preserve"> </w:t>
      </w:r>
    </w:p>
    <w:p>
      <w:pPr>
        <w:pStyle w:val="Normal"/>
        <w:rPr/>
      </w:pPr>
      <w:r>
        <w:rPr/>
        <w:t>Max. received level at MS1 = [BTS power] - [MCL BTS2-&gt;MS1] + [Margin for other IMs] =</w:t>
      </w:r>
    </w:p>
    <w:p>
      <w:pPr>
        <w:pStyle w:val="Normal"/>
        <w:jc w:val="right"/>
        <w:rPr/>
      </w:pPr>
      <w:r>
        <w:rPr/>
        <w:t xml:space="preserve">39 – 59 + 3 = </w:t>
      </w:r>
      <w:r>
        <w:rPr>
          <w:b/>
        </w:rPr>
        <w:t>-17 dBm</w:t>
      </w:r>
    </w:p>
    <w:p>
      <w:pPr>
        <w:pStyle w:val="Heading4"/>
        <w:ind w:left="1418" w:hanging="1418"/>
        <w:rPr/>
      </w:pPr>
      <w:bookmarkStart w:id="788" w:name="__RefHeading___Toc518036152"/>
      <w:r>
        <w:rPr/>
        <w:t>Y.3.2.2.2</w:t>
        <w:tab/>
        <w:t>Coordinated MS -&gt; BTS</w:t>
      </w:r>
      <w:bookmarkEnd w:id="788"/>
      <w:r>
        <w:rPr/>
        <w:t xml:space="preserve"> </w:t>
      </w:r>
    </w:p>
    <w:p>
      <w:pPr>
        <w:pStyle w:val="Normal"/>
        <w:rPr/>
      </w:pPr>
      <w:r>
        <w:rPr/>
        <w:t xml:space="preserve">Max. received level at BTS1 = [MS power] - [MS power ctrl range] - [MCL MS-&gt; BTS1] + [Margin for other IMs] = </w:t>
      </w:r>
    </w:p>
    <w:p>
      <w:pPr>
        <w:pStyle w:val="Normal"/>
        <w:jc w:val="right"/>
        <w:rPr/>
      </w:pPr>
      <w:r>
        <w:rPr/>
        <w:t xml:space="preserve">33 – 26 – 59 + 3 = </w:t>
      </w:r>
      <w:r>
        <w:rPr>
          <w:b/>
        </w:rPr>
        <w:t>-49 dBm</w:t>
      </w:r>
    </w:p>
    <w:p>
      <w:pPr>
        <w:pStyle w:val="Heading4"/>
        <w:ind w:left="1418" w:hanging="1418"/>
        <w:rPr/>
      </w:pPr>
      <w:bookmarkStart w:id="789" w:name="__RefHeading___Toc518036153"/>
      <w:r>
        <w:rPr/>
        <w:t>Y.3.2.2.3</w:t>
        <w:tab/>
        <w:t>Uncoordinated MS -&gt; BTS</w:t>
      </w:r>
      <w:bookmarkEnd w:id="789"/>
      <w:r>
        <w:rPr/>
        <w:t xml:space="preserve"> </w:t>
      </w:r>
    </w:p>
    <w:p>
      <w:pPr>
        <w:pStyle w:val="Normal"/>
        <w:rPr/>
      </w:pPr>
      <w:r>
        <w:rPr/>
        <w:t xml:space="preserve">Max. received level at BTS1 = [MS power] - [MCL MS-&gt; BTS1] + [Margin for other IM's] = </w:t>
      </w:r>
    </w:p>
    <w:p>
      <w:pPr>
        <w:pStyle w:val="Normal"/>
        <w:jc w:val="right"/>
        <w:rPr/>
      </w:pPr>
      <w:r>
        <w:rPr/>
        <w:t>33 – 59 + 3 =</w:t>
      </w:r>
      <w:r>
        <w:rPr>
          <w:b/>
        </w:rPr>
        <w:t xml:space="preserve"> -23 dBm</w:t>
      </w:r>
    </w:p>
    <w:p>
      <w:pPr>
        <w:pStyle w:val="Heading3"/>
        <w:rPr/>
      </w:pPr>
      <w:bookmarkStart w:id="790" w:name="__RefHeading___Toc518036154"/>
      <w:bookmarkEnd w:id="790"/>
      <w:r>
        <w:rPr/>
        <w:t>Y.3.2.3</w:t>
        <w:tab/>
        <w:t>Maximum level</w:t>
      </w:r>
    </w:p>
    <w:p>
      <w:pPr>
        <w:pStyle w:val="Heading4"/>
        <w:ind w:left="1418" w:hanging="1418"/>
        <w:rPr/>
      </w:pPr>
      <w:bookmarkStart w:id="791" w:name="__RefHeading___Toc518036155"/>
      <w:r>
        <w:rPr/>
        <w:t>Y.3.2.3.1</w:t>
        <w:tab/>
        <w:t>Coordinated MS -&gt; BTS</w:t>
      </w:r>
      <w:bookmarkEnd w:id="791"/>
      <w:r>
        <w:rPr/>
        <w:t xml:space="preserve"> </w:t>
      </w:r>
    </w:p>
    <w:p>
      <w:pPr>
        <w:pStyle w:val="Normal"/>
        <w:rPr/>
      </w:pPr>
      <w:r>
        <w:rPr/>
        <w:t>Max level at BTS = [MS power]  - [MCL] =</w:t>
      </w:r>
    </w:p>
    <w:p>
      <w:pPr>
        <w:pStyle w:val="Normal"/>
        <w:jc w:val="right"/>
        <w:rPr/>
      </w:pPr>
      <w:r>
        <w:rPr/>
        <w:t xml:space="preserve"> </w:t>
      </w:r>
      <w:r>
        <w:rPr/>
        <w:t xml:space="preserve">33 – 59 = </w:t>
      </w:r>
      <w:r>
        <w:rPr>
          <w:b/>
        </w:rPr>
        <w:t>-26 dBm</w:t>
      </w:r>
    </w:p>
    <w:p>
      <w:pPr>
        <w:pStyle w:val="Heading4"/>
        <w:ind w:left="1418" w:hanging="1418"/>
        <w:rPr/>
      </w:pPr>
      <w:bookmarkStart w:id="792" w:name="__RefHeading___Toc518036156"/>
      <w:r>
        <w:rPr/>
        <w:t>Y.3.2.3.2</w:t>
        <w:tab/>
        <w:t>Coordinated  BTS -&gt; MS</w:t>
      </w:r>
      <w:bookmarkEnd w:id="792"/>
      <w:r>
        <w:rPr/>
        <w:t xml:space="preserve"> </w:t>
      </w:r>
    </w:p>
    <w:p>
      <w:pPr>
        <w:pStyle w:val="Normal"/>
        <w:rPr/>
      </w:pPr>
      <w:r>
        <w:rPr/>
        <w:t>Max level at MS = [BTS power] - [MCL] =</w:t>
      </w:r>
    </w:p>
    <w:p>
      <w:pPr>
        <w:pStyle w:val="Normal"/>
        <w:jc w:val="right"/>
        <w:rPr/>
      </w:pPr>
      <w:r>
        <w:rPr/>
        <w:t xml:space="preserve">39 – 59 = </w:t>
      </w:r>
      <w:r>
        <w:rPr>
          <w:b/>
        </w:rPr>
        <w:t>-20 dBm</w:t>
      </w:r>
    </w:p>
    <w:p>
      <w:pPr>
        <w:pStyle w:val="Heading1"/>
        <w:ind w:left="1134" w:hanging="1134"/>
        <w:rPr/>
      </w:pPr>
      <w:bookmarkStart w:id="793" w:name="__RefHeading___Toc518036157"/>
      <w:bookmarkEnd w:id="793"/>
      <w:r>
        <w:rPr/>
        <w:t>Y.4</w:t>
        <w:tab/>
        <w:t>Transmitter characteristics</w:t>
      </w:r>
    </w:p>
    <w:p>
      <w:pPr>
        <w:pStyle w:val="TextBodyIndent"/>
        <w:rPr/>
      </w:pPr>
      <w:r>
        <w:rPr/>
        <w:t>For readability the chapter numbering in the transmitter and receiver characteristics chapters are aligned with current GSM 05.05 chapter numbering.</w:t>
      </w:r>
    </w:p>
    <w:p>
      <w:pPr>
        <w:pStyle w:val="Normal"/>
        <w:jc w:val="both"/>
        <w:rPr/>
      </w:pPr>
      <w:r>
        <w:rPr/>
        <w:t>The worst case scenario requirements and current GSM 05.05 specification for GSM 900 are summarized in the tables beginning of each relevant chapter. Specification requirements in the table entries are converted to 200 kHz bandwidth to be comparable for scenario calculation results.</w:t>
      </w:r>
    </w:p>
    <w:p>
      <w:pPr>
        <w:pStyle w:val="Heading2"/>
        <w:jc w:val="both"/>
        <w:rPr/>
      </w:pPr>
      <w:bookmarkStart w:id="794" w:name="__RefHeading___Toc518036158"/>
      <w:bookmarkEnd w:id="794"/>
      <w:r>
        <w:rPr/>
        <w:t>Y.4.1</w:t>
        <w:tab/>
        <w:t>Output power</w:t>
      </w:r>
    </w:p>
    <w:p>
      <w:pPr>
        <w:pStyle w:val="Heading3"/>
        <w:jc w:val="both"/>
        <w:rPr/>
      </w:pPr>
      <w:bookmarkStart w:id="795" w:name="__RefHeading___Toc518036159"/>
      <w:bookmarkEnd w:id="795"/>
      <w:r>
        <w:rPr/>
        <w:t>Y.4.1.1</w:t>
        <w:tab/>
        <w:t>Mobile Station</w:t>
      </w:r>
    </w:p>
    <w:p>
      <w:pPr>
        <w:pStyle w:val="TextBodyIndent"/>
        <w:rPr/>
      </w:pPr>
      <w:r>
        <w:rPr/>
        <w:t xml:space="preserve">T-GSM 900 uses the same power classes as GSM 900. </w:t>
      </w:r>
    </w:p>
    <w:p>
      <w:pPr>
        <w:pStyle w:val="Normal"/>
        <w:jc w:val="both"/>
        <w:rPr/>
      </w:pPr>
      <w:r>
        <w:rPr/>
        <w:t>The absolute tolerance on power control levels has been chosen to be the same as with GSM 900.</w:t>
      </w:r>
    </w:p>
    <w:p>
      <w:pPr>
        <w:pStyle w:val="Heading3"/>
        <w:jc w:val="both"/>
        <w:rPr/>
      </w:pPr>
      <w:bookmarkStart w:id="796" w:name="__RefHeading___Toc518036160"/>
      <w:bookmarkEnd w:id="796"/>
      <w:r>
        <w:rPr/>
        <w:t>Y.4.1.2</w:t>
        <w:tab/>
        <w:t>Base Station</w:t>
      </w:r>
    </w:p>
    <w:p>
      <w:pPr>
        <w:pStyle w:val="Normal"/>
        <w:rPr/>
      </w:pPr>
      <w:r>
        <w:rPr/>
        <w:t xml:space="preserve">T-GSM 900 uses the same power classes as GSM 900. </w:t>
      </w:r>
    </w:p>
    <w:p>
      <w:pPr>
        <w:pStyle w:val="Normal"/>
        <w:jc w:val="both"/>
        <w:rPr/>
      </w:pPr>
      <w:r>
        <w:rPr/>
        <w:t>The tolerance on the BTS static power control step size is the same as for GSM 900.</w:t>
      </w:r>
    </w:p>
    <w:p>
      <w:pPr>
        <w:pStyle w:val="Heading2"/>
        <w:rPr/>
      </w:pPr>
      <w:bookmarkStart w:id="797" w:name="__RefHeading___Toc518036161"/>
      <w:bookmarkEnd w:id="797"/>
      <w:r>
        <w:rPr/>
        <w:t>Y.4.2</w:t>
        <w:tab/>
        <w:t>Output RF Spectrum</w:t>
      </w:r>
    </w:p>
    <w:p>
      <w:pPr>
        <w:pStyle w:val="FP"/>
        <w:rPr/>
      </w:pPr>
      <w:r>
        <w:rPr/>
      </w:r>
    </w:p>
    <w:p>
      <w:pPr>
        <w:pStyle w:val="Heading3"/>
        <w:rPr/>
      </w:pPr>
      <w:bookmarkStart w:id="798" w:name="__RefHeading___Toc518036162"/>
      <w:bookmarkEnd w:id="798"/>
      <w:r>
        <w:rPr/>
        <w:t>Y.4.2.1</w:t>
        <w:tab/>
        <w:t>Spectrum due to the modulation and wideband noise</w:t>
      </w:r>
    </w:p>
    <w:p>
      <w:pPr>
        <w:pStyle w:val="TH"/>
        <w:rPr/>
      </w:pPr>
      <w:bookmarkStart w:id="799" w:name="_1100273355"/>
      <w:bookmarkEnd w:id="799"/>
      <w:r>
        <w:rPr/>
        <w:object w:dxaOrig="8302" w:dyaOrig="1151">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414.65pt;height:56.95pt" filled="f" o:ole="">
            <v:imagedata r:id="rId238" o:title=""/>
          </v:shape>
          <o:OLEObject Type="Embed" ProgID="" ShapeID="ole_rId237" DrawAspect="Content" ObjectID="_1291216290" r:id="rId237"/>
        </w:object>
      </w:r>
    </w:p>
    <w:p>
      <w:pPr>
        <w:pStyle w:val="FP"/>
        <w:rPr/>
      </w:pPr>
      <w:r>
        <w:rPr/>
      </w:r>
    </w:p>
    <w:p>
      <w:pPr>
        <w:pStyle w:val="Normal"/>
        <w:jc w:val="both"/>
        <w:rPr>
          <w:u w:val="single"/>
        </w:rPr>
      </w:pPr>
      <w:r>
        <w:rPr>
          <w:u w:val="single"/>
        </w:rPr>
        <w:t>Coordinated case</w:t>
      </w:r>
    </w:p>
    <w:p>
      <w:pPr>
        <w:pStyle w:val="Normal"/>
        <w:jc w:val="both"/>
        <w:rPr/>
      </w:pPr>
      <w:r>
        <w:rPr/>
        <w:t xml:space="preserve">In the coordinated case the BTS wideband noise requirement are fulfilled with both GSM 900 and T-GSM 900 systems and thus there is no need to change the specification for BTS TX mask. </w:t>
      </w:r>
    </w:p>
    <w:p>
      <w:pPr>
        <w:pStyle w:val="Normal"/>
        <w:jc w:val="both"/>
        <w:rPr/>
      </w:pPr>
      <w:r>
        <w:rPr/>
        <w:t>Worst case scenario requirements for MS wideband noise are tighter than for BTS. Since the table entries in GSM 05.05 are relative, as the level of the transmitter is reduced, the absolute specification becomes tighter. For coordinated MS to BTS interference it is to be noted that power control works and MS will be powered down. For MS close to BTS it is relevant to expect that minimum MS TX power is used. Thus introduced wideband noise is reduced accordingly down to –43 dBm at 600 kHz offset. Still there is a gap of 9 dB in GSM 900 scenarios and specification.</w:t>
      </w:r>
    </w:p>
    <w:p>
      <w:pPr>
        <w:pStyle w:val="Normal"/>
        <w:rPr/>
      </w:pPr>
      <w:r>
        <w:rPr/>
        <w:t>Probability of this scenario is low and actually allowing this to happen is not practical cellular planning. Low power users operating very close to BTS may block users locating in the edge area of very large cells that operate with full power and still close to sensitivity level. In other words blocking of some users at cell edge would require large cells in dense urban areas with very small handover margin. In sensible cellular planning these should be contradictory occurrences. Thus it was felt that there is no need to make specification too tight because of speculation of some unpractical occurrences.</w:t>
      </w:r>
    </w:p>
    <w:p>
      <w:pPr>
        <w:pStyle w:val="Normal"/>
        <w:keepNext w:val="true"/>
        <w:rPr>
          <w:u w:val="single"/>
        </w:rPr>
      </w:pPr>
      <w:r>
        <w:rPr>
          <w:u w:val="single"/>
        </w:rPr>
        <w:t>Uncoordinated case</w:t>
      </w:r>
    </w:p>
    <w:p>
      <w:pPr>
        <w:pStyle w:val="Normal"/>
        <w:keepNext w:val="true"/>
        <w:jc w:val="both"/>
        <w:rPr/>
      </w:pPr>
      <w:r>
        <w:rPr/>
        <w:t>The theoretical worst case uncoordinated scenarios are failing by a large margin. This has always been the case for all bands. In reality this situation is very rare. An uncoordinated scenario is unlikely in the spectrum available for T-GSM 900. Secondly the theoretical calculations assumes the MS to be operating at its sensitivity limit while being close to a disturbing BTS. This is not a likely scenario. Experience has proved that there is no reason to require a change in the existing GSM900 transmitter mask.</w:t>
      </w:r>
    </w:p>
    <w:p>
      <w:pPr>
        <w:pStyle w:val="Normal"/>
        <w:rPr>
          <w:sz w:val="24"/>
          <w:u w:val="single"/>
        </w:rPr>
      </w:pPr>
      <w:r>
        <w:rPr>
          <w:sz w:val="24"/>
        </w:rPr>
        <w:t>Special Case</w:t>
      </w:r>
    </w:p>
    <w:p>
      <w:pPr>
        <w:pStyle w:val="Normal"/>
        <w:keepNext w:val="true"/>
        <w:jc w:val="both"/>
        <w:rPr/>
      </w:pPr>
      <w:r>
        <w:rPr/>
        <w:t>The normal requirement to wideband noise is inadequate in the case of a GSM BTS receiver operating just below 915 MHz and a T-GSM 900 BTS operating above 915 MHz.  In this case coordination is required. The TAPS BTS will need to be fitted with an additional filter to suppress the wideband noise according to the physical distance and separation in frequency. See ECC Report no. 5.</w:t>
      </w:r>
    </w:p>
    <w:p>
      <w:pPr>
        <w:pStyle w:val="Heading3"/>
        <w:rPr/>
      </w:pPr>
      <w:bookmarkStart w:id="800" w:name="__RefHeading___Toc518036163"/>
      <w:bookmarkEnd w:id="800"/>
      <w:r>
        <w:rPr/>
        <w:t>Y.4.2.2</w:t>
        <w:tab/>
        <w:t>Spectrum due to switching transients</w:t>
      </w:r>
    </w:p>
    <w:p>
      <w:pPr>
        <w:pStyle w:val="Normal"/>
        <w:jc w:val="both"/>
        <w:rPr/>
      </w:pPr>
      <w:r>
        <w:rPr>
          <w:u w:val="single"/>
        </w:rPr>
        <w:t>Coordinated case</w:t>
      </w:r>
    </w:p>
    <w:p>
      <w:pPr>
        <w:pStyle w:val="Normal"/>
        <w:jc w:val="both"/>
        <w:rPr/>
      </w:pPr>
      <w:r>
        <w:rPr/>
        <w:t xml:space="preserve">GSM 05.05 defines modulation mask, switching transients, spurious emissions and intermodulation specifications to be consistent with each other (GSM 05.50 V6.0.2 Annex D). The requirements for GSM900 are considered adequate also for T-GSM 900. </w:t>
      </w:r>
    </w:p>
    <w:p>
      <w:pPr>
        <w:pStyle w:val="Normal"/>
        <w:jc w:val="both"/>
        <w:rPr/>
      </w:pPr>
      <w:r>
        <w:rPr>
          <w:u w:val="single"/>
        </w:rPr>
        <w:t>Uncoordinated case</w:t>
      </w:r>
    </w:p>
    <w:p>
      <w:pPr>
        <w:pStyle w:val="Normal"/>
        <w:jc w:val="both"/>
        <w:rPr/>
      </w:pPr>
      <w:r>
        <w:rPr/>
        <w:t>The requirements for GSM900 are considered adequate also for T-GSM 900.</w:t>
      </w:r>
    </w:p>
    <w:p>
      <w:pPr>
        <w:pStyle w:val="Normal"/>
        <w:jc w:val="both"/>
        <w:rPr/>
      </w:pPr>
      <w:r>
        <w:rPr/>
        <w:t>No changes in respect to GSM 900 requirements are proposed.</w:t>
      </w:r>
    </w:p>
    <w:p>
      <w:pPr>
        <w:pStyle w:val="Heading2"/>
        <w:rPr/>
      </w:pPr>
      <w:bookmarkStart w:id="801" w:name="__RefHeading___Toc518036164"/>
      <w:bookmarkEnd w:id="801"/>
      <w:r>
        <w:rPr/>
        <w:t>Y.4.3</w:t>
        <w:tab/>
        <w:t>Spurious emissions</w:t>
      </w:r>
    </w:p>
    <w:p>
      <w:pPr>
        <w:pStyle w:val="Heading3"/>
        <w:rPr/>
      </w:pPr>
      <w:bookmarkStart w:id="802" w:name="__RefHeading___Toc518036165"/>
      <w:bookmarkEnd w:id="802"/>
      <w:r>
        <w:rPr/>
        <w:t>Y.4.3.1</w:t>
        <w:tab/>
        <w:t>Principle of the specification</w:t>
      </w:r>
    </w:p>
    <w:p>
      <w:pPr>
        <w:pStyle w:val="Normal"/>
        <w:rPr/>
      </w:pPr>
      <w:r>
        <w:rPr/>
        <w:t>No changes to measurement conditions are needed.</w:t>
      </w:r>
    </w:p>
    <w:p>
      <w:pPr>
        <w:pStyle w:val="TH"/>
        <w:rPr/>
      </w:pPr>
      <w:bookmarkStart w:id="803" w:name="_1086688965"/>
      <w:bookmarkEnd w:id="803"/>
      <w:r>
        <w:rPr/>
        <w:object w:dxaOrig="8626" w:dyaOrig="691">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431.3pt;height:34.55pt" filled="f" o:ole="">
            <v:imagedata r:id="rId240" o:title=""/>
          </v:shape>
          <o:OLEObject Type="Embed" ProgID="" ShapeID="ole_rId239" DrawAspect="Content" ObjectID="_125610001" r:id="rId239"/>
        </w:object>
      </w:r>
      <w:bookmarkStart w:id="804" w:name="_1086689049"/>
      <w:bookmarkEnd w:id="804"/>
      <w:r>
        <w:rPr/>
        <w:object w:dxaOrig="8628" w:dyaOrig="1348">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431.4pt;height:67.4pt" filled="f" o:ole="">
            <v:imagedata r:id="rId242" o:title=""/>
          </v:shape>
          <o:OLEObject Type="Embed" ProgID="" ShapeID="ole_rId241" DrawAspect="Content" ObjectID="_1002089621" r:id="rId241"/>
        </w:object>
      </w:r>
    </w:p>
    <w:p>
      <w:pPr>
        <w:pStyle w:val="FP"/>
        <w:rPr/>
      </w:pPr>
      <w:r>
        <w:rPr/>
      </w:r>
    </w:p>
    <w:p>
      <w:pPr>
        <w:pStyle w:val="Heading3"/>
        <w:rPr/>
      </w:pPr>
      <w:bookmarkStart w:id="805" w:name="__RefHeading___Toc518036166"/>
      <w:bookmarkEnd w:id="805"/>
      <w:r>
        <w:rPr/>
        <w:t>Y.4.3.2</w:t>
        <w:tab/>
        <w:t>Base transceiver station</w:t>
      </w:r>
    </w:p>
    <w:p>
      <w:pPr>
        <w:pStyle w:val="Normal"/>
        <w:jc w:val="both"/>
        <w:rPr/>
      </w:pPr>
      <w:r>
        <w:rPr/>
        <w:t>The current specification for BTS requires –98 dBm level of spurious emissions suppression in a 200 kHz BTS RX band. Current understanding is that the GSM 900 specification can be adopted for T-GSM 900 systems.</w:t>
      </w:r>
    </w:p>
    <w:p>
      <w:pPr>
        <w:pStyle w:val="Normal"/>
        <w:jc w:val="both"/>
        <w:rPr/>
      </w:pPr>
      <w:r>
        <w:rPr/>
      </w:r>
    </w:p>
    <w:p>
      <w:pPr>
        <w:pStyle w:val="TextBodyIndent"/>
        <w:rPr/>
      </w:pPr>
      <w:r>
        <w:rPr/>
        <w:t xml:space="preserve">When T-GSM 900 BTS is co-sited with GSM systems in other bands, measures must be taken for mutual protection of receivers. T-GSM 900 systems must not produce excessive level of noise in the relevant up-link bands for GSM 900 and DCS 1800. GSM 900 and DCS 1800 are currently specified to allow a maximum of –36 dBm spurious emissions in the T-GSM 900 MHz band. This does not quite match with the requirements for T-GSM 900 systems. However no changes to the specifications are proposed as it is considered highly unlikely that these levels will exist so close to own receive band for GSM 900 and even more unlikely for DCS 1800. If BTSs of different frequency bands are co-sited the coupling loss must be increased by antenna arrangement or with external filters, but this must not be a part of GSM specification. </w:t>
      </w:r>
    </w:p>
    <w:p>
      <w:pPr>
        <w:pStyle w:val="TextBodyIndent"/>
        <w:rPr>
          <w:b/>
          <w:b/>
        </w:rPr>
      </w:pPr>
      <w:r>
        <w:rPr>
          <w:b/>
        </w:rPr>
      </w:r>
    </w:p>
    <w:p>
      <w:pPr>
        <w:pStyle w:val="Heading3"/>
        <w:rPr/>
      </w:pPr>
      <w:bookmarkStart w:id="806" w:name="__RefHeading___Toc518036167"/>
      <w:bookmarkEnd w:id="806"/>
      <w:r>
        <w:rPr/>
        <w:t>Y.4.3.3</w:t>
        <w:tab/>
        <w:t>Mobile station</w:t>
      </w:r>
    </w:p>
    <w:p>
      <w:pPr>
        <w:pStyle w:val="Normal"/>
        <w:jc w:val="both"/>
        <w:rPr/>
      </w:pPr>
      <w:r>
        <w:rPr/>
        <w:t>In idle mode power measured in GSM 900 down link band is limited to –57 dBm at 100 kHz measurement band. In up link band allowed level is –59 dBm. For uplink the wideband noise scenario requirement is –60 dBm at 200 kHz band. Due to different measurement methods (i.e. average vs. peak value) in wideband noise and spurious emission conditions it is reasonable to assume that GSM 900 requirements can be adopted as is for T-GSM 900 systems.</w:t>
      </w:r>
    </w:p>
    <w:p>
      <w:pPr>
        <w:pStyle w:val="Normal"/>
        <w:jc w:val="both"/>
        <w:rPr/>
      </w:pPr>
      <w:r>
        <w:rPr/>
      </w:r>
    </w:p>
    <w:p>
      <w:pPr>
        <w:pStyle w:val="Normal"/>
        <w:jc w:val="both"/>
        <w:rPr/>
      </w:pPr>
      <w:r>
        <w:rPr/>
        <w:t>When allocated a channel the GSM 900 and DCS 1800 systems are currently specified to allow at maximum –36 dBm spurious emission in the 9 kHz – 1 GHz frequency range with measurement conditions as specified in GSM 05.05. However, no changes are proposed for the GSM 900 or DCS 1800 systems.</w:t>
      </w:r>
    </w:p>
    <w:p>
      <w:pPr>
        <w:pStyle w:val="Normal"/>
        <w:rPr/>
      </w:pPr>
      <w:r>
        <w:rPr/>
      </w:r>
    </w:p>
    <w:p>
      <w:pPr>
        <w:pStyle w:val="Heading2"/>
        <w:jc w:val="both"/>
        <w:rPr/>
      </w:pPr>
      <w:bookmarkStart w:id="807" w:name="__RefHeading___Toc518036168"/>
      <w:bookmarkEnd w:id="807"/>
      <w:r>
        <w:rPr/>
        <w:t>Y.4.4</w:t>
        <w:tab/>
        <w:t>Radio frequency tolerance</w:t>
      </w:r>
    </w:p>
    <w:p>
      <w:pPr>
        <w:pStyle w:val="Normal"/>
        <w:rPr/>
      </w:pPr>
      <w:r>
        <w:rPr/>
        <w:t>Maintain requirements in GSM 05.05 (defined in GSM 05.10).</w:t>
      </w:r>
    </w:p>
    <w:p>
      <w:pPr>
        <w:pStyle w:val="Heading2"/>
        <w:rPr/>
      </w:pPr>
      <w:bookmarkStart w:id="808" w:name="__RefHeading___Toc518036169"/>
      <w:bookmarkEnd w:id="808"/>
      <w:r>
        <w:rPr/>
        <w:t>Y.4.5</w:t>
        <w:tab/>
        <w:t>Output level dynamic operation</w:t>
      </w:r>
    </w:p>
    <w:p>
      <w:pPr>
        <w:pStyle w:val="Heading3"/>
        <w:rPr/>
      </w:pPr>
      <w:bookmarkStart w:id="809" w:name="__RefHeading___Toc518036170"/>
      <w:bookmarkEnd w:id="809"/>
      <w:r>
        <w:rPr/>
        <w:t>Y.4.5.1</w:t>
        <w:tab/>
        <w:t>Base station</w:t>
      </w:r>
    </w:p>
    <w:p>
      <w:pPr>
        <w:pStyle w:val="Normal"/>
        <w:jc w:val="both"/>
        <w:rPr/>
      </w:pPr>
      <w:r>
        <w:rPr/>
        <w:t xml:space="preserve">This specification only affects the interference experienced by co-channel cells in the same PLMN. The requirement on the relative power level of unactivated timeslots is -30 dBc that is in line with the BTS power control range. </w:t>
      </w:r>
    </w:p>
    <w:p>
      <w:pPr>
        <w:pStyle w:val="Normal"/>
        <w:jc w:val="both"/>
        <w:rPr/>
      </w:pPr>
      <w:r>
        <w:rPr/>
      </w:r>
    </w:p>
    <w:p>
      <w:pPr>
        <w:pStyle w:val="Normal"/>
        <w:jc w:val="both"/>
        <w:rPr/>
      </w:pPr>
      <w:r>
        <w:rPr/>
        <w:t>Maintain current specification.</w:t>
      </w:r>
    </w:p>
    <w:p>
      <w:pPr>
        <w:pStyle w:val="Heading3"/>
        <w:jc w:val="both"/>
        <w:rPr/>
      </w:pPr>
      <w:bookmarkStart w:id="810" w:name="__RefHeading___Toc518036171"/>
      <w:bookmarkEnd w:id="810"/>
      <w:r>
        <w:rPr/>
        <w:t>Y.4.5.2</w:t>
        <w:tab/>
        <w:t>Mobile station</w:t>
      </w:r>
    </w:p>
    <w:p>
      <w:pPr>
        <w:pStyle w:val="Normal"/>
        <w:jc w:val="both"/>
        <w:rPr/>
      </w:pPr>
      <w:r>
        <w:rPr/>
        <w:t>Maintain current specification.</w:t>
      </w:r>
    </w:p>
    <w:p>
      <w:pPr>
        <w:pStyle w:val="Heading2"/>
        <w:jc w:val="both"/>
        <w:rPr/>
      </w:pPr>
      <w:bookmarkStart w:id="811" w:name="__RefHeading___Toc518036172"/>
      <w:bookmarkEnd w:id="811"/>
      <w:r>
        <w:rPr/>
        <w:t>Y.4.6</w:t>
        <w:tab/>
        <w:t>Phase accuracy</w:t>
      </w:r>
    </w:p>
    <w:p>
      <w:pPr>
        <w:pStyle w:val="Normal"/>
        <w:jc w:val="both"/>
        <w:rPr/>
      </w:pPr>
      <w:r>
        <w:rPr/>
        <w:t>Maintain current specification for GSM 900 in 05.05 (defined in GSM 05.04).</w:t>
      </w:r>
    </w:p>
    <w:p>
      <w:pPr>
        <w:pStyle w:val="Heading2"/>
        <w:jc w:val="both"/>
        <w:rPr/>
      </w:pPr>
      <w:bookmarkStart w:id="812" w:name="__RefHeading___Toc518036173"/>
      <w:bookmarkEnd w:id="812"/>
      <w:r>
        <w:rPr/>
        <w:t>Y.4.7</w:t>
        <w:tab/>
        <w:t>Intermodulation attenuation</w:t>
      </w:r>
    </w:p>
    <w:p>
      <w:pPr>
        <w:pStyle w:val="Normal"/>
        <w:jc w:val="both"/>
        <w:rPr/>
      </w:pPr>
      <w:r>
        <w:rPr/>
        <w:t xml:space="preserve">For GSM 900 system intermodulation attenuation is specified only for BTS. Required intermodulation attenuation in the coordinated case for both GSM 900 and T-GSM 900 systems is 42 dB while the current specification states that attenuation is 70 dB. </w:t>
      </w:r>
    </w:p>
    <w:p>
      <w:pPr>
        <w:pStyle w:val="Normal"/>
        <w:rPr/>
      </w:pPr>
      <w:r>
        <w:rPr/>
        <w:t>No changes are proposed for intermodulation attenuation specification.</w:t>
      </w:r>
    </w:p>
    <w:p>
      <w:pPr>
        <w:pStyle w:val="Heading1"/>
        <w:ind w:left="1134" w:hanging="1134"/>
        <w:rPr/>
      </w:pPr>
      <w:bookmarkStart w:id="813" w:name="__RefHeading___Toc518036174"/>
      <w:bookmarkEnd w:id="813"/>
      <w:r>
        <w:rPr/>
        <w:t>Y.5</w:t>
        <w:tab/>
        <w:t>Receiver characteristics</w:t>
      </w:r>
    </w:p>
    <w:p>
      <w:pPr>
        <w:pStyle w:val="Heading2"/>
        <w:rPr/>
      </w:pPr>
      <w:bookmarkStart w:id="814" w:name="__RefHeading___Toc518036175"/>
      <w:bookmarkEnd w:id="814"/>
      <w:r>
        <w:rPr/>
        <w:t>Y.5.1</w:t>
        <w:tab/>
        <w:t>Blocking characteristics</w:t>
      </w:r>
    </w:p>
    <w:p>
      <w:pPr>
        <w:pStyle w:val="TH"/>
        <w:rPr/>
      </w:pPr>
      <w:r>
        <w:rPr/>
        <w:drawing>
          <wp:inline distT="0" distB="0" distL="0" distR="0">
            <wp:extent cx="5267960" cy="305435"/>
            <wp:effectExtent l="0" t="0" r="0" b="0"/>
            <wp:docPr id="237" name="Image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61" descr=""/>
                    <pic:cNvPicPr>
                      <a:picLocks noChangeAspect="1" noChangeArrowheads="1"/>
                    </pic:cNvPicPr>
                  </pic:nvPicPr>
                  <pic:blipFill>
                    <a:blip r:embed="rId243"/>
                    <a:srcRect l="-7" t="-118" r="-7" b="-118"/>
                    <a:stretch>
                      <a:fillRect/>
                    </a:stretch>
                  </pic:blipFill>
                  <pic:spPr bwMode="auto">
                    <a:xfrm>
                      <a:off x="0" y="0"/>
                      <a:ext cx="5267960" cy="305435"/>
                    </a:xfrm>
                    <a:prstGeom prst="rect">
                      <a:avLst/>
                    </a:prstGeom>
                  </pic:spPr>
                </pic:pic>
              </a:graphicData>
            </a:graphic>
          </wp:inline>
        </w:drawing>
      </w:r>
    </w:p>
    <w:p>
      <w:pPr>
        <w:pStyle w:val="TH"/>
        <w:rPr/>
      </w:pPr>
      <w:r>
        <w:rPr/>
        <w:drawing>
          <wp:inline distT="0" distB="0" distL="0" distR="0">
            <wp:extent cx="5269230" cy="409575"/>
            <wp:effectExtent l="0" t="0" r="0" b="0"/>
            <wp:docPr id="238" name="Image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62" descr=""/>
                    <pic:cNvPicPr>
                      <a:picLocks noChangeAspect="1" noChangeArrowheads="1"/>
                    </pic:cNvPicPr>
                  </pic:nvPicPr>
                  <pic:blipFill>
                    <a:blip r:embed="rId244"/>
                    <a:srcRect l="-7" t="-87" r="-7" b="-87"/>
                    <a:stretch>
                      <a:fillRect/>
                    </a:stretch>
                  </pic:blipFill>
                  <pic:spPr bwMode="auto">
                    <a:xfrm>
                      <a:off x="0" y="0"/>
                      <a:ext cx="5269230" cy="409575"/>
                    </a:xfrm>
                    <a:prstGeom prst="rect">
                      <a:avLst/>
                    </a:prstGeom>
                  </pic:spPr>
                </pic:pic>
              </a:graphicData>
            </a:graphic>
          </wp:inline>
        </w:drawing>
      </w:r>
    </w:p>
    <w:p>
      <w:pPr>
        <w:pStyle w:val="FP"/>
        <w:rPr/>
      </w:pPr>
      <w:r>
        <w:rPr/>
      </w:r>
    </w:p>
    <w:p>
      <w:pPr>
        <w:pStyle w:val="TextBodyIndent"/>
        <w:rPr/>
      </w:pPr>
      <w:r>
        <w:rPr/>
        <w:t>The scenario where MS is blocked by BTS is considered to have insignificant influence because of the GSM-R band that separates T-GSM 900 and GSM 900. In respect of the GSM-R again no significant influence is expected because of the relative low user densities in this band and the statistical probability of a GSM-R MS to be close to a T-GSM BST and far away from its own BST while wanting to communicate.</w:t>
      </w:r>
    </w:p>
    <w:p>
      <w:pPr>
        <w:pStyle w:val="TextBodyIndent"/>
        <w:rPr/>
      </w:pPr>
      <w:r>
        <w:rPr/>
        <w:t>The scenario where MS is blocking MS is very depending on statistical probabilities. It is considered highly unlikely that two MS will be in operation on the same timeslot within a few meters and one is at the sensitivity limit also considering the relatively low user densities of T-GSM.</w:t>
      </w:r>
    </w:p>
    <w:p>
      <w:pPr>
        <w:pStyle w:val="TextBodyIndent"/>
        <w:rPr/>
      </w:pPr>
      <w:r>
        <w:rPr/>
        <w:t xml:space="preserve">The BTS to BTS blocking is a special case for T-GSM because of the frequency allocation. T-GSM BTS transmitter is operating from 915.6 MHz and the GSM BST receiver may be at 914.8 MHz in the same geographical area. This situation requires co-ordination and may require additional filters at the GSM BST receiver where the physical distance is short between a T-GSM BTS and the GSM BTS. See also ECC Report No. 5. </w:t>
      </w:r>
    </w:p>
    <w:p>
      <w:pPr>
        <w:pStyle w:val="Normal"/>
        <w:rPr/>
      </w:pPr>
      <w:r>
        <w:rPr/>
      </w:r>
    </w:p>
    <w:tbl>
      <w:tblPr>
        <w:tblW w:w="5004" w:type="dxa"/>
        <w:jc w:val="center"/>
        <w:tblInd w:w="0" w:type="dxa"/>
        <w:tblLayout w:type="fixed"/>
        <w:tblCellMar>
          <w:top w:w="0" w:type="dxa"/>
          <w:left w:w="28" w:type="dxa"/>
          <w:bottom w:w="0" w:type="dxa"/>
          <w:right w:w="28" w:type="dxa"/>
        </w:tblCellMar>
      </w:tblPr>
      <w:tblGrid>
        <w:gridCol w:w="1668"/>
        <w:gridCol w:w="1668"/>
        <w:gridCol w:w="1668"/>
      </w:tblGrid>
      <w:tr>
        <w:trPr>
          <w:cantSplit w:val="true"/>
        </w:trPr>
        <w:tc>
          <w:tcPr>
            <w:tcW w:w="1668" w:type="dxa"/>
            <w:tcBorders>
              <w:top w:val="single" w:sz="6" w:space="0" w:color="000000"/>
              <w:left w:val="single" w:sz="6" w:space="0" w:color="000000"/>
            </w:tcBorders>
          </w:tcPr>
          <w:p>
            <w:pPr>
              <w:pStyle w:val="TAH"/>
              <w:rPr>
                <w:lang w:eastAsia="en-US"/>
              </w:rPr>
            </w:pPr>
            <w:r>
              <w:rPr>
                <w:lang w:eastAsia="en-US"/>
              </w:rPr>
              <w:t>Frequency</w:t>
            </w:r>
          </w:p>
        </w:tc>
        <w:tc>
          <w:tcPr>
            <w:tcW w:w="3336" w:type="dxa"/>
            <w:gridSpan w:val="2"/>
            <w:tcBorders>
              <w:top w:val="single" w:sz="6" w:space="0" w:color="000000"/>
              <w:left w:val="single" w:sz="6" w:space="0" w:color="000000"/>
              <w:right w:val="single" w:sz="4" w:space="0" w:color="000000"/>
            </w:tcBorders>
          </w:tcPr>
          <w:p>
            <w:pPr>
              <w:pStyle w:val="TAH"/>
              <w:rPr>
                <w:lang w:eastAsia="en-US"/>
              </w:rPr>
            </w:pPr>
            <w:r>
              <w:rPr>
                <w:lang w:eastAsia="en-US"/>
              </w:rPr>
              <w:t>Frequency range (MHz)</w:t>
            </w:r>
          </w:p>
        </w:tc>
      </w:tr>
      <w:tr>
        <w:trPr>
          <w:cantSplit w:val="true"/>
        </w:trPr>
        <w:tc>
          <w:tcPr>
            <w:tcW w:w="1668" w:type="dxa"/>
            <w:tcBorders>
              <w:left w:val="single" w:sz="6" w:space="0" w:color="000000"/>
            </w:tcBorders>
          </w:tcPr>
          <w:p>
            <w:pPr>
              <w:pStyle w:val="TAH"/>
              <w:rPr>
                <w:lang w:eastAsia="en-US"/>
              </w:rPr>
            </w:pPr>
            <w:r>
              <w:rPr>
                <w:lang w:eastAsia="en-US"/>
              </w:rPr>
              <w:t>band</w:t>
            </w:r>
          </w:p>
        </w:tc>
        <w:tc>
          <w:tcPr>
            <w:tcW w:w="3336" w:type="dxa"/>
            <w:gridSpan w:val="2"/>
            <w:tcBorders>
              <w:left w:val="single" w:sz="6" w:space="0" w:color="000000"/>
              <w:right w:val="single" w:sz="4" w:space="0" w:color="000000"/>
            </w:tcBorders>
          </w:tcPr>
          <w:p>
            <w:pPr>
              <w:pStyle w:val="TAH"/>
              <w:rPr>
                <w:lang w:eastAsia="en-US"/>
              </w:rPr>
            </w:pPr>
            <w:r>
              <w:rPr>
                <w:lang w:eastAsia="en-US"/>
              </w:rPr>
              <w:t>T-GSM 900</w:t>
            </w:r>
          </w:p>
        </w:tc>
      </w:tr>
      <w:tr>
        <w:trPr/>
        <w:tc>
          <w:tcPr>
            <w:tcW w:w="1668" w:type="dxa"/>
            <w:tcBorders>
              <w:left w:val="single" w:sz="6" w:space="0" w:color="000000"/>
            </w:tcBorders>
          </w:tcPr>
          <w:p>
            <w:pPr>
              <w:pStyle w:val="TAH"/>
              <w:snapToGrid w:val="false"/>
              <w:rPr>
                <w:u w:val="thick"/>
                <w:lang w:eastAsia="en-US"/>
              </w:rPr>
            </w:pPr>
            <w:r>
              <w:rPr>
                <w:u w:val="thick"/>
                <w:lang w:eastAsia="en-US"/>
              </w:rPr>
            </w:r>
          </w:p>
        </w:tc>
        <w:tc>
          <w:tcPr>
            <w:tcW w:w="1668" w:type="dxa"/>
            <w:tcBorders>
              <w:left w:val="single" w:sz="6" w:space="0" w:color="000000"/>
              <w:bottom w:val="single" w:sz="6" w:space="0" w:color="000000"/>
            </w:tcBorders>
          </w:tcPr>
          <w:p>
            <w:pPr>
              <w:pStyle w:val="TAH"/>
              <w:rPr>
                <w:lang w:eastAsia="en-US"/>
              </w:rPr>
            </w:pPr>
            <w:r>
              <w:rPr>
                <w:lang w:eastAsia="en-US"/>
              </w:rPr>
              <w:t>MS</w:t>
            </w:r>
          </w:p>
        </w:tc>
        <w:tc>
          <w:tcPr>
            <w:tcW w:w="1668" w:type="dxa"/>
            <w:tcBorders>
              <w:left w:val="single" w:sz="6" w:space="0" w:color="000000"/>
              <w:bottom w:val="single" w:sz="6" w:space="0" w:color="000000"/>
              <w:right w:val="single" w:sz="4" w:space="0" w:color="000000"/>
            </w:tcBorders>
          </w:tcPr>
          <w:p>
            <w:pPr>
              <w:pStyle w:val="TAH"/>
              <w:rPr>
                <w:lang w:eastAsia="en-US"/>
              </w:rPr>
            </w:pPr>
            <w:r>
              <w:rPr>
                <w:lang w:eastAsia="en-US"/>
              </w:rPr>
              <w:t>BTS</w:t>
            </w:r>
          </w:p>
        </w:tc>
      </w:tr>
      <w:tr>
        <w:trPr/>
        <w:tc>
          <w:tcPr>
            <w:tcW w:w="1668" w:type="dxa"/>
            <w:tcBorders>
              <w:top w:val="single" w:sz="6" w:space="0" w:color="000000"/>
              <w:left w:val="single" w:sz="6" w:space="0" w:color="000000"/>
              <w:right w:val="single" w:sz="6" w:space="0" w:color="000000"/>
            </w:tcBorders>
          </w:tcPr>
          <w:p>
            <w:pPr>
              <w:pStyle w:val="TAC"/>
              <w:rPr>
                <w:lang w:val="en-GB"/>
              </w:rPr>
            </w:pPr>
            <w:r>
              <w:rPr>
                <w:lang w:val="en-GB"/>
              </w:rPr>
              <w:t>in</w:t>
              <w:noBreakHyphen/>
              <w:t>band</w:t>
            </w:r>
          </w:p>
        </w:tc>
        <w:tc>
          <w:tcPr>
            <w:tcW w:w="1668" w:type="dxa"/>
            <w:tcBorders>
              <w:top w:val="single" w:sz="6" w:space="0" w:color="000000"/>
              <w:left w:val="single" w:sz="6" w:space="0" w:color="000000"/>
              <w:right w:val="single" w:sz="6" w:space="0" w:color="000000"/>
            </w:tcBorders>
          </w:tcPr>
          <w:p>
            <w:pPr>
              <w:pStyle w:val="TAC"/>
              <w:rPr>
                <w:lang w:val="en-GB"/>
              </w:rPr>
            </w:pPr>
            <w:r>
              <w:rPr>
                <w:lang w:val="en-GB"/>
              </w:rPr>
              <w:t xml:space="preserve">900 </w:t>
              <w:noBreakHyphen/>
              <w:t xml:space="preserve"> 980</w:t>
            </w:r>
          </w:p>
        </w:tc>
        <w:tc>
          <w:tcPr>
            <w:tcW w:w="1668" w:type="dxa"/>
            <w:tcBorders>
              <w:top w:val="single" w:sz="6" w:space="0" w:color="000000"/>
              <w:left w:val="single" w:sz="6" w:space="0" w:color="000000"/>
              <w:right w:val="single" w:sz="6" w:space="0" w:color="000000"/>
            </w:tcBorders>
          </w:tcPr>
          <w:p>
            <w:pPr>
              <w:pStyle w:val="TAC"/>
              <w:rPr>
                <w:lang w:val="en-GB"/>
              </w:rPr>
            </w:pPr>
            <w:r>
              <w:rPr>
                <w:lang w:val="en-GB"/>
              </w:rPr>
              <w:t xml:space="preserve">850 </w:t>
              <w:noBreakHyphen/>
              <w:t xml:space="preserve"> 915</w:t>
            </w:r>
          </w:p>
        </w:tc>
      </w:tr>
      <w:tr>
        <w:trPr/>
        <w:tc>
          <w:tcPr>
            <w:tcW w:w="1668" w:type="dxa"/>
            <w:tcBorders>
              <w:left w:val="single" w:sz="6" w:space="0" w:color="000000"/>
              <w:right w:val="single" w:sz="6" w:space="0" w:color="000000"/>
            </w:tcBorders>
          </w:tcPr>
          <w:p>
            <w:pPr>
              <w:pStyle w:val="TAC"/>
              <w:rPr>
                <w:lang w:val="en-GB"/>
              </w:rPr>
            </w:pPr>
            <w:r>
              <w:rPr>
                <w:lang w:val="en-GB"/>
              </w:rPr>
              <w:t>out</w:t>
              <w:noBreakHyphen/>
              <w:t>of</w:t>
              <w:noBreakHyphen/>
              <w:t>band (a)</w:t>
            </w:r>
          </w:p>
        </w:tc>
        <w:tc>
          <w:tcPr>
            <w:tcW w:w="1668" w:type="dxa"/>
            <w:tcBorders>
              <w:left w:val="single" w:sz="6" w:space="0" w:color="000000"/>
              <w:right w:val="single" w:sz="6" w:space="0" w:color="000000"/>
            </w:tcBorders>
          </w:tcPr>
          <w:p>
            <w:pPr>
              <w:pStyle w:val="TAC"/>
              <w:rPr>
                <w:lang w:val="en-GB"/>
              </w:rPr>
            </w:pPr>
            <w:r>
              <w:rPr>
                <w:lang w:val="en-GB"/>
              </w:rPr>
              <w:t xml:space="preserve">0,1 </w:t>
              <w:noBreakHyphen/>
              <w:t xml:space="preserve"> &lt; 900</w:t>
            </w:r>
          </w:p>
        </w:tc>
        <w:tc>
          <w:tcPr>
            <w:tcW w:w="1668" w:type="dxa"/>
            <w:tcBorders>
              <w:left w:val="single" w:sz="6" w:space="0" w:color="000000"/>
              <w:right w:val="single" w:sz="6" w:space="0" w:color="000000"/>
            </w:tcBorders>
          </w:tcPr>
          <w:p>
            <w:pPr>
              <w:pStyle w:val="TAC"/>
              <w:rPr>
                <w:lang w:val="en-GB"/>
              </w:rPr>
            </w:pPr>
            <w:r>
              <w:rPr>
                <w:lang w:val="en-GB"/>
              </w:rPr>
              <w:t xml:space="preserve">0,1 </w:t>
              <w:noBreakHyphen/>
              <w:t xml:space="preserve"> &lt; 850</w:t>
            </w:r>
          </w:p>
        </w:tc>
      </w:tr>
      <w:tr>
        <w:trPr/>
        <w:tc>
          <w:tcPr>
            <w:tcW w:w="1668" w:type="dxa"/>
            <w:tcBorders>
              <w:left w:val="single" w:sz="6" w:space="0" w:color="000000"/>
              <w:right w:val="single" w:sz="6" w:space="0" w:color="000000"/>
            </w:tcBorders>
          </w:tcPr>
          <w:p>
            <w:pPr>
              <w:pStyle w:val="TAC"/>
              <w:rPr/>
            </w:pPr>
            <w:r>
              <w:rPr>
                <w:lang w:val="en-GB"/>
              </w:rPr>
              <w:t>out</w:t>
              <w:noBreakHyphen/>
              <w:t>of</w:t>
              <w:noBreakHyphen/>
              <w:t>band (b)</w:t>
            </w:r>
          </w:p>
        </w:tc>
        <w:tc>
          <w:tcPr>
            <w:tcW w:w="1668" w:type="dxa"/>
            <w:tcBorders>
              <w:left w:val="single" w:sz="6" w:space="0" w:color="000000"/>
              <w:right w:val="single" w:sz="6" w:space="0" w:color="000000"/>
            </w:tcBorders>
          </w:tcPr>
          <w:p>
            <w:pPr>
              <w:pStyle w:val="TAC"/>
              <w:rPr>
                <w:lang w:val="en-GB"/>
              </w:rPr>
            </w:pPr>
            <w:r>
              <w:rPr>
                <w:lang w:val="en-GB"/>
              </w:rPr>
              <w:t>N/A</w:t>
            </w:r>
          </w:p>
        </w:tc>
        <w:tc>
          <w:tcPr>
            <w:tcW w:w="1668" w:type="dxa"/>
            <w:tcBorders>
              <w:left w:val="single" w:sz="6" w:space="0" w:color="000000"/>
              <w:right w:val="single" w:sz="6" w:space="0" w:color="000000"/>
            </w:tcBorders>
          </w:tcPr>
          <w:p>
            <w:pPr>
              <w:pStyle w:val="TAC"/>
              <w:rPr>
                <w:lang w:val="en-GB"/>
              </w:rPr>
            </w:pPr>
            <w:r>
              <w:rPr>
                <w:lang w:val="en-GB"/>
              </w:rPr>
              <w:t>N/A</w:t>
            </w:r>
          </w:p>
        </w:tc>
      </w:tr>
      <w:tr>
        <w:trPr/>
        <w:tc>
          <w:tcPr>
            <w:tcW w:w="1668" w:type="dxa"/>
            <w:tcBorders>
              <w:left w:val="single" w:sz="6" w:space="0" w:color="000000"/>
              <w:right w:val="single" w:sz="6" w:space="0" w:color="000000"/>
            </w:tcBorders>
          </w:tcPr>
          <w:p>
            <w:pPr>
              <w:pStyle w:val="TAC"/>
              <w:rPr>
                <w:lang w:val="en-GB"/>
              </w:rPr>
            </w:pPr>
            <w:r>
              <w:rPr>
                <w:lang w:val="en-GB"/>
              </w:rPr>
              <w:t>out</w:t>
              <w:noBreakHyphen/>
              <w:t>of band (c)</w:t>
            </w:r>
          </w:p>
        </w:tc>
        <w:tc>
          <w:tcPr>
            <w:tcW w:w="1668" w:type="dxa"/>
            <w:tcBorders>
              <w:left w:val="single" w:sz="6" w:space="0" w:color="000000"/>
              <w:right w:val="single" w:sz="6" w:space="0" w:color="000000"/>
            </w:tcBorders>
          </w:tcPr>
          <w:p>
            <w:pPr>
              <w:pStyle w:val="TAC"/>
              <w:rPr>
                <w:lang w:val="en-GB"/>
              </w:rPr>
            </w:pPr>
            <w:r>
              <w:rPr>
                <w:lang w:val="en-GB"/>
              </w:rPr>
              <w:t>N/A</w:t>
            </w:r>
          </w:p>
        </w:tc>
        <w:tc>
          <w:tcPr>
            <w:tcW w:w="1668" w:type="dxa"/>
            <w:tcBorders>
              <w:left w:val="single" w:sz="6" w:space="0" w:color="000000"/>
              <w:right w:val="single" w:sz="6" w:space="0" w:color="000000"/>
            </w:tcBorders>
          </w:tcPr>
          <w:p>
            <w:pPr>
              <w:pStyle w:val="TAC"/>
              <w:rPr>
                <w:lang w:val="en-GB"/>
              </w:rPr>
            </w:pPr>
            <w:r>
              <w:rPr>
                <w:lang w:val="en-GB"/>
              </w:rPr>
              <w:t>N/A</w:t>
            </w:r>
          </w:p>
        </w:tc>
      </w:tr>
      <w:tr>
        <w:trPr/>
        <w:tc>
          <w:tcPr>
            <w:tcW w:w="1668" w:type="dxa"/>
            <w:tcBorders>
              <w:left w:val="single" w:sz="6" w:space="0" w:color="000000"/>
              <w:bottom w:val="single" w:sz="6" w:space="0" w:color="000000"/>
              <w:right w:val="single" w:sz="6" w:space="0" w:color="000000"/>
            </w:tcBorders>
          </w:tcPr>
          <w:p>
            <w:pPr>
              <w:pStyle w:val="TAC"/>
              <w:rPr>
                <w:lang w:val="en-GB"/>
              </w:rPr>
            </w:pPr>
            <w:r>
              <w:rPr>
                <w:lang w:val="en-GB"/>
              </w:rPr>
              <w:t>out</w:t>
              <w:noBreakHyphen/>
              <w:t>of band (d)</w:t>
            </w:r>
          </w:p>
        </w:tc>
        <w:tc>
          <w:tcPr>
            <w:tcW w:w="1668" w:type="dxa"/>
            <w:tcBorders>
              <w:left w:val="single" w:sz="6" w:space="0" w:color="000000"/>
              <w:bottom w:val="single" w:sz="6" w:space="0" w:color="000000"/>
              <w:right w:val="single" w:sz="6" w:space="0" w:color="000000"/>
            </w:tcBorders>
          </w:tcPr>
          <w:p>
            <w:pPr>
              <w:pStyle w:val="TAC"/>
              <w:rPr>
                <w:lang w:val="en-GB"/>
              </w:rPr>
            </w:pPr>
            <w:r>
              <w:rPr>
                <w:lang w:val="en-GB"/>
              </w:rPr>
              <w:t xml:space="preserve">&gt; 980 </w:t>
              <w:noBreakHyphen/>
              <w:t xml:space="preserve"> 12,750</w:t>
            </w:r>
          </w:p>
        </w:tc>
        <w:tc>
          <w:tcPr>
            <w:tcW w:w="1668" w:type="dxa"/>
            <w:tcBorders>
              <w:left w:val="single" w:sz="6" w:space="0" w:color="000000"/>
              <w:bottom w:val="single" w:sz="6" w:space="0" w:color="000000"/>
              <w:right w:val="single" w:sz="6" w:space="0" w:color="000000"/>
            </w:tcBorders>
          </w:tcPr>
          <w:p>
            <w:pPr>
              <w:pStyle w:val="TAC"/>
              <w:rPr>
                <w:lang w:val="en-GB"/>
              </w:rPr>
            </w:pPr>
            <w:r>
              <w:rPr>
                <w:lang w:val="en-GB"/>
              </w:rPr>
              <w:t xml:space="preserve">&gt; 915 </w:t>
              <w:noBreakHyphen/>
              <w:t xml:space="preserve"> 12,750</w:t>
            </w:r>
          </w:p>
        </w:tc>
      </w:tr>
    </w:tbl>
    <w:p>
      <w:pPr>
        <w:pStyle w:val="FP"/>
        <w:rPr/>
      </w:pPr>
      <w:r>
        <w:rPr/>
      </w:r>
    </w:p>
    <w:p>
      <w:pPr>
        <w:pStyle w:val="TH"/>
        <w:rPr/>
      </w:pPr>
      <w:r>
        <w:rPr/>
      </w:r>
    </w:p>
    <w:tbl>
      <w:tblPr>
        <w:tblW w:w="5298" w:type="dxa"/>
        <w:jc w:val="center"/>
        <w:tblInd w:w="0" w:type="dxa"/>
        <w:tblLayout w:type="fixed"/>
        <w:tblCellMar>
          <w:top w:w="0" w:type="dxa"/>
          <w:left w:w="28" w:type="dxa"/>
          <w:bottom w:w="0" w:type="dxa"/>
          <w:right w:w="28" w:type="dxa"/>
        </w:tblCellMar>
      </w:tblPr>
      <w:tblGrid>
        <w:gridCol w:w="2511"/>
        <w:gridCol w:w="696"/>
        <w:gridCol w:w="697"/>
        <w:gridCol w:w="697"/>
        <w:gridCol w:w="697"/>
      </w:tblGrid>
      <w:tr>
        <w:trPr>
          <w:trHeight w:val="225" w:hRule="atLeast"/>
          <w:cantSplit w:val="true"/>
        </w:trPr>
        <w:tc>
          <w:tcPr>
            <w:tcW w:w="2511" w:type="dxa"/>
            <w:vMerge w:val="restart"/>
            <w:tcBorders>
              <w:top w:val="single" w:sz="4" w:space="0" w:color="000000"/>
              <w:left w:val="single" w:sz="4" w:space="0" w:color="000000"/>
              <w:right w:val="single" w:sz="6" w:space="0" w:color="000000"/>
            </w:tcBorders>
          </w:tcPr>
          <w:p>
            <w:pPr>
              <w:pStyle w:val="TAC"/>
              <w:rPr>
                <w:b/>
                <w:b/>
                <w:lang w:val="en-GB"/>
              </w:rPr>
            </w:pPr>
            <w:r>
              <w:rPr>
                <w:b/>
                <w:lang w:val="en-GB"/>
              </w:rPr>
              <w:t>Frequency band</w:t>
            </w:r>
          </w:p>
        </w:tc>
        <w:tc>
          <w:tcPr>
            <w:tcW w:w="1393" w:type="dxa"/>
            <w:gridSpan w:val="2"/>
            <w:vMerge w:val="restart"/>
            <w:tcBorders>
              <w:top w:val="single" w:sz="4" w:space="0" w:color="000000"/>
              <w:left w:val="single" w:sz="6" w:space="0" w:color="000000"/>
              <w:right w:val="single" w:sz="6" w:space="0" w:color="000000"/>
            </w:tcBorders>
          </w:tcPr>
          <w:p>
            <w:pPr>
              <w:pStyle w:val="TAC"/>
              <w:rPr>
                <w:b/>
                <w:b/>
                <w:lang w:val="en-GB"/>
              </w:rPr>
            </w:pPr>
            <w:r>
              <w:rPr>
                <w:b/>
                <w:lang w:val="en-GB"/>
              </w:rPr>
              <w:t>E-GSM 900</w:t>
            </w:r>
          </w:p>
        </w:tc>
        <w:tc>
          <w:tcPr>
            <w:tcW w:w="1394" w:type="dxa"/>
            <w:gridSpan w:val="2"/>
            <w:vMerge w:val="restart"/>
            <w:tcBorders>
              <w:top w:val="single" w:sz="4" w:space="0" w:color="000000"/>
              <w:left w:val="single" w:sz="6" w:space="0" w:color="000000"/>
              <w:right w:val="single" w:sz="4" w:space="0" w:color="000000"/>
            </w:tcBorders>
          </w:tcPr>
          <w:p>
            <w:pPr>
              <w:pStyle w:val="TAC"/>
              <w:rPr>
                <w:b/>
                <w:b/>
                <w:lang w:val="fr-FR"/>
              </w:rPr>
            </w:pPr>
            <w:r>
              <w:rPr>
                <w:b/>
                <w:lang w:val="fr-FR"/>
              </w:rPr>
              <w:t>T-GSM 900</w:t>
            </w:r>
          </w:p>
        </w:tc>
      </w:tr>
      <w:tr>
        <w:trPr>
          <w:trHeight w:val="225" w:hRule="atLeast"/>
          <w:cantSplit w:val="true"/>
        </w:trPr>
        <w:tc>
          <w:tcPr>
            <w:tcW w:w="2511" w:type="dxa"/>
            <w:vMerge w:val="continue"/>
            <w:tcBorders>
              <w:top w:val="single" w:sz="4" w:space="0" w:color="000000"/>
              <w:left w:val="single" w:sz="4" w:space="0" w:color="000000"/>
              <w:right w:val="single" w:sz="6" w:space="0" w:color="000000"/>
            </w:tcBorders>
          </w:tcPr>
          <w:p>
            <w:pPr>
              <w:pStyle w:val="TAC"/>
              <w:snapToGrid w:val="false"/>
              <w:rPr>
                <w:b/>
                <w:b/>
                <w:sz w:val="18"/>
                <w:lang w:val="fr-FR"/>
              </w:rPr>
            </w:pPr>
            <w:r>
              <w:rPr>
                <w:b/>
                <w:sz w:val="18"/>
                <w:lang w:val="fr-FR"/>
              </w:rPr>
            </w:r>
          </w:p>
        </w:tc>
        <w:tc>
          <w:tcPr>
            <w:tcW w:w="1393" w:type="dxa"/>
            <w:gridSpan w:val="2"/>
            <w:vMerge w:val="continue"/>
            <w:tcBorders>
              <w:top w:val="single" w:sz="4" w:space="0" w:color="000000"/>
              <w:left w:val="single" w:sz="6" w:space="0" w:color="000000"/>
              <w:right w:val="single" w:sz="6" w:space="0" w:color="000000"/>
            </w:tcBorders>
          </w:tcPr>
          <w:p>
            <w:pPr>
              <w:pStyle w:val="TAC"/>
              <w:snapToGrid w:val="false"/>
              <w:rPr>
                <w:b/>
                <w:b/>
                <w:lang w:val="fr-FR"/>
              </w:rPr>
            </w:pPr>
            <w:r>
              <w:rPr>
                <w:b/>
                <w:lang w:val="fr-FR"/>
              </w:rPr>
            </w:r>
          </w:p>
        </w:tc>
        <w:tc>
          <w:tcPr>
            <w:tcW w:w="1394" w:type="dxa"/>
            <w:gridSpan w:val="2"/>
            <w:vMerge w:val="continue"/>
            <w:tcBorders>
              <w:top w:val="single" w:sz="4" w:space="0" w:color="000000"/>
              <w:left w:val="single" w:sz="6" w:space="0" w:color="000000"/>
              <w:right w:val="single" w:sz="4" w:space="0" w:color="000000"/>
            </w:tcBorders>
          </w:tcPr>
          <w:p>
            <w:pPr>
              <w:pStyle w:val="TAC"/>
              <w:snapToGrid w:val="false"/>
              <w:rPr>
                <w:b/>
                <w:b/>
                <w:lang w:val="fr-FR"/>
              </w:rPr>
            </w:pPr>
            <w:r>
              <w:rPr>
                <w:b/>
                <w:lang w:val="fr-FR"/>
              </w:rPr>
            </w:r>
          </w:p>
        </w:tc>
      </w:tr>
      <w:tr>
        <w:trPr>
          <w:cantSplit w:val="true"/>
        </w:trPr>
        <w:tc>
          <w:tcPr>
            <w:tcW w:w="2511" w:type="dxa"/>
            <w:vMerge w:val="continue"/>
            <w:tcBorders>
              <w:top w:val="single" w:sz="4" w:space="0" w:color="000000"/>
              <w:left w:val="single" w:sz="4" w:space="0" w:color="000000"/>
              <w:right w:val="single" w:sz="6" w:space="0" w:color="000000"/>
            </w:tcBorders>
          </w:tcPr>
          <w:p>
            <w:pPr>
              <w:pStyle w:val="TAC"/>
              <w:snapToGrid w:val="false"/>
              <w:rPr>
                <w:b/>
                <w:b/>
                <w:sz w:val="18"/>
                <w:lang w:val="fr-FR"/>
              </w:rPr>
            </w:pPr>
            <w:r>
              <w:rPr>
                <w:b/>
                <w:sz w:val="18"/>
                <w:lang w:val="fr-FR"/>
              </w:rPr>
            </w:r>
          </w:p>
        </w:tc>
        <w:tc>
          <w:tcPr>
            <w:tcW w:w="696" w:type="dxa"/>
            <w:tcBorders>
              <w:left w:val="single" w:sz="6" w:space="0" w:color="000000"/>
              <w:right w:val="single" w:sz="6" w:space="0" w:color="000000"/>
            </w:tcBorders>
          </w:tcPr>
          <w:p>
            <w:pPr>
              <w:pStyle w:val="TAC"/>
              <w:rPr>
                <w:b/>
                <w:b/>
                <w:lang w:val="fr-FR"/>
              </w:rPr>
            </w:pPr>
            <w:r>
              <w:rPr>
                <w:b/>
                <w:lang w:val="fr-FR"/>
              </w:rPr>
              <w:t>MS</w:t>
            </w:r>
          </w:p>
        </w:tc>
        <w:tc>
          <w:tcPr>
            <w:tcW w:w="697" w:type="dxa"/>
            <w:tcBorders>
              <w:left w:val="single" w:sz="6" w:space="0" w:color="000000"/>
              <w:right w:val="single" w:sz="6" w:space="0" w:color="000000"/>
            </w:tcBorders>
          </w:tcPr>
          <w:p>
            <w:pPr>
              <w:pStyle w:val="TAC"/>
              <w:rPr>
                <w:b/>
                <w:b/>
                <w:lang w:val="en-GB"/>
              </w:rPr>
            </w:pPr>
            <w:r>
              <w:rPr>
                <w:b/>
                <w:lang w:val="en-GB"/>
              </w:rPr>
              <w:t>BTS</w:t>
            </w:r>
          </w:p>
        </w:tc>
        <w:tc>
          <w:tcPr>
            <w:tcW w:w="697" w:type="dxa"/>
            <w:tcBorders>
              <w:left w:val="single" w:sz="6" w:space="0" w:color="000000"/>
              <w:right w:val="single" w:sz="6" w:space="0" w:color="000000"/>
            </w:tcBorders>
          </w:tcPr>
          <w:p>
            <w:pPr>
              <w:pStyle w:val="TAC"/>
              <w:rPr>
                <w:b/>
                <w:b/>
                <w:lang w:val="en-GB"/>
              </w:rPr>
            </w:pPr>
            <w:r>
              <w:rPr>
                <w:b/>
                <w:lang w:val="en-GB"/>
              </w:rPr>
              <w:t>MS</w:t>
            </w:r>
          </w:p>
        </w:tc>
        <w:tc>
          <w:tcPr>
            <w:tcW w:w="697" w:type="dxa"/>
            <w:tcBorders>
              <w:left w:val="single" w:sz="6" w:space="0" w:color="000000"/>
              <w:right w:val="single" w:sz="4" w:space="0" w:color="000000"/>
            </w:tcBorders>
          </w:tcPr>
          <w:p>
            <w:pPr>
              <w:pStyle w:val="TAC"/>
              <w:rPr>
                <w:b/>
                <w:b/>
                <w:lang w:val="en-GB"/>
              </w:rPr>
            </w:pPr>
            <w:r>
              <w:rPr>
                <w:b/>
                <w:lang w:val="en-GB"/>
              </w:rPr>
              <w:t>BTS</w:t>
            </w:r>
          </w:p>
        </w:tc>
      </w:tr>
      <w:tr>
        <w:trPr>
          <w:cantSplit w:val="true"/>
        </w:trPr>
        <w:tc>
          <w:tcPr>
            <w:tcW w:w="2511" w:type="dxa"/>
            <w:vMerge w:val="continue"/>
            <w:tcBorders>
              <w:top w:val="single" w:sz="4" w:space="0" w:color="000000"/>
              <w:left w:val="single" w:sz="4" w:space="0" w:color="000000"/>
              <w:right w:val="single" w:sz="6" w:space="0" w:color="000000"/>
            </w:tcBorders>
          </w:tcPr>
          <w:p>
            <w:pPr>
              <w:pStyle w:val="TAC"/>
              <w:snapToGrid w:val="false"/>
              <w:rPr>
                <w:b/>
                <w:b/>
                <w:sz w:val="18"/>
                <w:lang w:val="en-GB"/>
              </w:rPr>
            </w:pPr>
            <w:r>
              <w:rPr>
                <w:b/>
                <w:sz w:val="18"/>
                <w:lang w:val="en-GB"/>
              </w:rPr>
            </w:r>
          </w:p>
        </w:tc>
        <w:tc>
          <w:tcPr>
            <w:tcW w:w="696" w:type="dxa"/>
            <w:tcBorders>
              <w:left w:val="single" w:sz="6" w:space="0" w:color="000000"/>
              <w:bottom w:val="single" w:sz="6" w:space="0" w:color="000000"/>
              <w:right w:val="single" w:sz="6" w:space="0" w:color="000000"/>
            </w:tcBorders>
          </w:tcPr>
          <w:p>
            <w:pPr>
              <w:pStyle w:val="TAC"/>
              <w:rPr>
                <w:b/>
                <w:b/>
                <w:lang w:val="en-GB"/>
              </w:rPr>
            </w:pPr>
            <w:r>
              <w:rPr>
                <w:b/>
                <w:lang w:val="en-GB"/>
              </w:rPr>
              <w:t>dBm</w:t>
            </w:r>
          </w:p>
        </w:tc>
        <w:tc>
          <w:tcPr>
            <w:tcW w:w="697" w:type="dxa"/>
            <w:tcBorders>
              <w:left w:val="single" w:sz="6" w:space="0" w:color="000000"/>
              <w:bottom w:val="single" w:sz="6" w:space="0" w:color="000000"/>
              <w:right w:val="single" w:sz="6" w:space="0" w:color="000000"/>
            </w:tcBorders>
          </w:tcPr>
          <w:p>
            <w:pPr>
              <w:pStyle w:val="TAC"/>
              <w:rPr>
                <w:b/>
                <w:b/>
                <w:lang w:val="en-GB"/>
              </w:rPr>
            </w:pPr>
            <w:r>
              <w:rPr>
                <w:b/>
                <w:lang w:val="en-GB"/>
              </w:rPr>
              <w:t>dBm</w:t>
            </w:r>
          </w:p>
        </w:tc>
        <w:tc>
          <w:tcPr>
            <w:tcW w:w="697" w:type="dxa"/>
            <w:tcBorders>
              <w:left w:val="single" w:sz="6" w:space="0" w:color="000000"/>
              <w:bottom w:val="single" w:sz="6" w:space="0" w:color="000000"/>
              <w:right w:val="single" w:sz="6" w:space="0" w:color="000000"/>
            </w:tcBorders>
          </w:tcPr>
          <w:p>
            <w:pPr>
              <w:pStyle w:val="TAC"/>
              <w:rPr>
                <w:b/>
                <w:b/>
                <w:lang w:val="en-GB"/>
              </w:rPr>
            </w:pPr>
            <w:r>
              <w:rPr>
                <w:b/>
                <w:lang w:val="en-GB"/>
              </w:rPr>
              <w:t>dBm</w:t>
            </w:r>
          </w:p>
        </w:tc>
        <w:tc>
          <w:tcPr>
            <w:tcW w:w="697" w:type="dxa"/>
            <w:tcBorders>
              <w:left w:val="single" w:sz="6" w:space="0" w:color="000000"/>
              <w:bottom w:val="single" w:sz="6" w:space="0" w:color="000000"/>
              <w:right w:val="single" w:sz="4" w:space="0" w:color="000000"/>
            </w:tcBorders>
          </w:tcPr>
          <w:p>
            <w:pPr>
              <w:pStyle w:val="TAC"/>
              <w:rPr>
                <w:b/>
                <w:b/>
                <w:lang w:val="en-GB"/>
              </w:rPr>
            </w:pPr>
            <w:r>
              <w:rPr>
                <w:b/>
                <w:lang w:val="en-GB"/>
              </w:rPr>
              <w:t>dBm</w:t>
            </w:r>
          </w:p>
        </w:tc>
      </w:tr>
      <w:tr>
        <w:trPr>
          <w:cantSplit w:val="true"/>
        </w:trPr>
        <w:tc>
          <w:tcPr>
            <w:tcW w:w="2511" w:type="dxa"/>
            <w:tcBorders>
              <w:top w:val="single" w:sz="6" w:space="0" w:color="000000"/>
              <w:left w:val="single" w:sz="4" w:space="0" w:color="000000"/>
              <w:right w:val="single" w:sz="6" w:space="0" w:color="000000"/>
            </w:tcBorders>
          </w:tcPr>
          <w:p>
            <w:pPr>
              <w:pStyle w:val="TAC"/>
              <w:spacing w:before="60" w:after="60"/>
              <w:rPr>
                <w:lang w:val="en-GB"/>
              </w:rPr>
            </w:pPr>
            <w:r>
              <w:rPr>
                <w:lang w:val="en-GB"/>
              </w:rPr>
              <w:t>in</w:t>
              <w:noBreakHyphen/>
              <w:t>band</w:t>
            </w:r>
          </w:p>
        </w:tc>
        <w:tc>
          <w:tcPr>
            <w:tcW w:w="696" w:type="dxa"/>
            <w:tcBorders>
              <w:left w:val="single" w:sz="6" w:space="0" w:color="000000"/>
              <w:right w:val="single" w:sz="6" w:space="0" w:color="000000"/>
            </w:tcBorders>
          </w:tcPr>
          <w:p>
            <w:pPr>
              <w:pStyle w:val="TAC"/>
              <w:snapToGrid w:val="false"/>
              <w:spacing w:before="60" w:after="60"/>
              <w:rPr>
                <w:lang w:val="en-GB"/>
              </w:rPr>
            </w:pPr>
            <w:r>
              <w:rPr>
                <w:lang w:val="en-GB"/>
              </w:rPr>
            </w:r>
          </w:p>
        </w:tc>
        <w:tc>
          <w:tcPr>
            <w:tcW w:w="697" w:type="dxa"/>
            <w:tcBorders>
              <w:left w:val="single" w:sz="6" w:space="0" w:color="000000"/>
              <w:right w:val="single" w:sz="6" w:space="0" w:color="000000"/>
            </w:tcBorders>
          </w:tcPr>
          <w:p>
            <w:pPr>
              <w:pStyle w:val="TAC"/>
              <w:snapToGrid w:val="false"/>
              <w:spacing w:before="60" w:after="60"/>
              <w:rPr>
                <w:lang w:val="en-GB"/>
              </w:rPr>
            </w:pPr>
            <w:r>
              <w:rPr>
                <w:lang w:val="en-GB"/>
              </w:rPr>
            </w:r>
          </w:p>
        </w:tc>
        <w:tc>
          <w:tcPr>
            <w:tcW w:w="697" w:type="dxa"/>
            <w:tcBorders>
              <w:left w:val="single" w:sz="6" w:space="0" w:color="000000"/>
              <w:right w:val="single" w:sz="6" w:space="0" w:color="000000"/>
            </w:tcBorders>
          </w:tcPr>
          <w:p>
            <w:pPr>
              <w:pStyle w:val="TAC"/>
              <w:snapToGrid w:val="false"/>
              <w:spacing w:before="60" w:after="60"/>
              <w:rPr>
                <w:lang w:val="en-GB"/>
              </w:rPr>
            </w:pPr>
            <w:r>
              <w:rPr>
                <w:lang w:val="en-GB"/>
              </w:rPr>
            </w:r>
          </w:p>
        </w:tc>
        <w:tc>
          <w:tcPr>
            <w:tcW w:w="697" w:type="dxa"/>
            <w:tcBorders>
              <w:left w:val="single" w:sz="6" w:space="0" w:color="000000"/>
              <w:right w:val="single" w:sz="4" w:space="0" w:color="000000"/>
            </w:tcBorders>
          </w:tcPr>
          <w:p>
            <w:pPr>
              <w:pStyle w:val="TAC"/>
              <w:snapToGrid w:val="false"/>
              <w:spacing w:before="60" w:after="60"/>
              <w:rPr>
                <w:lang w:val="en-GB"/>
              </w:rPr>
            </w:pPr>
            <w:r>
              <w:rPr>
                <w:lang w:val="en-GB"/>
              </w:rPr>
            </w:r>
          </w:p>
        </w:tc>
      </w:tr>
      <w:tr>
        <w:trPr>
          <w:cantSplit w:val="true"/>
        </w:trPr>
        <w:tc>
          <w:tcPr>
            <w:tcW w:w="2511" w:type="dxa"/>
            <w:tcBorders>
              <w:left w:val="single" w:sz="4" w:space="0" w:color="000000"/>
              <w:right w:val="single" w:sz="6" w:space="0" w:color="000000"/>
            </w:tcBorders>
          </w:tcPr>
          <w:p>
            <w:pPr>
              <w:pStyle w:val="TAC"/>
              <w:tabs>
                <w:tab w:val="clear" w:pos="284"/>
                <w:tab w:val="left" w:pos="681" w:leader="none"/>
              </w:tabs>
              <w:spacing w:before="60" w:after="60"/>
              <w:jc w:val="left"/>
              <w:rPr/>
            </w:pPr>
            <w:r>
              <w:rPr>
                <w:lang w:val="en-GB"/>
              </w:rPr>
              <w:t>600 kHz</w:t>
              <w:tab/>
            </w:r>
            <w:r>
              <w:rPr>
                <w:rFonts w:eastAsia="Symbol" w:cs="Symbol" w:ascii="Symbol" w:hAnsi="Symbol"/>
                <w:lang w:val="en-GB"/>
              </w:rPr>
              <w:t></w:t>
            </w:r>
            <w:r>
              <w:rPr>
                <w:lang w:val="en-GB"/>
              </w:rPr>
              <w:t> |f</w:t>
              <w:noBreakHyphen/>
              <w:t>f</w:t>
            </w:r>
            <w:r>
              <w:rPr>
                <w:position w:val="-6"/>
                <w:lang w:val="en-GB"/>
              </w:rPr>
              <w:t>o</w:t>
            </w:r>
            <w:r>
              <w:rPr>
                <w:lang w:val="en-GB"/>
              </w:rPr>
              <w:t xml:space="preserve"> | &lt; 800 kHz</w:t>
            </w:r>
          </w:p>
        </w:tc>
        <w:tc>
          <w:tcPr>
            <w:tcW w:w="696"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43</w:t>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26</w:t>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43</w:t>
            </w:r>
          </w:p>
        </w:tc>
        <w:tc>
          <w:tcPr>
            <w:tcW w:w="697" w:type="dxa"/>
            <w:tcBorders>
              <w:left w:val="single" w:sz="6" w:space="0" w:color="000000"/>
              <w:right w:val="single" w:sz="4" w:space="0" w:color="000000"/>
            </w:tcBorders>
          </w:tcPr>
          <w:p>
            <w:pPr>
              <w:pStyle w:val="TAC"/>
              <w:spacing w:before="60" w:after="60"/>
              <w:rPr>
                <w:lang w:val="en-GB"/>
              </w:rPr>
            </w:pPr>
            <w:r>
              <w:rPr>
                <w:lang w:val="en-GB"/>
              </w:rPr>
              <w:noBreakHyphen/>
            </w:r>
            <w:r>
              <w:rPr>
                <w:lang w:val="en-GB"/>
              </w:rPr>
              <w:t>26</w:t>
            </w:r>
          </w:p>
        </w:tc>
      </w:tr>
      <w:tr>
        <w:trPr>
          <w:cantSplit w:val="true"/>
        </w:trPr>
        <w:tc>
          <w:tcPr>
            <w:tcW w:w="2511" w:type="dxa"/>
            <w:tcBorders>
              <w:left w:val="single" w:sz="4" w:space="0" w:color="000000"/>
              <w:right w:val="single" w:sz="6" w:space="0" w:color="000000"/>
            </w:tcBorders>
          </w:tcPr>
          <w:p>
            <w:pPr>
              <w:pStyle w:val="TAC"/>
              <w:tabs>
                <w:tab w:val="clear" w:pos="284"/>
                <w:tab w:val="left" w:pos="681" w:leader="none"/>
              </w:tabs>
              <w:spacing w:before="60" w:after="60"/>
              <w:jc w:val="left"/>
              <w:rPr/>
            </w:pPr>
            <w:r>
              <w:rPr>
                <w:lang w:val="en-GB"/>
              </w:rPr>
              <w:t>800 kHz</w:t>
              <w:tab/>
            </w:r>
            <w:r>
              <w:rPr>
                <w:rFonts w:eastAsia="Symbol" w:cs="Symbol" w:ascii="Symbol" w:hAnsi="Symbol"/>
                <w:lang w:val="en-GB"/>
              </w:rPr>
              <w:t></w:t>
            </w:r>
            <w:r>
              <w:rPr>
                <w:lang w:val="en-GB"/>
              </w:rPr>
              <w:t> |f</w:t>
              <w:noBreakHyphen/>
              <w:t>f</w:t>
            </w:r>
            <w:r>
              <w:rPr>
                <w:position w:val="-6"/>
                <w:lang w:val="en-GB"/>
              </w:rPr>
              <w:t>o</w:t>
            </w:r>
            <w:r>
              <w:rPr>
                <w:lang w:val="en-GB"/>
              </w:rPr>
              <w:t xml:space="preserve"> | &lt; 1.6 MHz</w:t>
            </w:r>
          </w:p>
        </w:tc>
        <w:tc>
          <w:tcPr>
            <w:tcW w:w="696"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43</w:t>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16</w:t>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43</w:t>
            </w:r>
          </w:p>
        </w:tc>
        <w:tc>
          <w:tcPr>
            <w:tcW w:w="697" w:type="dxa"/>
            <w:tcBorders>
              <w:left w:val="single" w:sz="6" w:space="0" w:color="000000"/>
              <w:right w:val="single" w:sz="4" w:space="0" w:color="000000"/>
            </w:tcBorders>
          </w:tcPr>
          <w:p>
            <w:pPr>
              <w:pStyle w:val="TAC"/>
              <w:spacing w:before="60" w:after="60"/>
              <w:rPr>
                <w:lang w:val="en-GB"/>
              </w:rPr>
            </w:pPr>
            <w:r>
              <w:rPr>
                <w:lang w:val="en-GB"/>
              </w:rPr>
              <w:noBreakHyphen/>
            </w:r>
            <w:r>
              <w:rPr>
                <w:lang w:val="en-GB"/>
              </w:rPr>
              <w:t>16</w:t>
            </w:r>
          </w:p>
        </w:tc>
      </w:tr>
      <w:tr>
        <w:trPr>
          <w:cantSplit w:val="true"/>
        </w:trPr>
        <w:tc>
          <w:tcPr>
            <w:tcW w:w="2511" w:type="dxa"/>
            <w:tcBorders>
              <w:left w:val="single" w:sz="4" w:space="0" w:color="000000"/>
              <w:right w:val="single" w:sz="6" w:space="0" w:color="000000"/>
            </w:tcBorders>
          </w:tcPr>
          <w:p>
            <w:pPr>
              <w:pStyle w:val="TAC"/>
              <w:tabs>
                <w:tab w:val="clear" w:pos="284"/>
                <w:tab w:val="left" w:pos="681" w:leader="none"/>
              </w:tabs>
              <w:spacing w:before="60" w:after="60"/>
              <w:jc w:val="left"/>
              <w:rPr/>
            </w:pPr>
            <w:r>
              <w:rPr>
                <w:lang w:val="en-GB"/>
              </w:rPr>
              <w:t>1.6 MHz</w:t>
              <w:tab/>
            </w:r>
            <w:r>
              <w:rPr>
                <w:rFonts w:eastAsia="Symbol" w:cs="Symbol" w:ascii="Symbol" w:hAnsi="Symbol"/>
                <w:lang w:val="en-GB"/>
              </w:rPr>
              <w:t></w:t>
            </w:r>
            <w:r>
              <w:rPr>
                <w:lang w:val="en-GB"/>
              </w:rPr>
              <w:t> |f</w:t>
              <w:noBreakHyphen/>
              <w:t>f</w:t>
            </w:r>
            <w:r>
              <w:rPr>
                <w:position w:val="-6"/>
                <w:lang w:val="en-GB"/>
              </w:rPr>
              <w:t>o</w:t>
            </w:r>
            <w:r>
              <w:rPr>
                <w:lang w:val="en-GB"/>
              </w:rPr>
              <w:t xml:space="preserve"> | &lt; 3 MHz</w:t>
            </w:r>
          </w:p>
        </w:tc>
        <w:tc>
          <w:tcPr>
            <w:tcW w:w="696"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33</w:t>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16</w:t>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33</w:t>
            </w:r>
          </w:p>
        </w:tc>
        <w:tc>
          <w:tcPr>
            <w:tcW w:w="697" w:type="dxa"/>
            <w:tcBorders>
              <w:left w:val="single" w:sz="6" w:space="0" w:color="000000"/>
              <w:right w:val="single" w:sz="4" w:space="0" w:color="000000"/>
            </w:tcBorders>
          </w:tcPr>
          <w:p>
            <w:pPr>
              <w:pStyle w:val="TAC"/>
              <w:spacing w:before="60" w:after="60"/>
              <w:rPr>
                <w:lang w:val="en-GB"/>
              </w:rPr>
            </w:pPr>
            <w:r>
              <w:rPr>
                <w:lang w:val="en-GB"/>
              </w:rPr>
              <w:noBreakHyphen/>
            </w:r>
            <w:r>
              <w:rPr>
                <w:lang w:val="en-GB"/>
              </w:rPr>
              <w:t>16</w:t>
            </w:r>
          </w:p>
        </w:tc>
      </w:tr>
      <w:tr>
        <w:trPr>
          <w:cantSplit w:val="true"/>
        </w:trPr>
        <w:tc>
          <w:tcPr>
            <w:tcW w:w="2511" w:type="dxa"/>
            <w:tcBorders>
              <w:left w:val="single" w:sz="4" w:space="0" w:color="000000"/>
              <w:right w:val="single" w:sz="6" w:space="0" w:color="000000"/>
            </w:tcBorders>
          </w:tcPr>
          <w:p>
            <w:pPr>
              <w:pStyle w:val="TAC"/>
              <w:tabs>
                <w:tab w:val="clear" w:pos="284"/>
                <w:tab w:val="left" w:pos="681" w:leader="none"/>
              </w:tabs>
              <w:spacing w:before="60" w:after="60"/>
              <w:jc w:val="left"/>
              <w:rPr/>
            </w:pPr>
            <w:r>
              <w:rPr>
                <w:lang w:val="en-GB"/>
              </w:rPr>
              <w:t>3 MHz</w:t>
              <w:tab/>
            </w:r>
            <w:r>
              <w:rPr>
                <w:rFonts w:eastAsia="Symbol" w:cs="Symbol" w:ascii="Symbol" w:hAnsi="Symbol"/>
                <w:lang w:val="en-GB"/>
              </w:rPr>
              <w:t></w:t>
            </w:r>
            <w:r>
              <w:rPr>
                <w:lang w:val="en-GB"/>
              </w:rPr>
              <w:t> |f</w:t>
              <w:noBreakHyphen/>
              <w:t>f</w:t>
            </w:r>
            <w:r>
              <w:rPr>
                <w:position w:val="-6"/>
                <w:lang w:val="en-GB"/>
              </w:rPr>
              <w:t>o</w:t>
            </w:r>
            <w:r>
              <w:rPr>
                <w:lang w:val="en-GB"/>
              </w:rPr>
              <w:t xml:space="preserve"> | </w:t>
            </w:r>
          </w:p>
        </w:tc>
        <w:tc>
          <w:tcPr>
            <w:tcW w:w="696"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23</w:t>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13</w:t>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r>
              <w:rPr>
                <w:lang w:val="en-GB"/>
              </w:rPr>
              <w:t>23</w:t>
            </w:r>
          </w:p>
        </w:tc>
        <w:tc>
          <w:tcPr>
            <w:tcW w:w="697" w:type="dxa"/>
            <w:tcBorders>
              <w:left w:val="single" w:sz="6" w:space="0" w:color="000000"/>
              <w:right w:val="single" w:sz="4" w:space="0" w:color="000000"/>
            </w:tcBorders>
          </w:tcPr>
          <w:p>
            <w:pPr>
              <w:pStyle w:val="TAC"/>
              <w:spacing w:before="60" w:after="60"/>
              <w:rPr>
                <w:lang w:val="en-GB"/>
              </w:rPr>
            </w:pPr>
            <w:r>
              <w:rPr>
                <w:lang w:val="en-GB"/>
              </w:rPr>
              <w:noBreakHyphen/>
            </w:r>
            <w:r>
              <w:rPr>
                <w:lang w:val="en-GB"/>
              </w:rPr>
              <w:t>13</w:t>
            </w:r>
          </w:p>
        </w:tc>
      </w:tr>
      <w:tr>
        <w:trPr>
          <w:cantSplit w:val="true"/>
        </w:trPr>
        <w:tc>
          <w:tcPr>
            <w:tcW w:w="2511" w:type="dxa"/>
            <w:tcBorders>
              <w:top w:val="single" w:sz="6" w:space="0" w:color="000000"/>
              <w:left w:val="single" w:sz="4" w:space="0" w:color="000000"/>
              <w:right w:val="single" w:sz="6" w:space="0" w:color="000000"/>
            </w:tcBorders>
          </w:tcPr>
          <w:p>
            <w:pPr>
              <w:pStyle w:val="TAC"/>
              <w:spacing w:before="60" w:after="60"/>
              <w:rPr>
                <w:lang w:val="en-GB"/>
              </w:rPr>
            </w:pPr>
            <w:r>
              <w:rPr>
                <w:lang w:val="en-GB"/>
              </w:rPr>
              <w:t>out</w:t>
              <w:noBreakHyphen/>
              <w:t>of</w:t>
              <w:noBreakHyphen/>
              <w:t>band</w:t>
            </w:r>
          </w:p>
        </w:tc>
        <w:tc>
          <w:tcPr>
            <w:tcW w:w="696" w:type="dxa"/>
            <w:tcBorders>
              <w:top w:val="single" w:sz="6" w:space="0" w:color="000000"/>
              <w:left w:val="single" w:sz="6" w:space="0" w:color="000000"/>
              <w:right w:val="single" w:sz="6" w:space="0" w:color="000000"/>
            </w:tcBorders>
          </w:tcPr>
          <w:p>
            <w:pPr>
              <w:pStyle w:val="TAC"/>
              <w:snapToGrid w:val="false"/>
              <w:spacing w:before="60" w:after="60"/>
              <w:rPr>
                <w:lang w:val="en-GB"/>
              </w:rPr>
            </w:pPr>
            <w:r>
              <w:rPr>
                <w:lang w:val="en-GB"/>
              </w:rPr>
            </w:r>
          </w:p>
        </w:tc>
        <w:tc>
          <w:tcPr>
            <w:tcW w:w="697" w:type="dxa"/>
            <w:tcBorders>
              <w:top w:val="single" w:sz="6" w:space="0" w:color="000000"/>
              <w:left w:val="single" w:sz="6" w:space="0" w:color="000000"/>
              <w:right w:val="single" w:sz="6" w:space="0" w:color="000000"/>
            </w:tcBorders>
          </w:tcPr>
          <w:p>
            <w:pPr>
              <w:pStyle w:val="TAC"/>
              <w:snapToGrid w:val="false"/>
              <w:spacing w:before="60" w:after="60"/>
              <w:rPr>
                <w:lang w:val="en-GB"/>
              </w:rPr>
            </w:pPr>
            <w:r>
              <w:rPr>
                <w:lang w:val="en-GB"/>
              </w:rPr>
            </w:r>
          </w:p>
        </w:tc>
        <w:tc>
          <w:tcPr>
            <w:tcW w:w="697" w:type="dxa"/>
            <w:tcBorders>
              <w:top w:val="single" w:sz="6" w:space="0" w:color="000000"/>
              <w:left w:val="single" w:sz="6" w:space="0" w:color="000000"/>
              <w:right w:val="single" w:sz="6" w:space="0" w:color="000000"/>
            </w:tcBorders>
          </w:tcPr>
          <w:p>
            <w:pPr>
              <w:pStyle w:val="TAC"/>
              <w:snapToGrid w:val="false"/>
              <w:spacing w:before="60" w:after="60"/>
              <w:rPr>
                <w:lang w:val="en-GB"/>
              </w:rPr>
            </w:pPr>
            <w:r>
              <w:rPr>
                <w:lang w:val="en-GB"/>
              </w:rPr>
            </w:r>
          </w:p>
        </w:tc>
        <w:tc>
          <w:tcPr>
            <w:tcW w:w="697" w:type="dxa"/>
            <w:tcBorders>
              <w:top w:val="single" w:sz="6" w:space="0" w:color="000000"/>
              <w:left w:val="single" w:sz="6" w:space="0" w:color="000000"/>
              <w:right w:val="single" w:sz="4" w:space="0" w:color="000000"/>
            </w:tcBorders>
          </w:tcPr>
          <w:p>
            <w:pPr>
              <w:pStyle w:val="TAC"/>
              <w:snapToGrid w:val="false"/>
              <w:spacing w:before="60" w:after="60"/>
              <w:rPr>
                <w:lang w:val="en-GB"/>
              </w:rPr>
            </w:pPr>
            <w:r>
              <w:rPr>
                <w:lang w:val="en-GB"/>
              </w:rPr>
            </w:r>
          </w:p>
        </w:tc>
      </w:tr>
      <w:tr>
        <w:trPr>
          <w:cantSplit w:val="true"/>
        </w:trPr>
        <w:tc>
          <w:tcPr>
            <w:tcW w:w="2511" w:type="dxa"/>
            <w:tcBorders>
              <w:left w:val="single" w:sz="4" w:space="0" w:color="000000"/>
              <w:right w:val="single" w:sz="6" w:space="0" w:color="000000"/>
            </w:tcBorders>
          </w:tcPr>
          <w:p>
            <w:pPr>
              <w:pStyle w:val="TAC"/>
              <w:spacing w:before="60" w:after="60"/>
              <w:rPr>
                <w:lang w:val="en-GB"/>
              </w:rPr>
            </w:pPr>
            <w:r>
              <w:rPr>
                <w:lang w:val="en-GB"/>
              </w:rPr>
              <w:t>(a) [Note 1]</w:t>
            </w:r>
          </w:p>
        </w:tc>
        <w:tc>
          <w:tcPr>
            <w:tcW w:w="696" w:type="dxa"/>
            <w:tcBorders>
              <w:left w:val="single" w:sz="6" w:space="0" w:color="000000"/>
              <w:right w:val="single" w:sz="6" w:space="0" w:color="000000"/>
            </w:tcBorders>
          </w:tcPr>
          <w:p>
            <w:pPr>
              <w:pStyle w:val="TAC"/>
              <w:spacing w:before="60" w:after="60"/>
              <w:rPr>
                <w:lang w:val="en-GB"/>
              </w:rPr>
            </w:pPr>
            <w:r>
              <w:rPr>
                <w:lang w:val="en-GB"/>
              </w:rPr>
              <w:t>-5</w:t>
            </w:r>
          </w:p>
        </w:tc>
        <w:tc>
          <w:tcPr>
            <w:tcW w:w="697" w:type="dxa"/>
            <w:tcBorders>
              <w:left w:val="single" w:sz="6" w:space="0" w:color="000000"/>
              <w:right w:val="single" w:sz="6" w:space="0" w:color="000000"/>
            </w:tcBorders>
          </w:tcPr>
          <w:p>
            <w:pPr>
              <w:pStyle w:val="TAC"/>
              <w:spacing w:before="60" w:after="60"/>
              <w:rPr>
                <w:lang w:val="en-GB"/>
              </w:rPr>
            </w:pPr>
            <w:r>
              <w:rPr>
                <w:lang w:val="en-GB"/>
              </w:rPr>
              <w:t>8</w:t>
            </w:r>
          </w:p>
        </w:tc>
        <w:tc>
          <w:tcPr>
            <w:tcW w:w="697" w:type="dxa"/>
            <w:tcBorders>
              <w:left w:val="single" w:sz="6" w:space="0" w:color="000000"/>
              <w:right w:val="single" w:sz="6" w:space="0" w:color="000000"/>
            </w:tcBorders>
          </w:tcPr>
          <w:p>
            <w:pPr>
              <w:pStyle w:val="TAC"/>
              <w:spacing w:before="60" w:after="60"/>
              <w:rPr>
                <w:lang w:val="en-GB"/>
              </w:rPr>
            </w:pPr>
            <w:r>
              <w:rPr>
                <w:lang w:val="en-GB"/>
              </w:rPr>
              <w:t>-9</w:t>
            </w:r>
          </w:p>
        </w:tc>
        <w:tc>
          <w:tcPr>
            <w:tcW w:w="697" w:type="dxa"/>
            <w:tcBorders>
              <w:left w:val="single" w:sz="6" w:space="0" w:color="000000"/>
              <w:right w:val="single" w:sz="4" w:space="0" w:color="000000"/>
            </w:tcBorders>
          </w:tcPr>
          <w:p>
            <w:pPr>
              <w:pStyle w:val="TAC"/>
              <w:spacing w:before="60" w:after="60"/>
              <w:rPr>
                <w:lang w:val="en-GB"/>
              </w:rPr>
            </w:pPr>
            <w:r>
              <w:rPr>
                <w:lang w:val="en-GB"/>
              </w:rPr>
              <w:t>8</w:t>
            </w:r>
          </w:p>
        </w:tc>
      </w:tr>
      <w:tr>
        <w:trPr>
          <w:cantSplit w:val="true"/>
        </w:trPr>
        <w:tc>
          <w:tcPr>
            <w:tcW w:w="2511" w:type="dxa"/>
            <w:tcBorders>
              <w:left w:val="single" w:sz="4" w:space="0" w:color="000000"/>
              <w:right w:val="single" w:sz="6" w:space="0" w:color="000000"/>
            </w:tcBorders>
          </w:tcPr>
          <w:p>
            <w:pPr>
              <w:pStyle w:val="TAC"/>
              <w:spacing w:before="60" w:after="60"/>
              <w:rPr>
                <w:lang w:val="en-GB"/>
              </w:rPr>
            </w:pPr>
            <w:r>
              <w:rPr>
                <w:lang w:val="en-GB"/>
              </w:rPr>
              <w:t>(b)</w:t>
            </w:r>
          </w:p>
        </w:tc>
        <w:tc>
          <w:tcPr>
            <w:tcW w:w="696" w:type="dxa"/>
            <w:tcBorders>
              <w:left w:val="single" w:sz="6" w:space="0" w:color="000000"/>
              <w:right w:val="single" w:sz="6" w:space="0" w:color="000000"/>
            </w:tcBorders>
          </w:tcPr>
          <w:p>
            <w:pPr>
              <w:pStyle w:val="TAC"/>
              <w:spacing w:before="60" w:after="60"/>
              <w:rPr>
                <w:lang w:val="en-GB"/>
              </w:rPr>
            </w:pPr>
            <w:r>
              <w:rPr>
                <w:lang w:val="en-GB"/>
              </w:rPr>
              <w:noBreakHyphen/>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p>
        </w:tc>
        <w:tc>
          <w:tcPr>
            <w:tcW w:w="697" w:type="dxa"/>
            <w:tcBorders>
              <w:left w:val="single" w:sz="6" w:space="0" w:color="000000"/>
              <w:right w:val="single" w:sz="4" w:space="0" w:color="000000"/>
            </w:tcBorders>
          </w:tcPr>
          <w:p>
            <w:pPr>
              <w:pStyle w:val="TAC"/>
              <w:spacing w:before="60" w:after="60"/>
              <w:rPr>
                <w:lang w:val="en-GB"/>
              </w:rPr>
            </w:pPr>
            <w:r>
              <w:rPr>
                <w:lang w:val="en-GB"/>
              </w:rPr>
              <w:noBreakHyphen/>
            </w:r>
          </w:p>
        </w:tc>
      </w:tr>
      <w:tr>
        <w:trPr>
          <w:cantSplit w:val="true"/>
        </w:trPr>
        <w:tc>
          <w:tcPr>
            <w:tcW w:w="2511" w:type="dxa"/>
            <w:tcBorders>
              <w:left w:val="single" w:sz="4" w:space="0" w:color="000000"/>
              <w:right w:val="single" w:sz="6" w:space="0" w:color="000000"/>
            </w:tcBorders>
          </w:tcPr>
          <w:p>
            <w:pPr>
              <w:pStyle w:val="TAC"/>
              <w:spacing w:before="60" w:after="60"/>
              <w:rPr>
                <w:lang w:val="en-GB"/>
              </w:rPr>
            </w:pPr>
            <w:r>
              <w:rPr>
                <w:lang w:val="en-GB"/>
              </w:rPr>
              <w:t>(c)</w:t>
            </w:r>
          </w:p>
        </w:tc>
        <w:tc>
          <w:tcPr>
            <w:tcW w:w="696" w:type="dxa"/>
            <w:tcBorders>
              <w:left w:val="single" w:sz="6" w:space="0" w:color="000000"/>
              <w:right w:val="single" w:sz="6" w:space="0" w:color="000000"/>
            </w:tcBorders>
          </w:tcPr>
          <w:p>
            <w:pPr>
              <w:pStyle w:val="TAC"/>
              <w:spacing w:before="60" w:after="60"/>
              <w:rPr>
                <w:lang w:val="en-GB"/>
              </w:rPr>
            </w:pPr>
            <w:r>
              <w:rPr>
                <w:lang w:val="en-GB"/>
              </w:rPr>
              <w:noBreakHyphen/>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p>
        </w:tc>
        <w:tc>
          <w:tcPr>
            <w:tcW w:w="697" w:type="dxa"/>
            <w:tcBorders>
              <w:left w:val="single" w:sz="6" w:space="0" w:color="000000"/>
              <w:right w:val="single" w:sz="6" w:space="0" w:color="000000"/>
            </w:tcBorders>
          </w:tcPr>
          <w:p>
            <w:pPr>
              <w:pStyle w:val="TAC"/>
              <w:spacing w:before="60" w:after="60"/>
              <w:rPr>
                <w:lang w:val="en-GB"/>
              </w:rPr>
            </w:pPr>
            <w:r>
              <w:rPr>
                <w:lang w:val="en-GB"/>
              </w:rPr>
              <w:noBreakHyphen/>
            </w:r>
          </w:p>
        </w:tc>
        <w:tc>
          <w:tcPr>
            <w:tcW w:w="697" w:type="dxa"/>
            <w:tcBorders>
              <w:left w:val="single" w:sz="6" w:space="0" w:color="000000"/>
              <w:right w:val="single" w:sz="4" w:space="0" w:color="000000"/>
            </w:tcBorders>
          </w:tcPr>
          <w:p>
            <w:pPr>
              <w:pStyle w:val="TAC"/>
              <w:spacing w:before="60" w:after="60"/>
              <w:rPr>
                <w:lang w:val="en-GB"/>
              </w:rPr>
            </w:pPr>
            <w:r>
              <w:rPr>
                <w:lang w:val="en-GB"/>
              </w:rPr>
              <w:noBreakHyphen/>
            </w:r>
          </w:p>
        </w:tc>
      </w:tr>
      <w:tr>
        <w:trPr>
          <w:cantSplit w:val="true"/>
        </w:trPr>
        <w:tc>
          <w:tcPr>
            <w:tcW w:w="2511" w:type="dxa"/>
            <w:tcBorders>
              <w:left w:val="single" w:sz="4" w:space="0" w:color="000000"/>
              <w:bottom w:val="single" w:sz="4" w:space="0" w:color="000000"/>
              <w:right w:val="single" w:sz="6" w:space="0" w:color="000000"/>
            </w:tcBorders>
          </w:tcPr>
          <w:p>
            <w:pPr>
              <w:pStyle w:val="TAC"/>
              <w:spacing w:before="60" w:after="60"/>
              <w:rPr>
                <w:lang w:val="en-GB"/>
              </w:rPr>
            </w:pPr>
            <w:r>
              <w:rPr>
                <w:lang w:val="en-GB"/>
              </w:rPr>
              <w:t>(d)</w:t>
            </w:r>
          </w:p>
        </w:tc>
        <w:tc>
          <w:tcPr>
            <w:tcW w:w="696" w:type="dxa"/>
            <w:tcBorders>
              <w:left w:val="single" w:sz="6" w:space="0" w:color="000000"/>
              <w:bottom w:val="single" w:sz="4" w:space="0" w:color="000000"/>
              <w:right w:val="single" w:sz="6" w:space="0" w:color="000000"/>
            </w:tcBorders>
          </w:tcPr>
          <w:p>
            <w:pPr>
              <w:pStyle w:val="TAC"/>
              <w:spacing w:before="60" w:after="60"/>
              <w:rPr>
                <w:lang w:val="en-GB"/>
              </w:rPr>
            </w:pPr>
            <w:r>
              <w:rPr>
                <w:lang w:val="en-GB"/>
              </w:rPr>
              <w:t>0</w:t>
            </w:r>
          </w:p>
        </w:tc>
        <w:tc>
          <w:tcPr>
            <w:tcW w:w="697" w:type="dxa"/>
            <w:tcBorders>
              <w:left w:val="single" w:sz="6" w:space="0" w:color="000000"/>
              <w:bottom w:val="single" w:sz="4" w:space="0" w:color="000000"/>
              <w:right w:val="single" w:sz="6" w:space="0" w:color="000000"/>
            </w:tcBorders>
          </w:tcPr>
          <w:p>
            <w:pPr>
              <w:pStyle w:val="TAC"/>
              <w:spacing w:before="60" w:after="60"/>
              <w:rPr>
                <w:lang w:val="en-GB"/>
              </w:rPr>
            </w:pPr>
            <w:r>
              <w:rPr>
                <w:lang w:val="en-GB"/>
              </w:rPr>
              <w:t>8</w:t>
            </w:r>
          </w:p>
        </w:tc>
        <w:tc>
          <w:tcPr>
            <w:tcW w:w="697" w:type="dxa"/>
            <w:tcBorders>
              <w:left w:val="single" w:sz="6" w:space="0" w:color="000000"/>
              <w:bottom w:val="single" w:sz="4" w:space="0" w:color="000000"/>
              <w:right w:val="single" w:sz="6" w:space="0" w:color="000000"/>
            </w:tcBorders>
          </w:tcPr>
          <w:p>
            <w:pPr>
              <w:pStyle w:val="TAC"/>
              <w:spacing w:before="60" w:after="60"/>
              <w:rPr>
                <w:lang w:val="en-GB"/>
              </w:rPr>
            </w:pPr>
            <w:r>
              <w:rPr>
                <w:lang w:val="en-GB"/>
              </w:rPr>
              <w:t>0</w:t>
            </w:r>
          </w:p>
        </w:tc>
        <w:tc>
          <w:tcPr>
            <w:tcW w:w="697" w:type="dxa"/>
            <w:tcBorders>
              <w:left w:val="single" w:sz="6" w:space="0" w:color="000000"/>
              <w:bottom w:val="single" w:sz="4" w:space="0" w:color="000000"/>
              <w:right w:val="single" w:sz="4" w:space="0" w:color="000000"/>
            </w:tcBorders>
          </w:tcPr>
          <w:p>
            <w:pPr>
              <w:pStyle w:val="TAC"/>
              <w:spacing w:before="60" w:after="60"/>
              <w:rPr>
                <w:lang w:val="en-GB"/>
              </w:rPr>
            </w:pPr>
            <w:r>
              <w:rPr>
                <w:lang w:val="en-GB"/>
              </w:rPr>
              <w:t>8</w:t>
            </w:r>
          </w:p>
        </w:tc>
      </w:tr>
    </w:tbl>
    <w:p>
      <w:pPr>
        <w:pStyle w:val="FP"/>
        <w:rPr/>
      </w:pPr>
      <w:r>
        <w:rPr/>
      </w:r>
    </w:p>
    <w:p>
      <w:pPr>
        <w:pStyle w:val="Normal"/>
        <w:ind w:left="720" w:hanging="0"/>
        <w:jc w:val="center"/>
        <w:rPr/>
      </w:pPr>
      <w:r>
        <w:rPr/>
        <w:t>Note 1: Relaxation for E-GSM MS is in the band 905 – 915 MHz.</w:t>
      </w:r>
    </w:p>
    <w:p>
      <w:pPr>
        <w:pStyle w:val="FP"/>
        <w:rPr/>
      </w:pPr>
      <w:r>
        <w:rPr/>
      </w:r>
    </w:p>
    <w:p>
      <w:pPr>
        <w:pStyle w:val="Normal"/>
        <w:rPr/>
      </w:pPr>
      <w:r>
        <w:rPr/>
        <w:t>The BTS in-band blocking requirement has kept same as for the GSM 900 system.</w:t>
      </w:r>
    </w:p>
    <w:p>
      <w:pPr>
        <w:pStyle w:val="Normal"/>
        <w:jc w:val="both"/>
        <w:rPr/>
      </w:pPr>
      <w:r>
        <w:rPr/>
      </w:r>
    </w:p>
    <w:p>
      <w:pPr>
        <w:pStyle w:val="Normal"/>
        <w:jc w:val="both"/>
        <w:rPr/>
      </w:pPr>
      <w:r>
        <w:rPr/>
        <w:t xml:space="preserve">The out-of-band specification has been changed for MS. It has taken implementation issues into account but is based on the low probability of occurrence. </w:t>
      </w:r>
    </w:p>
    <w:p>
      <w:pPr>
        <w:pStyle w:val="Normal"/>
        <w:rPr/>
      </w:pPr>
      <w:r>
        <w:rPr/>
      </w:r>
    </w:p>
    <w:p>
      <w:pPr>
        <w:pStyle w:val="Heading2"/>
        <w:rPr/>
      </w:pPr>
      <w:bookmarkStart w:id="815" w:name="__RefHeading___Toc518036176"/>
      <w:bookmarkEnd w:id="815"/>
      <w:r>
        <w:rPr/>
        <w:t>Y.5.2</w:t>
        <w:tab/>
        <w:t>AM suppression characteristics</w:t>
      </w:r>
    </w:p>
    <w:p>
      <w:pPr>
        <w:pStyle w:val="Normal"/>
        <w:rPr/>
      </w:pPr>
      <w:r>
        <w:rPr/>
        <w:t>AM suppression requirement is targeted for uncoordinated operation where two operators share the band. Current requirements are about the same for both GSM 900 and DCS 1800 systems. Because of the closeness of GSM 900, GSM-R and T-GSM 900 it is considered that the current GSM 900 requirement also shall cover T-GSM 900.</w:t>
      </w:r>
    </w:p>
    <w:p>
      <w:pPr>
        <w:pStyle w:val="FP"/>
        <w:rPr/>
      </w:pPr>
      <w:r>
        <w:rPr/>
      </w:r>
    </w:p>
    <w:p>
      <w:pPr>
        <w:pStyle w:val="Heading2"/>
        <w:rPr/>
      </w:pPr>
      <w:bookmarkStart w:id="816" w:name="__RefHeading___Toc518036177"/>
      <w:bookmarkEnd w:id="816"/>
      <w:r>
        <w:rPr/>
        <w:t>Y.5.3</w:t>
        <w:tab/>
        <w:t>Intermodulation Characteristics</w:t>
      </w:r>
    </w:p>
    <w:p>
      <w:pPr>
        <w:pStyle w:val="TH"/>
        <w:rPr/>
      </w:pPr>
      <w:bookmarkStart w:id="817" w:name="_1086689440"/>
      <w:bookmarkEnd w:id="817"/>
      <w:r>
        <w:rPr/>
        <w:object w:dxaOrig="8626" w:dyaOrig="511">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431.3pt;height:25.55pt" filled="f" o:ole="">
            <v:imagedata r:id="rId246" o:title=""/>
          </v:shape>
          <o:OLEObject Type="Embed" ProgID="" ShapeID="ole_rId245" DrawAspect="Content" ObjectID="_1459169219" r:id="rId245"/>
        </w:object>
      </w:r>
      <w:r>
        <w:rPr/>
        <w:object w:dxaOrig="8628" w:dyaOrig="503">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431.4pt;height:25.15pt" filled="f" o:ole="">
            <v:imagedata r:id="rId248" o:title=""/>
          </v:shape>
          <o:OLEObject Type="Embed" ProgID="" ShapeID="ole_rId247" DrawAspect="Content" ObjectID="_2091113014" r:id="rId247"/>
        </w:object>
      </w:r>
    </w:p>
    <w:p>
      <w:pPr>
        <w:pStyle w:val="Normal"/>
        <w:rPr/>
      </w:pPr>
      <w:r>
        <w:rPr/>
      </w:r>
    </w:p>
    <w:p>
      <w:pPr>
        <w:pStyle w:val="Normal"/>
        <w:rPr/>
      </w:pPr>
      <w:r>
        <w:rPr/>
        <w:t>T-GSM 900 has the same characteristics as GSM 900 although with much reduced user densities. Because of the ramifications of a change in the specification it is not proposed to change the intermodulation requirements for T-GSM 900.</w:t>
      </w:r>
    </w:p>
    <w:p>
      <w:pPr>
        <w:pStyle w:val="FP"/>
        <w:rPr/>
      </w:pPr>
      <w:r>
        <w:rPr/>
      </w:r>
    </w:p>
    <w:p>
      <w:pPr>
        <w:pStyle w:val="Heading2"/>
        <w:rPr/>
      </w:pPr>
      <w:bookmarkStart w:id="818" w:name="__RefHeading___Toc518036178"/>
      <w:bookmarkEnd w:id="818"/>
      <w:r>
        <w:rPr/>
        <w:t>Y.5.4</w:t>
        <w:tab/>
        <w:t>Spurious emissions</w:t>
      </w:r>
    </w:p>
    <w:p>
      <w:pPr>
        <w:pStyle w:val="Normal"/>
        <w:jc w:val="both"/>
        <w:rPr/>
      </w:pPr>
      <w:r>
        <w:rPr/>
        <w:t>No changes are proposed for this requirement.</w:t>
      </w:r>
    </w:p>
    <w:p>
      <w:pPr>
        <w:pStyle w:val="Normal"/>
        <w:jc w:val="both"/>
        <w:rPr/>
      </w:pPr>
      <w:r>
        <w:rPr/>
      </w:r>
    </w:p>
    <w:p>
      <w:pPr>
        <w:pStyle w:val="Heading1"/>
        <w:ind w:left="1134" w:hanging="1134"/>
        <w:rPr/>
      </w:pPr>
      <w:bookmarkStart w:id="819" w:name="__RefHeading___Toc518036179"/>
      <w:bookmarkEnd w:id="819"/>
      <w:r>
        <w:rPr/>
        <w:t>Y.6</w:t>
        <w:tab/>
        <w:t>Receiver performance</w:t>
      </w:r>
    </w:p>
    <w:p>
      <w:pPr>
        <w:pStyle w:val="Normal"/>
        <w:jc w:val="both"/>
        <w:rPr/>
      </w:pPr>
      <w:r>
        <w:rPr/>
        <w:t>T-GSM 900 is sufficiently close in frequency to GSM 900 not to make any changes to the specification for T-GSM 900.</w:t>
      </w:r>
      <w:r>
        <w:br w:type="page"/>
      </w:r>
    </w:p>
    <w:p>
      <w:pPr>
        <w:pStyle w:val="Heading9"/>
        <w:rPr/>
      </w:pPr>
      <w:bookmarkStart w:id="820" w:name="__RefHeading___Toc518036180"/>
      <w:bookmarkEnd w:id="820"/>
      <w:r>
        <w:rPr/>
        <w:t>Annex Z:</w:t>
        <w:br/>
        <w:t>MBMS system scenarios</w:t>
      </w:r>
    </w:p>
    <w:p>
      <w:pPr>
        <w:pStyle w:val="Normal"/>
        <w:rPr/>
      </w:pPr>
      <w:r>
        <w:rPr/>
        <w:t>The following section contains simulation results for MBMS repetition schemes, to be used in the definition of receiver performance requirements of MBMS.</w:t>
      </w:r>
    </w:p>
    <w:p>
      <w:pPr>
        <w:pStyle w:val="Normal"/>
        <w:rPr/>
      </w:pPr>
      <w:r>
        <w:rPr/>
        <w:t>In the figures below, the performance of repetition redundancy (i.e. transmission without ARQ, as defined in 3GPP TS 43.246) for different coding schemes and with different numbers of repetitions is shown. The performance is defined in terms of the C/I required to achieve the target SDU Frame Erasure Rate. The simulations have been carried out using the TU3iFH radio channel profile defined in 3GPP TS 45.005, with co-channel interference.</w:t>
      </w:r>
    </w:p>
    <w:p>
      <w:pPr>
        <w:pStyle w:val="Normal"/>
        <w:rPr>
          <w:i/>
          <w:i/>
          <w:iCs/>
        </w:rPr>
      </w:pPr>
      <w:r>
        <w:rPr/>
        <w:t xml:space="preserve">A Service Data Unit (SDU) is defined as the basic unit of data transported over the GERAN. In the case of </w:t>
      </w:r>
      <w:r>
        <w:rPr>
          <w:i/>
          <w:iCs/>
        </w:rPr>
        <w:t>A/Gb mode</w:t>
      </w:r>
      <w:r>
        <w:rPr/>
        <w:t xml:space="preserve">, an SDU is an LLC frame. Since the performance of the repetitions schemes is dependent upon the size of the SDUs, a fixed size needs to be defined. For these results a fixed LLC frame size of 510 octets has been used. This assumes an IP packet of 500 octets plus 10 octets deriving from the overhead introduced by the SNDCP and LLC protocols. For transmission without feedback, the LLC operates in unacknowledged mode. The 10 octets consists of 4 octets for the SNDCP header (for the SN UNITDATA PDU format, see 3GPP TS 44.065), 1 octet for the LLC address field, 2 octets for the LLC control field (UI format, see 3GPP TS 44.064) and 3 octets for the LLC Frame Check Sequence. This overhead is present only for transmission over GERAN </w:t>
      </w:r>
      <w:r>
        <w:rPr>
          <w:i/>
          <w:iCs/>
        </w:rPr>
        <w:t>A/G</w:t>
      </w:r>
      <w:r>
        <w:rPr>
          <w:i/>
          <w:iCs/>
          <w:vertAlign w:val="subscript"/>
        </w:rPr>
        <w:t>b</w:t>
      </w:r>
      <w:r>
        <w:rPr>
          <w:i/>
          <w:iCs/>
        </w:rPr>
        <w:t xml:space="preserve"> mode</w:t>
      </w:r>
      <w:r>
        <w:rPr/>
        <w:t>.</w:t>
      </w:r>
    </w:p>
    <w:p>
      <w:pPr>
        <w:pStyle w:val="Normal"/>
        <w:rPr/>
      </w:pPr>
      <w:r>
        <w:rPr/>
        <w:t xml:space="preserve">In the simulations each RLC/MAC block is repeat </w:t>
      </w:r>
      <w:r>
        <w:rPr>
          <w:i/>
        </w:rPr>
        <w:t>k</w:t>
      </w:r>
      <w:r>
        <w:rPr/>
        <w:t xml:space="preserve"> times. At the receiver the repetitions of each block are combined and then the block is decoded. For GPRS coding schemes, performance results are presented without any combining of the repetitions of each block. Each block is decoded independently, and if all of the repetitions of a block are found to be in error, then a block error will be counted. </w:t>
      </w:r>
    </w:p>
    <w:p>
      <w:pPr>
        <w:pStyle w:val="Normal"/>
        <w:rPr/>
      </w:pPr>
      <w:r>
        <w:rPr/>
        <w:t>For EGPRS coding schemes, Incremental Redundancy has been used to combine the blocks. In this case, only blocks for which the header has been successfully decoded have their payloads combined. If after combining the decoded block is still found to be erroneous, then a block error is counted.</w:t>
      </w:r>
    </w:p>
    <w:p>
      <w:pPr>
        <w:pStyle w:val="Normal"/>
        <w:rPr/>
      </w:pPr>
      <w:r>
        <w:rPr/>
        <w:t xml:space="preserve">The performance for SDU FER of 10%, 1% and 0.1% are presented for both GPRS and EGPRS coding schemes. Each point in the graphs defines the throughput per timeslot corresponding C/I required to meet the SDU FER target for a repetition scheme. </w:t>
      </w:r>
    </w:p>
    <w:p>
      <w:pPr>
        <w:pStyle w:val="Normal"/>
        <w:rPr/>
      </w:pPr>
      <w:r>
        <w:rPr/>
        <w:t xml:space="preserve">The parameters used in the simulations are summarised in Table 1. </w:t>
      </w:r>
    </w:p>
    <w:p>
      <w:pPr>
        <w:pStyle w:val="TH"/>
        <w:rPr/>
      </w:pPr>
      <w:r>
        <w:rPr/>
        <w:t>Table 1: Simulation parameters</w:t>
      </w:r>
    </w:p>
    <w:tbl>
      <w:tblPr>
        <w:tblW w:w="5375" w:type="dxa"/>
        <w:jc w:val="center"/>
        <w:tblInd w:w="0" w:type="dxa"/>
        <w:tblLayout w:type="fixed"/>
        <w:tblCellMar>
          <w:top w:w="0" w:type="dxa"/>
          <w:left w:w="108" w:type="dxa"/>
          <w:bottom w:w="0" w:type="dxa"/>
          <w:right w:w="108" w:type="dxa"/>
        </w:tblCellMar>
      </w:tblPr>
      <w:tblGrid>
        <w:gridCol w:w="2397"/>
        <w:gridCol w:w="2978"/>
      </w:tblGrid>
      <w:tr>
        <w:trPr/>
        <w:tc>
          <w:tcPr>
            <w:tcW w:w="23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Radio Channel profile</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TU3 with ideal Frequency Hopping</w:t>
            </w:r>
          </w:p>
        </w:tc>
      </w:tr>
      <w:tr>
        <w:trPr/>
        <w:tc>
          <w:tcPr>
            <w:tcW w:w="23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Interference</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Co-channel</w:t>
            </w:r>
          </w:p>
        </w:tc>
      </w:tr>
      <w:tr>
        <w:trPr/>
        <w:tc>
          <w:tcPr>
            <w:tcW w:w="23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Simulation length</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50000 RLC/MAC blocks</w:t>
            </w:r>
          </w:p>
        </w:tc>
      </w:tr>
      <w:tr>
        <w:trPr/>
        <w:tc>
          <w:tcPr>
            <w:tcW w:w="23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LLC frame  size (SDU size)</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510 octets</w:t>
            </w:r>
          </w:p>
        </w:tc>
      </w:tr>
      <w:tr>
        <w:trPr/>
        <w:tc>
          <w:tcPr>
            <w:tcW w:w="23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SDU FER</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 1%, 0.1%</w:t>
            </w:r>
          </w:p>
        </w:tc>
      </w:tr>
      <w:tr>
        <w:trPr/>
        <w:tc>
          <w:tcPr>
            <w:tcW w:w="2397" w:type="dxa"/>
            <w:tcBorders>
              <w:top w:val="single" w:sz="4" w:space="0" w:color="000000"/>
              <w:left w:val="single" w:sz="4" w:space="0" w:color="000000"/>
              <w:bottom w:val="single" w:sz="4" w:space="0" w:color="000000"/>
              <w:right w:val="single" w:sz="4" w:space="0" w:color="000000"/>
            </w:tcBorders>
          </w:tcPr>
          <w:p>
            <w:pPr>
              <w:pStyle w:val="TAL"/>
              <w:rPr/>
            </w:pPr>
            <w:r>
              <w:rPr>
                <w:lang w:val="en-GB"/>
              </w:rPr>
              <w:t>Receiver impairments</w:t>
            </w:r>
          </w:p>
        </w:tc>
        <w:tc>
          <w:tcPr>
            <w:tcW w:w="29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none</w:t>
            </w:r>
          </w:p>
        </w:tc>
      </w:tr>
    </w:tbl>
    <w:p>
      <w:pPr>
        <w:pStyle w:val="Normal"/>
        <w:rPr/>
      </w:pPr>
      <w:r>
        <w:rPr/>
      </w:r>
    </w:p>
    <w:p>
      <w:pPr>
        <w:pStyle w:val="Normal"/>
        <w:rPr/>
      </w:pPr>
      <w:r>
        <w:rPr/>
        <w:t>The figures (for the C/I ratio) below do not include any implementation margin.</w:t>
      </w:r>
    </w:p>
    <w:p>
      <w:pPr>
        <w:pStyle w:val="Normal"/>
        <w:rPr/>
      </w:pPr>
      <w:r>
        <w:rPr/>
        <w:t>Figure 1, Figure 2 and Figure 3 contain results for a target SDU FER of 10% for CS-1 to CS-4, MCS-1 to MCS-4 and MCS-5 to MCS-9, respectively.</w:t>
      </w:r>
    </w:p>
    <w:p>
      <w:pPr>
        <w:pStyle w:val="Normal"/>
        <w:rPr/>
      </w:pPr>
      <w:r>
        <w:rPr/>
        <w:t>Figure 4, Figure 5 and Figure 6 contain results for a target SDU FER of 1% for CS-1 to CS-4, MCS-1 to MCS-4 and MCS-5 to MCS-9, respectively.</w:t>
      </w:r>
    </w:p>
    <w:p>
      <w:pPr>
        <w:pStyle w:val="Normal"/>
        <w:rPr/>
      </w:pPr>
      <w:r>
        <w:rPr/>
        <w:t>Figure 7, Figure 8 and Figure 9 contain results for a target SDU FER of 0.1% for CS-1 to CS-4, MCS-1 to MCS-4 and MCS-5 to MCS-9, respectively.</w:t>
      </w:r>
    </w:p>
    <w:p>
      <w:pPr>
        <w:pStyle w:val="Normal"/>
        <w:rPr/>
      </w:pPr>
      <w:r>
        <w:rPr/>
      </w:r>
    </w:p>
    <w:p>
      <w:pPr>
        <w:pStyle w:val="Normal"/>
        <w:jc w:val="center"/>
        <w:rPr/>
      </w:pPr>
      <w:bookmarkStart w:id="821" w:name="_Ref85020092"/>
      <w:r>
        <w:rPr/>
        <w:drawing>
          <wp:inline distT="0" distB="0" distL="0" distR="0">
            <wp:extent cx="5093335" cy="3778885"/>
            <wp:effectExtent l="0" t="0" r="0" b="0"/>
            <wp:docPr id="239" name="Image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63" descr=""/>
                    <pic:cNvPicPr>
                      <a:picLocks noChangeAspect="1" noChangeArrowheads="1"/>
                    </pic:cNvPicPr>
                  </pic:nvPicPr>
                  <pic:blipFill>
                    <a:blip r:embed="rId249"/>
                    <a:srcRect l="-5" t="-6" r="-5" b="-6"/>
                    <a:stretch>
                      <a:fillRect/>
                    </a:stretch>
                  </pic:blipFill>
                  <pic:spPr bwMode="auto">
                    <a:xfrm>
                      <a:off x="0" y="0"/>
                      <a:ext cx="5093335" cy="3778885"/>
                    </a:xfrm>
                    <a:prstGeom prst="rect">
                      <a:avLst/>
                    </a:prstGeom>
                  </pic:spPr>
                </pic:pic>
              </a:graphicData>
            </a:graphic>
          </wp:inline>
        </w:drawing>
      </w:r>
    </w:p>
    <w:p>
      <w:pPr>
        <w:pStyle w:val="TF"/>
        <w:rPr/>
      </w:pPr>
      <w:bookmarkStart w:id="822" w:name="_Ref85020092"/>
      <w:r>
        <w:rPr/>
        <w:t>Figure 1</w:t>
      </w:r>
      <w:bookmarkEnd w:id="822"/>
      <w:r>
        <w:rPr/>
        <w:t>: Performance of CS-1 to CS-4 for 10% SDU FER</w:t>
      </w:r>
    </w:p>
    <w:p>
      <w:pPr>
        <w:pStyle w:val="Normal"/>
        <w:jc w:val="center"/>
        <w:rPr/>
      </w:pPr>
      <w:bookmarkStart w:id="823" w:name="_Ref85020094"/>
      <w:r>
        <w:rPr/>
        <w:drawing>
          <wp:inline distT="0" distB="0" distL="0" distR="0">
            <wp:extent cx="5034280" cy="3709670"/>
            <wp:effectExtent l="0" t="0" r="0" b="0"/>
            <wp:docPr id="240" name="Image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64" descr=""/>
                    <pic:cNvPicPr>
                      <a:picLocks noChangeAspect="1" noChangeArrowheads="1"/>
                    </pic:cNvPicPr>
                  </pic:nvPicPr>
                  <pic:blipFill>
                    <a:blip r:embed="rId250"/>
                    <a:srcRect l="-5" t="-6" r="-5" b="-6"/>
                    <a:stretch>
                      <a:fillRect/>
                    </a:stretch>
                  </pic:blipFill>
                  <pic:spPr bwMode="auto">
                    <a:xfrm>
                      <a:off x="0" y="0"/>
                      <a:ext cx="5034280" cy="3709670"/>
                    </a:xfrm>
                    <a:prstGeom prst="rect">
                      <a:avLst/>
                    </a:prstGeom>
                  </pic:spPr>
                </pic:pic>
              </a:graphicData>
            </a:graphic>
          </wp:inline>
        </w:drawing>
      </w:r>
    </w:p>
    <w:p>
      <w:pPr>
        <w:pStyle w:val="TF"/>
        <w:rPr/>
      </w:pPr>
      <w:bookmarkStart w:id="824" w:name="_Ref85020094"/>
      <w:r>
        <w:rPr/>
        <w:t>Figure 2</w:t>
      </w:r>
      <w:bookmarkEnd w:id="824"/>
      <w:r>
        <w:rPr/>
        <w:t>: Performance of MCS-1 to MCS-4 with incremental redundancy for 10% SDU FER</w:t>
      </w:r>
    </w:p>
    <w:p>
      <w:pPr>
        <w:pStyle w:val="Normal"/>
        <w:jc w:val="center"/>
        <w:rPr/>
      </w:pPr>
      <w:bookmarkStart w:id="825" w:name="_Ref85020096"/>
      <w:r>
        <w:rPr/>
        <w:drawing>
          <wp:inline distT="0" distB="0" distL="0" distR="0">
            <wp:extent cx="4908550" cy="3800475"/>
            <wp:effectExtent l="0" t="0" r="0" b="0"/>
            <wp:docPr id="241" name="Image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265" descr=""/>
                    <pic:cNvPicPr>
                      <a:picLocks noChangeAspect="1" noChangeArrowheads="1"/>
                    </pic:cNvPicPr>
                  </pic:nvPicPr>
                  <pic:blipFill>
                    <a:blip r:embed="rId251"/>
                    <a:srcRect l="-5" t="-6" r="-5" b="-6"/>
                    <a:stretch>
                      <a:fillRect/>
                    </a:stretch>
                  </pic:blipFill>
                  <pic:spPr bwMode="auto">
                    <a:xfrm>
                      <a:off x="0" y="0"/>
                      <a:ext cx="4908550" cy="3800475"/>
                    </a:xfrm>
                    <a:prstGeom prst="rect">
                      <a:avLst/>
                    </a:prstGeom>
                  </pic:spPr>
                </pic:pic>
              </a:graphicData>
            </a:graphic>
          </wp:inline>
        </w:drawing>
      </w:r>
    </w:p>
    <w:p>
      <w:pPr>
        <w:pStyle w:val="TF"/>
        <w:rPr/>
      </w:pPr>
      <w:bookmarkStart w:id="826" w:name="_Ref85020096"/>
      <w:r>
        <w:rPr/>
        <w:t>Figure 3</w:t>
      </w:r>
      <w:bookmarkEnd w:id="826"/>
      <w:r>
        <w:rPr/>
        <w:t>: Performance of MCS-5 to MCS-9 with incremental redundancy for 10% SDU FER</w:t>
      </w:r>
    </w:p>
    <w:p>
      <w:pPr>
        <w:pStyle w:val="Normal"/>
        <w:jc w:val="center"/>
        <w:rPr/>
      </w:pPr>
      <w:bookmarkStart w:id="827" w:name="_Ref85020167"/>
      <w:r>
        <w:rPr/>
        <w:drawing>
          <wp:inline distT="0" distB="0" distL="0" distR="0">
            <wp:extent cx="5095240" cy="3778885"/>
            <wp:effectExtent l="0" t="0" r="0" b="0"/>
            <wp:docPr id="242" name="Image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66" descr=""/>
                    <pic:cNvPicPr>
                      <a:picLocks noChangeAspect="1" noChangeArrowheads="1"/>
                    </pic:cNvPicPr>
                  </pic:nvPicPr>
                  <pic:blipFill>
                    <a:blip r:embed="rId252"/>
                    <a:srcRect l="-5" t="-6" r="-5" b="-6"/>
                    <a:stretch>
                      <a:fillRect/>
                    </a:stretch>
                  </pic:blipFill>
                  <pic:spPr bwMode="auto">
                    <a:xfrm>
                      <a:off x="0" y="0"/>
                      <a:ext cx="5095240" cy="3778885"/>
                    </a:xfrm>
                    <a:prstGeom prst="rect">
                      <a:avLst/>
                    </a:prstGeom>
                  </pic:spPr>
                </pic:pic>
              </a:graphicData>
            </a:graphic>
          </wp:inline>
        </w:drawing>
      </w:r>
    </w:p>
    <w:p>
      <w:pPr>
        <w:pStyle w:val="TF"/>
        <w:rPr/>
      </w:pPr>
      <w:bookmarkStart w:id="828" w:name="_Ref85020167"/>
      <w:r>
        <w:rPr/>
        <w:t>Figure 4</w:t>
      </w:r>
      <w:bookmarkEnd w:id="828"/>
      <w:r>
        <w:rPr/>
        <w:t>: Performance of CS-1 to CS-4 for 1% SDU FER</w:t>
      </w:r>
    </w:p>
    <w:p>
      <w:pPr>
        <w:pStyle w:val="Normal"/>
        <w:jc w:val="center"/>
        <w:rPr/>
      </w:pPr>
      <w:bookmarkStart w:id="829" w:name="_Ref85020169"/>
      <w:r>
        <w:rPr/>
        <w:drawing>
          <wp:inline distT="0" distB="0" distL="0" distR="0">
            <wp:extent cx="5165090" cy="3844290"/>
            <wp:effectExtent l="0" t="0" r="0" b="0"/>
            <wp:docPr id="243" name="Image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267" descr=""/>
                    <pic:cNvPicPr>
                      <a:picLocks noChangeAspect="1" noChangeArrowheads="1"/>
                    </pic:cNvPicPr>
                  </pic:nvPicPr>
                  <pic:blipFill>
                    <a:blip r:embed="rId253"/>
                    <a:srcRect l="-5" t="-6" r="-5" b="-6"/>
                    <a:stretch>
                      <a:fillRect/>
                    </a:stretch>
                  </pic:blipFill>
                  <pic:spPr bwMode="auto">
                    <a:xfrm>
                      <a:off x="0" y="0"/>
                      <a:ext cx="5165090" cy="3844290"/>
                    </a:xfrm>
                    <a:prstGeom prst="rect">
                      <a:avLst/>
                    </a:prstGeom>
                  </pic:spPr>
                </pic:pic>
              </a:graphicData>
            </a:graphic>
          </wp:inline>
        </w:drawing>
      </w:r>
    </w:p>
    <w:p>
      <w:pPr>
        <w:pStyle w:val="TF"/>
        <w:rPr/>
      </w:pPr>
      <w:bookmarkStart w:id="830" w:name="_Ref85020169"/>
      <w:r>
        <w:rPr/>
        <w:t>Figure 5</w:t>
      </w:r>
      <w:bookmarkEnd w:id="830"/>
      <w:r>
        <w:rPr/>
        <w:t>: Performance of MCS-1 to MCS-4 with incremental redundancy for 1% SDU FER</w:t>
      </w:r>
    </w:p>
    <w:p>
      <w:pPr>
        <w:pStyle w:val="Normal"/>
        <w:jc w:val="center"/>
        <w:rPr/>
      </w:pPr>
      <w:bookmarkStart w:id="831" w:name="_Ref85020170"/>
      <w:r>
        <w:rPr/>
        <w:drawing>
          <wp:inline distT="0" distB="0" distL="0" distR="0">
            <wp:extent cx="5302885" cy="3779520"/>
            <wp:effectExtent l="0" t="0" r="0" b="0"/>
            <wp:docPr id="244" name="Image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68" descr=""/>
                    <pic:cNvPicPr>
                      <a:picLocks noChangeAspect="1" noChangeArrowheads="1"/>
                    </pic:cNvPicPr>
                  </pic:nvPicPr>
                  <pic:blipFill>
                    <a:blip r:embed="rId254"/>
                    <a:srcRect l="-5" t="-6" r="-5" b="-6"/>
                    <a:stretch>
                      <a:fillRect/>
                    </a:stretch>
                  </pic:blipFill>
                  <pic:spPr bwMode="auto">
                    <a:xfrm>
                      <a:off x="0" y="0"/>
                      <a:ext cx="5302885" cy="3779520"/>
                    </a:xfrm>
                    <a:prstGeom prst="rect">
                      <a:avLst/>
                    </a:prstGeom>
                  </pic:spPr>
                </pic:pic>
              </a:graphicData>
            </a:graphic>
          </wp:inline>
        </w:drawing>
      </w:r>
    </w:p>
    <w:p>
      <w:pPr>
        <w:pStyle w:val="TF"/>
        <w:rPr/>
      </w:pPr>
      <w:bookmarkStart w:id="832" w:name="_Ref85020170"/>
      <w:r>
        <w:rPr/>
        <w:t>Figure 6</w:t>
      </w:r>
      <w:bookmarkEnd w:id="832"/>
      <w:r>
        <w:rPr/>
        <w:t>: Performance of MCS-5 to MCS-9 with incremental redundancy for 1% SDU FER</w:t>
      </w:r>
    </w:p>
    <w:p>
      <w:pPr>
        <w:pStyle w:val="Normal"/>
        <w:jc w:val="center"/>
        <w:rPr/>
      </w:pPr>
      <w:bookmarkStart w:id="833" w:name="_Ref85020178"/>
      <w:r>
        <w:rPr/>
        <w:drawing>
          <wp:inline distT="0" distB="0" distL="0" distR="0">
            <wp:extent cx="5091430" cy="3779520"/>
            <wp:effectExtent l="0" t="0" r="0" b="0"/>
            <wp:docPr id="245" name="Image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69" descr=""/>
                    <pic:cNvPicPr>
                      <a:picLocks noChangeAspect="1" noChangeArrowheads="1"/>
                    </pic:cNvPicPr>
                  </pic:nvPicPr>
                  <pic:blipFill>
                    <a:blip r:embed="rId255"/>
                    <a:srcRect l="-5" t="-6" r="-5" b="-6"/>
                    <a:stretch>
                      <a:fillRect/>
                    </a:stretch>
                  </pic:blipFill>
                  <pic:spPr bwMode="auto">
                    <a:xfrm>
                      <a:off x="0" y="0"/>
                      <a:ext cx="5091430" cy="3779520"/>
                    </a:xfrm>
                    <a:prstGeom prst="rect">
                      <a:avLst/>
                    </a:prstGeom>
                  </pic:spPr>
                </pic:pic>
              </a:graphicData>
            </a:graphic>
          </wp:inline>
        </w:drawing>
      </w:r>
    </w:p>
    <w:p>
      <w:pPr>
        <w:pStyle w:val="TF"/>
        <w:rPr/>
      </w:pPr>
      <w:bookmarkStart w:id="834" w:name="_Ref85020178"/>
      <w:r>
        <w:rPr/>
        <w:t>Figure 7</w:t>
      </w:r>
      <w:bookmarkEnd w:id="834"/>
      <w:r>
        <w:rPr/>
        <w:t>: Performance of CS-1 to CS-4 for 0.1% SDU FER</w:t>
      </w:r>
    </w:p>
    <w:p>
      <w:pPr>
        <w:pStyle w:val="Normal"/>
        <w:jc w:val="center"/>
        <w:rPr/>
      </w:pPr>
      <w:bookmarkStart w:id="835" w:name="_Ref85020179"/>
      <w:r>
        <w:rPr/>
        <w:drawing>
          <wp:inline distT="0" distB="0" distL="0" distR="0">
            <wp:extent cx="5146675" cy="3797935"/>
            <wp:effectExtent l="0" t="0" r="0" b="0"/>
            <wp:docPr id="246" name="Image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70" descr=""/>
                    <pic:cNvPicPr>
                      <a:picLocks noChangeAspect="1" noChangeArrowheads="1"/>
                    </pic:cNvPicPr>
                  </pic:nvPicPr>
                  <pic:blipFill>
                    <a:blip r:embed="rId256"/>
                    <a:srcRect l="-4" t="-6" r="-4" b="-6"/>
                    <a:stretch>
                      <a:fillRect/>
                    </a:stretch>
                  </pic:blipFill>
                  <pic:spPr bwMode="auto">
                    <a:xfrm>
                      <a:off x="0" y="0"/>
                      <a:ext cx="5146675" cy="3797935"/>
                    </a:xfrm>
                    <a:prstGeom prst="rect">
                      <a:avLst/>
                    </a:prstGeom>
                  </pic:spPr>
                </pic:pic>
              </a:graphicData>
            </a:graphic>
          </wp:inline>
        </w:drawing>
      </w:r>
    </w:p>
    <w:p>
      <w:pPr>
        <w:pStyle w:val="TF"/>
        <w:rPr/>
      </w:pPr>
      <w:bookmarkStart w:id="836" w:name="_Ref85020179"/>
      <w:r>
        <w:rPr/>
        <w:t>Figure 8</w:t>
      </w:r>
      <w:bookmarkEnd w:id="836"/>
      <w:r>
        <w:rPr/>
        <w:t>: Performance of MCS-1 to MCS-4 with incremental redundancy for 0.1% SDU FER</w:t>
      </w:r>
    </w:p>
    <w:p>
      <w:pPr>
        <w:pStyle w:val="Normal"/>
        <w:jc w:val="center"/>
        <w:rPr/>
      </w:pPr>
      <w:bookmarkStart w:id="837" w:name="_Ref85020180"/>
      <w:r>
        <w:rPr/>
        <w:drawing>
          <wp:inline distT="0" distB="0" distL="0" distR="0">
            <wp:extent cx="5301615" cy="3769360"/>
            <wp:effectExtent l="0" t="0" r="0" b="0"/>
            <wp:docPr id="247" name="Image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71" descr=""/>
                    <pic:cNvPicPr>
                      <a:picLocks noChangeAspect="1" noChangeArrowheads="1"/>
                    </pic:cNvPicPr>
                  </pic:nvPicPr>
                  <pic:blipFill>
                    <a:blip r:embed="rId257"/>
                    <a:srcRect l="-5" t="-6" r="-5" b="-6"/>
                    <a:stretch>
                      <a:fillRect/>
                    </a:stretch>
                  </pic:blipFill>
                  <pic:spPr bwMode="auto">
                    <a:xfrm>
                      <a:off x="0" y="0"/>
                      <a:ext cx="5301615" cy="3769360"/>
                    </a:xfrm>
                    <a:prstGeom prst="rect">
                      <a:avLst/>
                    </a:prstGeom>
                  </pic:spPr>
                </pic:pic>
              </a:graphicData>
            </a:graphic>
          </wp:inline>
        </w:drawing>
      </w:r>
    </w:p>
    <w:p>
      <w:pPr>
        <w:pStyle w:val="TF"/>
        <w:rPr/>
      </w:pPr>
      <w:bookmarkStart w:id="838" w:name="_Ref85020180"/>
      <w:r>
        <w:rPr/>
        <w:t>Figure 9</w:t>
      </w:r>
      <w:bookmarkEnd w:id="838"/>
      <w:r>
        <w:rPr/>
        <w:t>:  Performance of MCS-5 to MCS-9 with incremental redundancy for 0.1% SDU FER</w:t>
      </w:r>
    </w:p>
    <w:p>
      <w:pPr>
        <w:pStyle w:val="FP"/>
        <w:rPr/>
      </w:pPr>
      <w:r>
        <w:rPr/>
      </w:r>
      <w:r>
        <w:br w:type="page"/>
      </w:r>
    </w:p>
    <w:p>
      <w:pPr>
        <w:pStyle w:val="Heading9"/>
        <w:rPr>
          <w:lang w:val="sv-SE"/>
        </w:rPr>
      </w:pPr>
      <w:bookmarkStart w:id="839" w:name="__RefHeading___Toc518036181"/>
      <w:bookmarkEnd w:id="839"/>
      <w:r>
        <w:rPr>
          <w:lang w:val="sv-SE"/>
        </w:rPr>
        <w:t>Annex ZA:</w:t>
        <w:br/>
        <w:t>T-GSM 810 system scenarios</w:t>
      </w:r>
    </w:p>
    <w:p>
      <w:pPr>
        <w:pStyle w:val="Heading1"/>
        <w:spacing w:before="120" w:after="120"/>
        <w:ind w:left="1134" w:hanging="1134"/>
        <w:rPr/>
      </w:pPr>
      <w:bookmarkStart w:id="840" w:name="__RefHeading___Toc518036182"/>
      <w:bookmarkEnd w:id="840"/>
      <w:r>
        <w:rPr/>
        <w:t>ZA.1</w:t>
        <w:tab/>
        <w:t>Introduction</w:t>
      </w:r>
    </w:p>
    <w:p>
      <w:pPr>
        <w:pStyle w:val="Normal"/>
        <w:rPr/>
      </w:pPr>
      <w:r>
        <w:rPr>
          <w:lang w:eastAsia="zh-CN"/>
        </w:rPr>
        <w:t xml:space="preserve">The T-GSM 810 </w:t>
      </w:r>
      <w:r>
        <w:rPr>
          <w:lang w:eastAsia="zh-CN"/>
        </w:rPr>
        <w:t xml:space="preserve">frequency band has been </w:t>
      </w:r>
      <w:r>
        <w:rPr>
          <w:lang w:eastAsia="zh-CN"/>
        </w:rPr>
        <w:t>introduce</w:t>
      </w:r>
      <w:r>
        <w:rPr>
          <w:lang w:eastAsia="zh-CN"/>
        </w:rPr>
        <w:t>d in the GERAN specifications in order to allow the operation of</w:t>
      </w:r>
      <w:r>
        <w:rPr>
          <w:lang w:eastAsia="zh-CN"/>
        </w:rPr>
        <w:t xml:space="preserve"> </w:t>
      </w:r>
      <w:r>
        <w:rPr>
          <w:lang w:eastAsia="zh-CN"/>
        </w:rPr>
        <w:t xml:space="preserve">a </w:t>
      </w:r>
      <w:r>
        <w:rPr>
          <w:lang w:eastAsia="zh-CN"/>
        </w:rPr>
        <w:t xml:space="preserve">trunking system based </w:t>
      </w:r>
      <w:r>
        <w:rPr>
          <w:lang w:eastAsia="zh-CN"/>
        </w:rPr>
        <w:t xml:space="preserve">on </w:t>
      </w:r>
      <w:r>
        <w:rPr>
          <w:lang w:eastAsia="zh-CN"/>
        </w:rPr>
        <w:t xml:space="preserve">GSM in the </w:t>
      </w:r>
      <w:r>
        <w:rPr>
          <w:lang w:eastAsia="zh-CN"/>
        </w:rPr>
        <w:t xml:space="preserve">810 MHz </w:t>
      </w:r>
      <w:r>
        <w:rPr>
          <w:lang w:eastAsia="zh-CN"/>
        </w:rPr>
        <w:t>band. The band is as follows:</w:t>
      </w:r>
    </w:p>
    <w:p>
      <w:pPr>
        <w:pStyle w:val="B1"/>
        <w:rPr/>
      </w:pPr>
      <w:r>
        <w:rPr/>
        <w:t>-</w:t>
        <w:tab/>
        <w:t>8</w:t>
      </w:r>
      <w:r>
        <w:rPr>
          <w:lang w:eastAsia="zh-CN"/>
        </w:rPr>
        <w:t>06</w:t>
      </w:r>
      <w:r>
        <w:rPr/>
        <w:t xml:space="preserve"> – </w:t>
      </w:r>
      <w:r>
        <w:rPr>
          <w:lang w:eastAsia="zh-CN"/>
        </w:rPr>
        <w:t>821</w:t>
      </w:r>
      <w:r>
        <w:rPr/>
        <w:t xml:space="preserve"> MHz: Uplink (</w:t>
      </w:r>
      <w:r>
        <w:rPr>
          <w:lang w:eastAsia="zh-CN"/>
        </w:rPr>
        <w:t>MS</w:t>
      </w:r>
      <w:r>
        <w:rPr/>
        <w:t xml:space="preserve"> transmit, </w:t>
      </w:r>
      <w:r>
        <w:rPr>
          <w:lang w:eastAsia="zh-CN"/>
        </w:rPr>
        <w:t>BTS</w:t>
      </w:r>
      <w:r>
        <w:rPr/>
        <w:t xml:space="preserve"> receive)</w:t>
      </w:r>
    </w:p>
    <w:p>
      <w:pPr>
        <w:pStyle w:val="B1"/>
        <w:rPr>
          <w:lang w:eastAsia="zh-CN"/>
        </w:rPr>
      </w:pPr>
      <w:r>
        <w:rPr>
          <w:lang w:eastAsia="zh-CN"/>
        </w:rPr>
        <w:t>-</w:t>
        <w:tab/>
      </w:r>
      <w:r>
        <w:rPr>
          <w:lang w:eastAsia="zh-CN"/>
        </w:rPr>
        <w:t>851</w:t>
      </w:r>
      <w:r>
        <w:rPr/>
        <w:t xml:space="preserve"> – </w:t>
      </w:r>
      <w:r>
        <w:rPr>
          <w:lang w:eastAsia="zh-CN"/>
        </w:rPr>
        <w:t>866</w:t>
      </w:r>
      <w:r>
        <w:rPr/>
        <w:t xml:space="preserve"> MHz: Downlink (</w:t>
      </w:r>
      <w:r>
        <w:rPr>
          <w:lang w:eastAsia="zh-CN"/>
        </w:rPr>
        <w:t>BTS</w:t>
      </w:r>
      <w:r>
        <w:rPr/>
        <w:t xml:space="preserve"> transmit, </w:t>
      </w:r>
      <w:r>
        <w:rPr>
          <w:lang w:eastAsia="zh-CN"/>
        </w:rPr>
        <w:t>MS</w:t>
      </w:r>
      <w:r>
        <w:rPr/>
        <w:t xml:space="preserve"> receive)</w:t>
      </w:r>
    </w:p>
    <w:p>
      <w:pPr>
        <w:pStyle w:val="Normal"/>
        <w:rPr/>
      </w:pPr>
      <w:r>
        <w:rPr>
          <w:lang w:eastAsia="zh-CN"/>
        </w:rPr>
        <w:t>In China, regulations allow</w:t>
      </w:r>
      <w:r>
        <w:rPr>
          <w:lang w:eastAsia="zh-CN"/>
        </w:rPr>
        <w:t xml:space="preserve"> four </w:t>
      </w:r>
      <w:r>
        <w:rPr>
          <w:lang w:eastAsia="zh-CN"/>
        </w:rPr>
        <w:t xml:space="preserve">trunking </w:t>
      </w:r>
      <w:r>
        <w:rPr>
          <w:lang w:eastAsia="zh-CN"/>
        </w:rPr>
        <w:t xml:space="preserve">systems </w:t>
      </w:r>
      <w:r>
        <w:rPr>
          <w:lang w:eastAsia="zh-CN"/>
        </w:rPr>
        <w:t>to be deployed</w:t>
      </w:r>
      <w:r>
        <w:rPr>
          <w:lang w:eastAsia="zh-CN"/>
        </w:rPr>
        <w:t xml:space="preserve"> in th</w:t>
      </w:r>
      <w:r>
        <w:rPr>
          <w:lang w:eastAsia="zh-CN"/>
        </w:rPr>
        <w:t>is</w:t>
      </w:r>
      <w:r>
        <w:rPr>
          <w:lang w:eastAsia="zh-CN"/>
        </w:rPr>
        <w:t xml:space="preserve"> band</w:t>
      </w:r>
      <w:r>
        <w:rPr>
          <w:lang w:eastAsia="zh-CN"/>
        </w:rPr>
        <w:t>:</w:t>
      </w:r>
    </w:p>
    <w:p>
      <w:pPr>
        <w:pStyle w:val="B1"/>
        <w:rPr/>
      </w:pPr>
      <w:r>
        <w:rPr/>
        <w:t>-</w:t>
        <w:tab/>
      </w:r>
      <w:r>
        <w:rPr/>
        <w:t xml:space="preserve">T-GSM 810: </w:t>
      </w:r>
      <w:r>
        <w:rPr/>
        <w:t>GSM-based Digital Trunking Mobile Communication System</w:t>
      </w:r>
      <w:r>
        <w:rPr/>
        <w:t xml:space="preserve"> in </w:t>
      </w:r>
      <w:r>
        <w:rPr/>
        <w:t xml:space="preserve">the 810 MHz </w:t>
      </w:r>
      <w:r>
        <w:rPr/>
        <w:t>frequency band</w:t>
      </w:r>
      <w:r>
        <w:rPr/>
        <w:t> </w:t>
      </w:r>
      <w:r>
        <w:rPr/>
        <w:t>[2]</w:t>
      </w:r>
      <w:r>
        <w:rPr/>
        <w:t>.</w:t>
      </w:r>
    </w:p>
    <w:p>
      <w:pPr>
        <w:pStyle w:val="B1"/>
        <w:rPr/>
      </w:pPr>
      <w:r>
        <w:rPr/>
        <w:t>-</w:t>
        <w:tab/>
      </w:r>
      <w:r>
        <w:rPr/>
        <w:t xml:space="preserve">T-CDMA: </w:t>
      </w:r>
      <w:r>
        <w:rPr/>
        <w:t>CDMA-based Digital Trunking Mobile Communication System</w:t>
      </w:r>
      <w:r>
        <w:rPr/>
        <w:t xml:space="preserve"> in </w:t>
      </w:r>
      <w:r>
        <w:rPr/>
        <w:t xml:space="preserve">the 810 MHz </w:t>
      </w:r>
      <w:r>
        <w:rPr/>
        <w:t>frequency band</w:t>
      </w:r>
      <w:r>
        <w:rPr/>
        <w:t> </w:t>
      </w:r>
      <w:r>
        <w:rPr/>
        <w:t>[3]</w:t>
      </w:r>
      <w:r>
        <w:rPr/>
        <w:t>.</w:t>
      </w:r>
    </w:p>
    <w:p>
      <w:pPr>
        <w:pStyle w:val="B1"/>
        <w:rPr/>
      </w:pPr>
      <w:r>
        <w:rPr/>
        <w:t>-</w:t>
        <w:tab/>
      </w:r>
      <w:r>
        <w:rPr/>
        <w:t xml:space="preserve">Trunking System A and Trunking System B: </w:t>
      </w:r>
      <w:r>
        <w:rPr/>
        <w:t>Digital Trunking Mobile Communication System </w:t>
      </w:r>
      <w:r>
        <w:rPr/>
        <w:t>[4]</w:t>
      </w:r>
      <w:r>
        <w:rPr>
          <w:lang w:eastAsia="zh-CN"/>
        </w:rPr>
        <w:t>.</w:t>
      </w:r>
    </w:p>
    <w:p>
      <w:pPr>
        <w:pStyle w:val="Normal"/>
        <w:spacing w:before="0" w:after="0"/>
        <w:rPr>
          <w:lang w:eastAsia="zh-CN"/>
        </w:rPr>
      </w:pPr>
      <w:r>
        <w:rPr>
          <w:lang w:eastAsia="zh-CN"/>
        </w:rPr>
      </w:r>
    </w:p>
    <w:p>
      <w:pPr>
        <w:pStyle w:val="Normal"/>
        <w:rPr/>
      </w:pPr>
      <w:r>
        <w:rPr>
          <w:lang w:eastAsia="zh-CN"/>
        </w:rPr>
        <w:t xml:space="preserve">Trunking System A and Trunking System B specified by the </w:t>
      </w:r>
      <w:r>
        <w:rPr>
          <w:lang w:eastAsia="zh-CN"/>
        </w:rPr>
        <w:t xml:space="preserve">Chinese </w:t>
      </w:r>
      <w:r>
        <w:rPr>
          <w:lang w:eastAsia="zh-CN"/>
        </w:rPr>
        <w:t>government i</w:t>
      </w:r>
      <w:r>
        <w:rPr>
          <w:lang w:eastAsia="zh-CN"/>
        </w:rPr>
        <w:t>n [4]</w:t>
      </w:r>
      <w:r>
        <w:rPr>
          <w:lang w:eastAsia="zh-CN"/>
        </w:rPr>
        <w:t xml:space="preserve"> correspond to the</w:t>
      </w:r>
      <w:r>
        <w:rPr>
          <w:lang w:eastAsia="zh-CN"/>
        </w:rPr>
        <w:t xml:space="preserve"> trunking system</w:t>
      </w:r>
      <w:r>
        <w:rPr>
          <w:lang w:eastAsia="zh-CN"/>
        </w:rPr>
        <w:t>s TETRA and iDEN</w:t>
      </w:r>
      <w:r>
        <w:rPr>
          <w:vertAlign w:val="superscript"/>
          <w:lang w:eastAsia="zh-CN"/>
        </w:rPr>
        <w:t>TM</w:t>
      </w:r>
      <w:r>
        <w:rPr>
          <w:lang w:eastAsia="zh-CN"/>
        </w:rPr>
        <w:t xml:space="preserve">, respectively. </w:t>
      </w:r>
      <w:r>
        <w:rPr/>
        <w:t>In the following description, the four trunking system</w:t>
      </w:r>
      <w:r>
        <w:rPr/>
        <w:t>s</w:t>
      </w:r>
      <w:r>
        <w:rPr/>
        <w:t xml:space="preserve"> are denoted T-GSM810, T-CDMA, </w:t>
      </w:r>
      <w:r>
        <w:rPr/>
        <w:t>TETRA</w:t>
      </w:r>
      <w:r>
        <w:rPr/>
        <w:t xml:space="preserve"> and </w:t>
      </w:r>
      <w:r>
        <w:rPr/>
        <w:t>iDEN</w:t>
      </w:r>
      <w:r>
        <w:rPr>
          <w:vertAlign w:val="superscript"/>
        </w:rPr>
        <w:t>TM</w:t>
      </w:r>
      <w:r>
        <w:rPr>
          <w:lang w:eastAsia="zh-CN"/>
        </w:rPr>
        <w:t>.</w:t>
      </w:r>
    </w:p>
    <w:p>
      <w:pPr>
        <w:pStyle w:val="NO"/>
        <w:rPr/>
      </w:pPr>
      <w:r>
        <w:rPr>
          <w:lang w:eastAsia="zh-CN"/>
        </w:rPr>
        <w:t>NOTE:</w:t>
        <w:tab/>
        <w:t>iDEN</w:t>
      </w:r>
      <w:r>
        <w:rPr>
          <w:vertAlign w:val="superscript"/>
          <w:lang w:eastAsia="zh-CN"/>
        </w:rPr>
        <w:t>TM</w:t>
      </w:r>
      <w:r>
        <w:rPr>
          <w:lang w:eastAsia="zh-CN"/>
        </w:rPr>
        <w:t xml:space="preserve"> is a trademark of Motorola Inc.</w:t>
      </w:r>
    </w:p>
    <w:p>
      <w:pPr>
        <w:pStyle w:val="Normal"/>
        <w:rPr>
          <w:lang w:eastAsia="zh-CN"/>
        </w:rPr>
      </w:pPr>
      <w:r>
        <w:rPr>
          <w:lang w:eastAsia="zh-CN"/>
        </w:rPr>
        <w:t xml:space="preserve">In this Annex, the results of a partial coexistence analysis </w:t>
      </w:r>
      <w:r>
        <w:rPr>
          <w:lang w:eastAsia="zh-CN"/>
        </w:rPr>
        <w:t xml:space="preserve">between these systems </w:t>
      </w:r>
      <w:r>
        <w:rPr>
          <w:lang w:eastAsia="zh-CN"/>
        </w:rPr>
        <w:t xml:space="preserve">are presented. The study is based on a worst-case </w:t>
      </w:r>
      <w:r>
        <w:rPr>
          <w:lang w:eastAsia="zh-CN"/>
        </w:rPr>
        <w:t>scenario</w:t>
      </w:r>
      <w:r>
        <w:rPr>
          <w:lang w:eastAsia="zh-CN"/>
        </w:rPr>
        <w:t>.</w:t>
      </w:r>
    </w:p>
    <w:p>
      <w:pPr>
        <w:pStyle w:val="Normal"/>
        <w:rPr/>
      </w:pPr>
      <w:r>
        <w:rPr>
          <w:lang w:eastAsia="zh-CN"/>
        </w:rPr>
        <w:t>C</w:t>
      </w:r>
      <w:r>
        <w:rPr>
          <w:lang w:eastAsia="zh-CN"/>
        </w:rPr>
        <w:t xml:space="preserve">oexistence of </w:t>
      </w:r>
      <w:r>
        <w:rPr>
          <w:lang w:eastAsia="zh-CN"/>
        </w:rPr>
        <w:t>other system</w:t>
      </w:r>
      <w:r>
        <w:rPr>
          <w:lang w:eastAsia="zh-CN"/>
        </w:rPr>
        <w:t xml:space="preserve"> carriers and </w:t>
      </w:r>
      <w:r>
        <w:rPr>
          <w:lang w:eastAsia="zh-CN"/>
        </w:rPr>
        <w:t>T-GSM 810 system</w:t>
      </w:r>
      <w:r>
        <w:rPr>
          <w:lang w:eastAsia="zh-CN"/>
        </w:rPr>
        <w:t xml:space="preserve"> carriers of the same duplex direction are assumed. As a consequence, the interference scenarios considered for the downlink study are:</w:t>
      </w:r>
    </w:p>
    <w:p>
      <w:pPr>
        <w:pStyle w:val="B1"/>
        <w:rPr>
          <w:lang w:eastAsia="zh-CN"/>
        </w:rPr>
      </w:pPr>
      <w:r>
        <w:rPr>
          <w:lang w:eastAsia="zh-CN"/>
        </w:rPr>
        <w:t>-</w:t>
        <w:tab/>
      </w:r>
      <w:r>
        <w:rPr>
          <w:lang w:eastAsia="zh-CN"/>
        </w:rPr>
        <w:t>Other system</w:t>
      </w:r>
      <w:r>
        <w:rPr>
          <w:lang w:eastAsia="zh-CN"/>
        </w:rPr>
        <w:t xml:space="preserve"> B</w:t>
      </w:r>
      <w:r>
        <w:rPr>
          <w:lang w:eastAsia="zh-CN"/>
        </w:rPr>
        <w:t>TS</w:t>
      </w:r>
      <w:r>
        <w:rPr>
          <w:lang w:eastAsia="zh-CN"/>
        </w:rPr>
        <w:tab/>
      </w:r>
      <w:r>
        <w:rPr>
          <w:rFonts w:eastAsia="Wingdings" w:cs="Wingdings" w:ascii="Wingdings" w:hAnsi="Wingdings"/>
          <w:lang w:eastAsia="zh-CN"/>
        </w:rPr>
        <w:t></w:t>
      </w:r>
      <w:r>
        <w:rPr>
          <w:lang w:eastAsia="zh-CN"/>
        </w:rPr>
        <w:tab/>
      </w:r>
      <w:r>
        <w:rPr>
          <w:lang w:eastAsia="zh-CN"/>
        </w:rPr>
        <w:t>T-GSM 810 MS</w:t>
      </w:r>
    </w:p>
    <w:p>
      <w:pPr>
        <w:pStyle w:val="B1"/>
        <w:rPr/>
      </w:pPr>
      <w:r>
        <w:rPr>
          <w:lang w:eastAsia="zh-CN"/>
        </w:rPr>
        <w:t>-</w:t>
        <w:tab/>
      </w:r>
      <w:r>
        <w:rPr>
          <w:lang w:eastAsia="zh-CN"/>
        </w:rPr>
        <w:t>T-GSM 810 BTS</w:t>
      </w:r>
      <w:r>
        <w:rPr>
          <w:lang w:eastAsia="zh-CN"/>
        </w:rPr>
        <w:tab/>
      </w:r>
      <w:r>
        <w:rPr>
          <w:rFonts w:eastAsia="Wingdings" w:cs="Wingdings" w:ascii="Wingdings" w:hAnsi="Wingdings"/>
          <w:lang w:eastAsia="zh-CN"/>
        </w:rPr>
        <w:t></w:t>
      </w:r>
      <w:r>
        <w:rPr>
          <w:lang w:eastAsia="zh-CN"/>
        </w:rPr>
        <w:tab/>
      </w:r>
      <w:r>
        <w:rPr>
          <w:lang w:eastAsia="zh-CN"/>
        </w:rPr>
        <w:t>Other system</w:t>
      </w:r>
      <w:r>
        <w:rPr>
          <w:lang w:eastAsia="zh-CN"/>
        </w:rPr>
        <w:t xml:space="preserve"> MS</w:t>
      </w:r>
    </w:p>
    <w:p>
      <w:pPr>
        <w:pStyle w:val="Normal"/>
        <w:rPr/>
      </w:pPr>
      <w:r>
        <w:rPr/>
        <w:t xml:space="preserve">For these scenarios, the objective is to evaluate the impact of </w:t>
      </w:r>
      <w:r>
        <w:rPr/>
        <w:t xml:space="preserve">other </w:t>
      </w:r>
      <w:r>
        <w:rPr/>
        <w:t>system</w:t>
      </w:r>
      <w:r>
        <w:rPr/>
        <w:t xml:space="preserve"> BTS</w:t>
      </w:r>
      <w:r>
        <w:rPr/>
        <w:t xml:space="preserve"> interference on </w:t>
      </w:r>
      <w:r>
        <w:rPr/>
        <w:t>T-GSM 810</w:t>
      </w:r>
      <w:r>
        <w:rPr/>
        <w:t xml:space="preserve"> MS</w:t>
      </w:r>
      <w:r>
        <w:rPr/>
        <w:t xml:space="preserve"> and T-GSM 810 BTS interference on other </w:t>
      </w:r>
      <w:r>
        <w:rPr/>
        <w:t>system</w:t>
      </w:r>
      <w:r>
        <w:rPr/>
        <w:t xml:space="preserve"> MS.</w:t>
      </w:r>
    </w:p>
    <w:p>
      <w:pPr>
        <w:pStyle w:val="Normal"/>
        <w:rPr/>
      </w:pPr>
      <w:r>
        <w:rPr>
          <w:lang w:eastAsia="zh-CN"/>
        </w:rPr>
        <w:t>For the uplink study, the interference scenarios considered are:</w:t>
      </w:r>
    </w:p>
    <w:p>
      <w:pPr>
        <w:pStyle w:val="B1"/>
        <w:rPr>
          <w:lang w:eastAsia="zh-CN"/>
        </w:rPr>
      </w:pPr>
      <w:r>
        <w:rPr>
          <w:lang w:eastAsia="zh-CN"/>
        </w:rPr>
        <w:t>-</w:t>
        <w:tab/>
      </w:r>
      <w:r>
        <w:rPr>
          <w:lang w:eastAsia="zh-CN"/>
        </w:rPr>
        <w:t>Other system</w:t>
      </w:r>
      <w:r>
        <w:rPr>
          <w:lang w:eastAsia="zh-CN"/>
        </w:rPr>
        <w:t xml:space="preserve"> MS</w:t>
        <w:tab/>
      </w:r>
      <w:r>
        <w:rPr>
          <w:rFonts w:eastAsia="Wingdings" w:cs="Wingdings" w:ascii="Wingdings" w:hAnsi="Wingdings"/>
          <w:lang w:eastAsia="zh-CN"/>
        </w:rPr>
        <w:t></w:t>
      </w:r>
      <w:r>
        <w:rPr>
          <w:lang w:eastAsia="zh-CN"/>
        </w:rPr>
        <w:tab/>
      </w:r>
      <w:r>
        <w:rPr>
          <w:lang w:eastAsia="zh-CN"/>
        </w:rPr>
        <w:t>T-GSM 810 BTS</w:t>
      </w:r>
    </w:p>
    <w:p>
      <w:pPr>
        <w:pStyle w:val="B1"/>
        <w:rPr/>
      </w:pPr>
      <w:r>
        <w:rPr>
          <w:lang w:eastAsia="zh-CN"/>
        </w:rPr>
        <w:t>-</w:t>
        <w:tab/>
      </w:r>
      <w:r>
        <w:rPr>
          <w:lang w:eastAsia="zh-CN"/>
        </w:rPr>
        <w:t>T-GSM 810 MS</w:t>
      </w:r>
      <w:r>
        <w:rPr>
          <w:lang w:eastAsia="zh-CN"/>
        </w:rPr>
        <w:tab/>
      </w:r>
      <w:r>
        <w:rPr>
          <w:rFonts w:eastAsia="Wingdings" w:cs="Wingdings" w:ascii="Wingdings" w:hAnsi="Wingdings"/>
          <w:lang w:eastAsia="zh-CN"/>
        </w:rPr>
        <w:t></w:t>
      </w:r>
      <w:r>
        <w:rPr>
          <w:lang w:eastAsia="zh-CN"/>
        </w:rPr>
        <w:tab/>
      </w:r>
      <w:r>
        <w:rPr>
          <w:lang w:eastAsia="zh-CN"/>
        </w:rPr>
        <w:t>Other system</w:t>
      </w:r>
      <w:r>
        <w:rPr>
          <w:lang w:eastAsia="zh-CN"/>
        </w:rPr>
        <w:t xml:space="preserve"> BTS</w:t>
      </w:r>
    </w:p>
    <w:p>
      <w:pPr>
        <w:pStyle w:val="Normal"/>
        <w:rPr/>
      </w:pPr>
      <w:r>
        <w:rPr/>
        <w:t xml:space="preserve">For these scenarios, the objective is to evaluate the impact of </w:t>
      </w:r>
      <w:r>
        <w:rPr>
          <w:lang w:eastAsia="zh-CN"/>
        </w:rPr>
        <w:t xml:space="preserve">other </w:t>
      </w:r>
      <w:r>
        <w:rPr>
          <w:lang w:eastAsia="zh-CN"/>
        </w:rPr>
        <w:t>system</w:t>
      </w:r>
      <w:r>
        <w:rPr>
          <w:lang w:eastAsia="zh-CN"/>
        </w:rPr>
        <w:t xml:space="preserve"> MS</w:t>
      </w:r>
      <w:r>
        <w:rPr/>
        <w:t xml:space="preserve"> interference on </w:t>
      </w:r>
      <w:r>
        <w:rPr>
          <w:lang w:eastAsia="zh-CN"/>
        </w:rPr>
        <w:t>T-GSM 810</w:t>
      </w:r>
      <w:r>
        <w:rPr/>
        <w:t xml:space="preserve"> </w:t>
      </w:r>
      <w:r>
        <w:rPr>
          <w:lang w:eastAsia="zh-CN"/>
        </w:rPr>
        <w:t xml:space="preserve">BTS and T-GSM 810 MS interference on other </w:t>
      </w:r>
      <w:r>
        <w:rPr>
          <w:lang w:eastAsia="zh-CN"/>
        </w:rPr>
        <w:t>system</w:t>
      </w:r>
      <w:r>
        <w:rPr>
          <w:lang w:eastAsia="zh-CN"/>
        </w:rPr>
        <w:t xml:space="preserve"> BTS</w:t>
      </w:r>
      <w:r>
        <w:rPr>
          <w:lang w:eastAsia="zh-CN"/>
        </w:rPr>
        <w:t>.</w:t>
      </w:r>
    </w:p>
    <w:p>
      <w:pPr>
        <w:pStyle w:val="Normal"/>
        <w:rPr/>
      </w:pPr>
      <w:r>
        <w:rPr>
          <w:lang w:eastAsia="zh-CN"/>
        </w:rPr>
        <w:t>Both TETRA and iDEN</w:t>
      </w:r>
      <w:r>
        <w:rPr>
          <w:vertAlign w:val="superscript"/>
          <w:lang w:eastAsia="zh-CN"/>
        </w:rPr>
        <w:t>TM</w:t>
      </w:r>
      <w:r>
        <w:rPr>
          <w:lang w:eastAsia="zh-CN"/>
        </w:rPr>
        <w:t xml:space="preserve"> are TDMA system</w:t>
      </w:r>
      <w:r>
        <w:rPr>
          <w:lang w:eastAsia="zh-CN"/>
        </w:rPr>
        <w:t>s</w:t>
      </w:r>
      <w:r>
        <w:rPr>
          <w:lang w:eastAsia="zh-CN"/>
        </w:rPr>
        <w:t>. T</w:t>
      </w:r>
      <w:r>
        <w:rPr>
          <w:lang w:eastAsia="zh-CN"/>
        </w:rPr>
        <w:t>he</w:t>
      </w:r>
      <w:r>
        <w:rPr>
          <w:lang w:eastAsia="zh-CN"/>
        </w:rPr>
        <w:t xml:space="preserve"> carrier </w:t>
      </w:r>
      <w:r>
        <w:rPr>
          <w:lang w:eastAsia="zh-CN"/>
        </w:rPr>
        <w:t>separation</w:t>
      </w:r>
      <w:r>
        <w:rPr>
          <w:lang w:eastAsia="zh-CN"/>
        </w:rPr>
        <w:t xml:space="preserve"> is both 25kHz. There are </w:t>
      </w:r>
      <w:r>
        <w:rPr>
          <w:lang w:eastAsia="zh-CN"/>
        </w:rPr>
        <w:t>similar</w:t>
      </w:r>
      <w:r>
        <w:rPr>
          <w:lang w:eastAsia="zh-CN"/>
        </w:rPr>
        <w:t xml:space="preserve"> wireless characteristics between the two systems. The following analysis focuses </w:t>
      </w:r>
      <w:r>
        <w:rPr>
          <w:lang w:eastAsia="zh-CN"/>
        </w:rPr>
        <w:t xml:space="preserve">on the </w:t>
      </w:r>
      <w:r>
        <w:rPr>
          <w:lang w:eastAsia="zh-CN"/>
        </w:rPr>
        <w:t>T-GSM 810, iDEN</w:t>
      </w:r>
      <w:r>
        <w:rPr>
          <w:vertAlign w:val="superscript"/>
          <w:lang w:eastAsia="zh-CN"/>
        </w:rPr>
        <w:t>TM</w:t>
      </w:r>
      <w:r>
        <w:rPr>
          <w:lang w:eastAsia="zh-CN"/>
        </w:rPr>
        <w:t>, TETRA and T-CDMA system</w:t>
      </w:r>
      <w:r>
        <w:rPr>
          <w:lang w:eastAsia="zh-CN"/>
        </w:rPr>
        <w:t>s</w:t>
      </w:r>
      <w:r>
        <w:rPr>
          <w:lang w:eastAsia="zh-CN"/>
        </w:rPr>
        <w:t xml:space="preserve">. It should also be noted </w:t>
      </w:r>
      <w:r>
        <w:rPr>
          <w:lang w:eastAsia="zh-CN"/>
        </w:rPr>
        <w:t xml:space="preserve">that </w:t>
      </w:r>
      <w:r>
        <w:rPr>
          <w:lang w:eastAsia="zh-CN"/>
        </w:rPr>
        <w:t xml:space="preserve">the coexistence between T-GSM 810 and TETRA is </w:t>
      </w:r>
      <w:r>
        <w:rPr>
          <w:lang w:eastAsia="zh-CN"/>
        </w:rPr>
        <w:t xml:space="preserve">considered to be </w:t>
      </w:r>
      <w:r>
        <w:rPr>
          <w:lang w:eastAsia="zh-CN"/>
        </w:rPr>
        <w:t>feasible according to the ECC study</w:t>
      </w:r>
      <w:r>
        <w:rPr>
          <w:lang w:eastAsia="zh-CN"/>
        </w:rPr>
        <w:t xml:space="preserve"> [1]</w:t>
      </w:r>
      <w:r>
        <w:rPr>
          <w:lang w:eastAsia="zh-CN"/>
        </w:rPr>
        <w:t>.</w:t>
      </w:r>
    </w:p>
    <w:p>
      <w:pPr>
        <w:pStyle w:val="Heading1"/>
        <w:spacing w:before="120" w:after="120"/>
        <w:ind w:left="1134" w:hanging="1134"/>
        <w:rPr/>
      </w:pPr>
      <w:bookmarkStart w:id="841" w:name="__RefHeading___Toc518036183"/>
      <w:bookmarkEnd w:id="841"/>
      <w:r>
        <w:rPr/>
        <w:t>ZA.2</w:t>
        <w:tab/>
        <w:t>Coexistence scenario study</w:t>
      </w:r>
    </w:p>
    <w:p>
      <w:pPr>
        <w:pStyle w:val="Normal"/>
        <w:rPr/>
      </w:pPr>
      <w:r>
        <w:rPr>
          <w:lang w:eastAsia="zh-CN"/>
        </w:rPr>
        <w:t>I</w:t>
      </w:r>
      <w:r>
        <w:rPr/>
        <w:t xml:space="preserve">n this study, </w:t>
      </w:r>
      <w:r>
        <w:rPr>
          <w:lang w:eastAsia="zh-CN"/>
        </w:rPr>
        <w:t>the coexistence scenarios are studied between T-GSM 810-iDEN</w:t>
      </w:r>
      <w:r>
        <w:rPr>
          <w:vertAlign w:val="superscript"/>
          <w:lang w:eastAsia="zh-CN"/>
        </w:rPr>
        <w:t>TM</w:t>
      </w:r>
      <w:r>
        <w:rPr>
          <w:lang w:eastAsia="zh-CN"/>
        </w:rPr>
        <w:t>, T-GSM 810-TETRA, T-GSM 810-T-CDMA system</w:t>
      </w:r>
      <w:r>
        <w:rPr>
          <w:lang w:eastAsia="zh-CN"/>
        </w:rPr>
        <w:t>s</w:t>
      </w:r>
      <w:r>
        <w:rPr>
          <w:lang w:eastAsia="zh-CN"/>
        </w:rPr>
        <w:t xml:space="preserve">. </w:t>
      </w:r>
      <w:r>
        <w:rPr>
          <w:lang w:eastAsia="zh-CN"/>
        </w:rPr>
        <w:t>The f</w:t>
      </w:r>
      <w:r>
        <w:rPr>
          <w:lang w:eastAsia="zh-CN"/>
        </w:rPr>
        <w:t xml:space="preserve">ollowing </w:t>
      </w:r>
      <w:r>
        <w:rPr>
          <w:lang w:eastAsia="zh-CN"/>
        </w:rPr>
        <w:t>subclauses</w:t>
      </w:r>
      <w:r>
        <w:rPr>
          <w:lang w:eastAsia="zh-CN"/>
        </w:rPr>
        <w:t xml:space="preserve"> provide coexistence analysis result</w:t>
      </w:r>
      <w:r>
        <w:rPr>
          <w:lang w:eastAsia="zh-CN"/>
        </w:rPr>
        <w:t>s</w:t>
      </w:r>
      <w:r>
        <w:rPr>
          <w:lang w:eastAsia="zh-CN"/>
        </w:rPr>
        <w:t xml:space="preserve"> </w:t>
      </w:r>
      <w:r>
        <w:rPr>
          <w:lang w:eastAsia="zh-CN"/>
        </w:rPr>
        <w:t>for</w:t>
      </w:r>
      <w:r>
        <w:rPr>
          <w:lang w:eastAsia="zh-CN"/>
        </w:rPr>
        <w:t xml:space="preserve"> these three scenarios.</w:t>
      </w:r>
    </w:p>
    <w:p>
      <w:pPr>
        <w:pStyle w:val="Heading2"/>
        <w:rPr>
          <w:lang w:val="en-US"/>
        </w:rPr>
      </w:pPr>
      <w:bookmarkStart w:id="842" w:name="__RefHeading___Toc518036184"/>
      <w:bookmarkEnd w:id="842"/>
      <w:r>
        <w:rPr>
          <w:lang w:val="en-US"/>
        </w:rPr>
        <w:t>ZA.2.1</w:t>
        <w:tab/>
        <w:t>T-GSM 810-iDEN</w:t>
      </w:r>
      <w:r>
        <w:rPr>
          <w:vertAlign w:val="superscript"/>
          <w:lang w:val="en-US" w:eastAsia="zh-CN"/>
        </w:rPr>
        <w:t>TM</w:t>
      </w:r>
    </w:p>
    <w:p>
      <w:pPr>
        <w:pStyle w:val="Heading3"/>
        <w:rPr>
          <w:lang w:val="en-US"/>
        </w:rPr>
      </w:pPr>
      <w:bookmarkStart w:id="843" w:name="__RefHeading___Toc518036185"/>
      <w:bookmarkEnd w:id="843"/>
      <w:r>
        <w:rPr>
          <w:lang w:val="en-US"/>
        </w:rPr>
        <w:t>ZA.2.1.1</w:t>
        <w:tab/>
        <w:t>Downlink study</w:t>
      </w:r>
    </w:p>
    <w:p>
      <w:pPr>
        <w:pStyle w:val="Normal"/>
        <w:rPr>
          <w:lang w:eastAsia="zh-CN"/>
        </w:rPr>
      </w:pPr>
      <w:r>
        <w:rPr>
          <w:lang w:eastAsia="zh-CN"/>
        </w:rPr>
        <w:t xml:space="preserve">In </w:t>
      </w:r>
      <w:r>
        <w:rPr>
          <w:lang w:eastAsia="zh-CN"/>
        </w:rPr>
        <w:t xml:space="preserve">Table ZA.1 </w:t>
      </w:r>
      <w:r>
        <w:rPr>
          <w:lang w:eastAsia="zh-CN"/>
        </w:rPr>
        <w:t>the calculation</w:t>
      </w:r>
      <w:r>
        <w:rPr>
          <w:lang w:eastAsia="zh-CN"/>
        </w:rPr>
        <w:t>s</w:t>
      </w:r>
      <w:r>
        <w:rPr>
          <w:lang w:eastAsia="zh-CN"/>
        </w:rPr>
        <w:t xml:space="preserve"> of the interference that occurs in different downlink scenarios are provided.</w:t>
      </w:r>
    </w:p>
    <w:p>
      <w:pPr>
        <w:pStyle w:val="TH"/>
        <w:rPr/>
      </w:pPr>
      <w:r>
        <w:rPr/>
        <w:t>Table ZA.1</w:t>
      </w:r>
    </w:p>
    <w:tbl>
      <w:tblPr>
        <w:tblW w:w="9752" w:type="dxa"/>
        <w:jc w:val="right"/>
        <w:tblInd w:w="0" w:type="dxa"/>
        <w:tblLayout w:type="fixed"/>
        <w:tblCellMar>
          <w:top w:w="0" w:type="dxa"/>
          <w:left w:w="108" w:type="dxa"/>
          <w:bottom w:w="0" w:type="dxa"/>
          <w:right w:w="108" w:type="dxa"/>
        </w:tblCellMar>
      </w:tblPr>
      <w:tblGrid>
        <w:gridCol w:w="1639"/>
        <w:gridCol w:w="1389"/>
        <w:gridCol w:w="908"/>
        <w:gridCol w:w="962"/>
        <w:gridCol w:w="1247"/>
        <w:gridCol w:w="1294"/>
        <w:gridCol w:w="1186"/>
        <w:gridCol w:w="1127"/>
      </w:tblGrid>
      <w:tr>
        <w:trPr/>
        <w:tc>
          <w:tcPr>
            <w:tcW w:w="163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Scenario</w:t>
            </w:r>
          </w:p>
        </w:tc>
        <w:tc>
          <w:tcPr>
            <w:tcW w:w="138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Power</w:t>
            </w:r>
          </w:p>
        </w:tc>
        <w:tc>
          <w:tcPr>
            <w:tcW w:w="908"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Tx </w:t>
            </w:r>
            <w:r>
              <w:rPr>
                <w:lang w:eastAsia="en-US"/>
              </w:rPr>
              <w:t>Losses</w:t>
            </w:r>
          </w:p>
        </w:tc>
        <w:tc>
          <w:tcPr>
            <w:tcW w:w="96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Ant Gain</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Interference Power</w:t>
            </w:r>
          </w:p>
        </w:tc>
        <w:tc>
          <w:tcPr>
            <w:tcW w:w="1294"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Affordable </w:t>
            </w:r>
            <w:r>
              <w:rPr>
                <w:lang w:eastAsia="zh-CN"/>
              </w:rPr>
              <w:t>I</w:t>
            </w:r>
            <w:r>
              <w:rPr>
                <w:lang w:eastAsia="zh-CN"/>
              </w:rPr>
              <w:t xml:space="preserve">nterference </w:t>
            </w:r>
            <w:r>
              <w:rPr>
                <w:lang w:eastAsia="en-US"/>
              </w:rPr>
              <w:t>for victim system</w:t>
            </w:r>
          </w:p>
        </w:tc>
        <w:tc>
          <w:tcPr>
            <w:tcW w:w="11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Required attenuation</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Required </w:t>
            </w:r>
            <w:r>
              <w:rPr>
                <w:lang w:eastAsia="zh-CN"/>
              </w:rPr>
              <w:t>separation</w:t>
            </w:r>
            <w:r>
              <w:rPr>
                <w:lang w:eastAsia="zh-CN"/>
              </w:rPr>
              <w:t xml:space="preserve"> distance</w:t>
            </w:r>
          </w:p>
        </w:tc>
      </w:tr>
      <w:tr>
        <w:trPr/>
        <w:tc>
          <w:tcPr>
            <w:tcW w:w="163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c>
          <w:tcPr>
            <w:tcW w:w="138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908"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29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112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r>
      <w:tr>
        <w:trPr>
          <w:cantSplit w:val="true"/>
        </w:trPr>
        <w:tc>
          <w:tcPr>
            <w:tcW w:w="1639"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GB"/>
              </w:rPr>
              <w:t>T-GSM 810 BTS interference on iDEN</w:t>
            </w:r>
            <w:r>
              <w:rPr>
                <w:vertAlign w:val="superscript"/>
                <w:lang w:val="en-GB" w:eastAsia="zh-CN"/>
              </w:rPr>
              <w:t>TM</w:t>
            </w:r>
            <w:r>
              <w:rPr>
                <w:lang w:val="en-GB"/>
              </w:rPr>
              <w:t xml:space="preserve"> MS</w:t>
            </w:r>
          </w:p>
        </w:tc>
        <w:tc>
          <w:tcPr>
            <w:tcW w:w="138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47.8</w:t>
            </w:r>
          </w:p>
        </w:tc>
        <w:tc>
          <w:tcPr>
            <w:tcW w:w="908"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49.8</w:t>
            </w:r>
          </w:p>
        </w:tc>
        <w:tc>
          <w:tcPr>
            <w:tcW w:w="1294" w:type="dxa"/>
            <w:tcBorders>
              <w:top w:val="single" w:sz="4" w:space="0" w:color="000000"/>
              <w:left w:val="single" w:sz="4" w:space="0" w:color="000000"/>
              <w:bottom w:val="single" w:sz="4" w:space="0" w:color="000000"/>
              <w:right w:val="single" w:sz="4" w:space="0" w:color="000000"/>
            </w:tcBorders>
          </w:tcPr>
          <w:p>
            <w:pPr>
              <w:pStyle w:val="TAC"/>
              <w:rPr/>
            </w:pPr>
            <w:r>
              <w:rPr>
                <w:lang w:val="en-GB" w:eastAsia="zh-CN"/>
              </w:rPr>
              <w:t>-40</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89.8</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100m</w:t>
            </w:r>
          </w:p>
        </w:tc>
      </w:tr>
      <w:tr>
        <w:trPr>
          <w:cantSplit w:val="true"/>
        </w:trPr>
        <w:tc>
          <w:tcPr>
            <w:tcW w:w="163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1389" w:type="dxa"/>
            <w:tcBorders>
              <w:top w:val="single" w:sz="4" w:space="0" w:color="000000"/>
              <w:left w:val="single" w:sz="4" w:space="0" w:color="000000"/>
              <w:bottom w:val="single" w:sz="4" w:space="0" w:color="000000"/>
              <w:right w:val="single" w:sz="4" w:space="0" w:color="000000"/>
            </w:tcBorders>
          </w:tcPr>
          <w:p>
            <w:pPr>
              <w:pStyle w:val="TAC"/>
              <w:rPr/>
            </w:pPr>
            <w:hyperlink r:id="rId258">
              <w:r>
                <w:rPr>
                  <w:rStyle w:val="InternetLink"/>
                  <w:lang w:val="en-GB" w:eastAsia="zh-CN"/>
                </w:rPr>
                <w:t>-9.2@400</w:t>
              </w:r>
            </w:hyperlink>
            <w:r>
              <w:rPr>
                <w:lang w:val="en-GB" w:eastAsia="zh-CN"/>
              </w:rPr>
              <w:t>kHz</w:t>
            </w:r>
          </w:p>
        </w:tc>
        <w:tc>
          <w:tcPr>
            <w:tcW w:w="908"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 dBm/25kHz</w:t>
            </w:r>
          </w:p>
        </w:tc>
        <w:tc>
          <w:tcPr>
            <w:tcW w:w="129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-122 dBm/25kHz</w:t>
            </w:r>
          </w:p>
        </w:tc>
        <w:tc>
          <w:tcPr>
            <w:tcW w:w="1186" w:type="dxa"/>
            <w:tcBorders>
              <w:top w:val="single" w:sz="4" w:space="0" w:color="000000"/>
              <w:left w:val="single" w:sz="4" w:space="0" w:color="000000"/>
              <w:bottom w:val="single" w:sz="4" w:space="0" w:color="000000"/>
              <w:right w:val="single" w:sz="4" w:space="0" w:color="000000"/>
            </w:tcBorders>
          </w:tcPr>
          <w:p>
            <w:pPr>
              <w:pStyle w:val="TAC"/>
              <w:rPr>
                <w:highlight w:val="yellow"/>
                <w:lang w:val="en-GB" w:eastAsia="zh-CN"/>
              </w:rPr>
            </w:pPr>
            <w:r>
              <w:rPr>
                <w:lang w:val="en-GB" w:eastAsia="zh-CN"/>
              </w:rPr>
              <w:t>114</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0.54km</w:t>
            </w:r>
          </w:p>
        </w:tc>
      </w:tr>
      <w:tr>
        <w:trPr/>
        <w:tc>
          <w:tcPr>
            <w:tcW w:w="1639"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iDEN</w:t>
            </w:r>
            <w:r>
              <w:rPr>
                <w:vertAlign w:val="superscript"/>
                <w:lang w:val="en-GB" w:eastAsia="zh-CN"/>
              </w:rPr>
              <w:t>TM</w:t>
            </w:r>
            <w:r>
              <w:rPr>
                <w:lang w:val="en-GB"/>
              </w:rPr>
              <w:t xml:space="preserve"> BTS interference on T-GSM 810</w:t>
            </w:r>
            <w:r>
              <w:rPr>
                <w:lang w:val="en-GB" w:eastAsia="zh-CN"/>
              </w:rPr>
              <w:t xml:space="preserve"> </w:t>
            </w:r>
            <w:r>
              <w:rPr>
                <w:lang w:val="en-GB"/>
              </w:rPr>
              <w:t>MS</w:t>
            </w:r>
          </w:p>
        </w:tc>
        <w:tc>
          <w:tcPr>
            <w:tcW w:w="138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-19@200-500kHz</w:t>
            </w:r>
          </w:p>
        </w:tc>
        <w:tc>
          <w:tcPr>
            <w:tcW w:w="908"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-17</w:t>
            </w:r>
          </w:p>
        </w:tc>
        <w:tc>
          <w:tcPr>
            <w:tcW w:w="129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-113 dBm/200kHz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96</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150m</w:t>
            </w:r>
          </w:p>
        </w:tc>
      </w:tr>
    </w:tbl>
    <w:p>
      <w:pPr>
        <w:pStyle w:val="FP"/>
        <w:rPr/>
      </w:pPr>
      <w:r>
        <w:rPr/>
      </w:r>
    </w:p>
    <w:p>
      <w:pPr>
        <w:pStyle w:val="NO"/>
        <w:rPr/>
      </w:pPr>
      <w:r>
        <w:rPr>
          <w:lang w:eastAsia="zh-CN"/>
        </w:rPr>
        <w:t>NOTE 1:</w:t>
        <w:tab/>
      </w:r>
      <w:r>
        <w:rPr>
          <w:lang w:eastAsia="zh-CN"/>
        </w:rPr>
        <w:t>Required separation distance is calculated by O</w:t>
      </w:r>
      <w:r>
        <w:rPr>
          <w:lang w:eastAsia="zh-CN"/>
        </w:rPr>
        <w:t>k</w:t>
      </w:r>
      <w:r>
        <w:rPr>
          <w:lang w:eastAsia="zh-CN"/>
        </w:rPr>
        <w:t>umura/Hata urban p</w:t>
      </w:r>
      <w:r>
        <w:rPr/>
        <w:t>ropagation loss model</w:t>
      </w:r>
      <w:r>
        <w:rPr>
          <w:lang w:eastAsia="zh-CN"/>
        </w:rPr>
        <w:t>.</w:t>
      </w:r>
    </w:p>
    <w:p>
      <w:pPr>
        <w:pStyle w:val="NO"/>
        <w:rPr/>
      </w:pPr>
      <w:r>
        <w:rPr>
          <w:lang w:eastAsia="zh-CN"/>
        </w:rPr>
        <w:t>NOTE 2:</w:t>
        <w:tab/>
      </w:r>
      <w:r>
        <w:rPr>
          <w:lang w:eastAsia="zh-CN"/>
        </w:rPr>
        <w:t>T-GSM 810 BTS power = 60W, feed loss is 8dB</w:t>
      </w:r>
      <w:r>
        <w:rPr>
          <w:lang w:eastAsia="zh-CN"/>
        </w:rPr>
        <w:t>.</w:t>
      </w:r>
    </w:p>
    <w:p>
      <w:pPr>
        <w:pStyle w:val="NO"/>
        <w:rPr/>
      </w:pPr>
      <w:r>
        <w:rPr>
          <w:lang w:eastAsia="zh-CN"/>
        </w:rPr>
        <w:t>NOTE 3:</w:t>
        <w:tab/>
      </w:r>
      <w:r>
        <w:rPr>
          <w:lang w:eastAsia="zh-CN"/>
        </w:rPr>
        <w:t>The significant source of iDEN</w:t>
      </w:r>
      <w:r>
        <w:rPr>
          <w:vertAlign w:val="superscript"/>
          <w:lang w:eastAsia="zh-CN"/>
        </w:rPr>
        <w:t>TM</w:t>
      </w:r>
      <w:r>
        <w:rPr>
          <w:lang w:eastAsia="zh-CN"/>
        </w:rPr>
        <w:t xml:space="preserve"> BTS interference on T-GSM 810</w:t>
      </w:r>
      <w:r>
        <w:rPr>
          <w:lang w:eastAsia="zh-CN"/>
        </w:rPr>
        <w:t xml:space="preserve"> </w:t>
      </w:r>
      <w:r>
        <w:rPr>
          <w:lang w:eastAsia="zh-CN"/>
        </w:rPr>
        <w:t xml:space="preserve">MS is spectrum emission due to </w:t>
      </w:r>
      <w:r>
        <w:rPr>
          <w:lang w:eastAsia="zh-CN"/>
        </w:rPr>
        <w:t>modulation</w:t>
      </w:r>
      <w:r>
        <w:rPr>
          <w:lang w:eastAsia="zh-CN"/>
        </w:rPr>
        <w:t xml:space="preserve"> of iDEN</w:t>
      </w:r>
      <w:r>
        <w:rPr>
          <w:vertAlign w:val="superscript"/>
          <w:lang w:eastAsia="zh-CN"/>
        </w:rPr>
        <w:t>TM</w:t>
      </w:r>
      <w:r>
        <w:rPr>
          <w:lang w:eastAsia="zh-CN"/>
        </w:rPr>
        <w:t xml:space="preserve"> BTS.</w:t>
      </w:r>
    </w:p>
    <w:p>
      <w:pPr>
        <w:pStyle w:val="Normal"/>
        <w:rPr/>
      </w:pPr>
      <w:r>
        <w:rPr>
          <w:lang w:eastAsia="zh-CN"/>
        </w:rPr>
        <w:t xml:space="preserve">For the </w:t>
      </w:r>
      <w:r>
        <w:rPr>
          <w:lang w:eastAsia="zh-CN"/>
        </w:rPr>
        <w:t>scenario</w:t>
      </w:r>
      <w:r>
        <w:rPr>
          <w:lang w:eastAsia="zh-CN"/>
        </w:rPr>
        <w:t xml:space="preserve"> T-GSM 810 BTS </w:t>
      </w:r>
      <w:r>
        <w:rPr>
          <w:lang w:eastAsia="zh-CN"/>
        </w:rPr>
        <w:t>interfere</w:t>
      </w:r>
      <w:r>
        <w:rPr>
          <w:lang w:eastAsia="zh-CN"/>
        </w:rPr>
        <w:t xml:space="preserve"> iDEN</w:t>
      </w:r>
      <w:r>
        <w:rPr>
          <w:vertAlign w:val="superscript"/>
          <w:lang w:eastAsia="zh-CN"/>
        </w:rPr>
        <w:t>TM</w:t>
      </w:r>
      <w:r>
        <w:rPr>
          <w:lang w:eastAsia="zh-CN"/>
        </w:rPr>
        <w:t xml:space="preserve"> MS, when </w:t>
      </w:r>
      <w:r>
        <w:rPr>
          <w:lang w:eastAsia="zh-CN"/>
        </w:rPr>
        <w:t xml:space="preserve">an </w:t>
      </w:r>
      <w:r>
        <w:rPr>
          <w:lang w:eastAsia="zh-CN"/>
        </w:rPr>
        <w:t>iDEN</w:t>
      </w:r>
      <w:r>
        <w:rPr>
          <w:vertAlign w:val="superscript"/>
          <w:lang w:eastAsia="zh-CN"/>
        </w:rPr>
        <w:t>TM</w:t>
      </w:r>
      <w:r>
        <w:rPr>
          <w:lang w:eastAsia="zh-CN"/>
        </w:rPr>
        <w:t xml:space="preserve"> MS is at a distance of 0.54km, the noise of </w:t>
      </w:r>
      <w:r>
        <w:rPr>
          <w:lang w:eastAsia="zh-CN"/>
        </w:rPr>
        <w:t xml:space="preserve">the </w:t>
      </w:r>
      <w:r>
        <w:rPr>
          <w:lang w:eastAsia="zh-CN"/>
        </w:rPr>
        <w:t>iDEN</w:t>
      </w:r>
      <w:r>
        <w:rPr>
          <w:vertAlign w:val="superscript"/>
          <w:lang w:eastAsia="zh-CN"/>
        </w:rPr>
        <w:t>TM</w:t>
      </w:r>
      <w:r>
        <w:rPr>
          <w:lang w:eastAsia="zh-CN"/>
        </w:rPr>
        <w:t xml:space="preserve"> MS increase</w:t>
      </w:r>
      <w:r>
        <w:rPr>
          <w:lang w:eastAsia="zh-CN"/>
        </w:rPr>
        <w:t>s by</w:t>
      </w:r>
      <w:r>
        <w:rPr>
          <w:lang w:eastAsia="zh-CN"/>
        </w:rPr>
        <w:t xml:space="preserve"> 3dB. The signal to interference ratio is still 19dB. When </w:t>
      </w:r>
      <w:r>
        <w:rPr>
          <w:lang w:eastAsia="zh-CN"/>
        </w:rPr>
        <w:t xml:space="preserve">an </w:t>
      </w:r>
      <w:r>
        <w:rPr>
          <w:lang w:eastAsia="zh-CN"/>
        </w:rPr>
        <w:t>iDEN</w:t>
      </w:r>
      <w:r>
        <w:rPr>
          <w:vertAlign w:val="superscript"/>
          <w:lang w:eastAsia="zh-CN"/>
        </w:rPr>
        <w:t>TM</w:t>
      </w:r>
      <w:r>
        <w:rPr>
          <w:lang w:eastAsia="zh-CN"/>
        </w:rPr>
        <w:t xml:space="preserve"> MS is at a distance of less than 0.54km from </w:t>
      </w:r>
      <w:r>
        <w:rPr>
          <w:lang w:eastAsia="zh-CN"/>
        </w:rPr>
        <w:t xml:space="preserve">a </w:t>
      </w:r>
      <w:r>
        <w:rPr>
          <w:lang w:eastAsia="zh-CN"/>
        </w:rPr>
        <w:t>T-GSM 810 B</w:t>
      </w:r>
      <w:r>
        <w:rPr>
          <w:lang w:eastAsia="zh-CN"/>
        </w:rPr>
        <w:t>T</w:t>
      </w:r>
      <w:r>
        <w:rPr>
          <w:lang w:eastAsia="zh-CN"/>
        </w:rPr>
        <w:t xml:space="preserve">S, the actual interference exist in some area, but will not be significant, which can be eliminated by site engineering solution in </w:t>
      </w:r>
      <w:r>
        <w:rPr>
          <w:lang w:eastAsia="zh-CN"/>
        </w:rPr>
        <w:t xml:space="preserve">a </w:t>
      </w:r>
      <w:r>
        <w:rPr>
          <w:lang w:eastAsia="zh-CN"/>
        </w:rPr>
        <w:t>real network deployment.</w:t>
      </w:r>
    </w:p>
    <w:p>
      <w:pPr>
        <w:pStyle w:val="Normal"/>
        <w:rPr/>
      </w:pPr>
      <w:r>
        <w:rPr>
          <w:lang w:eastAsia="zh-CN"/>
        </w:rPr>
        <w:t xml:space="preserve">For the </w:t>
      </w:r>
      <w:r>
        <w:rPr>
          <w:lang w:eastAsia="zh-CN"/>
        </w:rPr>
        <w:t>scenario</w:t>
      </w:r>
      <w:r>
        <w:rPr>
          <w:lang w:eastAsia="zh-CN"/>
        </w:rPr>
        <w:t xml:space="preserve"> iDEN</w:t>
      </w:r>
      <w:r>
        <w:rPr>
          <w:vertAlign w:val="superscript"/>
          <w:lang w:eastAsia="zh-CN"/>
        </w:rPr>
        <w:t>TM</w:t>
      </w:r>
      <w:r>
        <w:rPr>
          <w:lang w:eastAsia="zh-CN"/>
        </w:rPr>
        <w:t xml:space="preserve"> BTS </w:t>
      </w:r>
      <w:r>
        <w:rPr>
          <w:lang w:eastAsia="zh-CN"/>
        </w:rPr>
        <w:t>interfere</w:t>
      </w:r>
      <w:r>
        <w:rPr>
          <w:lang w:eastAsia="zh-CN"/>
        </w:rPr>
        <w:t xml:space="preserve"> T-GSM 810 MS, </w:t>
      </w:r>
      <w:r>
        <w:rPr>
          <w:lang w:eastAsia="zh-CN"/>
        </w:rPr>
        <w:t xml:space="preserve">when a </w:t>
      </w:r>
      <w:r>
        <w:rPr>
          <w:lang w:eastAsia="zh-CN"/>
        </w:rPr>
        <w:t xml:space="preserve">T-GSM 810 MS is at a distance of 150m from </w:t>
      </w:r>
      <w:r>
        <w:rPr>
          <w:lang w:eastAsia="zh-CN"/>
        </w:rPr>
        <w:t xml:space="preserve">an </w:t>
      </w:r>
      <w:r>
        <w:rPr>
          <w:lang w:eastAsia="zh-CN"/>
        </w:rPr>
        <w:t>iDEN</w:t>
      </w:r>
      <w:r>
        <w:rPr>
          <w:vertAlign w:val="superscript"/>
          <w:lang w:eastAsia="zh-CN"/>
        </w:rPr>
        <w:t>TM</w:t>
      </w:r>
      <w:r>
        <w:rPr>
          <w:lang w:eastAsia="zh-CN"/>
        </w:rPr>
        <w:t xml:space="preserve"> B</w:t>
      </w:r>
      <w:r>
        <w:rPr>
          <w:lang w:eastAsia="zh-CN"/>
        </w:rPr>
        <w:t>T</w:t>
      </w:r>
      <w:r>
        <w:rPr>
          <w:lang w:eastAsia="zh-CN"/>
        </w:rPr>
        <w:t xml:space="preserve">S, the noise of </w:t>
      </w:r>
      <w:r>
        <w:rPr>
          <w:lang w:eastAsia="zh-CN"/>
        </w:rPr>
        <w:t xml:space="preserve">the </w:t>
      </w:r>
      <w:r>
        <w:rPr>
          <w:lang w:eastAsia="zh-CN"/>
        </w:rPr>
        <w:t>T-GSM 810 MS increase</w:t>
      </w:r>
      <w:r>
        <w:rPr>
          <w:lang w:eastAsia="zh-CN"/>
        </w:rPr>
        <w:t>s by</w:t>
      </w:r>
      <w:r>
        <w:rPr>
          <w:lang w:eastAsia="zh-CN"/>
        </w:rPr>
        <w:t xml:space="preserve"> 3dB. The signal to interference ratio is still 20dB. When </w:t>
      </w:r>
      <w:r>
        <w:rPr>
          <w:lang w:eastAsia="zh-CN"/>
        </w:rPr>
        <w:t xml:space="preserve">a </w:t>
      </w:r>
      <w:r>
        <w:rPr>
          <w:lang w:eastAsia="zh-CN"/>
        </w:rPr>
        <w:t xml:space="preserve">T-GSM 810 MS is at a distance of less than 150m from </w:t>
      </w:r>
      <w:r>
        <w:rPr>
          <w:lang w:eastAsia="zh-CN"/>
        </w:rPr>
        <w:t xml:space="preserve">an </w:t>
      </w:r>
      <w:r>
        <w:rPr>
          <w:lang w:eastAsia="zh-CN"/>
        </w:rPr>
        <w:t>iDEN</w:t>
      </w:r>
      <w:r>
        <w:rPr>
          <w:vertAlign w:val="superscript"/>
          <w:lang w:eastAsia="zh-CN"/>
        </w:rPr>
        <w:t>TM</w:t>
      </w:r>
      <w:r>
        <w:rPr>
          <w:lang w:eastAsia="zh-CN"/>
        </w:rPr>
        <w:t xml:space="preserve"> B</w:t>
      </w:r>
      <w:r>
        <w:rPr>
          <w:lang w:eastAsia="zh-CN"/>
        </w:rPr>
        <w:t>T</w:t>
      </w:r>
      <w:r>
        <w:rPr>
          <w:lang w:eastAsia="zh-CN"/>
        </w:rPr>
        <w:t>S, power control is used, the actual interference will not be significant.</w:t>
      </w:r>
    </w:p>
    <w:p>
      <w:pPr>
        <w:pStyle w:val="Heading3"/>
        <w:rPr>
          <w:lang w:val="en-US"/>
        </w:rPr>
      </w:pPr>
      <w:bookmarkStart w:id="844" w:name="__RefHeading___Toc518036186"/>
      <w:bookmarkEnd w:id="844"/>
      <w:r>
        <w:rPr>
          <w:lang w:val="en-US"/>
        </w:rPr>
        <w:t>ZA.2.1.2</w:t>
        <w:tab/>
        <w:t>Uplink study</w:t>
      </w:r>
    </w:p>
    <w:p>
      <w:pPr>
        <w:pStyle w:val="Normal"/>
        <w:rPr>
          <w:lang w:eastAsia="zh-CN"/>
        </w:rPr>
      </w:pPr>
      <w:r>
        <w:rPr>
          <w:lang w:eastAsia="zh-CN"/>
        </w:rPr>
        <w:t xml:space="preserve">In </w:t>
      </w:r>
      <w:r>
        <w:rPr>
          <w:lang w:eastAsia="zh-CN"/>
        </w:rPr>
        <w:t>T</w:t>
      </w:r>
      <w:r>
        <w:rPr>
          <w:lang w:eastAsia="zh-CN"/>
        </w:rPr>
        <w:t xml:space="preserve">able </w:t>
      </w:r>
      <w:r>
        <w:rPr>
          <w:lang w:eastAsia="zh-CN"/>
        </w:rPr>
        <w:t xml:space="preserve">ZA.2 </w:t>
      </w:r>
      <w:r>
        <w:rPr>
          <w:lang w:eastAsia="zh-CN"/>
        </w:rPr>
        <w:t>the calculation</w:t>
      </w:r>
      <w:r>
        <w:rPr>
          <w:lang w:eastAsia="zh-CN"/>
        </w:rPr>
        <w:t>s</w:t>
      </w:r>
      <w:r>
        <w:rPr>
          <w:lang w:eastAsia="zh-CN"/>
        </w:rPr>
        <w:t xml:space="preserve"> of the interference that occurs in different uplink scenarios are provided.</w:t>
      </w:r>
    </w:p>
    <w:p>
      <w:pPr>
        <w:pStyle w:val="TH"/>
        <w:rPr/>
      </w:pPr>
      <w:r>
        <w:rPr/>
        <w:t>Table ZA.2</w:t>
      </w:r>
    </w:p>
    <w:tbl>
      <w:tblPr>
        <w:tblW w:w="9752" w:type="dxa"/>
        <w:jc w:val="right"/>
        <w:tblInd w:w="0" w:type="dxa"/>
        <w:tblLayout w:type="fixed"/>
        <w:tblCellMar>
          <w:top w:w="0" w:type="dxa"/>
          <w:left w:w="108" w:type="dxa"/>
          <w:bottom w:w="0" w:type="dxa"/>
          <w:right w:w="108" w:type="dxa"/>
        </w:tblCellMar>
      </w:tblPr>
      <w:tblGrid>
        <w:gridCol w:w="1639"/>
        <w:gridCol w:w="1389"/>
        <w:gridCol w:w="908"/>
        <w:gridCol w:w="962"/>
        <w:gridCol w:w="1247"/>
        <w:gridCol w:w="1294"/>
        <w:gridCol w:w="1186"/>
        <w:gridCol w:w="1127"/>
      </w:tblGrid>
      <w:tr>
        <w:trPr/>
        <w:tc>
          <w:tcPr>
            <w:tcW w:w="1639"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Scenario</w:t>
            </w:r>
          </w:p>
        </w:tc>
        <w:tc>
          <w:tcPr>
            <w:tcW w:w="138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Power</w:t>
            </w:r>
          </w:p>
        </w:tc>
        <w:tc>
          <w:tcPr>
            <w:tcW w:w="90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Rx losses</w:t>
            </w:r>
          </w:p>
        </w:tc>
        <w:tc>
          <w:tcPr>
            <w:tcW w:w="962"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R</w:t>
            </w:r>
            <w:r>
              <w:rPr>
                <w:lang w:eastAsia="en-US"/>
              </w:rPr>
              <w:t>x Ant Gain</w:t>
            </w:r>
          </w:p>
        </w:tc>
        <w:tc>
          <w:tcPr>
            <w:tcW w:w="124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Interference Power</w:t>
            </w:r>
          </w:p>
        </w:tc>
        <w:tc>
          <w:tcPr>
            <w:tcW w:w="1294"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Affordable </w:t>
            </w:r>
            <w:r>
              <w:rPr>
                <w:lang w:eastAsia="zh-CN"/>
              </w:rPr>
              <w:t>I</w:t>
            </w:r>
            <w:r>
              <w:rPr>
                <w:lang w:eastAsia="zh-CN"/>
              </w:rPr>
              <w:t xml:space="preserve">nterference </w:t>
            </w:r>
            <w:r>
              <w:rPr>
                <w:lang w:eastAsia="en-US"/>
              </w:rPr>
              <w:t>for victim system</w:t>
            </w:r>
          </w:p>
        </w:tc>
        <w:tc>
          <w:tcPr>
            <w:tcW w:w="11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Required attenuation</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Required </w:t>
            </w:r>
            <w:r>
              <w:rPr>
                <w:lang w:eastAsia="zh-CN"/>
              </w:rPr>
              <w:t>separation</w:t>
            </w:r>
            <w:r>
              <w:rPr>
                <w:lang w:eastAsia="zh-CN"/>
              </w:rPr>
              <w:t xml:space="preserve"> distance</w:t>
            </w:r>
          </w:p>
        </w:tc>
      </w:tr>
      <w:tr>
        <w:trPr/>
        <w:tc>
          <w:tcPr>
            <w:tcW w:w="1639"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138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908"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dBi</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29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112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r>
      <w:tr>
        <w:trPr/>
        <w:tc>
          <w:tcPr>
            <w:tcW w:w="1639" w:type="dxa"/>
            <w:tcBorders>
              <w:top w:val="single" w:sz="4" w:space="0" w:color="000000"/>
              <w:left w:val="single" w:sz="4" w:space="0" w:color="000000"/>
              <w:bottom w:val="single" w:sz="4" w:space="0" w:color="000000"/>
              <w:right w:val="single" w:sz="4" w:space="0" w:color="000000"/>
            </w:tcBorders>
          </w:tcPr>
          <w:p>
            <w:pPr>
              <w:pStyle w:val="TAL"/>
              <w:rPr/>
            </w:pPr>
            <w:r>
              <w:rPr>
                <w:szCs w:val="22"/>
                <w:lang w:val="en-GB"/>
              </w:rPr>
              <w:t>T-GSM 810 MS interference on iDEN</w:t>
            </w:r>
            <w:r>
              <w:rPr>
                <w:vertAlign w:val="superscript"/>
                <w:lang w:val="en-GB" w:eastAsia="zh-CN"/>
              </w:rPr>
              <w:t>TM</w:t>
            </w:r>
            <w:r>
              <w:rPr>
                <w:szCs w:val="22"/>
                <w:lang w:val="en-GB"/>
              </w:rPr>
              <w:t xml:space="preserve"> BTS</w:t>
            </w:r>
          </w:p>
        </w:tc>
        <w:tc>
          <w:tcPr>
            <w:tcW w:w="138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-28</w:t>
            </w:r>
          </w:p>
          <w:p>
            <w:pPr>
              <w:pStyle w:val="TAC"/>
              <w:rPr>
                <w:lang w:val="en-GB" w:eastAsia="zh-CN"/>
              </w:rPr>
            </w:pPr>
            <w:r>
              <w:rPr>
                <w:lang w:val="en-GB" w:eastAsia="zh-CN"/>
              </w:rPr>
              <w:t>dBm/25kHz</w:t>
            </w:r>
          </w:p>
          <w:p>
            <w:pPr>
              <w:pStyle w:val="TAC"/>
              <w:rPr>
                <w:lang w:val="en-GB" w:eastAsia="zh-CN"/>
              </w:rPr>
            </w:pPr>
            <w:r>
              <w:rPr>
                <w:lang w:val="en-GB" w:eastAsia="zh-CN"/>
              </w:rPr>
              <w:t>@400kHz</w:t>
            </w:r>
          </w:p>
        </w:tc>
        <w:tc>
          <w:tcPr>
            <w:tcW w:w="908"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-22 dBm/25kHz</w:t>
            </w:r>
          </w:p>
        </w:tc>
        <w:tc>
          <w:tcPr>
            <w:tcW w:w="129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-125 dBm/25kHz</w:t>
            </w:r>
          </w:p>
        </w:tc>
        <w:tc>
          <w:tcPr>
            <w:tcW w:w="1186" w:type="dxa"/>
            <w:tcBorders>
              <w:top w:val="single" w:sz="4" w:space="0" w:color="000000"/>
              <w:left w:val="single" w:sz="4" w:space="0" w:color="000000"/>
              <w:bottom w:val="single" w:sz="4" w:space="0" w:color="000000"/>
              <w:right w:val="single" w:sz="4" w:space="0" w:color="000000"/>
            </w:tcBorders>
          </w:tcPr>
          <w:p>
            <w:pPr>
              <w:pStyle w:val="TAC"/>
              <w:rPr>
                <w:highlight w:val="yellow"/>
                <w:lang w:val="en-GB" w:eastAsia="zh-CN"/>
              </w:rPr>
            </w:pPr>
            <w:r>
              <w:rPr>
                <w:lang w:val="en-GB" w:eastAsia="zh-CN"/>
              </w:rPr>
              <w:t>103</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0.26km</w:t>
            </w:r>
          </w:p>
        </w:tc>
      </w:tr>
      <w:tr>
        <w:trPr>
          <w:cantSplit w:val="true"/>
        </w:trPr>
        <w:tc>
          <w:tcPr>
            <w:tcW w:w="1639" w:type="dxa"/>
            <w:vMerge w:val="restart"/>
            <w:tcBorders>
              <w:top w:val="single" w:sz="4" w:space="0" w:color="000000"/>
              <w:left w:val="single" w:sz="4" w:space="0" w:color="000000"/>
              <w:bottom w:val="single" w:sz="4" w:space="0" w:color="000000"/>
              <w:right w:val="single" w:sz="4" w:space="0" w:color="000000"/>
            </w:tcBorders>
          </w:tcPr>
          <w:p>
            <w:pPr>
              <w:pStyle w:val="TAL"/>
              <w:rPr>
                <w:szCs w:val="22"/>
                <w:lang w:val="en-GB" w:eastAsia="zh-CN"/>
              </w:rPr>
            </w:pPr>
            <w:r>
              <w:rPr>
                <w:szCs w:val="22"/>
                <w:lang w:val="en-GB"/>
              </w:rPr>
              <w:t>iDEN</w:t>
            </w:r>
            <w:r>
              <w:rPr>
                <w:vertAlign w:val="superscript"/>
                <w:lang w:val="en-GB" w:eastAsia="zh-CN"/>
              </w:rPr>
              <w:t>TM</w:t>
            </w:r>
            <w:r>
              <w:rPr>
                <w:szCs w:val="22"/>
                <w:lang w:val="en-GB"/>
              </w:rPr>
              <w:t xml:space="preserve"> MS interference on T-GSM 810</w:t>
            </w:r>
            <w:r>
              <w:rPr>
                <w:szCs w:val="22"/>
                <w:lang w:val="en-GB" w:eastAsia="zh-CN"/>
              </w:rPr>
              <w:t xml:space="preserve"> </w:t>
            </w:r>
            <w:r>
              <w:rPr>
                <w:szCs w:val="22"/>
                <w:lang w:val="en-GB"/>
              </w:rPr>
              <w:t>BTS</w:t>
            </w:r>
          </w:p>
        </w:tc>
        <w:tc>
          <w:tcPr>
            <w:tcW w:w="138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-43</w:t>
            </w:r>
          </w:p>
        </w:tc>
        <w:tc>
          <w:tcPr>
            <w:tcW w:w="908"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-37</w:t>
            </w:r>
          </w:p>
        </w:tc>
        <w:tc>
          <w:tcPr>
            <w:tcW w:w="129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-116 dBm/200kHz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79</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50m</w:t>
            </w:r>
          </w:p>
        </w:tc>
      </w:tr>
      <w:tr>
        <w:trPr>
          <w:cantSplit w:val="true"/>
        </w:trPr>
        <w:tc>
          <w:tcPr>
            <w:tcW w:w="163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sz w:val="22"/>
                <w:szCs w:val="22"/>
                <w:lang w:val="en-GB" w:eastAsia="zh-CN"/>
              </w:rPr>
            </w:pPr>
            <w:r>
              <w:rPr>
                <w:sz w:val="22"/>
                <w:szCs w:val="22"/>
                <w:lang w:val="en-GB" w:eastAsia="zh-CN"/>
              </w:rPr>
            </w:r>
          </w:p>
        </w:tc>
        <w:tc>
          <w:tcPr>
            <w:tcW w:w="138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35</w:t>
            </w:r>
          </w:p>
        </w:tc>
        <w:tc>
          <w:tcPr>
            <w:tcW w:w="908"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24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41</w:t>
            </w:r>
          </w:p>
        </w:tc>
        <w:tc>
          <w:tcPr>
            <w:tcW w:w="129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-54 @400kHz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95</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0.15km</w:t>
            </w:r>
          </w:p>
        </w:tc>
      </w:tr>
    </w:tbl>
    <w:p>
      <w:pPr>
        <w:pStyle w:val="Normal"/>
        <w:widowControl w:val="false"/>
        <w:spacing w:lineRule="auto" w:line="360" w:before="0" w:after="0"/>
        <w:rPr/>
      </w:pPr>
      <w:r>
        <w:rPr/>
      </w:r>
    </w:p>
    <w:p>
      <w:pPr>
        <w:pStyle w:val="NO"/>
        <w:rPr/>
      </w:pPr>
      <w:r>
        <w:rPr>
          <w:lang w:eastAsia="zh-CN"/>
        </w:rPr>
        <w:t>NOTE 1:</w:t>
        <w:tab/>
      </w:r>
      <w:r>
        <w:rPr>
          <w:lang w:eastAsia="zh-CN"/>
        </w:rPr>
        <w:t>Required separation distance is calculated by O</w:t>
      </w:r>
      <w:r>
        <w:rPr>
          <w:lang w:eastAsia="zh-CN"/>
        </w:rPr>
        <w:t>k</w:t>
      </w:r>
      <w:r>
        <w:rPr>
          <w:lang w:eastAsia="zh-CN"/>
        </w:rPr>
        <w:t>umura/Hata urban p</w:t>
      </w:r>
      <w:r>
        <w:rPr/>
        <w:t>ropagation loss model</w:t>
      </w:r>
      <w:r>
        <w:rPr/>
        <w:t>.</w:t>
      </w:r>
    </w:p>
    <w:p>
      <w:pPr>
        <w:pStyle w:val="NO"/>
        <w:rPr/>
      </w:pPr>
      <w:r>
        <w:rPr>
          <w:lang w:eastAsia="zh-CN"/>
        </w:rPr>
        <w:t>NOTE 2:</w:t>
        <w:tab/>
      </w:r>
      <w:r>
        <w:rPr>
          <w:lang w:eastAsia="zh-CN"/>
        </w:rPr>
        <w:t>The power -43dBm of iDEN</w:t>
      </w:r>
      <w:r>
        <w:rPr>
          <w:vertAlign w:val="superscript"/>
          <w:lang w:eastAsia="zh-CN"/>
        </w:rPr>
        <w:t>TM</w:t>
      </w:r>
      <w:r>
        <w:rPr>
          <w:lang w:eastAsia="zh-CN"/>
        </w:rPr>
        <w:t xml:space="preserve"> MS is spurious </w:t>
      </w:r>
      <w:r>
        <w:rPr>
          <w:lang w:eastAsia="zh-CN"/>
        </w:rPr>
        <w:t>emission</w:t>
      </w:r>
      <w:r>
        <w:rPr>
          <w:lang w:eastAsia="zh-CN"/>
        </w:rPr>
        <w:t xml:space="preserve"> power.</w:t>
      </w:r>
    </w:p>
    <w:p>
      <w:pPr>
        <w:pStyle w:val="Normal"/>
        <w:rPr/>
      </w:pPr>
      <w:r>
        <w:rPr>
          <w:lang w:eastAsia="zh-CN"/>
        </w:rPr>
        <w:t>For the scenario T-GSM 810 MS interfere iDEN</w:t>
      </w:r>
      <w:r>
        <w:rPr>
          <w:vertAlign w:val="superscript"/>
          <w:lang w:eastAsia="zh-CN"/>
        </w:rPr>
        <w:t>TM</w:t>
      </w:r>
      <w:r>
        <w:rPr>
          <w:lang w:eastAsia="zh-CN"/>
        </w:rPr>
        <w:t xml:space="preserve"> BTS, </w:t>
      </w:r>
      <w:r>
        <w:rPr>
          <w:lang w:eastAsia="zh-CN"/>
        </w:rPr>
        <w:t xml:space="preserve">in </w:t>
      </w:r>
      <w:r>
        <w:rPr>
          <w:lang w:eastAsia="zh-CN"/>
        </w:rPr>
        <w:t xml:space="preserve">the above table the worst case </w:t>
      </w:r>
      <w:r>
        <w:rPr>
          <w:lang w:eastAsia="zh-CN"/>
        </w:rPr>
        <w:t xml:space="preserve">is </w:t>
      </w:r>
      <w:r>
        <w:rPr>
          <w:lang w:eastAsia="zh-CN"/>
        </w:rPr>
        <w:t>consider</w:t>
      </w:r>
      <w:r>
        <w:rPr>
          <w:lang w:eastAsia="zh-CN"/>
        </w:rPr>
        <w:t>ed</w:t>
      </w:r>
      <w:r>
        <w:rPr>
          <w:lang w:eastAsia="zh-CN"/>
        </w:rPr>
        <w:t xml:space="preserve">. In </w:t>
      </w:r>
      <w:r>
        <w:rPr>
          <w:lang w:eastAsia="zh-CN"/>
        </w:rPr>
        <w:t xml:space="preserve">a </w:t>
      </w:r>
      <w:r>
        <w:rPr>
          <w:lang w:eastAsia="zh-CN"/>
        </w:rPr>
        <w:t xml:space="preserve">real network, </w:t>
      </w:r>
      <w:r>
        <w:rPr>
          <w:lang w:eastAsia="zh-CN"/>
        </w:rPr>
        <w:t xml:space="preserve">the </w:t>
      </w:r>
      <w:r>
        <w:rPr>
          <w:lang w:eastAsia="zh-CN"/>
        </w:rPr>
        <w:t xml:space="preserve">T-GSM 810 MS transmit power is far below </w:t>
      </w:r>
      <w:r>
        <w:rPr>
          <w:lang w:eastAsia="zh-CN"/>
        </w:rPr>
        <w:t xml:space="preserve">the </w:t>
      </w:r>
      <w:r>
        <w:rPr>
          <w:lang w:eastAsia="zh-CN"/>
        </w:rPr>
        <w:t xml:space="preserve">maximum output power and the required separation distance is only about several meters. </w:t>
      </w:r>
      <w:r>
        <w:rPr>
          <w:lang w:eastAsia="zh-CN"/>
        </w:rPr>
        <w:t>S</w:t>
      </w:r>
      <w:r>
        <w:rPr>
          <w:lang w:eastAsia="zh-CN"/>
        </w:rPr>
        <w:t>o the interference influence is not significant.</w:t>
      </w:r>
    </w:p>
    <w:p>
      <w:pPr>
        <w:pStyle w:val="Normal"/>
        <w:rPr/>
      </w:pPr>
      <w:r>
        <w:rPr>
          <w:lang w:eastAsia="zh-CN"/>
        </w:rPr>
        <w:t>For the scenario iDEN</w:t>
      </w:r>
      <w:r>
        <w:rPr>
          <w:vertAlign w:val="superscript"/>
          <w:lang w:eastAsia="zh-CN"/>
        </w:rPr>
        <w:t>TM</w:t>
      </w:r>
      <w:r>
        <w:rPr>
          <w:lang w:eastAsia="zh-CN"/>
        </w:rPr>
        <w:t xml:space="preserve"> MS interfere T-GSM 810 BTS, from the above table, the interference is </w:t>
      </w:r>
      <w:r>
        <w:rPr>
          <w:lang w:eastAsia="zh-CN"/>
        </w:rPr>
        <w:t>small</w:t>
      </w:r>
      <w:r>
        <w:rPr>
          <w:lang w:eastAsia="zh-CN"/>
        </w:rPr>
        <w:t xml:space="preserve"> and can be tolerable. When </w:t>
      </w:r>
      <w:r>
        <w:rPr>
          <w:lang w:eastAsia="zh-CN"/>
        </w:rPr>
        <w:t xml:space="preserve">an </w:t>
      </w:r>
      <w:r>
        <w:rPr>
          <w:lang w:eastAsia="zh-CN"/>
        </w:rPr>
        <w:t>iDEN</w:t>
      </w:r>
      <w:r>
        <w:rPr>
          <w:vertAlign w:val="superscript"/>
          <w:lang w:eastAsia="zh-CN"/>
        </w:rPr>
        <w:t>TM</w:t>
      </w:r>
      <w:r>
        <w:rPr>
          <w:lang w:eastAsia="zh-CN"/>
        </w:rPr>
        <w:t xml:space="preserve"> MS is at a distance of less than 0.15km from </w:t>
      </w:r>
      <w:r>
        <w:rPr>
          <w:lang w:eastAsia="zh-CN"/>
        </w:rPr>
        <w:t xml:space="preserve">a </w:t>
      </w:r>
      <w:r>
        <w:rPr>
          <w:lang w:eastAsia="zh-CN"/>
        </w:rPr>
        <w:t>T-GSM 810 B</w:t>
      </w:r>
      <w:r>
        <w:rPr>
          <w:lang w:eastAsia="zh-CN"/>
        </w:rPr>
        <w:t>T</w:t>
      </w:r>
      <w:r>
        <w:rPr>
          <w:lang w:eastAsia="zh-CN"/>
        </w:rPr>
        <w:t>S, the adjacent interference can be tolera</w:t>
      </w:r>
      <w:r>
        <w:rPr>
          <w:lang w:eastAsia="zh-CN"/>
        </w:rPr>
        <w:t>ble</w:t>
      </w:r>
      <w:r>
        <w:rPr>
          <w:lang w:eastAsia="zh-CN"/>
        </w:rPr>
        <w:t xml:space="preserve">. That can be solved by frequency plan solution in </w:t>
      </w:r>
      <w:r>
        <w:rPr>
          <w:lang w:eastAsia="zh-CN"/>
        </w:rPr>
        <w:t xml:space="preserve">a </w:t>
      </w:r>
      <w:r>
        <w:rPr>
          <w:lang w:eastAsia="zh-CN"/>
        </w:rPr>
        <w:t xml:space="preserve">real network deployment. And the probability that </w:t>
      </w:r>
      <w:r>
        <w:rPr>
          <w:lang w:eastAsia="zh-CN"/>
        </w:rPr>
        <w:t xml:space="preserve">the </w:t>
      </w:r>
      <w:r>
        <w:rPr>
          <w:lang w:eastAsia="zh-CN"/>
        </w:rPr>
        <w:t xml:space="preserve">transmit power </w:t>
      </w:r>
      <w:r>
        <w:rPr>
          <w:lang w:eastAsia="zh-CN"/>
        </w:rPr>
        <w:t xml:space="preserve">of an </w:t>
      </w:r>
      <w:r>
        <w:rPr>
          <w:lang w:eastAsia="zh-CN"/>
        </w:rPr>
        <w:t>iDEN</w:t>
      </w:r>
      <w:r>
        <w:rPr>
          <w:vertAlign w:val="superscript"/>
          <w:lang w:eastAsia="zh-CN"/>
        </w:rPr>
        <w:t>TM</w:t>
      </w:r>
      <w:r>
        <w:rPr>
          <w:lang w:eastAsia="zh-CN"/>
        </w:rPr>
        <w:t xml:space="preserve"> MS is </w:t>
      </w:r>
      <w:r>
        <w:rPr>
          <w:lang w:eastAsia="zh-CN"/>
        </w:rPr>
        <w:t xml:space="preserve">equal to the </w:t>
      </w:r>
      <w:r>
        <w:rPr>
          <w:lang w:eastAsia="zh-CN"/>
        </w:rPr>
        <w:t>maximum output power is small.</w:t>
      </w:r>
      <w:r>
        <w:rPr>
          <w:lang w:eastAsia="zh-CN"/>
        </w:rPr>
        <w:t xml:space="preserve"> S</w:t>
      </w:r>
      <w:r>
        <w:rPr>
          <w:lang w:eastAsia="zh-CN"/>
        </w:rPr>
        <w:t>o the interference influence is not significant.</w:t>
      </w:r>
    </w:p>
    <w:p>
      <w:pPr>
        <w:pStyle w:val="Heading2"/>
        <w:rPr>
          <w:lang w:val="en-US"/>
        </w:rPr>
      </w:pPr>
      <w:bookmarkStart w:id="845" w:name="__RefHeading___Toc518036187"/>
      <w:bookmarkEnd w:id="845"/>
      <w:r>
        <w:rPr>
          <w:lang w:val="en-US"/>
        </w:rPr>
        <w:t>ZA.2.2</w:t>
        <w:tab/>
        <w:t>T-GSM 810-TETRA</w:t>
      </w:r>
    </w:p>
    <w:p>
      <w:pPr>
        <w:pStyle w:val="Heading3"/>
        <w:rPr/>
      </w:pPr>
      <w:bookmarkStart w:id="846" w:name="__RefHeading___Toc518036188"/>
      <w:bookmarkEnd w:id="846"/>
      <w:r>
        <w:rPr>
          <w:lang w:val="en-US"/>
        </w:rPr>
        <w:t>ZA.2.2.1</w:t>
        <w:tab/>
        <w:t>Downlink study</w:t>
      </w:r>
    </w:p>
    <w:p>
      <w:pPr>
        <w:pStyle w:val="Normal"/>
        <w:rPr>
          <w:lang w:eastAsia="zh-CN"/>
        </w:rPr>
      </w:pPr>
      <w:r>
        <w:rPr>
          <w:lang w:eastAsia="zh-CN"/>
        </w:rPr>
        <w:t xml:space="preserve">In </w:t>
      </w:r>
      <w:r>
        <w:rPr>
          <w:lang w:eastAsia="zh-CN"/>
        </w:rPr>
        <w:t>T</w:t>
      </w:r>
      <w:r>
        <w:rPr>
          <w:lang w:eastAsia="zh-CN"/>
        </w:rPr>
        <w:t xml:space="preserve">able </w:t>
      </w:r>
      <w:r>
        <w:rPr>
          <w:lang w:eastAsia="zh-CN"/>
        </w:rPr>
        <w:t xml:space="preserve">ZA.3 </w:t>
      </w:r>
      <w:r>
        <w:rPr>
          <w:lang w:eastAsia="zh-CN"/>
        </w:rPr>
        <w:t>the calculation</w:t>
      </w:r>
      <w:r>
        <w:rPr>
          <w:lang w:eastAsia="zh-CN"/>
        </w:rPr>
        <w:t>s</w:t>
      </w:r>
      <w:r>
        <w:rPr>
          <w:lang w:eastAsia="zh-CN"/>
        </w:rPr>
        <w:t xml:space="preserve"> of the interference that occurs in different downlink scenarios are provided.</w:t>
      </w:r>
    </w:p>
    <w:p>
      <w:pPr>
        <w:pStyle w:val="TH"/>
        <w:rPr/>
      </w:pPr>
      <w:r>
        <w:rPr/>
        <w:t>Table ZA.3</w:t>
      </w:r>
    </w:p>
    <w:tbl>
      <w:tblPr>
        <w:tblW w:w="10031" w:type="dxa"/>
        <w:jc w:val="right"/>
        <w:tblInd w:w="0" w:type="dxa"/>
        <w:tblLayout w:type="fixed"/>
        <w:tblCellMar>
          <w:top w:w="0" w:type="dxa"/>
          <w:left w:w="108" w:type="dxa"/>
          <w:bottom w:w="0" w:type="dxa"/>
          <w:right w:w="108" w:type="dxa"/>
        </w:tblCellMar>
      </w:tblPr>
      <w:tblGrid>
        <w:gridCol w:w="1412"/>
        <w:gridCol w:w="1663"/>
        <w:gridCol w:w="837"/>
        <w:gridCol w:w="962"/>
        <w:gridCol w:w="1422"/>
        <w:gridCol w:w="1422"/>
        <w:gridCol w:w="1186"/>
        <w:gridCol w:w="1127"/>
      </w:tblGrid>
      <w:tr>
        <w:trPr/>
        <w:tc>
          <w:tcPr>
            <w:tcW w:w="1412"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Scenario</w:t>
            </w:r>
          </w:p>
        </w:tc>
        <w:tc>
          <w:tcPr>
            <w:tcW w:w="166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Power</w:t>
            </w:r>
          </w:p>
        </w:tc>
        <w:tc>
          <w:tcPr>
            <w:tcW w:w="837"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Tx </w:t>
            </w:r>
            <w:r>
              <w:rPr>
                <w:lang w:eastAsia="en-US"/>
              </w:rPr>
              <w:t>Losses</w:t>
            </w:r>
          </w:p>
        </w:tc>
        <w:tc>
          <w:tcPr>
            <w:tcW w:w="96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Ant Gain</w:t>
            </w:r>
          </w:p>
        </w:tc>
        <w:tc>
          <w:tcPr>
            <w:tcW w:w="142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Interference Power</w:t>
            </w:r>
          </w:p>
        </w:tc>
        <w:tc>
          <w:tcPr>
            <w:tcW w:w="1422"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Affordable </w:t>
            </w:r>
            <w:r>
              <w:rPr>
                <w:lang w:eastAsia="zh-CN"/>
              </w:rPr>
              <w:t>I</w:t>
            </w:r>
            <w:r>
              <w:rPr>
                <w:lang w:eastAsia="zh-CN"/>
              </w:rPr>
              <w:t xml:space="preserve">nterference </w:t>
            </w:r>
            <w:r>
              <w:rPr>
                <w:lang w:eastAsia="en-US"/>
              </w:rPr>
              <w:t>for victim system</w:t>
            </w:r>
          </w:p>
        </w:tc>
        <w:tc>
          <w:tcPr>
            <w:tcW w:w="11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Required attenuation</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Required </w:t>
            </w:r>
            <w:r>
              <w:rPr>
                <w:lang w:eastAsia="zh-CN"/>
              </w:rPr>
              <w:t>separation</w:t>
            </w:r>
            <w:r>
              <w:rPr>
                <w:lang w:eastAsia="zh-CN"/>
              </w:rPr>
              <w:t xml:space="preserve"> distance</w:t>
            </w:r>
          </w:p>
        </w:tc>
      </w:tr>
      <w:tr>
        <w:trPr/>
        <w:tc>
          <w:tcPr>
            <w:tcW w:w="1412"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166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8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dBi</w:t>
            </w:r>
          </w:p>
        </w:tc>
        <w:tc>
          <w:tcPr>
            <w:tcW w:w="1422" w:type="dxa"/>
            <w:tcBorders>
              <w:top w:val="single" w:sz="4" w:space="0" w:color="000000"/>
              <w:left w:val="single" w:sz="4" w:space="0" w:color="000000"/>
              <w:bottom w:val="single" w:sz="4" w:space="0" w:color="000000"/>
              <w:right w:val="single" w:sz="4" w:space="0" w:color="000000"/>
            </w:tcBorders>
          </w:tcPr>
          <w:p>
            <w:pPr>
              <w:pStyle w:val="TAC"/>
              <w:rPr/>
            </w:pPr>
            <w:r>
              <w:rPr>
                <w:lang w:val="en-GB" w:eastAsia="zh-CN"/>
              </w:rPr>
              <w:t>dBm</w:t>
            </w:r>
          </w:p>
        </w:tc>
        <w:tc>
          <w:tcPr>
            <w:tcW w:w="142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112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r>
      <w:tr>
        <w:trPr>
          <w:cantSplit w:val="true"/>
        </w:trPr>
        <w:tc>
          <w:tcPr>
            <w:tcW w:w="1412" w:type="dxa"/>
            <w:vMerge w:val="restart"/>
            <w:tcBorders>
              <w:top w:val="single" w:sz="4" w:space="0" w:color="000000"/>
              <w:left w:val="single" w:sz="4" w:space="0" w:color="000000"/>
              <w:bottom w:val="single" w:sz="4" w:space="0" w:color="000000"/>
              <w:right w:val="single" w:sz="4" w:space="0" w:color="000000"/>
            </w:tcBorders>
          </w:tcPr>
          <w:p>
            <w:pPr>
              <w:pStyle w:val="TAL"/>
              <w:rPr/>
            </w:pPr>
            <w:r>
              <w:rPr>
                <w:szCs w:val="22"/>
                <w:lang w:val="en-GB"/>
              </w:rPr>
              <w:t xml:space="preserve">T-GSM 810 BTS interference on </w:t>
            </w:r>
            <w:r>
              <w:rPr>
                <w:szCs w:val="22"/>
                <w:lang w:val="en-GB" w:eastAsia="zh-CN"/>
              </w:rPr>
              <w:t>TETRA</w:t>
            </w:r>
            <w:r>
              <w:rPr>
                <w:szCs w:val="22"/>
                <w:lang w:val="en-GB"/>
              </w:rPr>
              <w:t xml:space="preserve"> MS</w:t>
            </w:r>
          </w:p>
        </w:tc>
        <w:tc>
          <w:tcPr>
            <w:tcW w:w="166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 dBm/25kHz @400kHz</w:t>
            </w:r>
          </w:p>
        </w:tc>
        <w:tc>
          <w:tcPr>
            <w:tcW w:w="8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2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 dBm/25kHz</w:t>
            </w:r>
          </w:p>
        </w:tc>
        <w:tc>
          <w:tcPr>
            <w:tcW w:w="142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-122 dBm/25kHz</w:t>
            </w:r>
          </w:p>
        </w:tc>
        <w:tc>
          <w:tcPr>
            <w:tcW w:w="1186" w:type="dxa"/>
            <w:tcBorders>
              <w:top w:val="single" w:sz="4" w:space="0" w:color="000000"/>
              <w:left w:val="single" w:sz="4" w:space="0" w:color="000000"/>
              <w:bottom w:val="single" w:sz="4" w:space="0" w:color="000000"/>
              <w:right w:val="single" w:sz="4" w:space="0" w:color="000000"/>
            </w:tcBorders>
          </w:tcPr>
          <w:p>
            <w:pPr>
              <w:pStyle w:val="TAC"/>
              <w:rPr>
                <w:highlight w:val="yellow"/>
                <w:lang w:val="en-GB" w:eastAsia="zh-CN"/>
              </w:rPr>
            </w:pPr>
            <w:r>
              <w:rPr>
                <w:lang w:val="en-GB" w:eastAsia="zh-CN"/>
              </w:rPr>
              <w:t>114</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0.54km</w:t>
            </w:r>
          </w:p>
        </w:tc>
      </w:tr>
      <w:tr>
        <w:trPr>
          <w:cantSplit w:val="true"/>
        </w:trPr>
        <w:tc>
          <w:tcPr>
            <w:tcW w:w="14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lang w:val="en-GB" w:eastAsia="zh-CN"/>
              </w:rPr>
            </w:pPr>
            <w:r>
              <w:rPr>
                <w:szCs w:val="22"/>
                <w:lang w:val="en-GB" w:eastAsia="zh-CN"/>
              </w:rPr>
            </w:r>
          </w:p>
        </w:tc>
        <w:tc>
          <w:tcPr>
            <w:tcW w:w="166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47.8</w:t>
            </w:r>
          </w:p>
        </w:tc>
        <w:tc>
          <w:tcPr>
            <w:tcW w:w="8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2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49.8</w:t>
            </w:r>
          </w:p>
        </w:tc>
        <w:tc>
          <w:tcPr>
            <w:tcW w:w="142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-30</w:t>
            </w:r>
          </w:p>
          <w:p>
            <w:pPr>
              <w:pStyle w:val="TAC"/>
              <w:rPr>
                <w:lang w:val="en-GB" w:eastAsia="zh-CN"/>
              </w:rPr>
            </w:pPr>
            <w:r>
              <w:rPr>
                <w:lang w:val="en-GB" w:eastAsia="zh-CN"/>
              </w:rPr>
              <w:t>@400kHz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79.8</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50m</w:t>
            </w:r>
          </w:p>
        </w:tc>
      </w:tr>
      <w:tr>
        <w:trPr/>
        <w:tc>
          <w:tcPr>
            <w:tcW w:w="1412" w:type="dxa"/>
            <w:tcBorders>
              <w:top w:val="single" w:sz="4" w:space="0" w:color="000000"/>
              <w:left w:val="single" w:sz="4" w:space="0" w:color="000000"/>
              <w:bottom w:val="single" w:sz="4" w:space="0" w:color="000000"/>
              <w:right w:val="single" w:sz="4" w:space="0" w:color="000000"/>
            </w:tcBorders>
          </w:tcPr>
          <w:p>
            <w:pPr>
              <w:pStyle w:val="TAL"/>
              <w:rPr>
                <w:szCs w:val="22"/>
                <w:lang w:val="en-GB" w:eastAsia="zh-CN"/>
              </w:rPr>
            </w:pPr>
            <w:r>
              <w:rPr>
                <w:szCs w:val="22"/>
                <w:lang w:val="en-GB" w:eastAsia="zh-CN"/>
              </w:rPr>
              <w:t>TETRA</w:t>
            </w:r>
            <w:r>
              <w:rPr>
                <w:szCs w:val="22"/>
                <w:lang w:val="en-GB"/>
              </w:rPr>
              <w:t xml:space="preserve"> BTS interference on </w:t>
            </w:r>
            <w:r>
              <w:rPr>
                <w:szCs w:val="22"/>
                <w:lang w:val="en-GB" w:eastAsia="zh-CN"/>
              </w:rPr>
              <w:t xml:space="preserve">T-GSM 810 </w:t>
            </w:r>
            <w:r>
              <w:rPr>
                <w:szCs w:val="22"/>
                <w:lang w:val="en-GB"/>
              </w:rPr>
              <w:t>MS</w:t>
            </w:r>
          </w:p>
        </w:tc>
        <w:tc>
          <w:tcPr>
            <w:tcW w:w="166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-33dBm/200kHz @100kHz</w:t>
            </w:r>
          </w:p>
        </w:tc>
        <w:tc>
          <w:tcPr>
            <w:tcW w:w="8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96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2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-31 dBm/200kHz</w:t>
            </w:r>
          </w:p>
        </w:tc>
        <w:tc>
          <w:tcPr>
            <w:tcW w:w="142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-113 dBm/200kHz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82</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61m</w:t>
            </w:r>
          </w:p>
        </w:tc>
      </w:tr>
    </w:tbl>
    <w:p>
      <w:pPr>
        <w:pStyle w:val="Normal"/>
        <w:widowControl w:val="false"/>
        <w:spacing w:lineRule="auto" w:line="360" w:before="0" w:after="0"/>
        <w:rPr>
          <w:lang w:eastAsia="zh-CN"/>
        </w:rPr>
      </w:pPr>
      <w:r>
        <w:rPr>
          <w:lang w:eastAsia="zh-CN"/>
        </w:rPr>
      </w:r>
    </w:p>
    <w:p>
      <w:pPr>
        <w:pStyle w:val="NO"/>
        <w:rPr/>
      </w:pPr>
      <w:r>
        <w:rPr>
          <w:lang w:eastAsia="zh-CN"/>
        </w:rPr>
        <w:t>NOTE 1:</w:t>
        <w:tab/>
      </w:r>
      <w:r>
        <w:rPr>
          <w:lang w:eastAsia="zh-CN"/>
        </w:rPr>
        <w:t>Required separation distance is calculated by O</w:t>
      </w:r>
      <w:r>
        <w:rPr>
          <w:lang w:eastAsia="zh-CN"/>
        </w:rPr>
        <w:t>k</w:t>
      </w:r>
      <w:r>
        <w:rPr>
          <w:lang w:eastAsia="zh-CN"/>
        </w:rPr>
        <w:t>umura/Hata urban p</w:t>
      </w:r>
      <w:r>
        <w:rPr/>
        <w:t>ropagation loss mode</w:t>
      </w:r>
      <w:r>
        <w:rPr>
          <w:lang w:eastAsia="zh-CN"/>
        </w:rPr>
        <w:t>l</w:t>
      </w:r>
      <w:r>
        <w:rPr>
          <w:lang w:eastAsia="zh-CN"/>
        </w:rPr>
        <w:t>.</w:t>
      </w:r>
    </w:p>
    <w:p>
      <w:pPr>
        <w:pStyle w:val="NO"/>
        <w:rPr/>
      </w:pPr>
      <w:r>
        <w:rPr>
          <w:lang w:eastAsia="zh-CN"/>
        </w:rPr>
        <w:t>NOTE 2:</w:t>
        <w:tab/>
      </w:r>
      <w:r>
        <w:rPr>
          <w:lang w:eastAsia="zh-CN"/>
        </w:rPr>
        <w:t>T-GSM 810 BTS power = 60W, feed loss is 8dB, TETRA BTS power = 40W</w:t>
      </w:r>
      <w:r>
        <w:rPr>
          <w:lang w:eastAsia="zh-CN"/>
        </w:rPr>
        <w:t>.</w:t>
      </w:r>
    </w:p>
    <w:p>
      <w:pPr>
        <w:pStyle w:val="NO"/>
        <w:rPr/>
      </w:pPr>
      <w:r>
        <w:rPr>
          <w:lang w:eastAsia="zh-CN"/>
        </w:rPr>
        <w:t>NOTE 3:</w:t>
        <w:tab/>
      </w:r>
      <w:r>
        <w:rPr>
          <w:lang w:eastAsia="zh-CN"/>
        </w:rPr>
        <w:t xml:space="preserve">The significant source of TETRA BTS interference on T-GSM 810 MS is spectrum emission due to </w:t>
      </w:r>
      <w:r>
        <w:rPr>
          <w:lang w:eastAsia="zh-CN"/>
        </w:rPr>
        <w:t>modulation</w:t>
      </w:r>
      <w:r>
        <w:rPr>
          <w:lang w:eastAsia="zh-CN"/>
        </w:rPr>
        <w:t xml:space="preserve"> of TETRA BTS.</w:t>
      </w:r>
    </w:p>
    <w:p>
      <w:pPr>
        <w:pStyle w:val="Normal"/>
        <w:rPr>
          <w:lang w:eastAsia="zh-CN"/>
        </w:rPr>
      </w:pPr>
      <w:r>
        <w:rPr>
          <w:lang w:eastAsia="zh-CN"/>
        </w:rPr>
        <w:t xml:space="preserve">For the </w:t>
      </w:r>
      <w:r>
        <w:rPr>
          <w:lang w:eastAsia="zh-CN"/>
        </w:rPr>
        <w:t>scenario</w:t>
      </w:r>
      <w:r>
        <w:rPr>
          <w:lang w:eastAsia="zh-CN"/>
        </w:rPr>
        <w:t xml:space="preserve"> T-GSM 810 BTS </w:t>
      </w:r>
      <w:r>
        <w:rPr>
          <w:lang w:eastAsia="zh-CN"/>
        </w:rPr>
        <w:t>interfere</w:t>
      </w:r>
      <w:r>
        <w:rPr>
          <w:lang w:eastAsia="zh-CN"/>
        </w:rPr>
        <w:t xml:space="preserve"> TETRA MS, when </w:t>
      </w:r>
      <w:r>
        <w:rPr>
          <w:lang w:eastAsia="zh-CN"/>
        </w:rPr>
        <w:t xml:space="preserve">a </w:t>
      </w:r>
      <w:r>
        <w:rPr>
          <w:lang w:eastAsia="zh-CN"/>
        </w:rPr>
        <w:t xml:space="preserve">TETRA MS is at a distance of 0.54km, the noise of </w:t>
      </w:r>
      <w:r>
        <w:rPr>
          <w:lang w:eastAsia="zh-CN"/>
        </w:rPr>
        <w:t xml:space="preserve">the </w:t>
      </w:r>
      <w:r>
        <w:rPr>
          <w:lang w:eastAsia="zh-CN"/>
        </w:rPr>
        <w:t>TETRA MS increase</w:t>
      </w:r>
      <w:r>
        <w:rPr>
          <w:lang w:eastAsia="zh-CN"/>
        </w:rPr>
        <w:t>s by</w:t>
      </w:r>
      <w:r>
        <w:rPr>
          <w:lang w:eastAsia="zh-CN"/>
        </w:rPr>
        <w:t xml:space="preserve"> 3dB. The signal to interference ratio is still 19dB. When </w:t>
      </w:r>
      <w:r>
        <w:rPr>
          <w:lang w:eastAsia="zh-CN"/>
        </w:rPr>
        <w:t xml:space="preserve">a </w:t>
      </w:r>
      <w:r>
        <w:rPr>
          <w:lang w:eastAsia="zh-CN"/>
        </w:rPr>
        <w:t xml:space="preserve">TETRA MS is at a distance of less than 0.54km from </w:t>
      </w:r>
      <w:r>
        <w:rPr>
          <w:lang w:eastAsia="zh-CN"/>
        </w:rPr>
        <w:t xml:space="preserve">a </w:t>
      </w:r>
      <w:r>
        <w:rPr>
          <w:lang w:eastAsia="zh-CN"/>
        </w:rPr>
        <w:t>T-GSM 810 B</w:t>
      </w:r>
      <w:r>
        <w:rPr>
          <w:lang w:eastAsia="zh-CN"/>
        </w:rPr>
        <w:t>T</w:t>
      </w:r>
      <w:r>
        <w:rPr>
          <w:lang w:eastAsia="zh-CN"/>
        </w:rPr>
        <w:t xml:space="preserve">S, the actual interference exist in some area, but will not be significant, </w:t>
      </w:r>
      <w:r>
        <w:rPr>
          <w:lang w:eastAsia="zh-CN"/>
        </w:rPr>
        <w:t>this can be eliminated by site engineering solution in a real network deployment.</w:t>
      </w:r>
    </w:p>
    <w:p>
      <w:pPr>
        <w:pStyle w:val="Normal"/>
        <w:rPr/>
      </w:pPr>
      <w:r>
        <w:rPr>
          <w:lang w:eastAsia="zh-CN"/>
        </w:rPr>
        <w:t xml:space="preserve">For the </w:t>
      </w:r>
      <w:r>
        <w:rPr>
          <w:lang w:eastAsia="zh-CN"/>
        </w:rPr>
        <w:t>scenario</w:t>
      </w:r>
      <w:r>
        <w:rPr>
          <w:lang w:eastAsia="zh-CN"/>
        </w:rPr>
        <w:t xml:space="preserve"> TETRA BTS </w:t>
      </w:r>
      <w:r>
        <w:rPr>
          <w:lang w:eastAsia="zh-CN"/>
        </w:rPr>
        <w:t>interfere</w:t>
      </w:r>
      <w:r>
        <w:rPr>
          <w:lang w:eastAsia="zh-CN"/>
        </w:rPr>
        <w:t xml:space="preserve"> T-GSM 810 MS, from the above table, the interference is </w:t>
      </w:r>
      <w:r>
        <w:rPr>
          <w:lang w:eastAsia="zh-CN"/>
        </w:rPr>
        <w:t>small</w:t>
      </w:r>
      <w:r>
        <w:rPr>
          <w:lang w:eastAsia="zh-CN"/>
        </w:rPr>
        <w:t xml:space="preserve"> and can be tolerable.</w:t>
      </w:r>
    </w:p>
    <w:p>
      <w:pPr>
        <w:pStyle w:val="Heading3"/>
        <w:rPr/>
      </w:pPr>
      <w:bookmarkStart w:id="847" w:name="__RefHeading___Toc518036189"/>
      <w:bookmarkEnd w:id="847"/>
      <w:r>
        <w:rPr>
          <w:lang w:val="en-US"/>
        </w:rPr>
        <w:t>ZA.2.2.2</w:t>
        <w:tab/>
        <w:t>Uplink study</w:t>
      </w:r>
    </w:p>
    <w:p>
      <w:pPr>
        <w:pStyle w:val="Normal"/>
        <w:rPr>
          <w:lang w:eastAsia="zh-CN"/>
        </w:rPr>
      </w:pPr>
      <w:r>
        <w:rPr>
          <w:lang w:eastAsia="zh-CN"/>
        </w:rPr>
        <w:t xml:space="preserve">In </w:t>
      </w:r>
      <w:r>
        <w:rPr>
          <w:lang w:eastAsia="zh-CN"/>
        </w:rPr>
        <w:t>T</w:t>
      </w:r>
      <w:r>
        <w:rPr>
          <w:lang w:eastAsia="zh-CN"/>
        </w:rPr>
        <w:t xml:space="preserve">able </w:t>
      </w:r>
      <w:r>
        <w:rPr>
          <w:lang w:eastAsia="zh-CN"/>
        </w:rPr>
        <w:t xml:space="preserve">ZA.4 </w:t>
      </w:r>
      <w:r>
        <w:rPr>
          <w:lang w:eastAsia="zh-CN"/>
        </w:rPr>
        <w:t>the calculation</w:t>
      </w:r>
      <w:r>
        <w:rPr>
          <w:lang w:eastAsia="zh-CN"/>
        </w:rPr>
        <w:t>s</w:t>
      </w:r>
      <w:r>
        <w:rPr>
          <w:lang w:eastAsia="zh-CN"/>
        </w:rPr>
        <w:t xml:space="preserve"> of the interference that occurs in different uplink scenarios are provided.</w:t>
      </w:r>
    </w:p>
    <w:p>
      <w:pPr>
        <w:pStyle w:val="TH"/>
        <w:rPr/>
      </w:pPr>
      <w:r>
        <w:rPr/>
        <w:t>Table ZA.4</w:t>
      </w:r>
    </w:p>
    <w:tbl>
      <w:tblPr>
        <w:tblW w:w="9889" w:type="dxa"/>
        <w:jc w:val="right"/>
        <w:tblInd w:w="0" w:type="dxa"/>
        <w:tblLayout w:type="fixed"/>
        <w:tblCellMar>
          <w:top w:w="0" w:type="dxa"/>
          <w:left w:w="108" w:type="dxa"/>
          <w:bottom w:w="0" w:type="dxa"/>
          <w:right w:w="108" w:type="dxa"/>
        </w:tblCellMar>
      </w:tblPr>
      <w:tblGrid>
        <w:gridCol w:w="1418"/>
        <w:gridCol w:w="1591"/>
        <w:gridCol w:w="777"/>
        <w:gridCol w:w="945"/>
        <w:gridCol w:w="1413"/>
        <w:gridCol w:w="1432"/>
        <w:gridCol w:w="1186"/>
        <w:gridCol w:w="1127"/>
      </w:tblGrid>
      <w:tr>
        <w:trPr/>
        <w:tc>
          <w:tcPr>
            <w:tcW w:w="141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Scenario</w:t>
            </w:r>
          </w:p>
        </w:tc>
        <w:tc>
          <w:tcPr>
            <w:tcW w:w="15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Power</w:t>
            </w:r>
          </w:p>
        </w:tc>
        <w:tc>
          <w:tcPr>
            <w:tcW w:w="77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Rx losses</w:t>
            </w:r>
          </w:p>
        </w:tc>
        <w:tc>
          <w:tcPr>
            <w:tcW w:w="945"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R</w:t>
            </w:r>
            <w:r>
              <w:rPr>
                <w:lang w:eastAsia="en-US"/>
              </w:rPr>
              <w:t>x Ant Gain</w:t>
            </w:r>
          </w:p>
        </w:tc>
        <w:tc>
          <w:tcPr>
            <w:tcW w:w="1413"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Interference Power</w:t>
            </w:r>
          </w:p>
        </w:tc>
        <w:tc>
          <w:tcPr>
            <w:tcW w:w="1432"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Affordable </w:t>
            </w:r>
            <w:r>
              <w:rPr>
                <w:lang w:eastAsia="zh-CN"/>
              </w:rPr>
              <w:t>I</w:t>
            </w:r>
            <w:r>
              <w:rPr>
                <w:lang w:eastAsia="zh-CN"/>
              </w:rPr>
              <w:t xml:space="preserve">nterference </w:t>
            </w:r>
            <w:r>
              <w:rPr>
                <w:lang w:eastAsia="en-US"/>
              </w:rPr>
              <w:t>for victim system</w:t>
            </w:r>
          </w:p>
        </w:tc>
        <w:tc>
          <w:tcPr>
            <w:tcW w:w="11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Required attenuation</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Required </w:t>
            </w:r>
            <w:r>
              <w:rPr>
                <w:lang w:eastAsia="zh-CN"/>
              </w:rPr>
              <w:t>separation</w:t>
            </w:r>
            <w:r>
              <w:rPr>
                <w:lang w:eastAsia="zh-CN"/>
              </w:rPr>
              <w:t xml:space="preserve"> distance</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159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77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945"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dBi</w:t>
            </w:r>
          </w:p>
        </w:tc>
        <w:tc>
          <w:tcPr>
            <w:tcW w:w="141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43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112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L"/>
              <w:rPr/>
            </w:pPr>
            <w:r>
              <w:rPr>
                <w:szCs w:val="22"/>
                <w:lang w:val="en-GB"/>
              </w:rPr>
              <w:t xml:space="preserve">T-GSM 810 MS interference on </w:t>
            </w:r>
            <w:r>
              <w:rPr>
                <w:szCs w:val="22"/>
                <w:lang w:val="en-GB" w:eastAsia="zh-CN"/>
              </w:rPr>
              <w:t>TETRA</w:t>
            </w:r>
            <w:r>
              <w:rPr>
                <w:szCs w:val="22"/>
                <w:lang w:val="en-GB"/>
              </w:rPr>
              <w:t xml:space="preserve"> BTS</w:t>
            </w:r>
          </w:p>
        </w:tc>
        <w:tc>
          <w:tcPr>
            <w:tcW w:w="159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-28dBm/25kHz @400kHz</w:t>
            </w:r>
          </w:p>
        </w:tc>
        <w:tc>
          <w:tcPr>
            <w:tcW w:w="77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45"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1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-22 dBm/25KHz</w:t>
            </w:r>
          </w:p>
        </w:tc>
        <w:tc>
          <w:tcPr>
            <w:tcW w:w="143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-125 dBm/25KHz</w:t>
            </w:r>
          </w:p>
        </w:tc>
        <w:tc>
          <w:tcPr>
            <w:tcW w:w="1186" w:type="dxa"/>
            <w:tcBorders>
              <w:top w:val="single" w:sz="4" w:space="0" w:color="000000"/>
              <w:left w:val="single" w:sz="4" w:space="0" w:color="000000"/>
              <w:bottom w:val="single" w:sz="4" w:space="0" w:color="000000"/>
              <w:right w:val="single" w:sz="4" w:space="0" w:color="000000"/>
            </w:tcBorders>
          </w:tcPr>
          <w:p>
            <w:pPr>
              <w:pStyle w:val="TAC"/>
              <w:rPr>
                <w:highlight w:val="yellow"/>
                <w:lang w:val="en-GB" w:eastAsia="zh-CN"/>
              </w:rPr>
            </w:pPr>
            <w:r>
              <w:rPr>
                <w:lang w:val="en-GB" w:eastAsia="zh-CN"/>
              </w:rPr>
              <w:t>102</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0.24km</w:t>
            </w:r>
          </w:p>
        </w:tc>
      </w:tr>
      <w:tr>
        <w:trPr>
          <w:cantSplit w:val="true"/>
        </w:trPr>
        <w:tc>
          <w:tcPr>
            <w:tcW w:w="1418" w:type="dxa"/>
            <w:vMerge w:val="restart"/>
            <w:tcBorders>
              <w:top w:val="single" w:sz="4" w:space="0" w:color="000000"/>
              <w:left w:val="single" w:sz="4" w:space="0" w:color="000000"/>
              <w:bottom w:val="single" w:sz="4" w:space="0" w:color="000000"/>
              <w:right w:val="single" w:sz="4" w:space="0" w:color="000000"/>
            </w:tcBorders>
          </w:tcPr>
          <w:p>
            <w:pPr>
              <w:pStyle w:val="TAL"/>
              <w:rPr>
                <w:szCs w:val="22"/>
                <w:lang w:val="en-GB" w:eastAsia="zh-CN"/>
              </w:rPr>
            </w:pPr>
            <w:r>
              <w:rPr>
                <w:szCs w:val="22"/>
                <w:lang w:val="en-GB" w:eastAsia="zh-CN"/>
              </w:rPr>
              <w:t>TETRA</w:t>
            </w:r>
            <w:r>
              <w:rPr>
                <w:szCs w:val="22"/>
                <w:lang w:val="en-GB"/>
              </w:rPr>
              <w:t xml:space="preserve"> MS interference on </w:t>
            </w:r>
            <w:r>
              <w:rPr>
                <w:szCs w:val="22"/>
                <w:lang w:val="en-GB" w:eastAsia="zh-CN"/>
              </w:rPr>
              <w:t xml:space="preserve">T-GSM 810 </w:t>
            </w:r>
            <w:r>
              <w:rPr>
                <w:szCs w:val="22"/>
                <w:lang w:val="en-GB"/>
              </w:rPr>
              <w:t>BTS</w:t>
            </w:r>
          </w:p>
        </w:tc>
        <w:tc>
          <w:tcPr>
            <w:tcW w:w="159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-36</w:t>
            </w:r>
          </w:p>
        </w:tc>
        <w:tc>
          <w:tcPr>
            <w:tcW w:w="77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45"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1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-30</w:t>
            </w:r>
          </w:p>
        </w:tc>
        <w:tc>
          <w:tcPr>
            <w:tcW w:w="143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-116 dBm/200kHz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86</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81m</w:t>
            </w:r>
          </w:p>
        </w:tc>
      </w:tr>
      <w:tr>
        <w:trPr>
          <w:cantSplit w:val="true"/>
        </w:trPr>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sz w:val="22"/>
                <w:szCs w:val="22"/>
                <w:lang w:val="en-GB" w:eastAsia="zh-CN"/>
              </w:rPr>
            </w:pPr>
            <w:r>
              <w:rPr>
                <w:sz w:val="22"/>
                <w:szCs w:val="22"/>
                <w:lang w:val="en-GB" w:eastAsia="zh-CN"/>
              </w:rPr>
            </w:r>
          </w:p>
        </w:tc>
        <w:tc>
          <w:tcPr>
            <w:tcW w:w="159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45</w:t>
            </w:r>
          </w:p>
        </w:tc>
        <w:tc>
          <w:tcPr>
            <w:tcW w:w="77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45"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1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51</w:t>
            </w:r>
          </w:p>
        </w:tc>
        <w:tc>
          <w:tcPr>
            <w:tcW w:w="143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-54 @400kHz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105</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0.29km</w:t>
            </w:r>
          </w:p>
        </w:tc>
      </w:tr>
    </w:tbl>
    <w:p>
      <w:pPr>
        <w:pStyle w:val="Normal"/>
        <w:widowControl w:val="false"/>
        <w:spacing w:lineRule="auto" w:line="360" w:before="0" w:after="0"/>
        <w:rPr>
          <w:lang w:eastAsia="zh-CN"/>
        </w:rPr>
      </w:pPr>
      <w:r>
        <w:rPr>
          <w:lang w:eastAsia="zh-CN"/>
        </w:rPr>
      </w:r>
    </w:p>
    <w:p>
      <w:pPr>
        <w:pStyle w:val="NO"/>
        <w:rPr/>
      </w:pPr>
      <w:r>
        <w:rPr>
          <w:lang w:eastAsia="zh-CN"/>
        </w:rPr>
        <w:t>NOTE 1:</w:t>
        <w:tab/>
      </w:r>
      <w:r>
        <w:rPr>
          <w:lang w:eastAsia="zh-CN"/>
        </w:rPr>
        <w:t>Required separation distance is calculated by O</w:t>
      </w:r>
      <w:r>
        <w:rPr>
          <w:lang w:eastAsia="zh-CN"/>
        </w:rPr>
        <w:t>k</w:t>
      </w:r>
      <w:r>
        <w:rPr>
          <w:lang w:eastAsia="zh-CN"/>
        </w:rPr>
        <w:t>umura/Hata urban p</w:t>
      </w:r>
      <w:r>
        <w:rPr/>
        <w:t>ropagation loss mode</w:t>
      </w:r>
      <w:r>
        <w:rPr>
          <w:lang w:eastAsia="zh-CN"/>
        </w:rPr>
        <w:t>l</w:t>
      </w:r>
      <w:r>
        <w:rPr>
          <w:lang w:eastAsia="zh-CN"/>
        </w:rPr>
        <w:t>.</w:t>
      </w:r>
    </w:p>
    <w:p>
      <w:pPr>
        <w:pStyle w:val="NO"/>
        <w:rPr/>
      </w:pPr>
      <w:r>
        <w:rPr>
          <w:lang w:eastAsia="zh-CN"/>
        </w:rPr>
        <w:t>NOTE 2:</w:t>
        <w:tab/>
      </w:r>
      <w:r>
        <w:rPr>
          <w:lang w:eastAsia="zh-CN"/>
        </w:rPr>
        <w:t xml:space="preserve">The power -36dBm of TETRA MS is spurious </w:t>
      </w:r>
      <w:r>
        <w:rPr>
          <w:lang w:eastAsia="zh-CN"/>
        </w:rPr>
        <w:t>emission</w:t>
      </w:r>
      <w:r>
        <w:rPr>
          <w:lang w:eastAsia="zh-CN"/>
        </w:rPr>
        <w:t xml:space="preserve"> power.</w:t>
      </w:r>
    </w:p>
    <w:p>
      <w:pPr>
        <w:pStyle w:val="Normal"/>
        <w:rPr/>
      </w:pPr>
      <w:r>
        <w:rPr>
          <w:lang w:eastAsia="zh-CN"/>
        </w:rPr>
        <w:t xml:space="preserve">For the scenario T-GSM 810 MS interfere TETRA BTS, </w:t>
      </w:r>
      <w:r>
        <w:rPr>
          <w:lang w:eastAsia="zh-CN"/>
        </w:rPr>
        <w:t xml:space="preserve">in </w:t>
      </w:r>
      <w:r>
        <w:rPr>
          <w:lang w:eastAsia="zh-CN"/>
        </w:rPr>
        <w:t>the above table the worst case</w:t>
      </w:r>
      <w:r>
        <w:rPr>
          <w:lang w:eastAsia="zh-CN"/>
        </w:rPr>
        <w:t xml:space="preserve"> is </w:t>
      </w:r>
      <w:r>
        <w:rPr>
          <w:lang w:eastAsia="zh-CN"/>
        </w:rPr>
        <w:t>consider</w:t>
      </w:r>
      <w:r>
        <w:rPr>
          <w:lang w:eastAsia="zh-CN"/>
        </w:rPr>
        <w:t>ed</w:t>
      </w:r>
      <w:r>
        <w:rPr>
          <w:lang w:eastAsia="zh-CN"/>
        </w:rPr>
        <w:t xml:space="preserve">. In </w:t>
      </w:r>
      <w:r>
        <w:rPr>
          <w:lang w:eastAsia="zh-CN"/>
        </w:rPr>
        <w:t xml:space="preserve">a </w:t>
      </w:r>
      <w:r>
        <w:rPr>
          <w:lang w:eastAsia="zh-CN"/>
        </w:rPr>
        <w:t xml:space="preserve">real network, </w:t>
      </w:r>
      <w:r>
        <w:rPr>
          <w:lang w:eastAsia="zh-CN"/>
        </w:rPr>
        <w:t xml:space="preserve">a </w:t>
      </w:r>
      <w:r>
        <w:rPr>
          <w:lang w:eastAsia="zh-CN"/>
        </w:rPr>
        <w:t xml:space="preserve">T-GSM 810 MS transmit power is far below </w:t>
      </w:r>
      <w:r>
        <w:rPr>
          <w:lang w:eastAsia="zh-CN"/>
        </w:rPr>
        <w:t xml:space="preserve">the </w:t>
      </w:r>
      <w:r>
        <w:rPr>
          <w:lang w:eastAsia="zh-CN"/>
        </w:rPr>
        <w:t xml:space="preserve">maximum output power and the required separation distance is only about several meters. </w:t>
      </w:r>
      <w:r>
        <w:rPr>
          <w:lang w:eastAsia="zh-CN"/>
        </w:rPr>
        <w:t>S</w:t>
      </w:r>
      <w:r>
        <w:rPr>
          <w:lang w:eastAsia="zh-CN"/>
        </w:rPr>
        <w:t>o the interference influence is not significant.</w:t>
      </w:r>
    </w:p>
    <w:p>
      <w:pPr>
        <w:pStyle w:val="Normal"/>
        <w:rPr/>
      </w:pPr>
      <w:r>
        <w:rPr>
          <w:lang w:eastAsia="zh-CN"/>
        </w:rPr>
        <w:t xml:space="preserve">For the scenario TETRA MS interfere T-GSM 810 BTS, from the above table, the interference is </w:t>
      </w:r>
      <w:r>
        <w:rPr>
          <w:lang w:eastAsia="zh-CN"/>
        </w:rPr>
        <w:t>small</w:t>
      </w:r>
      <w:r>
        <w:rPr>
          <w:lang w:eastAsia="zh-CN"/>
        </w:rPr>
        <w:t xml:space="preserve"> and can be tolerable. When </w:t>
      </w:r>
      <w:r>
        <w:rPr>
          <w:lang w:eastAsia="zh-CN"/>
        </w:rPr>
        <w:t xml:space="preserve">a </w:t>
      </w:r>
      <w:r>
        <w:rPr>
          <w:lang w:eastAsia="zh-CN"/>
        </w:rPr>
        <w:t xml:space="preserve">TETRA MS is at a distance of less than 0.29km from </w:t>
      </w:r>
      <w:r>
        <w:rPr>
          <w:lang w:eastAsia="zh-CN"/>
        </w:rPr>
        <w:t xml:space="preserve">a </w:t>
      </w:r>
      <w:r>
        <w:rPr>
          <w:lang w:eastAsia="zh-CN"/>
        </w:rPr>
        <w:t>T-GSM 810 B</w:t>
      </w:r>
      <w:r>
        <w:rPr>
          <w:lang w:eastAsia="zh-CN"/>
        </w:rPr>
        <w:t>T</w:t>
      </w:r>
      <w:r>
        <w:rPr>
          <w:lang w:eastAsia="zh-CN"/>
        </w:rPr>
        <w:t>S, the adjacent interference can be tolera</w:t>
      </w:r>
      <w:r>
        <w:rPr>
          <w:lang w:eastAsia="zh-CN"/>
        </w:rPr>
        <w:t>ble</w:t>
      </w:r>
      <w:r>
        <w:rPr>
          <w:lang w:eastAsia="zh-CN"/>
        </w:rPr>
        <w:t xml:space="preserve">. That can be solved by frequency plan solution in </w:t>
      </w:r>
      <w:r>
        <w:rPr>
          <w:lang w:eastAsia="zh-CN"/>
        </w:rPr>
        <w:t xml:space="preserve">a </w:t>
      </w:r>
      <w:r>
        <w:rPr>
          <w:lang w:eastAsia="zh-CN"/>
        </w:rPr>
        <w:t xml:space="preserve">real network deployment. And the probability that </w:t>
      </w:r>
      <w:r>
        <w:rPr>
          <w:lang w:eastAsia="zh-CN"/>
        </w:rPr>
        <w:t xml:space="preserve">the </w:t>
      </w:r>
      <w:r>
        <w:rPr>
          <w:lang w:eastAsia="zh-CN"/>
        </w:rPr>
        <w:t xml:space="preserve">TETRA MS transmit power is </w:t>
      </w:r>
      <w:r>
        <w:rPr>
          <w:lang w:eastAsia="zh-CN"/>
        </w:rPr>
        <w:t xml:space="preserve">the </w:t>
      </w:r>
      <w:r>
        <w:rPr>
          <w:lang w:eastAsia="zh-CN"/>
        </w:rPr>
        <w:t>maximum output power is small.</w:t>
      </w:r>
      <w:r>
        <w:rPr>
          <w:lang w:eastAsia="zh-CN"/>
        </w:rPr>
        <w:t xml:space="preserve"> S</w:t>
      </w:r>
      <w:r>
        <w:rPr>
          <w:lang w:eastAsia="zh-CN"/>
        </w:rPr>
        <w:t>o the interference influence is not significant.</w:t>
      </w:r>
    </w:p>
    <w:p>
      <w:pPr>
        <w:pStyle w:val="Heading2"/>
        <w:rPr/>
      </w:pPr>
      <w:bookmarkStart w:id="848" w:name="__RefHeading___Toc518036190"/>
      <w:bookmarkEnd w:id="848"/>
      <w:r>
        <w:rPr/>
        <w:t>ZA.2.3</w:t>
        <w:tab/>
        <w:t>T-GSM 810-T-CDMA</w:t>
      </w:r>
    </w:p>
    <w:p>
      <w:pPr>
        <w:pStyle w:val="Heading3"/>
        <w:rPr/>
      </w:pPr>
      <w:bookmarkStart w:id="849" w:name="__RefHeading___Toc518036191"/>
      <w:bookmarkEnd w:id="849"/>
      <w:r>
        <w:rPr>
          <w:lang w:val="en-US"/>
        </w:rPr>
        <w:t>ZA.2.3.1</w:t>
        <w:tab/>
        <w:t>Downlink study</w:t>
      </w:r>
    </w:p>
    <w:p>
      <w:pPr>
        <w:pStyle w:val="Normal"/>
        <w:rPr>
          <w:lang w:eastAsia="zh-CN"/>
        </w:rPr>
      </w:pPr>
      <w:r>
        <w:rPr>
          <w:lang w:eastAsia="zh-CN"/>
        </w:rPr>
        <w:t xml:space="preserve">In </w:t>
      </w:r>
      <w:r>
        <w:rPr>
          <w:lang w:eastAsia="zh-CN"/>
        </w:rPr>
        <w:t>T</w:t>
      </w:r>
      <w:r>
        <w:rPr>
          <w:lang w:eastAsia="zh-CN"/>
        </w:rPr>
        <w:t xml:space="preserve">able </w:t>
      </w:r>
      <w:r>
        <w:rPr>
          <w:lang w:eastAsia="zh-CN"/>
        </w:rPr>
        <w:t xml:space="preserve">ZA.5 </w:t>
      </w:r>
      <w:r>
        <w:rPr>
          <w:lang w:eastAsia="zh-CN"/>
        </w:rPr>
        <w:t>the calculation</w:t>
      </w:r>
      <w:r>
        <w:rPr>
          <w:lang w:eastAsia="zh-CN"/>
        </w:rPr>
        <w:t>s</w:t>
      </w:r>
      <w:r>
        <w:rPr>
          <w:lang w:eastAsia="zh-CN"/>
        </w:rPr>
        <w:t xml:space="preserve"> of the interference that occurs in different downlink scenarios are provided.</w:t>
      </w:r>
    </w:p>
    <w:p>
      <w:pPr>
        <w:pStyle w:val="TH"/>
        <w:rPr/>
      </w:pPr>
      <w:r>
        <w:rPr/>
        <w:t>Table ZA.5</w:t>
      </w:r>
    </w:p>
    <w:tbl>
      <w:tblPr>
        <w:tblW w:w="10031" w:type="dxa"/>
        <w:jc w:val="right"/>
        <w:tblInd w:w="0" w:type="dxa"/>
        <w:tblLayout w:type="fixed"/>
        <w:tblCellMar>
          <w:top w:w="0" w:type="dxa"/>
          <w:left w:w="108" w:type="dxa"/>
          <w:bottom w:w="0" w:type="dxa"/>
          <w:right w:w="108" w:type="dxa"/>
        </w:tblCellMar>
      </w:tblPr>
      <w:tblGrid>
        <w:gridCol w:w="1277"/>
        <w:gridCol w:w="1653"/>
        <w:gridCol w:w="837"/>
        <w:gridCol w:w="937"/>
        <w:gridCol w:w="1597"/>
        <w:gridCol w:w="1417"/>
        <w:gridCol w:w="1186"/>
        <w:gridCol w:w="1127"/>
      </w:tblGrid>
      <w:tr>
        <w:trPr/>
        <w:tc>
          <w:tcPr>
            <w:tcW w:w="1277"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Scenario</w:t>
            </w:r>
          </w:p>
        </w:tc>
        <w:tc>
          <w:tcPr>
            <w:tcW w:w="165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Power</w:t>
            </w:r>
          </w:p>
        </w:tc>
        <w:tc>
          <w:tcPr>
            <w:tcW w:w="837"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Tx </w:t>
            </w:r>
            <w:r>
              <w:rPr>
                <w:lang w:eastAsia="en-US"/>
              </w:rPr>
              <w:t>Losses</w:t>
            </w:r>
          </w:p>
        </w:tc>
        <w:tc>
          <w:tcPr>
            <w:tcW w:w="9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Ant Gain</w:t>
            </w:r>
          </w:p>
        </w:tc>
        <w:tc>
          <w:tcPr>
            <w:tcW w:w="15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Interference Power</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Affordable </w:t>
            </w:r>
            <w:r>
              <w:rPr>
                <w:lang w:eastAsia="zh-CN"/>
              </w:rPr>
              <w:t>I</w:t>
            </w:r>
            <w:r>
              <w:rPr>
                <w:lang w:eastAsia="zh-CN"/>
              </w:rPr>
              <w:t xml:space="preserve">nterference </w:t>
            </w:r>
            <w:r>
              <w:rPr>
                <w:lang w:eastAsia="en-US"/>
              </w:rPr>
              <w:t>for victim system</w:t>
            </w:r>
          </w:p>
        </w:tc>
        <w:tc>
          <w:tcPr>
            <w:tcW w:w="11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Required attenuation</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Required </w:t>
            </w:r>
            <w:r>
              <w:rPr>
                <w:lang w:eastAsia="zh-CN"/>
              </w:rPr>
              <w:t>separation</w:t>
            </w:r>
            <w:r>
              <w:rPr>
                <w:lang w:eastAsia="zh-CN"/>
              </w:rPr>
              <w:t xml:space="preserve"> distance</w:t>
            </w:r>
          </w:p>
        </w:tc>
      </w:tr>
      <w:tr>
        <w:trPr/>
        <w:tc>
          <w:tcPr>
            <w:tcW w:w="1277"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165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8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9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dBi</w:t>
            </w:r>
          </w:p>
        </w:tc>
        <w:tc>
          <w:tcPr>
            <w:tcW w:w="159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112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r>
      <w:tr>
        <w:trPr/>
        <w:tc>
          <w:tcPr>
            <w:tcW w:w="1277" w:type="dxa"/>
            <w:tcBorders>
              <w:top w:val="single" w:sz="4" w:space="0" w:color="000000"/>
              <w:left w:val="single" w:sz="4" w:space="0" w:color="000000"/>
              <w:bottom w:val="single" w:sz="4" w:space="0" w:color="000000"/>
              <w:right w:val="single" w:sz="4" w:space="0" w:color="000000"/>
            </w:tcBorders>
          </w:tcPr>
          <w:p>
            <w:pPr>
              <w:pStyle w:val="TAL"/>
              <w:rPr/>
            </w:pPr>
            <w:r>
              <w:rPr>
                <w:szCs w:val="22"/>
                <w:lang w:val="fr-FR"/>
              </w:rPr>
              <w:t xml:space="preserve">T-GSM 810 BTS interference on </w:t>
            </w:r>
            <w:r>
              <w:rPr>
                <w:szCs w:val="22"/>
                <w:lang w:val="fr-FR" w:eastAsia="zh-CN"/>
              </w:rPr>
              <w:t>T-CDMA</w:t>
            </w:r>
            <w:r>
              <w:rPr>
                <w:szCs w:val="22"/>
                <w:lang w:val="fr-FR"/>
              </w:rPr>
              <w:t xml:space="preserve"> MS</w:t>
            </w:r>
          </w:p>
        </w:tc>
        <w:tc>
          <w:tcPr>
            <w:tcW w:w="1653"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 dBm/1.25MHz @600-1600kHz</w:t>
            </w:r>
          </w:p>
        </w:tc>
        <w:tc>
          <w:tcPr>
            <w:tcW w:w="8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9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59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 dBm/1.25MHz</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-105 dBm/1.25MHz</w:t>
            </w:r>
          </w:p>
        </w:tc>
        <w:tc>
          <w:tcPr>
            <w:tcW w:w="1186" w:type="dxa"/>
            <w:tcBorders>
              <w:top w:val="single" w:sz="4" w:space="0" w:color="000000"/>
              <w:left w:val="single" w:sz="4" w:space="0" w:color="000000"/>
              <w:bottom w:val="single" w:sz="4" w:space="0" w:color="000000"/>
              <w:right w:val="single" w:sz="4" w:space="0" w:color="000000"/>
            </w:tcBorders>
          </w:tcPr>
          <w:p>
            <w:pPr>
              <w:pStyle w:val="TAC"/>
              <w:rPr>
                <w:highlight w:val="yellow"/>
                <w:lang w:val="en-GB" w:eastAsia="zh-CN"/>
              </w:rPr>
            </w:pPr>
            <w:r>
              <w:rPr>
                <w:lang w:val="en-GB" w:eastAsia="zh-CN"/>
              </w:rPr>
              <w:t>104</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0.28km</w:t>
            </w:r>
          </w:p>
        </w:tc>
      </w:tr>
      <w:tr>
        <w:trPr/>
        <w:tc>
          <w:tcPr>
            <w:tcW w:w="1277" w:type="dxa"/>
            <w:tcBorders>
              <w:top w:val="single" w:sz="4" w:space="0" w:color="000000"/>
              <w:left w:val="single" w:sz="4" w:space="0" w:color="000000"/>
              <w:bottom w:val="single" w:sz="4" w:space="0" w:color="000000"/>
              <w:right w:val="single" w:sz="4" w:space="0" w:color="000000"/>
            </w:tcBorders>
          </w:tcPr>
          <w:p>
            <w:pPr>
              <w:pStyle w:val="TAL"/>
              <w:rPr>
                <w:szCs w:val="22"/>
                <w:lang w:val="fr-FR" w:eastAsia="zh-CN"/>
              </w:rPr>
            </w:pPr>
            <w:r>
              <w:rPr>
                <w:szCs w:val="22"/>
                <w:lang w:val="fr-FR" w:eastAsia="zh-CN"/>
              </w:rPr>
              <w:t>T-CDMA</w:t>
            </w:r>
            <w:r>
              <w:rPr>
                <w:szCs w:val="22"/>
                <w:lang w:val="fr-FR"/>
              </w:rPr>
              <w:t xml:space="preserve"> BTS interference on </w:t>
            </w:r>
            <w:r>
              <w:rPr>
                <w:szCs w:val="22"/>
                <w:lang w:val="fr-FR" w:eastAsia="zh-CN"/>
              </w:rPr>
              <w:t xml:space="preserve">T-GSM 810 </w:t>
            </w:r>
            <w:r>
              <w:rPr>
                <w:szCs w:val="22"/>
                <w:lang w:val="fr-FR"/>
              </w:rPr>
              <w:t>MS</w:t>
            </w:r>
          </w:p>
        </w:tc>
        <w:tc>
          <w:tcPr>
            <w:tcW w:w="1653" w:type="dxa"/>
            <w:tcBorders>
              <w:top w:val="single" w:sz="4" w:space="0" w:color="000000"/>
              <w:left w:val="single" w:sz="4" w:space="0" w:color="000000"/>
              <w:bottom w:val="single" w:sz="4" w:space="0" w:color="000000"/>
              <w:right w:val="single" w:sz="4" w:space="0" w:color="000000"/>
            </w:tcBorders>
          </w:tcPr>
          <w:p>
            <w:pPr>
              <w:pStyle w:val="TAC"/>
              <w:rPr/>
            </w:pPr>
            <w:r>
              <w:rPr>
                <w:lang w:val="en-GB" w:eastAsia="zh-CN"/>
              </w:rPr>
              <w:t>9.2dBm/200kHz @750kHz~1.98MHz</w:t>
            </w:r>
          </w:p>
        </w:tc>
        <w:tc>
          <w:tcPr>
            <w:tcW w:w="8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93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59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11.2dBm/200kHz</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-113 dBm/200kHz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124.2</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1.09km</w:t>
            </w:r>
          </w:p>
        </w:tc>
      </w:tr>
    </w:tbl>
    <w:p>
      <w:pPr>
        <w:pStyle w:val="Normal"/>
        <w:widowControl w:val="false"/>
        <w:spacing w:lineRule="auto" w:line="360" w:before="0" w:after="0"/>
        <w:rPr>
          <w:lang w:eastAsia="zh-CN"/>
        </w:rPr>
      </w:pPr>
      <w:r>
        <w:rPr>
          <w:lang w:eastAsia="zh-CN"/>
        </w:rPr>
      </w:r>
    </w:p>
    <w:p>
      <w:pPr>
        <w:pStyle w:val="NO"/>
        <w:rPr/>
      </w:pPr>
      <w:r>
        <w:rPr>
          <w:lang w:eastAsia="zh-CN"/>
        </w:rPr>
        <w:t>NOTE 1:</w:t>
        <w:tab/>
      </w:r>
      <w:r>
        <w:rPr>
          <w:lang w:eastAsia="zh-CN"/>
        </w:rPr>
        <w:t>Required separation distance is calculated by O</w:t>
      </w:r>
      <w:r>
        <w:rPr>
          <w:lang w:eastAsia="zh-CN"/>
        </w:rPr>
        <w:t>k</w:t>
      </w:r>
      <w:r>
        <w:rPr>
          <w:lang w:eastAsia="zh-CN"/>
        </w:rPr>
        <w:t>umura/Hata urban p</w:t>
      </w:r>
      <w:r>
        <w:rPr/>
        <w:t>ropagation loss mode</w:t>
      </w:r>
      <w:r>
        <w:rPr>
          <w:lang w:eastAsia="zh-CN"/>
        </w:rPr>
        <w:t>l</w:t>
      </w:r>
      <w:r>
        <w:rPr>
          <w:lang w:eastAsia="zh-CN"/>
        </w:rPr>
        <w:t>.</w:t>
      </w:r>
    </w:p>
    <w:p>
      <w:pPr>
        <w:pStyle w:val="NO"/>
        <w:rPr/>
      </w:pPr>
      <w:r>
        <w:rPr>
          <w:lang w:eastAsia="zh-CN"/>
        </w:rPr>
        <w:t>NOTE 2:</w:t>
        <w:tab/>
      </w:r>
      <w:r>
        <w:rPr>
          <w:lang w:eastAsia="zh-CN"/>
        </w:rPr>
        <w:t>T-GSM 810 BTS power = 60W, feed loss is 8dB, T-CDMA BTS power = 40W</w:t>
      </w:r>
      <w:r>
        <w:rPr>
          <w:lang w:eastAsia="zh-CN"/>
        </w:rPr>
        <w:t>.</w:t>
      </w:r>
    </w:p>
    <w:p>
      <w:pPr>
        <w:pStyle w:val="NO"/>
        <w:rPr/>
      </w:pPr>
      <w:r>
        <w:rPr>
          <w:lang w:eastAsia="zh-CN"/>
        </w:rPr>
        <w:t>NOTE 3:</w:t>
        <w:tab/>
      </w:r>
      <w:r>
        <w:rPr>
          <w:lang w:eastAsia="zh-CN"/>
        </w:rPr>
        <w:t>The significant source of T-CDMA BTS interference on T-GSM 810</w:t>
      </w:r>
      <w:r>
        <w:rPr>
          <w:lang w:eastAsia="zh-CN"/>
        </w:rPr>
        <w:t xml:space="preserve"> </w:t>
      </w:r>
      <w:r>
        <w:rPr>
          <w:lang w:eastAsia="zh-CN"/>
        </w:rPr>
        <w:t xml:space="preserve">MS is spectrum emission due to </w:t>
      </w:r>
      <w:r>
        <w:rPr>
          <w:lang w:eastAsia="zh-CN"/>
        </w:rPr>
        <w:t>modulation</w:t>
      </w:r>
      <w:r>
        <w:rPr>
          <w:lang w:eastAsia="zh-CN"/>
        </w:rPr>
        <w:t xml:space="preserve"> of T-CDMA BTS.</w:t>
      </w:r>
    </w:p>
    <w:p>
      <w:pPr>
        <w:pStyle w:val="Normal"/>
        <w:rPr/>
      </w:pPr>
      <w:r>
        <w:rPr>
          <w:lang w:eastAsia="zh-CN"/>
        </w:rPr>
        <w:t xml:space="preserve">For the </w:t>
      </w:r>
      <w:r>
        <w:rPr>
          <w:lang w:eastAsia="zh-CN"/>
        </w:rPr>
        <w:t>scenario</w:t>
      </w:r>
      <w:r>
        <w:rPr>
          <w:lang w:eastAsia="zh-CN"/>
        </w:rPr>
        <w:t xml:space="preserve"> T-GSM 810 BTS </w:t>
      </w:r>
      <w:r>
        <w:rPr>
          <w:lang w:eastAsia="zh-CN"/>
        </w:rPr>
        <w:t>interfere</w:t>
      </w:r>
      <w:r>
        <w:rPr>
          <w:lang w:eastAsia="zh-CN"/>
        </w:rPr>
        <w:t xml:space="preserve"> T-CDMA MS, when </w:t>
      </w:r>
      <w:r>
        <w:rPr>
          <w:lang w:eastAsia="zh-CN"/>
        </w:rPr>
        <w:t xml:space="preserve">a </w:t>
      </w:r>
      <w:r>
        <w:rPr>
          <w:lang w:eastAsia="zh-CN"/>
        </w:rPr>
        <w:t xml:space="preserve">T-CDMA MS is at a distance of 0.28km, the noise of </w:t>
      </w:r>
      <w:r>
        <w:rPr>
          <w:lang w:eastAsia="zh-CN"/>
        </w:rPr>
        <w:t>the T-CDMA</w:t>
      </w:r>
      <w:r>
        <w:rPr>
          <w:lang w:eastAsia="zh-CN"/>
        </w:rPr>
        <w:t xml:space="preserve"> MS increase</w:t>
      </w:r>
      <w:r>
        <w:rPr>
          <w:lang w:eastAsia="zh-CN"/>
        </w:rPr>
        <w:t>s</w:t>
      </w:r>
      <w:r>
        <w:rPr>
          <w:lang w:eastAsia="zh-CN"/>
        </w:rPr>
        <w:t xml:space="preserve"> </w:t>
      </w:r>
      <w:r>
        <w:rPr>
          <w:lang w:eastAsia="zh-CN"/>
        </w:rPr>
        <w:t xml:space="preserve">by </w:t>
      </w:r>
      <w:r>
        <w:rPr>
          <w:lang w:eastAsia="zh-CN"/>
        </w:rPr>
        <w:t xml:space="preserve">3dB. The signal to interference ratio is still 10dB. When </w:t>
      </w:r>
      <w:r>
        <w:rPr>
          <w:lang w:eastAsia="zh-CN"/>
        </w:rPr>
        <w:t xml:space="preserve">a </w:t>
      </w:r>
      <w:r>
        <w:rPr>
          <w:lang w:eastAsia="zh-CN"/>
        </w:rPr>
        <w:t xml:space="preserve">T-CDMA MS is at a distance of less than 0.28km from </w:t>
      </w:r>
      <w:r>
        <w:rPr>
          <w:lang w:eastAsia="zh-CN"/>
        </w:rPr>
        <w:t xml:space="preserve">a </w:t>
      </w:r>
      <w:r>
        <w:rPr>
          <w:lang w:eastAsia="zh-CN"/>
        </w:rPr>
        <w:t>T-GSM 810 B</w:t>
      </w:r>
      <w:r>
        <w:rPr>
          <w:lang w:eastAsia="zh-CN"/>
        </w:rPr>
        <w:t>T</w:t>
      </w:r>
      <w:r>
        <w:rPr>
          <w:lang w:eastAsia="zh-CN"/>
        </w:rPr>
        <w:t xml:space="preserve">S, the actual interference exist in some area, which can be eliminated by site engineering solution in </w:t>
      </w:r>
      <w:r>
        <w:rPr>
          <w:lang w:eastAsia="zh-CN"/>
        </w:rPr>
        <w:t xml:space="preserve">a </w:t>
      </w:r>
      <w:r>
        <w:rPr>
          <w:lang w:eastAsia="zh-CN"/>
        </w:rPr>
        <w:t>real network plan.</w:t>
      </w:r>
    </w:p>
    <w:p>
      <w:pPr>
        <w:pStyle w:val="Normal"/>
        <w:rPr/>
      </w:pPr>
      <w:r>
        <w:rPr>
          <w:lang w:eastAsia="zh-CN"/>
        </w:rPr>
        <w:t xml:space="preserve">For the </w:t>
      </w:r>
      <w:r>
        <w:rPr>
          <w:lang w:eastAsia="zh-CN"/>
        </w:rPr>
        <w:t>scenario</w:t>
      </w:r>
      <w:r>
        <w:rPr>
          <w:lang w:eastAsia="zh-CN"/>
        </w:rPr>
        <w:t xml:space="preserve"> T-CDMA BTS </w:t>
      </w:r>
      <w:r>
        <w:rPr>
          <w:lang w:eastAsia="zh-CN"/>
        </w:rPr>
        <w:t>interfere</w:t>
      </w:r>
      <w:r>
        <w:rPr>
          <w:lang w:eastAsia="zh-CN"/>
        </w:rPr>
        <w:t xml:space="preserve"> T-GSM 810 MS, the interference is not tolera</w:t>
      </w:r>
      <w:r>
        <w:rPr>
          <w:lang w:eastAsia="zh-CN"/>
        </w:rPr>
        <w:t>ble</w:t>
      </w:r>
      <w:r>
        <w:rPr>
          <w:lang w:eastAsia="zh-CN"/>
        </w:rPr>
        <w:t xml:space="preserve"> to some extent.</w:t>
      </w:r>
    </w:p>
    <w:p>
      <w:pPr>
        <w:pStyle w:val="Heading3"/>
        <w:rPr/>
      </w:pPr>
      <w:bookmarkStart w:id="850" w:name="__RefHeading___Toc518036192"/>
      <w:bookmarkEnd w:id="850"/>
      <w:r>
        <w:rPr>
          <w:lang w:val="en-US"/>
        </w:rPr>
        <w:t>ZA.2.3.2</w:t>
        <w:tab/>
        <w:t>Uplink study</w:t>
      </w:r>
    </w:p>
    <w:p>
      <w:pPr>
        <w:pStyle w:val="Normal"/>
        <w:rPr>
          <w:lang w:eastAsia="zh-CN"/>
        </w:rPr>
      </w:pPr>
      <w:r>
        <w:rPr>
          <w:lang w:eastAsia="zh-CN"/>
        </w:rPr>
        <w:t xml:space="preserve">In </w:t>
      </w:r>
      <w:r>
        <w:rPr>
          <w:lang w:eastAsia="zh-CN"/>
        </w:rPr>
        <w:t>T</w:t>
      </w:r>
      <w:r>
        <w:rPr>
          <w:lang w:eastAsia="zh-CN"/>
        </w:rPr>
        <w:t xml:space="preserve">able </w:t>
      </w:r>
      <w:r>
        <w:rPr>
          <w:lang w:eastAsia="zh-CN"/>
        </w:rPr>
        <w:t xml:space="preserve">ZA.6 </w:t>
      </w:r>
      <w:r>
        <w:rPr>
          <w:lang w:eastAsia="zh-CN"/>
        </w:rPr>
        <w:t>the calculation</w:t>
      </w:r>
      <w:r>
        <w:rPr>
          <w:lang w:eastAsia="zh-CN"/>
        </w:rPr>
        <w:t>s</w:t>
      </w:r>
      <w:r>
        <w:rPr>
          <w:lang w:eastAsia="zh-CN"/>
        </w:rPr>
        <w:t xml:space="preserve"> of the interference that occurs in different uplink scenarios are provided.</w:t>
      </w:r>
    </w:p>
    <w:p>
      <w:pPr>
        <w:pStyle w:val="TH"/>
        <w:rPr/>
      </w:pPr>
      <w:r>
        <w:rPr/>
        <w:t>Table ZA.6</w:t>
      </w:r>
    </w:p>
    <w:tbl>
      <w:tblPr>
        <w:tblW w:w="9889" w:type="dxa"/>
        <w:jc w:val="right"/>
        <w:tblInd w:w="0" w:type="dxa"/>
        <w:tblLayout w:type="fixed"/>
        <w:tblCellMar>
          <w:top w:w="0" w:type="dxa"/>
          <w:left w:w="108" w:type="dxa"/>
          <w:bottom w:w="0" w:type="dxa"/>
          <w:right w:w="108" w:type="dxa"/>
        </w:tblCellMar>
      </w:tblPr>
      <w:tblGrid>
        <w:gridCol w:w="1276"/>
        <w:gridCol w:w="1741"/>
        <w:gridCol w:w="777"/>
        <w:gridCol w:w="944"/>
        <w:gridCol w:w="1419"/>
        <w:gridCol w:w="1419"/>
        <w:gridCol w:w="1186"/>
        <w:gridCol w:w="1127"/>
      </w:tblGrid>
      <w:tr>
        <w:trPr/>
        <w:tc>
          <w:tcPr>
            <w:tcW w:w="1276"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Scenario</w:t>
            </w:r>
          </w:p>
        </w:tc>
        <w:tc>
          <w:tcPr>
            <w:tcW w:w="174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Tx Power</w:t>
            </w:r>
          </w:p>
        </w:tc>
        <w:tc>
          <w:tcPr>
            <w:tcW w:w="77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Rx losses</w:t>
            </w:r>
          </w:p>
        </w:tc>
        <w:tc>
          <w:tcPr>
            <w:tcW w:w="944"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R</w:t>
            </w:r>
            <w:r>
              <w:rPr>
                <w:lang w:eastAsia="en-US"/>
              </w:rPr>
              <w:t>x Ant Gain</w:t>
            </w:r>
          </w:p>
        </w:tc>
        <w:tc>
          <w:tcPr>
            <w:tcW w:w="141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Interference Power</w:t>
            </w:r>
          </w:p>
        </w:tc>
        <w:tc>
          <w:tcPr>
            <w:tcW w:w="1419"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Affordable </w:t>
            </w:r>
            <w:r>
              <w:rPr>
                <w:lang w:eastAsia="zh-CN"/>
              </w:rPr>
              <w:t>I</w:t>
            </w:r>
            <w:r>
              <w:rPr>
                <w:lang w:eastAsia="zh-CN"/>
              </w:rPr>
              <w:t xml:space="preserve">nterference </w:t>
            </w:r>
            <w:r>
              <w:rPr>
                <w:lang w:eastAsia="en-US"/>
              </w:rPr>
              <w:t>for victim system</w:t>
            </w:r>
          </w:p>
        </w:tc>
        <w:tc>
          <w:tcPr>
            <w:tcW w:w="11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zh-CN"/>
              </w:rPr>
              <w:t>Required attenuation</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Required </w:t>
            </w:r>
            <w:r>
              <w:rPr>
                <w:lang w:eastAsia="zh-CN"/>
              </w:rPr>
              <w:t>separation</w:t>
            </w:r>
            <w:r>
              <w:rPr>
                <w:lang w:eastAsia="zh-CN"/>
              </w:rPr>
              <w:t xml:space="preserve"> distance</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174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77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94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dBi</w:t>
            </w:r>
          </w:p>
        </w:tc>
        <w:tc>
          <w:tcPr>
            <w:tcW w:w="141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41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dBm</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dB</w:t>
            </w:r>
          </w:p>
        </w:tc>
        <w:tc>
          <w:tcPr>
            <w:tcW w:w="112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r>
      <w:tr>
        <w:trPr>
          <w:cantSplit w:val="true"/>
        </w:trPr>
        <w:tc>
          <w:tcPr>
            <w:tcW w:w="1276" w:type="dxa"/>
            <w:vMerge w:val="restart"/>
            <w:tcBorders>
              <w:top w:val="single" w:sz="4" w:space="0" w:color="000000"/>
              <w:left w:val="single" w:sz="4" w:space="0" w:color="000000"/>
              <w:bottom w:val="single" w:sz="4" w:space="0" w:color="000000"/>
              <w:right w:val="single" w:sz="4" w:space="0" w:color="000000"/>
            </w:tcBorders>
          </w:tcPr>
          <w:p>
            <w:pPr>
              <w:pStyle w:val="TAL"/>
              <w:rPr>
                <w:lang w:val="en-GB"/>
              </w:rPr>
            </w:pPr>
            <w:r>
              <w:rPr>
                <w:szCs w:val="22"/>
                <w:lang w:val="en-GB"/>
              </w:rPr>
              <w:t xml:space="preserve">T-GSM 810 MS interference on </w:t>
            </w:r>
            <w:r>
              <w:rPr>
                <w:szCs w:val="22"/>
                <w:lang w:val="en-GB" w:eastAsia="zh-CN"/>
              </w:rPr>
              <w:t>T-CDMA</w:t>
            </w:r>
            <w:r>
              <w:rPr>
                <w:szCs w:val="22"/>
                <w:lang w:val="en-GB"/>
              </w:rPr>
              <w:t xml:space="preserve"> BTS</w:t>
            </w:r>
          </w:p>
        </w:tc>
        <w:tc>
          <w:tcPr>
            <w:tcW w:w="174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33</w:t>
            </w:r>
          </w:p>
        </w:tc>
        <w:tc>
          <w:tcPr>
            <w:tcW w:w="77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4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1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39</w:t>
            </w:r>
          </w:p>
        </w:tc>
        <w:tc>
          <w:tcPr>
            <w:tcW w:w="141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-74@750kHz</w:t>
            </w:r>
          </w:p>
          <w:p>
            <w:pPr>
              <w:pStyle w:val="TAC"/>
              <w:rPr>
                <w:lang w:val="en-GB" w:eastAsia="zh-CN"/>
              </w:rPr>
            </w:pPr>
            <w:r>
              <w:rPr>
                <w:lang w:val="en-GB" w:eastAsia="zh-CN"/>
              </w:rPr>
              <w:t>-37@900kHz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113</w:t>
            </w:r>
          </w:p>
          <w:p>
            <w:pPr>
              <w:pStyle w:val="TAC"/>
              <w:rPr>
                <w:lang w:val="en-GB" w:eastAsia="zh-CN"/>
              </w:rPr>
            </w:pPr>
            <w:r>
              <w:rPr>
                <w:lang w:val="en-GB" w:eastAsia="zh-CN"/>
              </w:rPr>
              <w:t>76</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0.51km</w:t>
            </w:r>
          </w:p>
          <w:p>
            <w:pPr>
              <w:pStyle w:val="TAC"/>
              <w:rPr>
                <w:lang w:val="en-GB" w:eastAsia="zh-CN"/>
              </w:rPr>
            </w:pPr>
            <w:r>
              <w:rPr>
                <w:lang w:val="en-GB" w:eastAsia="zh-CN"/>
              </w:rPr>
              <w:t>41m</w:t>
            </w:r>
          </w:p>
        </w:tc>
      </w:tr>
      <w:tr>
        <w:trPr>
          <w:cantSplit w:val="true"/>
        </w:trPr>
        <w:tc>
          <w:tcPr>
            <w:tcW w:w="127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Cs w:val="22"/>
                <w:lang w:val="en-GB" w:eastAsia="zh-CN"/>
              </w:rPr>
            </w:pPr>
            <w:r>
              <w:rPr>
                <w:szCs w:val="22"/>
                <w:lang w:val="en-GB" w:eastAsia="zh-CN"/>
              </w:rPr>
            </w:r>
          </w:p>
        </w:tc>
        <w:tc>
          <w:tcPr>
            <w:tcW w:w="1741" w:type="dxa"/>
            <w:tcBorders>
              <w:top w:val="single" w:sz="4" w:space="0" w:color="000000"/>
              <w:left w:val="single" w:sz="4" w:space="0" w:color="000000"/>
              <w:bottom w:val="single" w:sz="4" w:space="0" w:color="000000"/>
              <w:right w:val="single" w:sz="4" w:space="0" w:color="000000"/>
            </w:tcBorders>
          </w:tcPr>
          <w:p>
            <w:pPr>
              <w:pStyle w:val="TAC"/>
              <w:rPr/>
            </w:pPr>
            <w:r>
              <w:rPr>
                <w:lang w:val="en-GB" w:eastAsia="zh-CN"/>
              </w:rPr>
              <w:t>-20dBm/1.25MHz @600kHz-1800kHz</w:t>
            </w:r>
          </w:p>
        </w:tc>
        <w:tc>
          <w:tcPr>
            <w:tcW w:w="77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4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1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-14 dBm/1.25MHz</w:t>
            </w:r>
          </w:p>
        </w:tc>
        <w:tc>
          <w:tcPr>
            <w:tcW w:w="141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-108 dBm/1.25MHz</w:t>
            </w:r>
          </w:p>
        </w:tc>
        <w:tc>
          <w:tcPr>
            <w:tcW w:w="1186" w:type="dxa"/>
            <w:tcBorders>
              <w:top w:val="single" w:sz="4" w:space="0" w:color="000000"/>
              <w:left w:val="single" w:sz="4" w:space="0" w:color="000000"/>
              <w:bottom w:val="single" w:sz="4" w:space="0" w:color="000000"/>
              <w:right w:val="single" w:sz="4" w:space="0" w:color="000000"/>
            </w:tcBorders>
          </w:tcPr>
          <w:p>
            <w:pPr>
              <w:pStyle w:val="TAC"/>
              <w:rPr>
                <w:highlight w:val="yellow"/>
                <w:lang w:val="en-GB" w:eastAsia="zh-CN"/>
              </w:rPr>
            </w:pPr>
            <w:r>
              <w:rPr>
                <w:lang w:val="en-GB" w:eastAsia="zh-CN"/>
              </w:rPr>
              <w:t>94</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0.14km</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L"/>
              <w:rPr>
                <w:szCs w:val="22"/>
                <w:lang w:val="en-GB" w:eastAsia="zh-CN"/>
              </w:rPr>
            </w:pPr>
            <w:r>
              <w:rPr>
                <w:szCs w:val="22"/>
                <w:lang w:val="en-GB" w:eastAsia="zh-CN"/>
              </w:rPr>
              <w:t>T-CDMA</w:t>
            </w:r>
            <w:r>
              <w:rPr>
                <w:szCs w:val="22"/>
                <w:lang w:val="en-GB"/>
              </w:rPr>
              <w:t xml:space="preserve"> MS interference on </w:t>
            </w:r>
            <w:r>
              <w:rPr>
                <w:szCs w:val="22"/>
                <w:lang w:val="en-GB" w:eastAsia="zh-CN"/>
              </w:rPr>
              <w:t xml:space="preserve">T-GSM 810 </w:t>
            </w:r>
            <w:r>
              <w:rPr>
                <w:szCs w:val="22"/>
                <w:lang w:val="en-GB"/>
              </w:rPr>
              <w:t>BTS</w:t>
            </w:r>
          </w:p>
        </w:tc>
        <w:tc>
          <w:tcPr>
            <w:tcW w:w="174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-11dBm/200kHz @750-1980kHz</w:t>
            </w:r>
          </w:p>
        </w:tc>
        <w:tc>
          <w:tcPr>
            <w:tcW w:w="77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94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41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w:t>
            </w:r>
          </w:p>
        </w:tc>
        <w:tc>
          <w:tcPr>
            <w:tcW w:w="1419"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-116 dBm/200kHz</w:t>
            </w:r>
          </w:p>
        </w:tc>
        <w:tc>
          <w:tcPr>
            <w:tcW w:w="118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111</w:t>
            </w:r>
          </w:p>
        </w:tc>
        <w:tc>
          <w:tcPr>
            <w:tcW w:w="1127"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300m</w:t>
            </w:r>
          </w:p>
        </w:tc>
      </w:tr>
    </w:tbl>
    <w:p>
      <w:pPr>
        <w:pStyle w:val="Normal"/>
        <w:widowControl w:val="false"/>
        <w:spacing w:lineRule="auto" w:line="360" w:before="0" w:after="0"/>
        <w:rPr>
          <w:lang w:eastAsia="zh-CN"/>
        </w:rPr>
      </w:pPr>
      <w:r>
        <w:rPr>
          <w:lang w:eastAsia="zh-CN"/>
        </w:rPr>
      </w:r>
    </w:p>
    <w:p>
      <w:pPr>
        <w:pStyle w:val="NO"/>
        <w:rPr/>
      </w:pPr>
      <w:r>
        <w:rPr>
          <w:lang w:eastAsia="zh-CN"/>
        </w:rPr>
        <w:t>NOTE 1:</w:t>
        <w:tab/>
      </w:r>
      <w:r>
        <w:rPr>
          <w:lang w:eastAsia="zh-CN"/>
        </w:rPr>
        <w:t>Required separation distance is calculated by O</w:t>
      </w:r>
      <w:r>
        <w:rPr>
          <w:lang w:eastAsia="zh-CN"/>
        </w:rPr>
        <w:t>k</w:t>
      </w:r>
      <w:r>
        <w:rPr>
          <w:lang w:eastAsia="zh-CN"/>
        </w:rPr>
        <w:t>umura/Hata urban p</w:t>
      </w:r>
      <w:r>
        <w:rPr/>
        <w:t>ropagation loss mode</w:t>
      </w:r>
      <w:r>
        <w:rPr>
          <w:lang w:eastAsia="zh-CN"/>
        </w:rPr>
        <w:t>l</w:t>
      </w:r>
      <w:r>
        <w:rPr>
          <w:lang w:eastAsia="zh-CN"/>
        </w:rPr>
        <w:t>.</w:t>
      </w:r>
    </w:p>
    <w:p>
      <w:pPr>
        <w:pStyle w:val="Normal"/>
        <w:rPr/>
      </w:pPr>
      <w:r>
        <w:rPr>
          <w:lang w:eastAsia="zh-CN"/>
        </w:rPr>
        <w:t xml:space="preserve">For the scenario T-GSM 810 MS interfere T-CDMA BTS, </w:t>
      </w:r>
      <w:r>
        <w:rPr>
          <w:lang w:eastAsia="zh-CN"/>
        </w:rPr>
        <w:t xml:space="preserve">in </w:t>
      </w:r>
      <w:r>
        <w:rPr>
          <w:lang w:eastAsia="zh-CN"/>
        </w:rPr>
        <w:t>the above table the worst case</w:t>
      </w:r>
      <w:r>
        <w:rPr>
          <w:lang w:eastAsia="zh-CN"/>
        </w:rPr>
        <w:t xml:space="preserve"> is </w:t>
      </w:r>
      <w:r>
        <w:rPr>
          <w:lang w:eastAsia="zh-CN"/>
        </w:rPr>
        <w:t>consider</w:t>
      </w:r>
      <w:r>
        <w:rPr>
          <w:lang w:eastAsia="zh-CN"/>
        </w:rPr>
        <w:t>ed</w:t>
      </w:r>
      <w:r>
        <w:rPr>
          <w:lang w:eastAsia="zh-CN"/>
        </w:rPr>
        <w:t xml:space="preserve">. In </w:t>
      </w:r>
      <w:r>
        <w:rPr>
          <w:lang w:eastAsia="zh-CN"/>
        </w:rPr>
        <w:t xml:space="preserve">a </w:t>
      </w:r>
      <w:r>
        <w:rPr>
          <w:lang w:eastAsia="zh-CN"/>
        </w:rPr>
        <w:t xml:space="preserve">real network, </w:t>
      </w:r>
      <w:r>
        <w:rPr>
          <w:lang w:eastAsia="zh-CN"/>
        </w:rPr>
        <w:t xml:space="preserve">a </w:t>
      </w:r>
      <w:r>
        <w:rPr>
          <w:lang w:eastAsia="zh-CN"/>
        </w:rPr>
        <w:t xml:space="preserve">T-GSM 810 MS transmit power is far below </w:t>
      </w:r>
      <w:r>
        <w:rPr>
          <w:lang w:eastAsia="zh-CN"/>
        </w:rPr>
        <w:t xml:space="preserve">the </w:t>
      </w:r>
      <w:r>
        <w:rPr>
          <w:lang w:eastAsia="zh-CN"/>
        </w:rPr>
        <w:t xml:space="preserve">maximum output power and the required separation distance is only about several meters. </w:t>
      </w:r>
      <w:r>
        <w:rPr>
          <w:lang w:eastAsia="zh-CN"/>
        </w:rPr>
        <w:t>S</w:t>
      </w:r>
      <w:r>
        <w:rPr>
          <w:lang w:eastAsia="zh-CN"/>
        </w:rPr>
        <w:t>o the interference influence is not significant.</w:t>
      </w:r>
    </w:p>
    <w:p>
      <w:pPr>
        <w:pStyle w:val="Normal"/>
        <w:rPr/>
      </w:pPr>
      <w:r>
        <w:rPr>
          <w:lang w:eastAsia="zh-CN"/>
        </w:rPr>
        <w:t xml:space="preserve">For the scenario T-CDMA MS interfere T-GSM 810 BTS, when </w:t>
      </w:r>
      <w:r>
        <w:rPr>
          <w:lang w:eastAsia="zh-CN"/>
        </w:rPr>
        <w:t xml:space="preserve">a </w:t>
      </w:r>
      <w:r>
        <w:rPr>
          <w:lang w:eastAsia="zh-CN"/>
        </w:rPr>
        <w:t xml:space="preserve">T-CDMA MS is at a distance of 300m, the noise of </w:t>
      </w:r>
      <w:r>
        <w:rPr>
          <w:lang w:eastAsia="zh-CN"/>
        </w:rPr>
        <w:t xml:space="preserve">the </w:t>
      </w:r>
      <w:r>
        <w:rPr>
          <w:lang w:eastAsia="zh-CN"/>
        </w:rPr>
        <w:t>T-GSM 810 B</w:t>
      </w:r>
      <w:r>
        <w:rPr>
          <w:lang w:eastAsia="zh-CN"/>
        </w:rPr>
        <w:t>TS</w:t>
      </w:r>
      <w:r>
        <w:rPr>
          <w:lang w:eastAsia="zh-CN"/>
        </w:rPr>
        <w:t xml:space="preserve"> increase</w:t>
      </w:r>
      <w:r>
        <w:rPr>
          <w:lang w:eastAsia="zh-CN"/>
        </w:rPr>
        <w:t>s</w:t>
      </w:r>
      <w:r>
        <w:rPr>
          <w:lang w:eastAsia="zh-CN"/>
        </w:rPr>
        <w:t xml:space="preserve"> </w:t>
      </w:r>
      <w:r>
        <w:rPr>
          <w:lang w:eastAsia="zh-CN"/>
        </w:rPr>
        <w:t xml:space="preserve">by </w:t>
      </w:r>
      <w:r>
        <w:rPr>
          <w:lang w:eastAsia="zh-CN"/>
        </w:rPr>
        <w:t xml:space="preserve">3dB. The signal to interference ratio is still 18dB. In </w:t>
      </w:r>
      <w:r>
        <w:rPr>
          <w:lang w:eastAsia="zh-CN"/>
        </w:rPr>
        <w:t xml:space="preserve">a </w:t>
      </w:r>
      <w:r>
        <w:rPr>
          <w:lang w:eastAsia="zh-CN"/>
        </w:rPr>
        <w:t xml:space="preserve">real network, power control is used, the probability that </w:t>
      </w:r>
      <w:r>
        <w:rPr>
          <w:lang w:eastAsia="zh-CN"/>
        </w:rPr>
        <w:t xml:space="preserve">the </w:t>
      </w:r>
      <w:r>
        <w:rPr>
          <w:lang w:eastAsia="zh-CN"/>
        </w:rPr>
        <w:t xml:space="preserve">T-CDMA MS transmit power is </w:t>
      </w:r>
      <w:r>
        <w:rPr>
          <w:lang w:eastAsia="zh-CN"/>
        </w:rPr>
        <w:t xml:space="preserve">equal to the </w:t>
      </w:r>
      <w:r>
        <w:rPr>
          <w:lang w:eastAsia="zh-CN"/>
        </w:rPr>
        <w:t>maximum output power is small.</w:t>
      </w:r>
      <w:r>
        <w:rPr>
          <w:lang w:eastAsia="zh-CN"/>
        </w:rPr>
        <w:t xml:space="preserve"> S</w:t>
      </w:r>
      <w:r>
        <w:rPr>
          <w:lang w:eastAsia="zh-CN"/>
        </w:rPr>
        <w:t>o the interference influence is not significant.</w:t>
      </w:r>
    </w:p>
    <w:p>
      <w:pPr>
        <w:pStyle w:val="Heading1"/>
        <w:spacing w:before="120" w:after="120"/>
        <w:ind w:left="1134" w:hanging="1134"/>
        <w:rPr/>
      </w:pPr>
      <w:bookmarkStart w:id="851" w:name="__RefHeading___Toc518036193"/>
      <w:bookmarkEnd w:id="851"/>
      <w:r>
        <w:rPr/>
        <w:t>ZA.3</w:t>
        <w:tab/>
        <w:t>Conclusion</w:t>
      </w:r>
    </w:p>
    <w:p>
      <w:pPr>
        <w:pStyle w:val="Normal"/>
        <w:rPr/>
      </w:pPr>
      <w:r>
        <w:rPr>
          <w:lang w:eastAsia="zh-CN"/>
        </w:rPr>
        <w:t xml:space="preserve">When in China T-GSM 810 system is deployed together with other three systems, the interference influence is not significant. Though in some </w:t>
      </w:r>
      <w:r>
        <w:rPr>
          <w:lang w:eastAsia="zh-CN"/>
        </w:rPr>
        <w:t>scenarios</w:t>
      </w:r>
      <w:r>
        <w:rPr>
          <w:lang w:eastAsia="zh-CN"/>
        </w:rPr>
        <w:t xml:space="preserve"> the requirements for T-GSM 810 and other systems </w:t>
      </w:r>
      <w:r>
        <w:rPr>
          <w:lang w:eastAsia="zh-CN"/>
        </w:rPr>
        <w:t>are</w:t>
      </w:r>
      <w:r>
        <w:rPr>
          <w:lang w:eastAsia="zh-CN"/>
        </w:rPr>
        <w:t xml:space="preserve"> not sufficient to fulfill the coexistence, this can be solved by co-ordination using site engineering solution</w:t>
      </w:r>
      <w:r>
        <w:rPr>
          <w:lang w:eastAsia="zh-CN"/>
        </w:rPr>
        <w:t>s</w:t>
      </w:r>
      <w:r>
        <w:rPr>
          <w:lang w:eastAsia="zh-CN"/>
        </w:rPr>
        <w:t xml:space="preserve"> and </w:t>
      </w:r>
      <w:r>
        <w:rPr>
          <w:lang w:eastAsia="zh-CN"/>
        </w:rPr>
        <w:t>appropriate</w:t>
      </w:r>
      <w:r>
        <w:rPr>
          <w:lang w:eastAsia="zh-CN"/>
        </w:rPr>
        <w:t xml:space="preserve"> frequency plan</w:t>
      </w:r>
      <w:r>
        <w:rPr>
          <w:lang w:eastAsia="zh-CN"/>
        </w:rPr>
        <w:t>ning</w:t>
      </w:r>
      <w:r>
        <w:rPr>
          <w:lang w:eastAsia="zh-CN"/>
        </w:rPr>
        <w:t xml:space="preserve"> in network deployment, or a guard band </w:t>
      </w:r>
      <w:r>
        <w:rPr>
          <w:lang w:eastAsia="zh-CN"/>
        </w:rPr>
        <w:t>can</w:t>
      </w:r>
      <w:r>
        <w:rPr>
          <w:lang w:eastAsia="zh-CN"/>
        </w:rPr>
        <w:t xml:space="preserve"> also </w:t>
      </w:r>
      <w:r>
        <w:rPr>
          <w:lang w:eastAsia="zh-CN"/>
        </w:rPr>
        <w:t xml:space="preserve">be </w:t>
      </w:r>
      <w:r>
        <w:rPr>
          <w:lang w:eastAsia="zh-CN"/>
        </w:rPr>
        <w:t>considered.</w:t>
      </w:r>
    </w:p>
    <w:p>
      <w:pPr>
        <w:pStyle w:val="Heading1"/>
        <w:spacing w:before="120" w:after="120"/>
        <w:ind w:left="1134" w:hanging="1134"/>
        <w:rPr/>
      </w:pPr>
      <w:bookmarkStart w:id="852" w:name="__RefHeading___Toc518036194"/>
      <w:bookmarkEnd w:id="852"/>
      <w:r>
        <w:rPr/>
        <w:t>ZA.4</w:t>
        <w:tab/>
        <w:t>System parameters</w:t>
      </w:r>
    </w:p>
    <w:p>
      <w:pPr>
        <w:pStyle w:val="Normal"/>
        <w:rPr/>
      </w:pPr>
      <w:r>
        <w:rPr>
          <w:lang w:eastAsia="zh-CN"/>
        </w:rPr>
        <w:t>T</w:t>
      </w:r>
      <w:r>
        <w:rPr>
          <w:lang w:eastAsia="zh-CN"/>
        </w:rPr>
        <w:t>able ZA.7</w:t>
      </w:r>
      <w:r>
        <w:rPr>
          <w:lang w:eastAsia="zh-CN"/>
        </w:rPr>
        <w:t xml:space="preserve"> provides </w:t>
      </w:r>
      <w:r>
        <w:rPr>
          <w:lang w:eastAsia="zh-CN"/>
        </w:rPr>
        <w:t xml:space="preserve">a </w:t>
      </w:r>
      <w:r>
        <w:rPr>
          <w:lang w:eastAsia="zh-CN"/>
        </w:rPr>
        <w:t>partial list</w:t>
      </w:r>
      <w:r>
        <w:rPr>
          <w:lang w:eastAsia="zh-CN"/>
        </w:rPr>
        <w:t xml:space="preserve"> of </w:t>
      </w:r>
      <w:r>
        <w:rPr>
          <w:lang w:eastAsia="zh-CN"/>
        </w:rPr>
        <w:t>system parameter</w:t>
      </w:r>
      <w:r>
        <w:rPr>
          <w:lang w:eastAsia="zh-CN"/>
        </w:rPr>
        <w:t>s</w:t>
      </w:r>
      <w:r>
        <w:rPr>
          <w:lang w:eastAsia="zh-CN"/>
        </w:rPr>
        <w:t xml:space="preserve"> used in the </w:t>
      </w:r>
      <w:r>
        <w:rPr>
          <w:lang w:eastAsia="zh-CN"/>
        </w:rPr>
        <w:t>Annex</w:t>
      </w:r>
      <w:r>
        <w:rPr>
          <w:lang w:eastAsia="zh-CN"/>
        </w:rPr>
        <w:t xml:space="preserve"> for T-GSM 810, iDEN</w:t>
      </w:r>
      <w:r>
        <w:rPr>
          <w:vertAlign w:val="superscript"/>
          <w:lang w:eastAsia="zh-CN"/>
        </w:rPr>
        <w:t>TM</w:t>
      </w:r>
      <w:r>
        <w:rPr>
          <w:lang w:eastAsia="zh-CN"/>
        </w:rPr>
        <w:t>, TETRA</w:t>
      </w:r>
      <w:r>
        <w:rPr>
          <w:lang w:eastAsia="zh-CN"/>
        </w:rPr>
        <w:t xml:space="preserve"> and</w:t>
      </w:r>
      <w:r>
        <w:rPr>
          <w:lang w:eastAsia="zh-CN"/>
        </w:rPr>
        <w:t xml:space="preserve"> T-CDMA systems</w:t>
      </w:r>
      <w:r>
        <w:rPr>
          <w:lang w:eastAsia="zh-CN"/>
        </w:rPr>
        <w:t xml:space="preserve"> (see references [2], [3] and [4]).</w:t>
      </w:r>
    </w:p>
    <w:p>
      <w:pPr>
        <w:pStyle w:val="TH"/>
        <w:rPr/>
      </w:pPr>
      <w:r>
        <w:rPr>
          <w:lang w:eastAsia="zh-CN"/>
        </w:rPr>
        <w:t>Table ZA.7 - S</w:t>
      </w:r>
      <w:r>
        <w:rPr>
          <w:lang w:eastAsia="zh-CN"/>
        </w:rPr>
        <w:t>ystem parameter</w:t>
      </w:r>
      <w:r>
        <w:rPr/>
        <w:t>s</w:t>
      </w:r>
    </w:p>
    <w:tbl>
      <w:tblPr>
        <w:tblW w:w="9948" w:type="dxa"/>
        <w:jc w:val="center"/>
        <w:tblInd w:w="0" w:type="dxa"/>
        <w:tblLayout w:type="fixed"/>
        <w:tblCellMar>
          <w:top w:w="0" w:type="dxa"/>
          <w:left w:w="108" w:type="dxa"/>
          <w:bottom w:w="0" w:type="dxa"/>
          <w:right w:w="108" w:type="dxa"/>
        </w:tblCellMar>
      </w:tblPr>
      <w:tblGrid>
        <w:gridCol w:w="2440"/>
        <w:gridCol w:w="1892"/>
        <w:gridCol w:w="1876"/>
        <w:gridCol w:w="1774"/>
        <w:gridCol w:w="1966"/>
      </w:tblGrid>
      <w:tr>
        <w:trPr/>
        <w:tc>
          <w:tcPr>
            <w:tcW w:w="244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System parameter</w:t>
            </w:r>
          </w:p>
        </w:tc>
        <w:tc>
          <w:tcPr>
            <w:tcW w:w="1892"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T-GSM 810</w:t>
            </w:r>
          </w:p>
        </w:tc>
        <w:tc>
          <w:tcPr>
            <w:tcW w:w="1876"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iDEN</w:t>
            </w:r>
            <w:r>
              <w:rPr>
                <w:vertAlign w:val="superscript"/>
                <w:lang w:eastAsia="zh-CN"/>
              </w:rPr>
              <w:t>TM</w:t>
            </w:r>
          </w:p>
        </w:tc>
        <w:tc>
          <w:tcPr>
            <w:tcW w:w="1774"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TETRA</w:t>
            </w:r>
          </w:p>
        </w:tc>
        <w:tc>
          <w:tcPr>
            <w:tcW w:w="1966"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T-CDMA</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BTS transmit power</w:t>
            </w:r>
            <w:r>
              <w:rPr>
                <w:lang w:val="en-GB" w:eastAsia="zh-CN"/>
              </w:rPr>
              <w:t xml:space="preserve"> </w:t>
            </w:r>
            <w:r>
              <w:rPr>
                <w:lang w:val="en-GB" w:eastAsia="zh-CN"/>
              </w:rPr>
              <w:t>(dBm)</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47.8</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48</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46</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46</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BTS thermal noise</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-116dBm/200kHz</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-125dBm/25kHz</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-125dBm/25kHz</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-108dBm/1.25MHz</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BTS reference sensitivity level</w:t>
            </w:r>
            <w:r>
              <w:rPr>
                <w:lang w:val="en-GB" w:eastAsia="zh-CN"/>
              </w:rPr>
              <w:t xml:space="preserve"> </w:t>
            </w:r>
            <w:r>
              <w:rPr>
                <w:lang w:val="en-GB" w:eastAsia="zh-CN"/>
              </w:rPr>
              <w:t>(dBm)</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-104</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-114.5</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-115</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-124</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BTS antenna Tx gain</w:t>
            </w:r>
            <w:r>
              <w:rPr>
                <w:lang w:val="en-GB" w:eastAsia="zh-CN"/>
              </w:rPr>
              <w:t xml:space="preserve"> </w:t>
            </w:r>
            <w:r>
              <w:rPr>
                <w:lang w:val="en-GB" w:eastAsia="zh-CN"/>
              </w:rPr>
              <w:t>(dBi)</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BTS Tx feed loss</w:t>
            </w:r>
            <w:r>
              <w:rPr>
                <w:lang w:val="en-GB" w:eastAsia="zh-CN"/>
              </w:rPr>
              <w:t xml:space="preserve"> </w:t>
            </w:r>
            <w:r>
              <w:rPr>
                <w:lang w:val="en-GB" w:eastAsia="zh-CN"/>
              </w:rPr>
              <w:t>(dB)</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8</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BTS Rx feed loss</w:t>
            </w:r>
            <w:r>
              <w:rPr>
                <w:lang w:val="en-GB" w:eastAsia="zh-CN"/>
              </w:rPr>
              <w:t xml:space="preserve"> </w:t>
            </w:r>
            <w:r>
              <w:rPr>
                <w:lang w:val="en-GB" w:eastAsia="zh-CN"/>
              </w:rPr>
              <w:t>(dB)</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BTS antenna Rx gain</w:t>
            </w:r>
            <w:r>
              <w:rPr>
                <w:lang w:val="en-GB" w:eastAsia="zh-CN"/>
              </w:rPr>
              <w:t xml:space="preserve"> </w:t>
            </w:r>
            <w:r>
              <w:rPr>
                <w:lang w:val="en-GB" w:eastAsia="zh-CN"/>
              </w:rPr>
              <w:t>(dBi)</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BTS antenna height</w:t>
            </w:r>
            <w:r>
              <w:rPr>
                <w:lang w:val="en-GB" w:eastAsia="zh-CN"/>
              </w:rPr>
              <w:t xml:space="preserve"> </w:t>
            </w:r>
            <w:r>
              <w:rPr>
                <w:lang w:val="en-GB" w:eastAsia="zh-CN"/>
              </w:rPr>
              <w:t>(m)</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50</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50</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50</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50</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MS transmit power</w:t>
            </w:r>
            <w:r>
              <w:rPr>
                <w:lang w:val="en-GB" w:eastAsia="zh-CN"/>
              </w:rPr>
              <w:t xml:space="preserve"> </w:t>
            </w:r>
            <w:r>
              <w:rPr>
                <w:lang w:val="en-GB" w:eastAsia="zh-CN"/>
              </w:rPr>
              <w:t>(dBm)</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33</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35</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45</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23</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MS thermal noise</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-113dBm/200kHz</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-122dBm/25kHz</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-122dBm/25kHz</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-105dBm/1.25MHz</w:t>
            </w:r>
          </w:p>
        </w:tc>
      </w:tr>
      <w:tr>
        <w:trPr/>
        <w:tc>
          <w:tcPr>
            <w:tcW w:w="244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MS receive signal level in coverage edge (dBm)</w:t>
            </w:r>
          </w:p>
        </w:tc>
        <w:tc>
          <w:tcPr>
            <w:tcW w:w="1892"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-90</w:t>
            </w:r>
          </w:p>
        </w:tc>
        <w:tc>
          <w:tcPr>
            <w:tcW w:w="187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-100</w:t>
            </w:r>
          </w:p>
        </w:tc>
        <w:tc>
          <w:tcPr>
            <w:tcW w:w="177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-100</w:t>
            </w:r>
          </w:p>
        </w:tc>
        <w:tc>
          <w:tcPr>
            <w:tcW w:w="196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-92</w:t>
            </w:r>
          </w:p>
        </w:tc>
      </w:tr>
    </w:tbl>
    <w:p>
      <w:pPr>
        <w:pStyle w:val="FP"/>
        <w:rPr>
          <w:lang w:eastAsia="zh-CN"/>
        </w:rPr>
      </w:pPr>
      <w:r>
        <w:rPr>
          <w:lang w:eastAsia="zh-CN"/>
        </w:rPr>
      </w:r>
    </w:p>
    <w:p>
      <w:pPr>
        <w:pStyle w:val="Heading1"/>
        <w:spacing w:before="120" w:after="120"/>
        <w:ind w:left="1134" w:hanging="1134"/>
        <w:rPr/>
      </w:pPr>
      <w:bookmarkStart w:id="853" w:name="__RefHeading___Toc518036195"/>
      <w:bookmarkEnd w:id="853"/>
      <w:r>
        <w:rPr/>
        <w:t>ZA.5</w:t>
        <w:tab/>
        <w:t>References</w:t>
      </w:r>
    </w:p>
    <w:p>
      <w:pPr>
        <w:pStyle w:val="EX"/>
        <w:rPr/>
      </w:pPr>
      <w:r>
        <w:rPr>
          <w:lang w:eastAsia="zh-CN"/>
        </w:rPr>
        <w:t>[1]</w:t>
        <w:tab/>
        <w:t>ECC Report 005, "Adjacent band compatibility between GSM and TETRA Mobile Services at 915 MHz", Baden, June 2002</w:t>
      </w:r>
    </w:p>
    <w:p>
      <w:pPr>
        <w:pStyle w:val="EX"/>
        <w:rPr/>
      </w:pPr>
      <w:r>
        <w:rPr>
          <w:szCs w:val="22"/>
          <w:lang w:eastAsia="zh-CN"/>
        </w:rPr>
        <w:t>[</w:t>
      </w:r>
      <w:r>
        <w:rPr>
          <w:szCs w:val="22"/>
          <w:lang w:eastAsia="zh-CN"/>
        </w:rPr>
        <w:t>2</w:t>
      </w:r>
      <w:r>
        <w:rPr>
          <w:szCs w:val="22"/>
          <w:lang w:eastAsia="zh-CN"/>
        </w:rPr>
        <w:t>]</w:t>
      </w:r>
      <w:r>
        <w:rPr>
          <w:szCs w:val="22"/>
          <w:lang w:eastAsia="zh-CN"/>
        </w:rPr>
        <w:tab/>
      </w:r>
      <w:r>
        <w:rPr>
          <w:szCs w:val="22"/>
          <w:lang w:eastAsia="zh-CN"/>
        </w:rPr>
        <w:t>YDC 030-2004</w:t>
      </w:r>
      <w:r>
        <w:rPr>
          <w:szCs w:val="22"/>
          <w:lang w:eastAsia="zh-CN"/>
        </w:rPr>
        <w:t>, "Technical Requirements for the GSM-based Digital Trunking Mobile Communication System"</w:t>
      </w:r>
      <w:r>
        <w:rPr>
          <w:szCs w:val="22"/>
          <w:lang w:eastAsia="zh-CN"/>
        </w:rPr>
        <w:t>, China</w:t>
      </w:r>
      <w:r>
        <w:rPr>
          <w:szCs w:val="22"/>
          <w:lang w:eastAsia="zh-CN"/>
        </w:rPr>
        <w:t xml:space="preserve"> Communications Standards Association (CCSA)</w:t>
      </w:r>
    </w:p>
    <w:p>
      <w:pPr>
        <w:pStyle w:val="EX"/>
        <w:rPr>
          <w:szCs w:val="22"/>
          <w:lang w:eastAsia="zh-CN"/>
        </w:rPr>
      </w:pPr>
      <w:r>
        <w:rPr>
          <w:szCs w:val="22"/>
          <w:lang w:eastAsia="zh-CN"/>
        </w:rPr>
        <w:t>[</w:t>
      </w:r>
      <w:r>
        <w:rPr>
          <w:szCs w:val="22"/>
          <w:lang w:eastAsia="zh-CN"/>
        </w:rPr>
        <w:t>3</w:t>
      </w:r>
      <w:r>
        <w:rPr>
          <w:szCs w:val="22"/>
          <w:lang w:eastAsia="zh-CN"/>
        </w:rPr>
        <w:t>]</w:t>
      </w:r>
      <w:r>
        <w:rPr>
          <w:szCs w:val="22"/>
          <w:lang w:eastAsia="zh-CN"/>
        </w:rPr>
        <w:tab/>
      </w:r>
      <w:r>
        <w:rPr>
          <w:szCs w:val="22"/>
          <w:lang w:eastAsia="zh-CN"/>
        </w:rPr>
        <w:t>YDC 031-2004</w:t>
      </w:r>
      <w:r>
        <w:rPr>
          <w:szCs w:val="22"/>
          <w:lang w:eastAsia="zh-CN"/>
        </w:rPr>
        <w:t>, "Technical Requirements for the CDMA-based Digital Trunking Mobile Communication System"</w:t>
      </w:r>
      <w:r>
        <w:rPr>
          <w:szCs w:val="22"/>
          <w:lang w:eastAsia="zh-CN"/>
        </w:rPr>
        <w:t>, China</w:t>
      </w:r>
      <w:r>
        <w:rPr>
          <w:szCs w:val="22"/>
          <w:lang w:eastAsia="zh-CN"/>
        </w:rPr>
        <w:t xml:space="preserve"> Communications Standards Association (CCSA)</w:t>
      </w:r>
    </w:p>
    <w:p>
      <w:pPr>
        <w:pStyle w:val="EX"/>
        <w:rPr>
          <w:szCs w:val="22"/>
          <w:lang w:eastAsia="zh-CN"/>
        </w:rPr>
      </w:pPr>
      <w:r>
        <w:rPr>
          <w:szCs w:val="22"/>
          <w:lang w:eastAsia="zh-CN"/>
        </w:rPr>
        <w:t>[</w:t>
      </w:r>
      <w:r>
        <w:rPr>
          <w:szCs w:val="22"/>
          <w:lang w:eastAsia="zh-CN"/>
        </w:rPr>
        <w:t>4</w:t>
      </w:r>
      <w:r>
        <w:rPr>
          <w:szCs w:val="22"/>
          <w:lang w:eastAsia="zh-CN"/>
        </w:rPr>
        <w:t>]</w:t>
      </w:r>
      <w:r>
        <w:rPr>
          <w:szCs w:val="22"/>
          <w:lang w:eastAsia="zh-CN"/>
        </w:rPr>
        <w:tab/>
      </w:r>
      <w:r>
        <w:rPr>
          <w:szCs w:val="22"/>
          <w:lang w:eastAsia="zh-CN"/>
        </w:rPr>
        <w:t>SJ/T 11228-2000,</w:t>
      </w:r>
      <w:r>
        <w:rPr>
          <w:szCs w:val="22"/>
          <w:lang w:eastAsia="zh-CN"/>
        </w:rPr>
        <w:t xml:space="preserve"> "Digital Trunking Mobile Communication System", </w:t>
      </w:r>
      <w:r>
        <w:rPr>
          <w:szCs w:val="22"/>
          <w:lang w:eastAsia="zh-CN"/>
        </w:rPr>
        <w:t>China</w:t>
      </w:r>
    </w:p>
    <w:p>
      <w:pPr>
        <w:pStyle w:val="FP"/>
        <w:rPr>
          <w:szCs w:val="22"/>
          <w:lang w:eastAsia="zh-CN"/>
        </w:rPr>
      </w:pPr>
      <w:r>
        <w:rPr>
          <w:szCs w:val="22"/>
          <w:lang w:eastAsia="zh-CN"/>
        </w:rPr>
      </w:r>
      <w:r>
        <w:br w:type="page"/>
      </w:r>
    </w:p>
    <w:p>
      <w:pPr>
        <w:pStyle w:val="Heading9"/>
        <w:rPr>
          <w:lang w:val="en-US"/>
        </w:rPr>
      </w:pPr>
      <w:bookmarkStart w:id="854" w:name="__RefHeading___Toc518036196"/>
      <w:bookmarkEnd w:id="854"/>
      <w:r>
        <w:rPr>
          <w:lang w:eastAsia="zh-CN"/>
        </w:rPr>
        <w:t>A</w:t>
      </w:r>
      <w:r>
        <w:rPr/>
        <w:t>nnex ZB:</w:t>
      </w:r>
      <w:r>
        <w:rPr>
          <w:lang w:eastAsia="zh-CN"/>
        </w:rPr>
        <w:br/>
      </w:r>
      <w:r>
        <w:rPr/>
        <w:t>Introduction of multicarrier BTS class</w:t>
      </w:r>
    </w:p>
    <w:p>
      <w:pPr>
        <w:pStyle w:val="Heading1"/>
        <w:spacing w:before="120" w:after="120"/>
        <w:ind w:left="1134" w:hanging="1134"/>
        <w:rPr/>
      </w:pPr>
      <w:bookmarkStart w:id="855" w:name="__RefHeading___Toc518036197"/>
      <w:bookmarkEnd w:id="855"/>
      <w:r>
        <w:rPr/>
        <w:t>ZB.1</w:t>
        <w:tab/>
        <w:t>Introduction</w:t>
      </w:r>
    </w:p>
    <w:p>
      <w:pPr>
        <w:pStyle w:val="Normal"/>
        <w:jc w:val="both"/>
        <w:rPr/>
      </w:pPr>
      <w:r>
        <w:rPr>
          <w:lang w:val="en-US"/>
        </w:rPr>
        <w:t xml:space="preserve">Multicarrier transceiver architectures applied to GSM BTSs would allow several GSM carriers to be processed by a single transmitter and power amplifier in the downlink and by a single wideband receiver in the uplink. </w:t>
      </w:r>
    </w:p>
    <w:p>
      <w:pPr>
        <w:pStyle w:val="Normal"/>
        <w:jc w:val="both"/>
        <w:rPr>
          <w:lang w:val="en-US"/>
        </w:rPr>
      </w:pPr>
      <w:r>
        <w:rPr>
          <w:lang w:val="en-US"/>
        </w:rPr>
        <w:t>Given the recent advances in components technology, these architectures seem more and more feasible, however feasibility is still conditioned by the relaxation of some of the most severe requirements in 3GPP TS 45.005. Those requirements are the ones related to intermodulation (clause 4.7) and spurious emission (clause 4.3) for the transmitter part and to blocking characteristics (clause 5.1) for the receiver part.</w:t>
      </w:r>
    </w:p>
    <w:p>
      <w:pPr>
        <w:pStyle w:val="Normal"/>
        <w:jc w:val="both"/>
        <w:rPr/>
      </w:pPr>
      <w:r>
        <w:rPr>
          <w:lang w:val="en-US"/>
        </w:rPr>
        <w:t>During the discussions in 3GPP TSG GERAN, for each of these three specification parameters, a way to relax the standard was proposed and evidence was given why such a relaxation has negligible impact on existing GSM systems. This is due to the fact that in every case, an inconsistency exists to another GSM specification requirement. Furthermore, scenarios were presented and investigated in which the equipment features better performance than according to the specifications. It was shown by means of calculations and simulations that even then, the proposed relaxations have negligible system impact. It was then agreed that the best way to apply the relaxations is to introduce two  multicarrier BTS classes with different levels of relaxation concerning Tx intermodulation attenuation and spurious emissions. This allows the adoption of the principle of the relaxation while being able to address special regulatory issues in different geographical areas separately. In addition, it was found necessary to measure also the spectrum due to modulation and wideband noise of the transmitter with all carriers active. It was recognized that with this setting, the spectrum due to modulation and wideband noise cannot be distinguished in general from intermodulation products. In order to simplify the measurements, a common spectrum mask was defined covering all effects of interference (wideband noise, intermodulation, spurious emissions) together. When deriving this spectrum mask, it was recognized that in existing BTSs using several single carrier transmitters, the wideband noise sums up at the antenna. As a consequence, the "cumulated wideband noise" of existing BTSs was used as one limit of the common spectrum mask.</w:t>
      </w:r>
    </w:p>
    <w:p>
      <w:pPr>
        <w:pStyle w:val="Normal"/>
        <w:jc w:val="both"/>
        <w:rPr>
          <w:lang w:val="en-US" w:eastAsia="zh-CN"/>
        </w:rPr>
      </w:pPr>
      <w:r>
        <w:rPr>
          <w:lang w:val="en-US"/>
        </w:rPr>
        <w:t>In this chapter, the investigations done for the introduction of the new multicarrier BTS classes are summarized.</w:t>
      </w:r>
    </w:p>
    <w:p>
      <w:pPr>
        <w:pStyle w:val="Heading1"/>
        <w:spacing w:before="120" w:after="120"/>
        <w:ind w:left="1134" w:hanging="1134"/>
        <w:rPr>
          <w:lang w:eastAsia="zh-CN"/>
        </w:rPr>
      </w:pPr>
      <w:bookmarkStart w:id="856" w:name="__RefHeading___Toc518036198"/>
      <w:r>
        <w:rPr/>
        <w:t>ZB.2</w:t>
        <w:tab/>
        <w:t>Transmitter</w:t>
      </w:r>
      <w:bookmarkEnd w:id="856"/>
      <w:r>
        <w:rPr/>
        <w:t xml:space="preserve"> </w:t>
      </w:r>
    </w:p>
    <w:p>
      <w:pPr>
        <w:pStyle w:val="Heading2"/>
        <w:rPr>
          <w:lang w:val="en-US"/>
        </w:rPr>
      </w:pPr>
      <w:bookmarkStart w:id="857" w:name="__RefHeading___Toc518036199"/>
      <w:bookmarkEnd w:id="857"/>
      <w:r>
        <w:rPr/>
        <w:t>ZB.2.1</w:t>
        <w:tab/>
        <w:t>Introduction</w:t>
      </w:r>
    </w:p>
    <w:p>
      <w:pPr>
        <w:pStyle w:val="Normal"/>
        <w:rPr/>
      </w:pPr>
      <w:r>
        <w:rPr>
          <w:lang w:val="en-US"/>
        </w:rPr>
        <w:t>According to recent advances in components technology, implementation of multicarrier transmitter architectures seems more and more feasible. However, feasibility and power-efficient usage of hard-ware are still conditioned by the relaxation of some requirements in 3GPP TS 45.005. The requirements that need considerations are: Spectrum due to modulation and wideband noise (clause 4.2.1), spurious emission (clause 4.3) and intermodulation (clause 4.7). In present specification these requirements are specified in different ways, i.e. spurious emissions and Intermodulation are defined as peak-hold measurements while Spectrum due to modulation and wideband noise is an average measurement. This difference, which has been known since GSM phase 1, imply an inconsistency between wideband noise measurement and IM/spurious emission requirements. In the IM and spurious measurements, wideband noise peaks may exceed IM and spurious emission although the equipment fulfils the requirements for Spectrum due to modulation and wideband noise. This difficulty is removed if average measurements are introduced for all these parameters. In addition this is also in line with the specifications for other 3GPP access technologies. Another reason why a relaxation of the Intermodulation Attenuation was seen as reasonable is the fact that not only the BTS transmitter generates intermodulation products but also the MS receiver: in an uncoordinated scenario, if an MS served by one operator is very close to a BTS of another operator, the intermodulation products in the MS receiver might exceed by far the intermodulation products received from the BTS. But even with equipment over-performing the specifications and in case of higher distances between the BTS and the MS, it was shown that the proposed relaxation has negligible system impact. This can be seen in ZB.2.3.</w:t>
      </w:r>
    </w:p>
    <w:p>
      <w:pPr>
        <w:pStyle w:val="Heading2"/>
        <w:rPr>
          <w:lang w:val="en-US"/>
        </w:rPr>
      </w:pPr>
      <w:bookmarkStart w:id="858" w:name="__RefHeading___Toc518036200"/>
      <w:bookmarkEnd w:id="858"/>
      <w:r>
        <w:rPr/>
        <w:t>ZB.2.2</w:t>
        <w:tab/>
        <w:t>Proposal for relaxation and change</w:t>
      </w:r>
    </w:p>
    <w:p>
      <w:pPr>
        <w:pStyle w:val="Heading3"/>
        <w:overflowPunct w:val="true"/>
        <w:autoSpaceDE w:val="true"/>
        <w:ind w:left="0" w:hanging="0"/>
        <w:textAlignment w:val="auto"/>
        <w:rPr>
          <w:lang w:val="en-US"/>
        </w:rPr>
      </w:pPr>
      <w:bookmarkStart w:id="859" w:name="__RefHeading___Toc518036201"/>
      <w:bookmarkEnd w:id="859"/>
      <w:r>
        <w:rPr>
          <w:lang w:val="en-US"/>
        </w:rPr>
        <w:t>ZB.2.2.1</w:t>
        <w:tab/>
        <w:t>Introduction of MCBTS class 1 and class 2</w:t>
      </w:r>
    </w:p>
    <w:p>
      <w:pPr>
        <w:pStyle w:val="Normal"/>
        <w:spacing w:before="0" w:after="80"/>
        <w:rPr/>
      </w:pPr>
      <w:r>
        <w:rPr>
          <w:lang w:val="en-US"/>
        </w:rPr>
        <w:t>Initially, for each of the targeted specifications, one way of relaxation was proposed. However, during the discussions within GERAN, it was found reasonable to introduce not only one Multicarrier BTS class but two. The two classes differ in the following way:</w:t>
      </w:r>
    </w:p>
    <w:p>
      <w:pPr>
        <w:pStyle w:val="Normal"/>
        <w:spacing w:before="0" w:after="80"/>
        <w:rPr/>
      </w:pPr>
      <w:r>
        <w:rPr>
          <w:lang w:val="en-US"/>
        </w:rPr>
        <w:t>To make multicarrier transmitter feasible at all and still get reasonable consistency between the intermodulation requirements for the mobile station and the BTS requirements for intermodulation and spurious emission, the values are proposed to be kept as today but measured in average mode. These relaxations are defining multicarrier BTS class 1 requirements.</w:t>
      </w:r>
    </w:p>
    <w:p>
      <w:pPr>
        <w:pStyle w:val="Normal"/>
        <w:spacing w:before="0" w:after="80"/>
        <w:rPr/>
      </w:pPr>
      <w:r>
        <w:rPr>
          <w:lang w:val="en-US"/>
        </w:rPr>
        <w:t>However, the relaxations for multicarrier BTS class 1 do not allow taking best advantage of the power amplifier technology as power efficiency will suffer from stringent Intermodulation requirements.  To achieve improved efficiency of the equipment, further relaxation of intermodulation attenuation requirements is needed. The proposed level of relaxation is to allow closer alignment with the corresponding requirements for other 3GPP access technologies. The proposal is to, in addition to the relaxation for class 1, allow less stringent requirements for third order intermodulation products, which are the most crucial parameter to consider, and related out-of-band spurious emissions. These relaxations are defining multicarrier BTS class 2 requirements.</w:t>
      </w:r>
    </w:p>
    <w:p>
      <w:pPr>
        <w:pStyle w:val="Heading3"/>
        <w:overflowPunct w:val="true"/>
        <w:autoSpaceDE w:val="true"/>
        <w:ind w:left="0" w:hanging="0"/>
        <w:textAlignment w:val="auto"/>
        <w:rPr>
          <w:lang w:val="en-US"/>
        </w:rPr>
      </w:pPr>
      <w:bookmarkStart w:id="860" w:name="__RefHeading___Toc518036202"/>
      <w:bookmarkEnd w:id="860"/>
      <w:r>
        <w:rPr>
          <w:lang w:val="en-US"/>
        </w:rPr>
        <w:t>ZB.2.2.2</w:t>
        <w:tab/>
        <w:t>Spectrum due to modulation and wideband noise</w:t>
      </w:r>
    </w:p>
    <w:p>
      <w:pPr>
        <w:pStyle w:val="Normal"/>
        <w:spacing w:before="0" w:after="80"/>
        <w:rPr/>
      </w:pPr>
      <w:r>
        <w:rPr>
          <w:lang w:val="en-US"/>
        </w:rPr>
        <w:t>Present requirement is a single-carrier measurement. To assure same performance in multicarrier operation using multicarrier BTS as when using single-carrier amplifiers combined in a combiner, additional requirements are needed, when more than one carrier is active. The proposal is to, for frequency offsets between 1.8 MHz and transmit band edge, reuse the requirements for single-carrier amplifiers but allow for an increase of wideband noise level of 10*LOG(N) dB, where N is the number of active carriers. At appropriate third order intermodulation frequency offsets, taking spectrum widening into account, the least stringent requirement of this multicarrier wideband noise requirement and intermodulation requirement, according to applicable multicarrier class, apply. For other frequency offsets up to the highest third order intermodulation frequency + 200 kHz or 6 MHz, whichever is highest, the least stringent requirement of the multicarrier wideband noise requirement and the requirement for intermodulation according to multicarrier class 1 apply. For larger offsets the multicarrier wideband noise requirement applies.</w:t>
      </w:r>
    </w:p>
    <w:p>
      <w:pPr>
        <w:pStyle w:val="Normal"/>
        <w:spacing w:before="0" w:after="80"/>
        <w:rPr/>
      </w:pPr>
      <w:r>
        <w:rPr>
          <w:lang w:val="en-US"/>
        </w:rPr>
        <w:t>To take the relaxed spurious emission requirements into account and potential existence of higher intermodulation products, a number of exceptions are allowed for frequency offsets higher than 1.8 MHz. The number of exceptions M is proposed to increase linearly from the single-carrier requirements of 15 bands up to a maximum of 40 bands of 200 kHz, centered on a frequency that is multiple of 200 kHz, according to the formula M= 15 + 3*(N-1), where N is the number of active carriers.</w:t>
      </w:r>
    </w:p>
    <w:p>
      <w:pPr>
        <w:pStyle w:val="Heading3"/>
        <w:overflowPunct w:val="true"/>
        <w:autoSpaceDE w:val="true"/>
        <w:ind w:left="0" w:hanging="0"/>
        <w:textAlignment w:val="auto"/>
        <w:rPr>
          <w:lang w:val="en-US"/>
        </w:rPr>
      </w:pPr>
      <w:bookmarkStart w:id="861" w:name="__RefHeading___Toc518036203"/>
      <w:bookmarkEnd w:id="861"/>
      <w:r>
        <w:rPr>
          <w:lang w:val="en-US"/>
        </w:rPr>
        <w:t>ZB.2.2.3</w:t>
        <w:tab/>
        <w:t>Spurious emission</w:t>
      </w:r>
    </w:p>
    <w:p>
      <w:pPr>
        <w:pStyle w:val="Normal"/>
        <w:spacing w:before="0" w:after="80"/>
        <w:rPr/>
      </w:pPr>
      <w:r>
        <w:rPr>
          <w:lang w:val="en-US"/>
        </w:rPr>
        <w:t xml:space="preserve">The proposal is to introduce average measurements for spurious emission while keeping the requirement value. As this corresponds to a relaxation of the maximum level by approximately 9 dB and, in some scenarios, in the same order of magnitude as the intermodulation, the number of allowable occurrences inband and close proximity of transmit band is limited as described in section ZB 2.2.2. </w:t>
      </w:r>
    </w:p>
    <w:p>
      <w:pPr>
        <w:pStyle w:val="Normal"/>
        <w:spacing w:before="0" w:after="80"/>
        <w:rPr/>
      </w:pPr>
      <w:r>
        <w:rPr>
          <w:lang w:val="en-US"/>
        </w:rPr>
        <w:t>The out-of-band requirements for class 1 are proposed to be relaxed by changing the measurement method, i.e. -36 dBm in average detector mode, reusing the same measurement bandwidths as before. In addition to remove the existing steps in the requirements a slope from 5 MHzto 10 MHz frequency offset.</w:t>
      </w:r>
    </w:p>
    <w:p>
      <w:pPr>
        <w:pStyle w:val="Normal"/>
        <w:spacing w:before="0" w:after="80"/>
        <w:rPr/>
      </w:pPr>
      <w:r>
        <w:rPr>
          <w:lang w:val="en-US"/>
        </w:rPr>
        <w:t xml:space="preserve">For class 2 additional relaxations are proposed to align with the intermodulation requirements at frequencies where filtering is not feasible. The proposal is to align with the requirements for UTRA and E-UTRA BS, where appropriate. The same for principle with a slope for 5-10 MHz offset is used here as well. For offsets ≥ 10 MHz the requirements are the same for all multicarrier BTS classes. </w:t>
      </w:r>
    </w:p>
    <w:p>
      <w:pPr>
        <w:pStyle w:val="Normal"/>
        <w:spacing w:before="0" w:after="80"/>
        <w:rPr>
          <w:lang w:val="en-US"/>
        </w:rPr>
      </w:pPr>
      <w:r>
        <w:rPr>
          <w:lang w:val="en-US"/>
        </w:rPr>
        <w:t>The proposed requirements for class 1 and 2 are shown in the table below, while reusing the same measurement bandwidths as for other BTS than multicarrier BTS:</w:t>
      </w:r>
    </w:p>
    <w:p>
      <w:pPr>
        <w:pStyle w:val="TH"/>
        <w:rPr>
          <w:lang w:val="en-US"/>
        </w:rPr>
      </w:pPr>
      <w:r>
        <w:rPr>
          <w:lang w:val="en-US"/>
        </w:rPr>
      </w:r>
    </w:p>
    <w:tbl>
      <w:tblPr>
        <w:tblW w:w="8613" w:type="dxa"/>
        <w:jc w:val="center"/>
        <w:tblInd w:w="0" w:type="dxa"/>
        <w:tblLayout w:type="fixed"/>
        <w:tblCellMar>
          <w:top w:w="0" w:type="dxa"/>
          <w:left w:w="108" w:type="dxa"/>
          <w:bottom w:w="0" w:type="dxa"/>
          <w:right w:w="108" w:type="dxa"/>
        </w:tblCellMar>
      </w:tblPr>
      <w:tblGrid>
        <w:gridCol w:w="1025"/>
        <w:gridCol w:w="1635"/>
        <w:gridCol w:w="1843"/>
        <w:gridCol w:w="1812"/>
        <w:gridCol w:w="2298"/>
      </w:tblGrid>
      <w:tr>
        <w:trPr>
          <w:cantSplit w:val="true"/>
        </w:trPr>
        <w:tc>
          <w:tcPr>
            <w:tcW w:w="1025" w:type="dxa"/>
            <w:vMerge w:val="restart"/>
            <w:tcBorders>
              <w:top w:val="single" w:sz="4" w:space="0" w:color="000000"/>
              <w:left w:val="single" w:sz="4" w:space="0" w:color="000000"/>
              <w:right w:val="single" w:sz="4" w:space="0" w:color="000000"/>
            </w:tcBorders>
          </w:tcPr>
          <w:p>
            <w:pPr>
              <w:pStyle w:val="TAH"/>
              <w:rPr>
                <w:sz w:val="20"/>
                <w:lang w:eastAsia="en-US"/>
              </w:rPr>
            </w:pPr>
            <w:r>
              <w:rPr>
                <w:sz w:val="20"/>
                <w:lang w:eastAsia="en-US"/>
              </w:rPr>
              <w:t>Band</w:t>
            </w:r>
          </w:p>
        </w:tc>
        <w:tc>
          <w:tcPr>
            <w:tcW w:w="1635" w:type="dxa"/>
            <w:vMerge w:val="restart"/>
            <w:tcBorders>
              <w:top w:val="single" w:sz="4" w:space="0" w:color="000000"/>
              <w:left w:val="single" w:sz="4" w:space="0" w:color="000000"/>
              <w:right w:val="single" w:sz="4" w:space="0" w:color="000000"/>
            </w:tcBorders>
          </w:tcPr>
          <w:p>
            <w:pPr>
              <w:pStyle w:val="TAH"/>
              <w:rPr/>
            </w:pPr>
            <w:r>
              <w:rPr>
                <w:sz w:val="20"/>
                <w:lang w:eastAsia="en-US"/>
              </w:rPr>
              <w:t>Frequency offset outside relevant transmit band</w:t>
            </w:r>
          </w:p>
        </w:tc>
        <w:tc>
          <w:tcPr>
            <w:tcW w:w="3655" w:type="dxa"/>
            <w:gridSpan w:val="2"/>
            <w:tcBorders>
              <w:top w:val="single" w:sz="4" w:space="0" w:color="000000"/>
              <w:left w:val="single" w:sz="4" w:space="0" w:color="000000"/>
              <w:bottom w:val="single" w:sz="4" w:space="0" w:color="000000"/>
              <w:right w:val="single" w:sz="4" w:space="0" w:color="000000"/>
            </w:tcBorders>
          </w:tcPr>
          <w:p>
            <w:pPr>
              <w:pStyle w:val="TAH"/>
              <w:rPr>
                <w:sz w:val="20"/>
                <w:lang w:eastAsia="en-US"/>
              </w:rPr>
            </w:pPr>
            <w:r>
              <w:rPr>
                <w:sz w:val="20"/>
                <w:lang w:eastAsia="en-US"/>
              </w:rPr>
              <w:t>Multicarrier BTS Maximum power limit</w:t>
            </w:r>
          </w:p>
        </w:tc>
        <w:tc>
          <w:tcPr>
            <w:tcW w:w="2298" w:type="dxa"/>
            <w:vMerge w:val="restart"/>
            <w:tcBorders>
              <w:top w:val="single" w:sz="4" w:space="0" w:color="000000"/>
              <w:left w:val="single" w:sz="4" w:space="0" w:color="000000"/>
              <w:right w:val="single" w:sz="4" w:space="0" w:color="000000"/>
            </w:tcBorders>
          </w:tcPr>
          <w:p>
            <w:pPr>
              <w:pStyle w:val="TAH"/>
              <w:rPr>
                <w:sz w:val="20"/>
                <w:lang w:eastAsia="en-US"/>
              </w:rPr>
            </w:pPr>
            <w:r>
              <w:rPr>
                <w:sz w:val="20"/>
                <w:lang w:eastAsia="en-US"/>
              </w:rPr>
              <w:t>Comment</w:t>
            </w:r>
          </w:p>
          <w:p>
            <w:pPr>
              <w:pStyle w:val="TAH"/>
              <w:rPr>
                <w:sz w:val="20"/>
                <w:lang w:eastAsia="en-US"/>
              </w:rPr>
            </w:pPr>
            <w:r>
              <w:rPr>
                <w:sz w:val="20"/>
                <w:lang w:eastAsia="en-US"/>
              </w:rPr>
            </w:r>
          </w:p>
        </w:tc>
      </w:tr>
      <w:tr>
        <w:trPr>
          <w:cantSplit w:val="true"/>
        </w:trPr>
        <w:tc>
          <w:tcPr>
            <w:tcW w:w="1025" w:type="dxa"/>
            <w:vMerge w:val="continue"/>
            <w:tcBorders>
              <w:top w:val="single" w:sz="4" w:space="0" w:color="000000"/>
              <w:left w:val="single" w:sz="4" w:space="0" w:color="000000"/>
              <w:right w:val="single" w:sz="4" w:space="0" w:color="000000"/>
            </w:tcBorders>
          </w:tcPr>
          <w:p>
            <w:pPr>
              <w:pStyle w:val="TAH"/>
              <w:snapToGrid w:val="false"/>
              <w:rPr>
                <w:b/>
                <w:b/>
                <w:sz w:val="20"/>
                <w:lang w:val="en-US" w:eastAsia="en-US"/>
              </w:rPr>
            </w:pPr>
            <w:r>
              <w:rPr>
                <w:b/>
                <w:sz w:val="20"/>
                <w:lang w:val="en-US" w:eastAsia="en-US"/>
              </w:rPr>
            </w:r>
          </w:p>
        </w:tc>
        <w:tc>
          <w:tcPr>
            <w:tcW w:w="1635" w:type="dxa"/>
            <w:vMerge w:val="continue"/>
            <w:tcBorders>
              <w:top w:val="single" w:sz="4" w:space="0" w:color="000000"/>
              <w:left w:val="single" w:sz="4" w:space="0" w:color="000000"/>
              <w:right w:val="single" w:sz="4" w:space="0" w:color="000000"/>
            </w:tcBorders>
          </w:tcPr>
          <w:p>
            <w:pPr>
              <w:pStyle w:val="TAH"/>
              <w:snapToGrid w:val="false"/>
              <w:rPr>
                <w:sz w:val="20"/>
                <w:lang w:eastAsia="en-US"/>
              </w:rPr>
            </w:pPr>
            <w:r>
              <w:rPr>
                <w:sz w:val="20"/>
                <w:lang w:eastAsia="en-US"/>
              </w:rPr>
            </w:r>
          </w:p>
        </w:tc>
        <w:tc>
          <w:tcPr>
            <w:tcW w:w="1843" w:type="dxa"/>
            <w:tcBorders>
              <w:top w:val="single" w:sz="4" w:space="0" w:color="000000"/>
              <w:left w:val="single" w:sz="4" w:space="0" w:color="000000"/>
              <w:bottom w:val="single" w:sz="4" w:space="0" w:color="000000"/>
              <w:right w:val="single" w:sz="4" w:space="0" w:color="000000"/>
            </w:tcBorders>
          </w:tcPr>
          <w:p>
            <w:pPr>
              <w:pStyle w:val="TAH"/>
              <w:rPr>
                <w:sz w:val="20"/>
                <w:lang w:eastAsia="en-US"/>
              </w:rPr>
            </w:pPr>
            <w:r>
              <w:rPr>
                <w:sz w:val="20"/>
                <w:lang w:eastAsia="en-US"/>
              </w:rPr>
              <w:t>Class 1</w:t>
            </w:r>
          </w:p>
        </w:tc>
        <w:tc>
          <w:tcPr>
            <w:tcW w:w="1812" w:type="dxa"/>
            <w:tcBorders>
              <w:top w:val="single" w:sz="4" w:space="0" w:color="000000"/>
              <w:left w:val="single" w:sz="4" w:space="0" w:color="000000"/>
              <w:bottom w:val="single" w:sz="4" w:space="0" w:color="000000"/>
              <w:right w:val="single" w:sz="4" w:space="0" w:color="000000"/>
            </w:tcBorders>
          </w:tcPr>
          <w:p>
            <w:pPr>
              <w:pStyle w:val="TAH"/>
              <w:rPr>
                <w:sz w:val="20"/>
                <w:lang w:eastAsia="en-US"/>
              </w:rPr>
            </w:pPr>
            <w:r>
              <w:rPr>
                <w:sz w:val="20"/>
                <w:lang w:eastAsia="en-US"/>
              </w:rPr>
              <w:t xml:space="preserve">Class 2 </w:t>
            </w:r>
          </w:p>
        </w:tc>
        <w:tc>
          <w:tcPr>
            <w:tcW w:w="2298" w:type="dxa"/>
            <w:vMerge w:val="continue"/>
            <w:tcBorders>
              <w:top w:val="single" w:sz="4" w:space="0" w:color="000000"/>
              <w:left w:val="single" w:sz="4" w:space="0" w:color="000000"/>
              <w:right w:val="single" w:sz="4" w:space="0" w:color="000000"/>
            </w:tcBorders>
          </w:tcPr>
          <w:p>
            <w:pPr>
              <w:pStyle w:val="TAH"/>
              <w:snapToGrid w:val="false"/>
              <w:rPr>
                <w:sz w:val="20"/>
                <w:lang w:eastAsia="en-US"/>
              </w:rPr>
            </w:pPr>
            <w:r>
              <w:rPr>
                <w:sz w:val="20"/>
                <w:lang w:eastAsia="en-US"/>
              </w:rPr>
            </w:r>
          </w:p>
        </w:tc>
      </w:tr>
      <w:tr>
        <w:trPr/>
        <w:tc>
          <w:tcPr>
            <w:tcW w:w="1025" w:type="dxa"/>
            <w:tcBorders>
              <w:top w:val="single" w:sz="4" w:space="0" w:color="000000"/>
              <w:left w:val="single" w:sz="4" w:space="0" w:color="000000"/>
              <w:bottom w:val="single" w:sz="4" w:space="0" w:color="000000"/>
              <w:right w:val="single" w:sz="4" w:space="0" w:color="000000"/>
            </w:tcBorders>
          </w:tcPr>
          <w:p>
            <w:pPr>
              <w:pStyle w:val="B1"/>
              <w:spacing w:before="0" w:after="180"/>
              <w:ind w:left="0" w:right="-84" w:hanging="0"/>
              <w:rPr>
                <w:bCs/>
                <w:color w:val="000000"/>
              </w:rPr>
            </w:pPr>
            <w:r>
              <w:rPr>
                <w:bCs/>
                <w:color w:val="000000"/>
              </w:rPr>
              <w:t>9 kHz to 1 GHz</w:t>
            </w:r>
          </w:p>
        </w:tc>
        <w:tc>
          <w:tcPr>
            <w:tcW w:w="1635"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pPr>
            <w:r>
              <w:rPr>
                <w:rFonts w:eastAsia="Symbol" w:cs="Symbol" w:ascii="Symbol" w:hAnsi="Symbol"/>
                <w:bCs/>
                <w:color w:val="000000"/>
                <w:sz w:val="24"/>
              </w:rPr>
              <w:t></w:t>
            </w:r>
            <w:r>
              <w:rPr>
                <w:bCs/>
                <w:color w:val="000000"/>
              </w:rPr>
              <w:t xml:space="preserve"> </w:t>
            </w:r>
            <w:r>
              <w:rPr>
                <w:bCs/>
                <w:color w:val="000000"/>
              </w:rPr>
              <w:t>2 MHz</w:t>
            </w:r>
          </w:p>
        </w:tc>
        <w:tc>
          <w:tcPr>
            <w:tcW w:w="1843"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bCs/>
              </w:rPr>
            </w:pPr>
            <w:r>
              <w:rPr>
                <w:bCs/>
              </w:rPr>
              <w:t>-36 dBm</w:t>
            </w:r>
          </w:p>
        </w:tc>
        <w:tc>
          <w:tcPr>
            <w:tcW w:w="1812"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bCs/>
                <w:color w:val="000000"/>
              </w:rPr>
            </w:pPr>
            <w:r>
              <w:rPr>
                <w:bCs/>
              </w:rPr>
              <w:t>-25 dBm</w:t>
            </w:r>
          </w:p>
        </w:tc>
        <w:tc>
          <w:tcPr>
            <w:tcW w:w="2298" w:type="dxa"/>
            <w:tcBorders>
              <w:top w:val="single" w:sz="4" w:space="0" w:color="000000"/>
              <w:left w:val="single" w:sz="4" w:space="0" w:color="000000"/>
              <w:bottom w:val="single" w:sz="4" w:space="0" w:color="000000"/>
              <w:right w:val="single" w:sz="4" w:space="0" w:color="000000"/>
            </w:tcBorders>
          </w:tcPr>
          <w:p>
            <w:pPr>
              <w:pStyle w:val="B1"/>
              <w:spacing w:before="0" w:after="180"/>
              <w:ind w:left="0" w:right="-108" w:hanging="0"/>
              <w:rPr>
                <w:bCs/>
                <w:color w:val="000000"/>
              </w:rPr>
            </w:pPr>
            <w:r>
              <w:rPr>
                <w:bCs/>
                <w:color w:val="000000"/>
              </w:rPr>
              <w:t>Aligning with intermodulation requirements</w:t>
            </w:r>
          </w:p>
        </w:tc>
      </w:tr>
      <w:tr>
        <w:trPr/>
        <w:tc>
          <w:tcPr>
            <w:tcW w:w="1025" w:type="dxa"/>
            <w:tcBorders>
              <w:top w:val="single" w:sz="4" w:space="0" w:color="000000"/>
              <w:left w:val="single" w:sz="4" w:space="0" w:color="000000"/>
              <w:right w:val="single" w:sz="4" w:space="0" w:color="000000"/>
            </w:tcBorders>
          </w:tcPr>
          <w:p>
            <w:pPr>
              <w:pStyle w:val="B1"/>
              <w:snapToGrid w:val="false"/>
              <w:spacing w:before="0" w:after="180"/>
              <w:ind w:left="0" w:right="-84" w:hanging="0"/>
              <w:rPr>
                <w:b/>
                <w:b/>
                <w:bCs/>
                <w:color w:val="000000"/>
                <w:lang w:val="en-US"/>
              </w:rPr>
            </w:pPr>
            <w:r>
              <w:rPr>
                <w:b/>
                <w:bCs/>
                <w:color w:val="000000"/>
                <w:lang w:val="en-US"/>
              </w:rPr>
            </w:r>
          </w:p>
        </w:tc>
        <w:tc>
          <w:tcPr>
            <w:tcW w:w="1635" w:type="dxa"/>
            <w:tcBorders>
              <w:top w:val="single" w:sz="4" w:space="0" w:color="000000"/>
              <w:left w:val="single" w:sz="4" w:space="0" w:color="000000"/>
              <w:right w:val="single" w:sz="4" w:space="0" w:color="000000"/>
            </w:tcBorders>
          </w:tcPr>
          <w:p>
            <w:pPr>
              <w:pStyle w:val="B1"/>
              <w:spacing w:before="0" w:after="180"/>
              <w:ind w:left="0" w:hanging="0"/>
              <w:rPr/>
            </w:pPr>
            <w:r>
              <w:rPr>
                <w:rFonts w:eastAsia="Symbol" w:cs="Symbol" w:ascii="Symbol" w:hAnsi="Symbol"/>
                <w:bCs/>
                <w:color w:val="000000"/>
                <w:sz w:val="24"/>
              </w:rPr>
              <w:t></w:t>
            </w:r>
            <w:r>
              <w:rPr>
                <w:bCs/>
                <w:color w:val="000000"/>
              </w:rPr>
              <w:t xml:space="preserve"> </w:t>
            </w:r>
            <w:r>
              <w:rPr>
                <w:bCs/>
                <w:color w:val="000000"/>
              </w:rPr>
              <w:t>5 MHz</w:t>
            </w:r>
          </w:p>
        </w:tc>
        <w:tc>
          <w:tcPr>
            <w:tcW w:w="1843" w:type="dxa"/>
            <w:tcBorders>
              <w:top w:val="single" w:sz="4" w:space="0" w:color="000000"/>
              <w:left w:val="single" w:sz="4" w:space="0" w:color="000000"/>
              <w:right w:val="single" w:sz="4" w:space="0" w:color="000000"/>
            </w:tcBorders>
          </w:tcPr>
          <w:p>
            <w:pPr>
              <w:pStyle w:val="B1"/>
              <w:spacing w:before="0" w:after="180"/>
              <w:ind w:left="0" w:hanging="0"/>
              <w:rPr>
                <w:bCs/>
              </w:rPr>
            </w:pPr>
            <w:r>
              <w:rPr>
                <w:bCs/>
              </w:rPr>
              <w:t>-31 -2*(Δf - 5) dBm (Note)</w:t>
            </w:r>
          </w:p>
        </w:tc>
        <w:tc>
          <w:tcPr>
            <w:tcW w:w="1812" w:type="dxa"/>
            <w:tcBorders>
              <w:top w:val="single" w:sz="4" w:space="0" w:color="000000"/>
              <w:left w:val="single" w:sz="4" w:space="0" w:color="000000"/>
              <w:right w:val="single" w:sz="4" w:space="0" w:color="000000"/>
            </w:tcBorders>
          </w:tcPr>
          <w:p>
            <w:pPr>
              <w:pStyle w:val="B1"/>
              <w:spacing w:before="0" w:after="180"/>
              <w:ind w:left="0" w:hanging="0"/>
              <w:rPr>
                <w:bCs/>
                <w:color w:val="000000"/>
              </w:rPr>
            </w:pPr>
            <w:r>
              <w:rPr>
                <w:bCs/>
              </w:rPr>
              <w:t>-20-4.2*(Δf - 5) dBm (Note)</w:t>
            </w:r>
          </w:p>
        </w:tc>
        <w:tc>
          <w:tcPr>
            <w:tcW w:w="2298" w:type="dxa"/>
            <w:tcBorders>
              <w:top w:val="single" w:sz="4" w:space="0" w:color="000000"/>
              <w:left w:val="single" w:sz="4" w:space="0" w:color="000000"/>
              <w:right w:val="single" w:sz="4" w:space="0" w:color="000000"/>
            </w:tcBorders>
          </w:tcPr>
          <w:p>
            <w:pPr>
              <w:pStyle w:val="B1"/>
              <w:spacing w:before="0" w:after="120"/>
              <w:ind w:left="0" w:right="-108" w:hanging="0"/>
              <w:rPr/>
            </w:pPr>
            <w:r>
              <w:rPr>
                <w:bCs/>
                <w:color w:val="000000"/>
              </w:rPr>
              <w:t>Gradually changing to more stringent requirements up to 10 MHz offset, where common requirements apply</w:t>
            </w:r>
          </w:p>
        </w:tc>
      </w:tr>
      <w:tr>
        <w:trPr/>
        <w:tc>
          <w:tcPr>
            <w:tcW w:w="1025" w:type="dxa"/>
            <w:tcBorders>
              <w:left w:val="single" w:sz="4" w:space="0" w:color="000000"/>
              <w:right w:val="single" w:sz="4" w:space="0" w:color="000000"/>
            </w:tcBorders>
          </w:tcPr>
          <w:p>
            <w:pPr>
              <w:pStyle w:val="B1"/>
              <w:snapToGrid w:val="false"/>
              <w:spacing w:before="0" w:after="180"/>
              <w:ind w:left="0" w:right="-84" w:hanging="0"/>
              <w:rPr>
                <w:b/>
                <w:b/>
                <w:bCs/>
                <w:color w:val="000000"/>
                <w:lang w:val="en-US"/>
              </w:rPr>
            </w:pPr>
            <w:r>
              <w:rPr>
                <w:b/>
                <w:bCs/>
                <w:color w:val="000000"/>
                <w:lang w:val="en-US"/>
              </w:rPr>
            </w:r>
          </w:p>
        </w:tc>
        <w:tc>
          <w:tcPr>
            <w:tcW w:w="1635" w:type="dxa"/>
            <w:tcBorders>
              <w:left w:val="single" w:sz="4" w:space="0" w:color="000000"/>
              <w:right w:val="single" w:sz="4" w:space="0" w:color="000000"/>
            </w:tcBorders>
          </w:tcPr>
          <w:p>
            <w:pPr>
              <w:pStyle w:val="B1"/>
              <w:spacing w:before="0" w:after="180"/>
              <w:ind w:left="0" w:hanging="0"/>
              <w:rPr/>
            </w:pPr>
            <w:r>
              <w:rPr>
                <w:rFonts w:eastAsia="Symbol" w:cs="Symbol" w:ascii="Symbol" w:hAnsi="Symbol"/>
                <w:bCs/>
                <w:color w:val="000000"/>
                <w:sz w:val="24"/>
              </w:rPr>
              <w:t></w:t>
            </w:r>
            <w:r>
              <w:rPr>
                <w:bCs/>
                <w:color w:val="000000"/>
              </w:rPr>
              <w:t xml:space="preserve"> </w:t>
            </w:r>
            <w:r>
              <w:rPr>
                <w:bCs/>
                <w:color w:val="000000"/>
              </w:rPr>
              <w:t>10 MHz</w:t>
            </w:r>
          </w:p>
        </w:tc>
        <w:tc>
          <w:tcPr>
            <w:tcW w:w="1843" w:type="dxa"/>
            <w:tcBorders>
              <w:left w:val="single" w:sz="4" w:space="0" w:color="000000"/>
              <w:right w:val="single" w:sz="4" w:space="0" w:color="000000"/>
            </w:tcBorders>
          </w:tcPr>
          <w:p>
            <w:pPr>
              <w:pStyle w:val="B1"/>
              <w:spacing w:before="0" w:after="180"/>
              <w:ind w:left="0" w:hanging="0"/>
              <w:rPr>
                <w:bCs/>
                <w:color w:val="000000"/>
              </w:rPr>
            </w:pPr>
            <w:r>
              <w:rPr>
                <w:bCs/>
                <w:color w:val="000000"/>
              </w:rPr>
              <w:t>-36 dBm</w:t>
            </w:r>
          </w:p>
        </w:tc>
        <w:tc>
          <w:tcPr>
            <w:tcW w:w="1812" w:type="dxa"/>
            <w:tcBorders>
              <w:left w:val="single" w:sz="4" w:space="0" w:color="000000"/>
              <w:right w:val="single" w:sz="4" w:space="0" w:color="000000"/>
            </w:tcBorders>
          </w:tcPr>
          <w:p>
            <w:pPr>
              <w:pStyle w:val="B1"/>
              <w:spacing w:before="0" w:after="180"/>
              <w:ind w:left="0" w:hanging="0"/>
              <w:rPr>
                <w:bCs/>
                <w:color w:val="000000"/>
              </w:rPr>
            </w:pPr>
            <w:r>
              <w:rPr>
                <w:bCs/>
                <w:color w:val="000000"/>
              </w:rPr>
              <w:t>-36 dBm</w:t>
            </w:r>
          </w:p>
        </w:tc>
        <w:tc>
          <w:tcPr>
            <w:tcW w:w="2298" w:type="dxa"/>
            <w:tcBorders>
              <w:left w:val="single" w:sz="4" w:space="0" w:color="000000"/>
              <w:right w:val="single" w:sz="4" w:space="0" w:color="000000"/>
            </w:tcBorders>
          </w:tcPr>
          <w:p>
            <w:pPr>
              <w:pStyle w:val="B1"/>
              <w:spacing w:before="0" w:after="180"/>
              <w:ind w:left="0" w:right="-108" w:hanging="0"/>
              <w:rPr>
                <w:bCs/>
                <w:color w:val="000000"/>
              </w:rPr>
            </w:pPr>
            <w:r>
              <w:rPr>
                <w:bCs/>
                <w:color w:val="000000"/>
              </w:rPr>
              <w:t>Aligning multicarrier BTS class 1 and 2</w:t>
            </w:r>
          </w:p>
        </w:tc>
      </w:tr>
      <w:tr>
        <w:trPr/>
        <w:tc>
          <w:tcPr>
            <w:tcW w:w="1025" w:type="dxa"/>
            <w:tcBorders>
              <w:left w:val="single" w:sz="4" w:space="0" w:color="000000"/>
              <w:right w:val="single" w:sz="4" w:space="0" w:color="000000"/>
            </w:tcBorders>
          </w:tcPr>
          <w:p>
            <w:pPr>
              <w:pStyle w:val="B1"/>
              <w:spacing w:before="0" w:after="180"/>
              <w:ind w:left="0" w:right="-84" w:hanging="0"/>
              <w:rPr>
                <w:bCs/>
                <w:color w:val="000000"/>
              </w:rPr>
            </w:pPr>
            <w:r>
              <w:rPr>
                <w:bCs/>
                <w:color w:val="000000"/>
              </w:rPr>
              <w:t>1 GHz to 12.75 GHz</w:t>
            </w:r>
          </w:p>
        </w:tc>
        <w:tc>
          <w:tcPr>
            <w:tcW w:w="1635" w:type="dxa"/>
            <w:tcBorders>
              <w:left w:val="single" w:sz="4" w:space="0" w:color="000000"/>
              <w:right w:val="single" w:sz="4" w:space="0" w:color="000000"/>
            </w:tcBorders>
          </w:tcPr>
          <w:p>
            <w:pPr>
              <w:pStyle w:val="B1"/>
              <w:spacing w:before="0" w:after="180"/>
              <w:ind w:left="0" w:hanging="0"/>
              <w:rPr/>
            </w:pPr>
            <w:r>
              <w:rPr>
                <w:rFonts w:eastAsia="Symbol" w:cs="Symbol" w:ascii="Symbol" w:hAnsi="Symbol"/>
                <w:bCs/>
                <w:color w:val="000000"/>
                <w:sz w:val="24"/>
              </w:rPr>
              <w:t></w:t>
            </w:r>
            <w:r>
              <w:rPr>
                <w:bCs/>
                <w:color w:val="000000"/>
              </w:rPr>
              <w:t xml:space="preserve"> </w:t>
            </w:r>
            <w:r>
              <w:rPr>
                <w:bCs/>
                <w:color w:val="000000"/>
              </w:rPr>
              <w:t>2 MHz</w:t>
            </w:r>
          </w:p>
        </w:tc>
        <w:tc>
          <w:tcPr>
            <w:tcW w:w="1843" w:type="dxa"/>
            <w:tcBorders>
              <w:left w:val="single" w:sz="4" w:space="0" w:color="000000"/>
              <w:right w:val="single" w:sz="4" w:space="0" w:color="000000"/>
            </w:tcBorders>
          </w:tcPr>
          <w:p>
            <w:pPr>
              <w:pStyle w:val="B1"/>
              <w:spacing w:before="0" w:after="180"/>
              <w:ind w:left="0" w:hanging="0"/>
              <w:rPr>
                <w:bCs/>
              </w:rPr>
            </w:pPr>
            <w:r>
              <w:rPr>
                <w:bCs/>
              </w:rPr>
              <w:t>-30 dBm</w:t>
            </w:r>
          </w:p>
        </w:tc>
        <w:tc>
          <w:tcPr>
            <w:tcW w:w="1812" w:type="dxa"/>
            <w:tcBorders>
              <w:left w:val="single" w:sz="4" w:space="0" w:color="000000"/>
              <w:right w:val="single" w:sz="4" w:space="0" w:color="000000"/>
            </w:tcBorders>
          </w:tcPr>
          <w:p>
            <w:pPr>
              <w:pStyle w:val="B1"/>
              <w:spacing w:before="0" w:after="180"/>
              <w:ind w:left="0" w:hanging="0"/>
              <w:rPr>
                <w:bCs/>
                <w:color w:val="000000"/>
              </w:rPr>
            </w:pPr>
            <w:r>
              <w:rPr>
                <w:bCs/>
              </w:rPr>
              <w:t>-25 dBm</w:t>
            </w:r>
          </w:p>
        </w:tc>
        <w:tc>
          <w:tcPr>
            <w:tcW w:w="2298" w:type="dxa"/>
            <w:tcBorders>
              <w:left w:val="single" w:sz="4" w:space="0" w:color="000000"/>
              <w:right w:val="single" w:sz="4" w:space="0" w:color="000000"/>
            </w:tcBorders>
          </w:tcPr>
          <w:p>
            <w:pPr>
              <w:pStyle w:val="B1"/>
              <w:spacing w:before="0" w:after="180"/>
              <w:ind w:left="0" w:right="-108" w:hanging="0"/>
              <w:rPr>
                <w:bCs/>
                <w:color w:val="000000"/>
              </w:rPr>
            </w:pPr>
            <w:r>
              <w:rPr>
                <w:bCs/>
                <w:color w:val="000000"/>
              </w:rPr>
              <w:t>Aligning with intermodulation requirements</w:t>
            </w:r>
          </w:p>
        </w:tc>
      </w:tr>
      <w:tr>
        <w:trPr/>
        <w:tc>
          <w:tcPr>
            <w:tcW w:w="1025" w:type="dxa"/>
            <w:tcBorders>
              <w:left w:val="single" w:sz="4" w:space="0" w:color="000000"/>
              <w:right w:val="single" w:sz="4" w:space="0" w:color="000000"/>
            </w:tcBorders>
          </w:tcPr>
          <w:p>
            <w:pPr>
              <w:pStyle w:val="B1"/>
              <w:snapToGrid w:val="false"/>
              <w:spacing w:before="0" w:after="180"/>
              <w:ind w:left="0" w:right="-84" w:hanging="0"/>
              <w:rPr>
                <w:b/>
                <w:b/>
                <w:bCs/>
                <w:color w:val="000000"/>
                <w:lang w:val="en-US"/>
              </w:rPr>
            </w:pPr>
            <w:r>
              <w:rPr>
                <w:b/>
                <w:bCs/>
                <w:color w:val="000000"/>
                <w:lang w:val="en-US"/>
              </w:rPr>
            </w:r>
          </w:p>
        </w:tc>
        <w:tc>
          <w:tcPr>
            <w:tcW w:w="1635" w:type="dxa"/>
            <w:tcBorders>
              <w:left w:val="single" w:sz="4" w:space="0" w:color="000000"/>
              <w:right w:val="single" w:sz="4" w:space="0" w:color="000000"/>
            </w:tcBorders>
          </w:tcPr>
          <w:p>
            <w:pPr>
              <w:pStyle w:val="B1"/>
              <w:spacing w:before="0" w:after="180"/>
              <w:ind w:left="0" w:hanging="0"/>
              <w:rPr>
                <w:bCs/>
                <w:color w:val="000000"/>
                <w:sz w:val="24"/>
              </w:rPr>
            </w:pPr>
            <w:r>
              <w:rPr>
                <w:rFonts w:eastAsia="Symbol" w:cs="Symbol" w:ascii="Symbol" w:hAnsi="Symbol"/>
                <w:bCs/>
                <w:color w:val="000000"/>
                <w:sz w:val="24"/>
              </w:rPr>
              <w:t></w:t>
            </w:r>
            <w:r>
              <w:rPr>
                <w:bCs/>
                <w:color w:val="000000"/>
              </w:rPr>
              <w:t xml:space="preserve"> </w:t>
            </w:r>
            <w:r>
              <w:rPr>
                <w:bCs/>
                <w:color w:val="000000"/>
              </w:rPr>
              <w:t>5 MHz</w:t>
            </w:r>
          </w:p>
        </w:tc>
        <w:tc>
          <w:tcPr>
            <w:tcW w:w="1843" w:type="dxa"/>
            <w:tcBorders>
              <w:left w:val="single" w:sz="4" w:space="0" w:color="000000"/>
              <w:right w:val="single" w:sz="4" w:space="0" w:color="000000"/>
            </w:tcBorders>
          </w:tcPr>
          <w:p>
            <w:pPr>
              <w:pStyle w:val="B1"/>
              <w:spacing w:before="0" w:after="180"/>
              <w:ind w:left="0" w:hanging="0"/>
              <w:rPr>
                <w:bCs/>
              </w:rPr>
            </w:pPr>
            <w:r>
              <w:rPr>
                <w:bCs/>
              </w:rPr>
              <w:t>-25-2*(Δf - 5) dBm (Note)</w:t>
            </w:r>
          </w:p>
        </w:tc>
        <w:tc>
          <w:tcPr>
            <w:tcW w:w="1812" w:type="dxa"/>
            <w:tcBorders>
              <w:left w:val="single" w:sz="4" w:space="0" w:color="000000"/>
              <w:right w:val="single" w:sz="4" w:space="0" w:color="000000"/>
            </w:tcBorders>
          </w:tcPr>
          <w:p>
            <w:pPr>
              <w:pStyle w:val="B1"/>
              <w:spacing w:before="0" w:after="180"/>
              <w:ind w:left="0" w:hanging="0"/>
              <w:rPr>
                <w:bCs/>
                <w:color w:val="000000"/>
              </w:rPr>
            </w:pPr>
            <w:r>
              <w:rPr>
                <w:bCs/>
              </w:rPr>
              <w:t>-20-3*(Δf - 5) dBm (Note)</w:t>
            </w:r>
          </w:p>
        </w:tc>
        <w:tc>
          <w:tcPr>
            <w:tcW w:w="2298" w:type="dxa"/>
            <w:tcBorders>
              <w:left w:val="single" w:sz="4" w:space="0" w:color="000000"/>
              <w:right w:val="single" w:sz="4" w:space="0" w:color="000000"/>
            </w:tcBorders>
          </w:tcPr>
          <w:p>
            <w:pPr>
              <w:pStyle w:val="B1"/>
              <w:spacing w:before="0" w:after="120"/>
              <w:ind w:left="0" w:right="-108" w:hanging="0"/>
              <w:rPr>
                <w:bCs/>
                <w:color w:val="000000"/>
              </w:rPr>
            </w:pPr>
            <w:r>
              <w:rPr>
                <w:bCs/>
                <w:color w:val="000000"/>
              </w:rPr>
              <w:t>Gradually changing to more stringent requirements up to 10 MHz offset, where common requirements apply</w:t>
            </w:r>
          </w:p>
        </w:tc>
      </w:tr>
      <w:tr>
        <w:trPr/>
        <w:tc>
          <w:tcPr>
            <w:tcW w:w="1025" w:type="dxa"/>
            <w:tcBorders>
              <w:left w:val="single" w:sz="4" w:space="0" w:color="000000"/>
              <w:right w:val="single" w:sz="4" w:space="0" w:color="000000"/>
            </w:tcBorders>
          </w:tcPr>
          <w:p>
            <w:pPr>
              <w:pStyle w:val="B1"/>
              <w:snapToGrid w:val="false"/>
              <w:spacing w:before="0" w:after="180"/>
              <w:ind w:left="0" w:right="-84" w:hanging="0"/>
              <w:rPr>
                <w:b/>
                <w:b/>
                <w:bCs/>
                <w:color w:val="000000"/>
                <w:lang w:val="en-US"/>
              </w:rPr>
            </w:pPr>
            <w:r>
              <w:rPr>
                <w:b/>
                <w:bCs/>
                <w:color w:val="000000"/>
                <w:lang w:val="en-US"/>
              </w:rPr>
            </w:r>
          </w:p>
        </w:tc>
        <w:tc>
          <w:tcPr>
            <w:tcW w:w="1635" w:type="dxa"/>
            <w:tcBorders>
              <w:left w:val="single" w:sz="4" w:space="0" w:color="000000"/>
              <w:right w:val="single" w:sz="4" w:space="0" w:color="000000"/>
            </w:tcBorders>
          </w:tcPr>
          <w:p>
            <w:pPr>
              <w:pStyle w:val="B1"/>
              <w:spacing w:before="0" w:after="180"/>
              <w:ind w:left="0" w:hanging="0"/>
              <w:rPr>
                <w:bCs/>
                <w:color w:val="000000"/>
                <w:sz w:val="24"/>
              </w:rPr>
            </w:pPr>
            <w:r>
              <w:rPr>
                <w:rFonts w:eastAsia="Symbol" w:cs="Symbol" w:ascii="Symbol" w:hAnsi="Symbol"/>
                <w:bCs/>
                <w:color w:val="000000"/>
                <w:sz w:val="24"/>
              </w:rPr>
              <w:t></w:t>
            </w:r>
            <w:r>
              <w:rPr>
                <w:bCs/>
                <w:color w:val="000000"/>
              </w:rPr>
              <w:t xml:space="preserve"> </w:t>
            </w:r>
            <w:r>
              <w:rPr>
                <w:bCs/>
                <w:color w:val="000000"/>
              </w:rPr>
              <w:t>10 MHz</w:t>
            </w:r>
          </w:p>
        </w:tc>
        <w:tc>
          <w:tcPr>
            <w:tcW w:w="1843" w:type="dxa"/>
            <w:tcBorders>
              <w:left w:val="single" w:sz="4" w:space="0" w:color="000000"/>
              <w:right w:val="single" w:sz="4" w:space="0" w:color="000000"/>
            </w:tcBorders>
          </w:tcPr>
          <w:p>
            <w:pPr>
              <w:pStyle w:val="B1"/>
              <w:snapToGrid w:val="false"/>
              <w:spacing w:before="0" w:after="180"/>
              <w:ind w:left="0" w:hanging="0"/>
              <w:rPr>
                <w:bCs/>
                <w:color w:val="000000"/>
                <w:sz w:val="24"/>
              </w:rPr>
            </w:pPr>
            <w:r>
              <w:rPr>
                <w:bCs/>
                <w:color w:val="000000"/>
                <w:sz w:val="24"/>
              </w:rPr>
            </w:r>
          </w:p>
        </w:tc>
        <w:tc>
          <w:tcPr>
            <w:tcW w:w="1812" w:type="dxa"/>
            <w:tcBorders>
              <w:left w:val="single" w:sz="4" w:space="0" w:color="000000"/>
              <w:right w:val="single" w:sz="4" w:space="0" w:color="000000"/>
            </w:tcBorders>
          </w:tcPr>
          <w:p>
            <w:pPr>
              <w:pStyle w:val="B1"/>
              <w:spacing w:before="0" w:after="180"/>
              <w:ind w:left="0" w:hanging="0"/>
              <w:rPr>
                <w:bCs/>
                <w:color w:val="000000"/>
              </w:rPr>
            </w:pPr>
            <w:r>
              <w:rPr>
                <w:bCs/>
                <w:color w:val="000000"/>
              </w:rPr>
              <w:t>-30 dBm</w:t>
            </w:r>
          </w:p>
        </w:tc>
        <w:tc>
          <w:tcPr>
            <w:tcW w:w="2298" w:type="dxa"/>
            <w:tcBorders>
              <w:left w:val="single" w:sz="4" w:space="0" w:color="000000"/>
              <w:right w:val="single" w:sz="4" w:space="0" w:color="000000"/>
            </w:tcBorders>
          </w:tcPr>
          <w:p>
            <w:pPr>
              <w:pStyle w:val="B1"/>
              <w:spacing w:before="0" w:after="180"/>
              <w:ind w:left="0" w:right="-108" w:hanging="0"/>
              <w:rPr>
                <w:bCs/>
                <w:color w:val="000000"/>
              </w:rPr>
            </w:pPr>
            <w:r>
              <w:rPr>
                <w:bCs/>
                <w:color w:val="000000"/>
              </w:rPr>
              <w:t>Aligning multicarrier BTS class 1 and 2</w:t>
            </w:r>
          </w:p>
        </w:tc>
      </w:tr>
      <w:tr>
        <w:trPr/>
        <w:tc>
          <w:tcPr>
            <w:tcW w:w="8613" w:type="dxa"/>
            <w:gridSpan w:val="5"/>
            <w:tcBorders>
              <w:top w:val="single" w:sz="4" w:space="0" w:color="000000"/>
              <w:left w:val="single" w:sz="4" w:space="0" w:color="000000"/>
              <w:bottom w:val="single" w:sz="4" w:space="0" w:color="000000"/>
              <w:right w:val="single" w:sz="4" w:space="0" w:color="000000"/>
            </w:tcBorders>
          </w:tcPr>
          <w:p>
            <w:pPr>
              <w:pStyle w:val="B1"/>
              <w:spacing w:before="0" w:after="180"/>
              <w:ind w:left="0" w:right="-108" w:hanging="0"/>
              <w:rPr>
                <w:b/>
                <w:b/>
                <w:bCs/>
              </w:rPr>
            </w:pPr>
            <w:r>
              <w:rPr/>
              <w:t>Note: Δf is the frequency offset outside relevant transmit band in MHz</w:t>
            </w:r>
          </w:p>
        </w:tc>
      </w:tr>
    </w:tbl>
    <w:p>
      <w:pPr>
        <w:pStyle w:val="FP"/>
        <w:rPr>
          <w:lang w:val="en-US"/>
        </w:rPr>
      </w:pPr>
      <w:r>
        <w:rPr>
          <w:lang w:val="en-US"/>
        </w:rPr>
      </w:r>
    </w:p>
    <w:p>
      <w:pPr>
        <w:pStyle w:val="Heading3"/>
        <w:overflowPunct w:val="true"/>
        <w:autoSpaceDE w:val="true"/>
        <w:ind w:left="0" w:hanging="0"/>
        <w:textAlignment w:val="auto"/>
        <w:rPr>
          <w:lang w:val="en-US"/>
        </w:rPr>
      </w:pPr>
      <w:bookmarkStart w:id="862" w:name="__RefHeading___Toc518036204"/>
      <w:bookmarkEnd w:id="862"/>
      <w:r>
        <w:rPr>
          <w:lang w:val="en-US"/>
        </w:rPr>
        <w:t>ZB.2.2.4</w:t>
        <w:tab/>
        <w:t>BSS Intermodulation attenuation</w:t>
      </w:r>
    </w:p>
    <w:p>
      <w:pPr>
        <w:pStyle w:val="Normal"/>
        <w:spacing w:before="0" w:after="80"/>
        <w:rPr>
          <w:lang w:val="en-US"/>
        </w:rPr>
      </w:pPr>
      <w:r>
        <w:rPr>
          <w:lang w:val="en-US"/>
        </w:rPr>
        <w:t>The proposed requirements are as follows:</w:t>
      </w:r>
    </w:p>
    <w:p>
      <w:pPr>
        <w:pStyle w:val="Normal"/>
        <w:spacing w:before="0" w:after="80"/>
        <w:rPr/>
      </w:pPr>
      <w:r>
        <w:rPr>
          <w:lang w:val="en-US"/>
        </w:rPr>
        <w:t xml:space="preserve">For multicarrier BTS class 1, the average value of intermodulation components over a timeslot shall not exceed -70 dBc, -36 dBm or the requirements specified in subclause 4.2.1, whichever is less stringent, for frequency offsets between 1.8 MHz and the edge of the relevant Tx band. The measurement bandwidth for both the carrier and the intermodulation products is 300 kHz for offsets larger than 6 MHz and 100 kHz for offsets between 1.8 and 6 MHz. </w:t>
      </w:r>
    </w:p>
    <w:p>
      <w:pPr>
        <w:pStyle w:val="Normal"/>
        <w:spacing w:before="0" w:after="80"/>
        <w:rPr/>
      </w:pPr>
      <w:r>
        <w:rPr>
          <w:lang w:val="en-US"/>
        </w:rPr>
        <w:t>For multicarrier BTS class 2, the average value of intermodulation components over a timeslot shall not exceed the values required for multicarrier BTS class 1 except that at third order intermodulation frequencies and their  adjacent channels (±200 kHz) the total power of the intermodulation components may increase up to -60 dBc . The measurement conditions regarding frequency offsets and measurement bandwidths are the same as defined for multicarrier BTS class 1.</w:t>
      </w:r>
    </w:p>
    <w:p>
      <w:pPr>
        <w:pStyle w:val="Normal"/>
        <w:spacing w:before="0" w:after="80"/>
        <w:rPr>
          <w:lang w:val="en-US"/>
        </w:rPr>
      </w:pPr>
      <w:r>
        <w:rPr>
          <w:lang w:val="en-US"/>
        </w:rPr>
        <w:t>In addition the intermodulation products, for any output power of the BTS, shall never exceed -16 dBm. This is aligned with requirements in UTRA and E-UTRA.</w:t>
      </w:r>
    </w:p>
    <w:p>
      <w:pPr>
        <w:pStyle w:val="Heading2"/>
        <w:rPr/>
      </w:pPr>
      <w:bookmarkStart w:id="863" w:name="__RefHeading___Toc518036205"/>
      <w:bookmarkEnd w:id="863"/>
      <w:r>
        <w:rPr>
          <w:lang w:val="en-US"/>
        </w:rPr>
        <w:t>ZB.2.3</w:t>
        <w:tab/>
        <w:t>Simulation results</w:t>
      </w:r>
    </w:p>
    <w:p>
      <w:pPr>
        <w:pStyle w:val="Normal"/>
        <w:rPr/>
      </w:pPr>
      <w:r>
        <w:rPr/>
        <w:t xml:space="preserve">This clause provides the simulation results of </w:t>
      </w:r>
      <w:r>
        <w:rPr/>
        <w:t>impact due to relaxation of RF requirements for MCBTS</w:t>
      </w:r>
      <w:r>
        <w:rPr/>
        <w:t xml:space="preserve">. </w:t>
      </w:r>
    </w:p>
    <w:p>
      <w:pPr>
        <w:pStyle w:val="Normal"/>
        <w:rPr/>
      </w:pPr>
      <w:r>
        <w:rPr/>
        <w:t xml:space="preserve">In the simulation two </w:t>
      </w:r>
      <w:r>
        <w:rPr/>
        <w:t>uncoordinated</w:t>
      </w:r>
      <w:r>
        <w:rPr/>
        <w:t xml:space="preserve"> systems using GSM 900 were assumed to be operating in the same location. The interfering system was using MCBTS(s) with relaxed or un-relaxed requirement while the victim was using </w:t>
      </w:r>
      <w:r>
        <w:rPr/>
        <w:t>traditional</w:t>
      </w:r>
      <w:r>
        <w:rPr/>
        <w:t xml:space="preserve"> BTS(s). It was assumed that their operating frequency bands were next to each other</w:t>
      </w:r>
      <w:r>
        <w:rPr/>
        <w:t xml:space="preserve"> with 200 kHz guard band</w:t>
      </w:r>
      <w:r>
        <w:rPr/>
        <w:t>, so that all the relaxed IM and SE products fall into the victim system band and, the BTSs of the interfering system were assumed to be placed at the edge of the victim cells so that the impact would be the worst.</w:t>
      </w:r>
      <w:r>
        <w:rPr/>
        <w:t xml:space="preserve"> Th</w:t>
      </w:r>
      <w:r>
        <w:rPr/>
        <w:t>ese settings</w:t>
      </w:r>
      <w:r>
        <w:rPr/>
        <w:t xml:space="preserve"> correspond to </w:t>
      </w:r>
      <w:r>
        <w:rPr/>
        <w:t>very</w:t>
      </w:r>
      <w:r>
        <w:rPr/>
        <w:t xml:space="preserve"> </w:t>
      </w:r>
      <w:r>
        <w:rPr/>
        <w:t>severe</w:t>
      </w:r>
      <w:r>
        <w:rPr/>
        <w:t xml:space="preserve"> scenarios</w:t>
      </w:r>
      <w:r>
        <w:rPr/>
        <w:t xml:space="preserve"> </w:t>
      </w:r>
      <w:r>
        <w:rPr/>
        <w:t xml:space="preserve">but yet relevant for comparing the impact </w:t>
      </w:r>
      <w:r>
        <w:rPr/>
        <w:t>due to the relaxation.</w:t>
      </w:r>
    </w:p>
    <w:p>
      <w:pPr>
        <w:pStyle w:val="Normal"/>
        <w:rPr/>
      </w:pPr>
      <w:r>
        <w:rPr/>
        <w:t xml:space="preserve">The simulations were carried out </w:t>
      </w:r>
      <w:r>
        <w:rPr/>
        <w:t>separately</w:t>
      </w:r>
      <w:r>
        <w:rPr/>
        <w:t xml:space="preserve"> by </w:t>
      </w:r>
      <w:r>
        <w:rPr/>
        <w:t>Alcatel-Lucent (scenario 1), ZTE (scenario 2-3)</w:t>
      </w:r>
      <w:r>
        <w:rPr/>
        <w:t xml:space="preserve"> and Ericsson</w:t>
      </w:r>
      <w:r>
        <w:rPr/>
        <w:t xml:space="preserve"> (scenario 4-</w:t>
      </w:r>
      <w:r>
        <w:rPr/>
        <w:t>8</w:t>
      </w:r>
      <w:r>
        <w:rPr/>
        <w:t>)</w:t>
      </w:r>
      <w:r>
        <w:rPr/>
        <w:t>. The according settings are listed in Table 1 and Table 2 below.</w:t>
      </w:r>
    </w:p>
    <w:p>
      <w:pPr>
        <w:pStyle w:val="TH"/>
        <w:rPr/>
      </w:pPr>
      <w:r>
        <w:rPr/>
        <w:t>Table 1: Simulation assumptions (Scenario 1 - 4)</w:t>
      </w:r>
    </w:p>
    <w:tbl>
      <w:tblPr>
        <w:tblW w:w="9630" w:type="dxa"/>
        <w:jc w:val="left"/>
        <w:tblInd w:w="-75" w:type="dxa"/>
        <w:tblLayout w:type="fixed"/>
        <w:tblCellMar>
          <w:top w:w="0" w:type="dxa"/>
          <w:left w:w="70" w:type="dxa"/>
          <w:bottom w:w="0" w:type="dxa"/>
          <w:right w:w="70" w:type="dxa"/>
        </w:tblCellMar>
      </w:tblPr>
      <w:tblGrid>
        <w:gridCol w:w="1441"/>
        <w:gridCol w:w="1023"/>
        <w:gridCol w:w="1023"/>
        <w:gridCol w:w="1023"/>
        <w:gridCol w:w="1024"/>
        <w:gridCol w:w="1024"/>
        <w:gridCol w:w="1024"/>
        <w:gridCol w:w="1024"/>
        <w:gridCol w:w="1024"/>
      </w:tblGrid>
      <w:tr>
        <w:trPr>
          <w:cantSplit w:val="true"/>
        </w:trPr>
        <w:tc>
          <w:tcPr>
            <w:tcW w:w="1441" w:type="dxa"/>
            <w:tcBorders>
              <w:top w:val="single" w:sz="4" w:space="0" w:color="000000"/>
              <w:left w:val="single" w:sz="4" w:space="0" w:color="000000"/>
              <w:bottom w:val="single" w:sz="4" w:space="0" w:color="000000"/>
              <w:right w:val="single" w:sz="4" w:space="0" w:color="000000"/>
            </w:tcBorders>
            <w:vAlign w:val="center"/>
          </w:tcPr>
          <w:p>
            <w:pPr>
              <w:pStyle w:val="TF"/>
              <w:keepLines w:val="false"/>
              <w:spacing w:before="0" w:after="180"/>
              <w:jc w:val="left"/>
              <w:rPr>
                <w:rFonts w:ascii="Times New Roman" w:hAnsi="Times New Roman" w:cs="Times New Roman"/>
                <w:bCs/>
                <w:lang w:val="it-IT" w:eastAsia="en-US"/>
              </w:rPr>
            </w:pPr>
            <w:r>
              <w:rPr>
                <w:rFonts w:cs="Times New Roman" w:ascii="Times New Roman" w:hAnsi="Times New Roman"/>
                <w:bCs/>
                <w:lang w:val="it-IT" w:eastAsia="en-US"/>
              </w:rPr>
              <w:t>Settings</w:t>
            </w:r>
          </w:p>
        </w:tc>
        <w:tc>
          <w:tcPr>
            <w:tcW w:w="2046"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15"/>
                <w:lang w:val="it-IT" w:eastAsia="zh-CN"/>
              </w:rPr>
            </w:pPr>
            <w:r>
              <w:rPr>
                <w:b/>
                <w:bCs/>
                <w:szCs w:val="15"/>
                <w:lang w:val="it-IT" w:eastAsia="zh-CN"/>
              </w:rPr>
              <w:t>Scenario 1</w:t>
            </w:r>
          </w:p>
        </w:tc>
        <w:tc>
          <w:tcPr>
            <w:tcW w:w="204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15"/>
                <w:lang w:val="it-IT" w:eastAsia="zh-CN"/>
              </w:rPr>
            </w:pPr>
            <w:r>
              <w:rPr>
                <w:b/>
                <w:bCs/>
                <w:szCs w:val="15"/>
                <w:lang w:val="it-IT" w:eastAsia="zh-CN"/>
              </w:rPr>
              <w:t>Scenario 2</w:t>
            </w:r>
          </w:p>
        </w:tc>
        <w:tc>
          <w:tcPr>
            <w:tcW w:w="204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15"/>
                <w:lang w:val="it-IT" w:eastAsia="zh-CN"/>
              </w:rPr>
            </w:pPr>
            <w:r>
              <w:rPr>
                <w:b/>
                <w:bCs/>
                <w:szCs w:val="15"/>
                <w:lang w:val="it-IT" w:eastAsia="zh-CN"/>
              </w:rPr>
              <w:t>Scenario 3</w:t>
            </w:r>
          </w:p>
        </w:tc>
        <w:tc>
          <w:tcPr>
            <w:tcW w:w="204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15"/>
                <w:lang w:val="it-IT" w:eastAsia="zh-CN"/>
              </w:rPr>
            </w:pPr>
            <w:r>
              <w:rPr>
                <w:b/>
                <w:bCs/>
                <w:szCs w:val="15"/>
                <w:lang w:val="it-IT" w:eastAsia="zh-CN"/>
              </w:rPr>
              <w:t>Scenario 4</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b/>
                <w:b/>
                <w:bCs/>
                <w:szCs w:val="15"/>
                <w:lang w:val="it-IT" w:eastAsia="zh-CN"/>
              </w:rPr>
            </w:pPr>
            <w:r>
              <w:rPr>
                <w:b/>
                <w:bCs/>
                <w:szCs w:val="15"/>
                <w:lang w:val="it-IT" w:eastAsia="zh-CN"/>
              </w:rPr>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it-IT" w:eastAsia="zh-CN"/>
              </w:rPr>
            </w:pPr>
            <w:r>
              <w:rPr>
                <w:szCs w:val="15"/>
                <w:lang w:val="it-IT" w:eastAsia="zh-CN"/>
              </w:rPr>
              <w:t>victim</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it-IT" w:eastAsia="zh-CN"/>
              </w:rPr>
            </w:pPr>
            <w:r>
              <w:rPr>
                <w:szCs w:val="15"/>
                <w:lang w:val="it-IT" w:eastAsia="zh-CN"/>
              </w:rPr>
              <w:t>aggressor</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szCs w:val="15"/>
                <w:lang w:val="it-IT" w:eastAsia="zh-CN"/>
              </w:rPr>
              <w:t>victim</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it-IT" w:eastAsia="zh-CN"/>
              </w:rPr>
            </w:pPr>
            <w:r>
              <w:rPr>
                <w:szCs w:val="15"/>
                <w:lang w:val="it-IT" w:eastAsia="zh-CN"/>
              </w:rPr>
              <w:t>aggressor</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victim</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aggressor</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victim</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aggressor</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en-US" w:eastAsia="zh-CN"/>
              </w:rPr>
            </w:pPr>
            <w:r>
              <w:rPr>
                <w:szCs w:val="15"/>
                <w:lang w:val="en-US" w:eastAsia="zh-CN"/>
              </w:rPr>
              <w:t>Cell radius [m]</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4000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4000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600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600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200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600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120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600</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en-US" w:eastAsia="zh-CN"/>
              </w:rPr>
            </w:pPr>
            <w:r>
              <w:rPr>
                <w:szCs w:val="15"/>
                <w:lang w:val="en-US" w:eastAsia="zh-CN"/>
              </w:rPr>
              <w:t>Sector/cell</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1</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fr-FR" w:eastAsia="zh-CN"/>
              </w:rPr>
            </w:pPr>
            <w:r>
              <w:rPr>
                <w:szCs w:val="15"/>
                <w:lang w:val="fr-FR" w:eastAsia="zh-CN"/>
              </w:rPr>
              <w:t>Freq. reuse</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4/12</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4/12</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4/12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4/12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fr-FR" w:eastAsia="zh-CN"/>
              </w:rPr>
            </w:pPr>
            <w:r>
              <w:rPr>
                <w:szCs w:val="15"/>
                <w:lang w:val="fr-FR" w:eastAsia="zh-CN"/>
              </w:rPr>
              <w:t>1/3</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fr-FR" w:eastAsia="zh-CN"/>
              </w:rPr>
            </w:pPr>
            <w:r>
              <w:rPr>
                <w:szCs w:val="15"/>
                <w:lang w:val="fr-FR" w:eastAsia="zh-CN"/>
              </w:rPr>
              <w:t>FH</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en-US" w:eastAsia="zh-CN"/>
              </w:rPr>
            </w:pPr>
            <w:r>
              <w:rPr>
                <w:szCs w:val="15"/>
                <w:lang w:val="en-US" w:eastAsia="zh-CN"/>
              </w:rPr>
              <w:t>Pmax [dBm]</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24</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szCs w:val="15"/>
                <w:lang w:val="en-US" w:eastAsia="zh-CN"/>
              </w:rPr>
              <w:t>Carrier no.</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6</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6</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9</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sv-SE" w:eastAsia="zh-CN"/>
              </w:rPr>
            </w:pPr>
            <w:r>
              <w:rPr>
                <w:szCs w:val="15"/>
                <w:lang w:val="sv-SE" w:eastAsia="zh-CN"/>
              </w:rPr>
              <w:t>Min MS-BTS dist. [m]</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5</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r>
      <w:tr>
        <w:trPr>
          <w:cantSplit w:val="true"/>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en-US" w:eastAsia="zh-CN"/>
              </w:rPr>
            </w:pPr>
            <w:r>
              <w:rPr>
                <w:szCs w:val="15"/>
                <w:lang w:val="en-US" w:eastAsia="zh-CN"/>
              </w:rPr>
              <w:t>IP3 of MS</w:t>
            </w:r>
          </w:p>
        </w:tc>
        <w:tc>
          <w:tcPr>
            <w:tcW w:w="6141"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10 dB better than spec. in victim system</w:t>
            </w:r>
          </w:p>
        </w:tc>
        <w:tc>
          <w:tcPr>
            <w:tcW w:w="204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-5 dBm in victim system</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en-US" w:eastAsia="zh-CN"/>
              </w:rPr>
            </w:pPr>
            <w:r>
              <w:rPr>
                <w:szCs w:val="15"/>
                <w:lang w:val="en-US" w:eastAsia="zh-CN"/>
              </w:rPr>
              <w:t>Path loss model</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HATA</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HATA</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COST231 -WI</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COST231 -WI</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COST231 -WI</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COST231 -WI</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szCs w:val="15"/>
                <w:lang w:val="en-US" w:eastAsia="zh-CN"/>
              </w:rPr>
              <w:t>Spurious Emission Products</w:t>
            </w:r>
            <w:r>
              <w:rPr>
                <w:szCs w:val="15"/>
                <w:lang w:val="en-US" w:eastAsia="zh-CN"/>
              </w:rPr>
              <w:t xml:space="preserve"> </w:t>
            </w:r>
            <w:r>
              <w:rPr>
                <w:szCs w:val="15"/>
                <w:lang w:val="en-US" w:eastAsia="zh-CN"/>
              </w:rPr>
              <w:t>[6]</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en-US" w:eastAsia="zh-CN"/>
              </w:rPr>
            </w:pPr>
            <w:r>
              <w:rPr>
                <w:szCs w:val="15"/>
                <w:lang w:val="en-US" w:eastAsia="zh-CN"/>
              </w:rPr>
              <w:t>Wideband noise</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r>
      <w:tr>
        <w:trPr/>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szCs w:val="15"/>
                <w:lang w:val="en-US" w:eastAsia="zh-CN"/>
              </w:rPr>
            </w:pPr>
            <w:r>
              <w:rPr>
                <w:szCs w:val="15"/>
                <w:lang w:val="en-US" w:eastAsia="zh-CN"/>
              </w:rPr>
              <w:t>Relaxation mode</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21"/>
                <w:lang w:val="en-US" w:eastAsia="zh-CN"/>
              </w:rPr>
            </w:pPr>
            <w:r>
              <w:rPr>
                <w:b/>
                <w:bCs/>
                <w:szCs w:val="21"/>
                <w:lang w:val="en-US" w:eastAsia="zh-CN"/>
              </w:rPr>
              <w:t>-</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MCBTS class 1</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21"/>
                <w:lang w:val="en-US" w:eastAsia="zh-CN"/>
              </w:rPr>
            </w:pPr>
            <w:r>
              <w:rPr>
                <w:b/>
                <w:bCs/>
                <w:szCs w:val="21"/>
                <w:lang w:val="en-US" w:eastAsia="zh-CN"/>
              </w:rPr>
              <w:t>-</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MCBTS class 1&amp; 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21"/>
                <w:lang w:val="en-US" w:eastAsia="zh-CN"/>
              </w:rPr>
            </w:pPr>
            <w:r>
              <w:rPr>
                <w:b/>
                <w:bCs/>
                <w:szCs w:val="21"/>
                <w:lang w:val="en-US" w:eastAsia="zh-CN"/>
              </w:rPr>
              <w:t>-</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MCBTS class 1&amp; 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21"/>
                <w:lang w:val="en-US" w:eastAsia="zh-CN"/>
              </w:rPr>
            </w:pPr>
            <w:r>
              <w:rPr>
                <w:b/>
                <w:bCs/>
                <w:szCs w:val="21"/>
                <w:lang w:eastAsia="zh-CN"/>
              </w:rPr>
              <w:t>-</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MCBTS class 1&amp; 2</w:t>
            </w:r>
          </w:p>
        </w:tc>
      </w:tr>
    </w:tbl>
    <w:p>
      <w:pPr>
        <w:pStyle w:val="FP"/>
        <w:rPr/>
      </w:pPr>
      <w:r>
        <w:rPr/>
      </w:r>
    </w:p>
    <w:p>
      <w:pPr>
        <w:pStyle w:val="Normal"/>
        <w:rPr/>
      </w:pPr>
      <w:r>
        <w:rPr/>
      </w:r>
    </w:p>
    <w:p>
      <w:pPr>
        <w:pStyle w:val="TH"/>
        <w:rPr/>
      </w:pPr>
      <w:r>
        <w:rPr/>
        <w:t>Table 2: Simulation assumptions (Scenario 5 - 8)</w:t>
      </w:r>
    </w:p>
    <w:tbl>
      <w:tblPr>
        <w:tblW w:w="9252" w:type="dxa"/>
        <w:jc w:val="left"/>
        <w:tblInd w:w="-75" w:type="dxa"/>
        <w:tblLayout w:type="fixed"/>
        <w:tblCellMar>
          <w:top w:w="0" w:type="dxa"/>
          <w:left w:w="70" w:type="dxa"/>
          <w:bottom w:w="0" w:type="dxa"/>
          <w:right w:w="70" w:type="dxa"/>
        </w:tblCellMar>
      </w:tblPr>
      <w:tblGrid>
        <w:gridCol w:w="1063"/>
        <w:gridCol w:w="1023"/>
        <w:gridCol w:w="1023"/>
        <w:gridCol w:w="1023"/>
        <w:gridCol w:w="1024"/>
        <w:gridCol w:w="1024"/>
        <w:gridCol w:w="1024"/>
        <w:gridCol w:w="1024"/>
        <w:gridCol w:w="1024"/>
      </w:tblGrid>
      <w:tr>
        <w:trPr>
          <w:cantSplit w:val="true"/>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it-IT" w:eastAsia="zh-CN"/>
              </w:rPr>
            </w:pPr>
            <w:r>
              <w:rPr>
                <w:b/>
                <w:bCs/>
                <w:szCs w:val="15"/>
                <w:lang w:val="it-IT" w:eastAsia="zh-CN"/>
              </w:rPr>
              <w:t>Settings</w:t>
            </w:r>
          </w:p>
        </w:tc>
        <w:tc>
          <w:tcPr>
            <w:tcW w:w="2046"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15"/>
                <w:lang w:val="it-IT" w:eastAsia="zh-CN"/>
              </w:rPr>
            </w:pPr>
            <w:r>
              <w:rPr>
                <w:b/>
                <w:bCs/>
                <w:szCs w:val="15"/>
                <w:lang w:val="it-IT" w:eastAsia="zh-CN"/>
              </w:rPr>
              <w:t>Scenario 5</w:t>
            </w:r>
          </w:p>
        </w:tc>
        <w:tc>
          <w:tcPr>
            <w:tcW w:w="2047"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15"/>
                <w:lang w:val="it-IT" w:eastAsia="zh-CN"/>
              </w:rPr>
            </w:pPr>
            <w:r>
              <w:rPr>
                <w:b/>
                <w:bCs/>
                <w:szCs w:val="15"/>
                <w:lang w:val="it-IT" w:eastAsia="zh-CN"/>
              </w:rPr>
              <w:t>Scenario 6 [1]</w:t>
            </w:r>
          </w:p>
        </w:tc>
        <w:tc>
          <w:tcPr>
            <w:tcW w:w="204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b/>
                <w:bCs/>
                <w:szCs w:val="15"/>
                <w:lang w:val="it-IT" w:eastAsia="zh-CN"/>
              </w:rPr>
              <w:t>Scenario 7</w:t>
            </w:r>
          </w:p>
        </w:tc>
        <w:tc>
          <w:tcPr>
            <w:tcW w:w="204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15"/>
                <w:lang w:val="it-IT" w:eastAsia="zh-CN"/>
              </w:rPr>
            </w:pPr>
            <w:r>
              <w:rPr>
                <w:b/>
                <w:bCs/>
                <w:szCs w:val="15"/>
                <w:lang w:val="it-IT" w:eastAsia="zh-CN"/>
              </w:rPr>
              <w:t>Scenario 8</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b/>
                <w:b/>
                <w:bCs/>
                <w:szCs w:val="15"/>
                <w:lang w:val="it-IT" w:eastAsia="zh-CN"/>
              </w:rPr>
            </w:pPr>
            <w:r>
              <w:rPr>
                <w:b/>
                <w:bCs/>
                <w:szCs w:val="15"/>
                <w:lang w:val="it-IT" w:eastAsia="zh-CN"/>
              </w:rPr>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it-IT" w:eastAsia="zh-CN"/>
              </w:rPr>
            </w:pPr>
            <w:r>
              <w:rPr>
                <w:szCs w:val="15"/>
                <w:lang w:val="it-IT" w:eastAsia="zh-CN"/>
              </w:rPr>
              <w:t>victim</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it-IT" w:eastAsia="zh-CN"/>
              </w:rPr>
            </w:pPr>
            <w:r>
              <w:rPr>
                <w:szCs w:val="15"/>
                <w:lang w:val="it-IT" w:eastAsia="zh-CN"/>
              </w:rPr>
              <w:t>aggressor</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victim</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aggressor</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victim</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aggressor</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victim</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aggressor</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en-US" w:eastAsia="zh-CN"/>
              </w:rPr>
            </w:pPr>
            <w:r>
              <w:rPr>
                <w:b/>
                <w:bCs/>
                <w:szCs w:val="15"/>
                <w:lang w:val="en-US" w:eastAsia="zh-CN"/>
              </w:rPr>
              <w:t>Cell radius [m]</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120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150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120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600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2000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2000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2000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2000</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en-US" w:eastAsia="zh-CN"/>
              </w:rPr>
            </w:pPr>
            <w:r>
              <w:rPr>
                <w:b/>
                <w:bCs/>
                <w:szCs w:val="15"/>
                <w:lang w:val="en-US" w:eastAsia="zh-CN"/>
              </w:rPr>
              <w:t>Sector/cell</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en-US" w:eastAsia="zh-CN"/>
              </w:rPr>
            </w:pPr>
            <w:r>
              <w:rPr>
                <w:b/>
                <w:bCs/>
                <w:szCs w:val="15"/>
                <w:lang w:val="en-US" w:eastAsia="zh-CN"/>
              </w:rPr>
              <w:t>Freq. reuse</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1/3</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4/12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en-US" w:eastAsia="zh-CN"/>
              </w:rPr>
            </w:pPr>
            <w:r>
              <w:rPr>
                <w:b/>
                <w:bCs/>
                <w:szCs w:val="15"/>
                <w:lang w:val="en-US" w:eastAsia="zh-CN"/>
              </w:rPr>
              <w:t>FH</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b/>
                <w:bCs/>
                <w:szCs w:val="15"/>
                <w:lang w:val="en-US" w:eastAsia="zh-CN"/>
              </w:rPr>
              <w:t>Pmax [dBm]</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24</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31</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24</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39</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en-US" w:eastAsia="zh-CN"/>
              </w:rPr>
            </w:pPr>
            <w:r>
              <w:rPr>
                <w:b/>
                <w:bCs/>
                <w:szCs w:val="15"/>
                <w:lang w:val="en-US" w:eastAsia="zh-CN"/>
              </w:rPr>
              <w:t>Carrier no.</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9</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6</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9</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9</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sv-SE" w:eastAsia="zh-CN"/>
              </w:rPr>
            </w:pPr>
            <w:r>
              <w:rPr>
                <w:b/>
                <w:bCs/>
                <w:szCs w:val="15"/>
                <w:lang w:val="sv-SE" w:eastAsia="zh-CN"/>
              </w:rPr>
              <w:t>Min MS-BTS dist. [m]</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5</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12.5</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12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30</w:t>
            </w:r>
          </w:p>
        </w:tc>
      </w:tr>
      <w:tr>
        <w:trPr>
          <w:cantSplit w:val="true"/>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en-US" w:eastAsia="zh-CN"/>
              </w:rPr>
            </w:pPr>
            <w:r>
              <w:rPr>
                <w:b/>
                <w:bCs/>
                <w:szCs w:val="15"/>
                <w:lang w:val="en-US" w:eastAsia="zh-CN"/>
              </w:rPr>
              <w:t>IP3 of MS</w:t>
            </w:r>
          </w:p>
        </w:tc>
        <w:tc>
          <w:tcPr>
            <w:tcW w:w="8189" w:type="dxa"/>
            <w:gridSpan w:val="8"/>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-5 dBm in victim system</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en-US" w:eastAsia="zh-CN"/>
              </w:rPr>
            </w:pPr>
            <w:r>
              <w:rPr>
                <w:b/>
                <w:bCs/>
                <w:szCs w:val="15"/>
                <w:lang w:val="en-US" w:eastAsia="zh-CN"/>
              </w:rPr>
              <w:t>Pass loss model</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[4]</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[3]</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[5]</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[5]</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[5]</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[5]</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b/>
                <w:bCs/>
                <w:szCs w:val="15"/>
                <w:lang w:val="en-US" w:eastAsia="zh-CN"/>
              </w:rPr>
              <w:t>Spurious Emission Produces</w:t>
            </w:r>
            <w:r>
              <w:rPr>
                <w:b/>
                <w:bCs/>
                <w:szCs w:val="15"/>
                <w:lang w:val="en-US" w:eastAsia="zh-CN"/>
              </w:rPr>
              <w:t xml:space="preserve"> </w:t>
            </w:r>
            <w:r>
              <w:rPr>
                <w:b/>
                <w:bCs/>
                <w:szCs w:val="15"/>
                <w:lang w:val="en-US" w:eastAsia="zh-CN"/>
              </w:rPr>
              <w:t>[6]</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b/>
                <w:bCs/>
                <w:szCs w:val="15"/>
                <w:lang w:val="en-US" w:eastAsia="zh-CN"/>
              </w:rPr>
              <w:t>Wideband noise</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Off</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On</w:t>
            </w:r>
          </w:p>
        </w:tc>
      </w:tr>
      <w:tr>
        <w:trPr/>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b/>
                <w:b/>
                <w:bCs/>
                <w:szCs w:val="15"/>
                <w:lang w:val="en-US" w:eastAsia="zh-CN"/>
              </w:rPr>
            </w:pPr>
            <w:r>
              <w:rPr>
                <w:b/>
                <w:bCs/>
                <w:szCs w:val="15"/>
                <w:lang w:val="en-US" w:eastAsia="zh-CN"/>
              </w:rPr>
              <w:t>Relaxation mode</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21"/>
                <w:lang w:val="en-US" w:eastAsia="zh-CN"/>
              </w:rPr>
            </w:pPr>
            <w:r>
              <w:rPr>
                <w:b/>
                <w:bCs/>
                <w:szCs w:val="21"/>
                <w:lang w:val="en-US" w:eastAsia="zh-CN"/>
              </w:rPr>
              <w:t>-</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MCBTS class 1&amp; 2</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21"/>
                <w:lang w:val="en-US" w:eastAsia="zh-CN"/>
              </w:rPr>
            </w:pPr>
            <w:r>
              <w:rPr>
                <w:b/>
                <w:bCs/>
                <w:szCs w:val="21"/>
                <w:lang w:val="en-US" w:eastAsia="zh-CN"/>
              </w:rPr>
              <w:t>-</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MCBTS class 1&amp; 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21"/>
                <w:lang w:val="en-US" w:eastAsia="zh-CN"/>
              </w:rPr>
            </w:pPr>
            <w:r>
              <w:rPr>
                <w:b/>
                <w:bCs/>
                <w:szCs w:val="21"/>
                <w:lang w:val="en-US" w:eastAsia="zh-CN"/>
              </w:rPr>
              <w:t>-</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MCBTS class 1&amp; 2</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szCs w:val="21"/>
                <w:lang w:val="en-US" w:eastAsia="zh-CN"/>
              </w:rPr>
            </w:pPr>
            <w:r>
              <w:rPr>
                <w:b/>
                <w:bCs/>
                <w:szCs w:val="21"/>
                <w:lang w:eastAsia="zh-CN"/>
              </w:rPr>
              <w:t>-</w:t>
            </w:r>
          </w:p>
        </w:tc>
        <w:tc>
          <w:tcPr>
            <w:tcW w:w="102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Cs w:val="15"/>
                <w:lang w:val="en-US" w:eastAsia="zh-CN"/>
              </w:rPr>
            </w:pPr>
            <w:r>
              <w:rPr>
                <w:szCs w:val="15"/>
                <w:lang w:val="en-US" w:eastAsia="zh-CN"/>
              </w:rPr>
              <w:t>MCBTS class 1&amp; 2</w:t>
            </w:r>
          </w:p>
        </w:tc>
      </w:tr>
    </w:tbl>
    <w:p>
      <w:pPr>
        <w:pStyle w:val="FP"/>
        <w:rPr>
          <w:lang w:val="en-US" w:eastAsia="zh-CN"/>
        </w:rPr>
      </w:pPr>
      <w:r>
        <w:rPr>
          <w:lang w:val="en-US" w:eastAsia="zh-CN"/>
        </w:rPr>
      </w:r>
    </w:p>
    <w:p>
      <w:pPr>
        <w:pStyle w:val="Normal"/>
        <w:rPr>
          <w:lang w:eastAsia="zh-CN"/>
        </w:rPr>
      </w:pPr>
      <w:r>
        <w:rPr>
          <w:lang w:eastAsia="zh-CN"/>
        </w:rPr>
        <w:t xml:space="preserve">[1] </w:t>
      </w:r>
      <w:r>
        <w:rPr/>
        <w:t>In scenario 6, only one cell in either victim or aggressor system was studied.</w:t>
      </w:r>
    </w:p>
    <w:p>
      <w:pPr>
        <w:pStyle w:val="Normal"/>
        <w:rPr>
          <w:lang w:eastAsia="zh-CN"/>
        </w:rPr>
      </w:pPr>
      <w:r>
        <w:rPr>
          <w:lang w:eastAsia="zh-CN"/>
        </w:rPr>
        <w:t xml:space="preserve">[2] </w:t>
      </w:r>
      <w:r>
        <w:rPr/>
        <w:t>ITU-R P.1411-4 chapter 4.3.</w:t>
      </w:r>
    </w:p>
    <w:p>
      <w:pPr>
        <w:pStyle w:val="Normal"/>
        <w:rPr>
          <w:lang w:eastAsia="zh-CN"/>
        </w:rPr>
      </w:pPr>
      <w:r>
        <w:rPr>
          <w:lang w:eastAsia="zh-CN"/>
        </w:rPr>
        <w:t>[3]</w:t>
      </w:r>
      <w:r>
        <w:rPr/>
        <w:t xml:space="preserve"> Walfish-Ikegami / Okumura-Hata (sigma=8), with LOS-model from COST 259.</w:t>
      </w:r>
    </w:p>
    <w:p>
      <w:pPr>
        <w:pStyle w:val="Normal"/>
        <w:rPr>
          <w:b/>
          <w:b/>
          <w:bCs/>
          <w:lang w:eastAsia="zh-CN"/>
        </w:rPr>
      </w:pPr>
      <w:r>
        <w:rPr>
          <w:lang w:eastAsia="zh-CN"/>
        </w:rPr>
        <w:t xml:space="preserve">[4] </w:t>
      </w:r>
      <w:r>
        <w:rPr>
          <w:sz w:val="18"/>
          <w:szCs w:val="18"/>
        </w:rPr>
        <w:t>COST 231 Walfish-Ikegami incl. LOS-model, described in TS 25.996.</w:t>
      </w:r>
    </w:p>
    <w:p>
      <w:pPr>
        <w:pStyle w:val="Normal"/>
        <w:rPr>
          <w:sz w:val="18"/>
          <w:szCs w:val="18"/>
          <w:lang w:val="pt-BR" w:eastAsia="zh-CN"/>
        </w:rPr>
      </w:pPr>
      <w:r>
        <w:rPr>
          <w:sz w:val="18"/>
          <w:szCs w:val="18"/>
          <w:lang w:val="pt-BR" w:eastAsia="zh-CN"/>
        </w:rPr>
        <w:t xml:space="preserve">[5] </w:t>
      </w:r>
      <w:r>
        <w:rPr>
          <w:sz w:val="18"/>
          <w:szCs w:val="18"/>
          <w:lang w:val="pt-BR"/>
        </w:rPr>
        <w:t>Okumura-Hata (sigma=8), no LOS-model.</w:t>
      </w:r>
    </w:p>
    <w:p>
      <w:pPr>
        <w:pStyle w:val="Normal"/>
        <w:rPr>
          <w:sz w:val="18"/>
          <w:szCs w:val="18"/>
          <w:lang w:eastAsia="zh-CN"/>
        </w:rPr>
      </w:pPr>
      <w:r>
        <w:rPr>
          <w:sz w:val="18"/>
          <w:szCs w:val="18"/>
        </w:rPr>
        <w:t>[</w:t>
      </w:r>
      <w:r>
        <w:rPr>
          <w:sz w:val="18"/>
          <w:szCs w:val="18"/>
          <w:lang w:eastAsia="zh-CN"/>
        </w:rPr>
        <w:t>6</w:t>
      </w:r>
      <w:r>
        <w:rPr>
          <w:sz w:val="18"/>
          <w:szCs w:val="18"/>
        </w:rPr>
        <w:t>] T</w:t>
      </w:r>
      <w:r>
        <w:rPr>
          <w:sz w:val="18"/>
          <w:szCs w:val="18"/>
        </w:rPr>
        <w:t>he probability for occurrence of spurious emission bands at -36 dBm power level is set to 20*(1+0.05)(n-1)%, where n is the number of active carriers in the aggressor system.</w:t>
      </w:r>
    </w:p>
    <w:p>
      <w:pPr>
        <w:pStyle w:val="Normal"/>
        <w:rPr>
          <w:rFonts w:ascii="Arial" w:hAnsi="Arial" w:cs="Arial"/>
          <w:sz w:val="28"/>
          <w:szCs w:val="28"/>
          <w:lang w:val="it-IT" w:eastAsia="zh-CN"/>
        </w:rPr>
      </w:pPr>
      <w:r>
        <w:rPr>
          <w:rFonts w:cs="Arial" w:ascii="Arial" w:hAnsi="Arial"/>
          <w:sz w:val="28"/>
          <w:szCs w:val="28"/>
          <w:lang w:val="it-IT" w:eastAsia="zh-CN"/>
        </w:rPr>
        <w:t>Scenario 1: Sparse Macro interfered by Sparse Macro</w:t>
      </w:r>
    </w:p>
    <w:tbl>
      <w:tblPr>
        <w:tblW w:w="9857" w:type="dxa"/>
        <w:jc w:val="left"/>
        <w:tblInd w:w="-113" w:type="dxa"/>
        <w:tblLayout w:type="fixed"/>
        <w:tblCellMar>
          <w:top w:w="0" w:type="dxa"/>
          <w:left w:w="108" w:type="dxa"/>
          <w:bottom w:w="0" w:type="dxa"/>
          <w:right w:w="108" w:type="dxa"/>
        </w:tblCellMar>
      </w:tblPr>
      <w:tblGrid>
        <w:gridCol w:w="4943"/>
        <w:gridCol w:w="4914"/>
      </w:tblGrid>
      <w:tr>
        <w:trPr>
          <w:trHeight w:val="3314" w:hRule="atLeast"/>
        </w:trPr>
        <w:tc>
          <w:tcPr>
            <w:tcW w:w="4943"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rFonts w:cs="Arial" w:ascii="Arial" w:hAnsi="Arial"/>
              </w:rPr>
              <w:drawing>
                <wp:inline distT="0" distB="0" distL="0" distR="0">
                  <wp:extent cx="2519680" cy="2139315"/>
                  <wp:effectExtent l="0" t="0" r="0" b="0"/>
                  <wp:docPr id="248" name="Image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72" descr=""/>
                          <pic:cNvPicPr>
                            <a:picLocks noChangeAspect="1" noChangeArrowheads="1"/>
                          </pic:cNvPicPr>
                        </pic:nvPicPr>
                        <pic:blipFill>
                          <a:blip r:embed="rId259"/>
                          <a:srcRect l="5057" t="6648" r="12807" b="-10"/>
                          <a:stretch>
                            <a:fillRect/>
                          </a:stretch>
                        </pic:blipFill>
                        <pic:spPr bwMode="auto">
                          <a:xfrm>
                            <a:off x="0" y="0"/>
                            <a:ext cx="2519680" cy="2139315"/>
                          </a:xfrm>
                          <a:prstGeom prst="rect">
                            <a:avLst/>
                          </a:prstGeom>
                        </pic:spPr>
                      </pic:pic>
                    </a:graphicData>
                  </a:graphic>
                </wp:inline>
              </w:drawing>
            </w:r>
          </w:p>
        </w:tc>
        <w:tc>
          <w:tcPr>
            <w:tcW w:w="4914"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rFonts w:cs="Arial" w:ascii="Arial" w:hAnsi="Arial"/>
              </w:rPr>
              <w:drawing>
                <wp:inline distT="0" distB="0" distL="0" distR="0">
                  <wp:extent cx="2655570" cy="2048510"/>
                  <wp:effectExtent l="0" t="0" r="0" b="0"/>
                  <wp:docPr id="249" name="Image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273" descr=""/>
                          <pic:cNvPicPr>
                            <a:picLocks noChangeAspect="1" noChangeArrowheads="1"/>
                          </pic:cNvPicPr>
                        </pic:nvPicPr>
                        <pic:blipFill>
                          <a:blip r:embed="rId260"/>
                          <a:srcRect l="1836" t="7048" r="8157" b="-10"/>
                          <a:stretch>
                            <a:fillRect/>
                          </a:stretch>
                        </pic:blipFill>
                        <pic:spPr bwMode="auto">
                          <a:xfrm>
                            <a:off x="0" y="0"/>
                            <a:ext cx="2655570" cy="2048510"/>
                          </a:xfrm>
                          <a:prstGeom prst="rect">
                            <a:avLst/>
                          </a:prstGeom>
                        </pic:spPr>
                      </pic:pic>
                    </a:graphicData>
                  </a:graphic>
                </wp:inline>
              </w:drawing>
            </w:r>
          </w:p>
        </w:tc>
      </w:tr>
      <w:tr>
        <w:trPr>
          <w:trHeight w:val="854" w:hRule="atLeast"/>
        </w:trPr>
        <w:tc>
          <w:tcPr>
            <w:tcW w:w="4943"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bookmarkStart w:id="864" w:name="_Ref158516548"/>
            <w:r>
              <w:rPr>
                <w:lang w:eastAsia="en-US"/>
              </w:rPr>
              <w:t xml:space="preserve">Figure </w:t>
            </w:r>
            <w:r>
              <w:rPr>
                <w:lang w:val="en-US" w:eastAsia="en-US"/>
              </w:rPr>
              <w:t>1</w:t>
            </w:r>
            <w:bookmarkEnd w:id="864"/>
            <w:r>
              <w:rPr>
                <w:lang w:eastAsia="en-US"/>
              </w:rPr>
              <w:t>: CDF vs. SNIR calculated in the macro cell scenario.</w:t>
            </w:r>
          </w:p>
        </w:tc>
        <w:tc>
          <w:tcPr>
            <w:tcW w:w="4914"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zh-CN"/>
              </w:rPr>
            </w:pPr>
            <w:bookmarkStart w:id="865" w:name="_Ref158521867"/>
            <w:r>
              <w:rPr>
                <w:lang w:eastAsia="en-US"/>
              </w:rPr>
              <w:t xml:space="preserve">Figure </w:t>
            </w:r>
            <w:r>
              <w:rPr>
                <w:lang w:val="en-US" w:eastAsia="en-US"/>
              </w:rPr>
              <w:t>2</w:t>
            </w:r>
            <w:bookmarkEnd w:id="865"/>
            <w:r>
              <w:rPr>
                <w:lang w:eastAsia="en-US"/>
              </w:rPr>
              <w:t xml:space="preserve">: CDF vs. maximum </w:t>
            </w:r>
            <w:r>
              <w:rPr>
                <w:lang w:eastAsia="en-US"/>
              </w:rPr>
              <w:t xml:space="preserve">EGPRS </w:t>
            </w:r>
            <w:r>
              <w:rPr>
                <w:lang w:eastAsia="en-US"/>
              </w:rPr>
              <w:t>throughput calculated in the macro cell scenario.</w:t>
            </w:r>
          </w:p>
        </w:tc>
      </w:tr>
      <w:tr>
        <w:trPr/>
        <w:tc>
          <w:tcPr>
            <w:tcW w:w="4943"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740025" cy="2375535"/>
                  <wp:effectExtent l="0" t="0" r="0" b="0"/>
                  <wp:docPr id="250" name="Image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74" descr=""/>
                          <pic:cNvPicPr>
                            <a:picLocks noChangeAspect="1" noChangeArrowheads="1"/>
                          </pic:cNvPicPr>
                        </pic:nvPicPr>
                        <pic:blipFill>
                          <a:blip r:embed="rId261"/>
                          <a:srcRect l="1405" t="5759" r="17010" b="-12"/>
                          <a:stretch>
                            <a:fillRect/>
                          </a:stretch>
                        </pic:blipFill>
                        <pic:spPr bwMode="auto">
                          <a:xfrm>
                            <a:off x="0" y="0"/>
                            <a:ext cx="2740025" cy="2375535"/>
                          </a:xfrm>
                          <a:prstGeom prst="rect">
                            <a:avLst/>
                          </a:prstGeom>
                        </pic:spPr>
                      </pic:pic>
                    </a:graphicData>
                  </a:graphic>
                </wp:inline>
              </w:drawing>
            </w:r>
          </w:p>
        </w:tc>
        <w:tc>
          <w:tcPr>
            <w:tcW w:w="491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768600" cy="2357755"/>
                  <wp:effectExtent l="0" t="0" r="0" b="0"/>
                  <wp:docPr id="251" name="Image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75" descr=""/>
                          <pic:cNvPicPr>
                            <a:picLocks noChangeAspect="1" noChangeArrowheads="1"/>
                          </pic:cNvPicPr>
                        </pic:nvPicPr>
                        <pic:blipFill>
                          <a:blip r:embed="rId262"/>
                          <a:srcRect l="12760" t="5166" r="4224" b="-12"/>
                          <a:stretch>
                            <a:fillRect/>
                          </a:stretch>
                        </pic:blipFill>
                        <pic:spPr bwMode="auto">
                          <a:xfrm>
                            <a:off x="0" y="0"/>
                            <a:ext cx="2768600" cy="2357755"/>
                          </a:xfrm>
                          <a:prstGeom prst="rect">
                            <a:avLst/>
                          </a:prstGeom>
                        </pic:spPr>
                      </pic:pic>
                    </a:graphicData>
                  </a:graphic>
                </wp:inline>
              </w:drawing>
            </w:r>
          </w:p>
        </w:tc>
      </w:tr>
      <w:tr>
        <w:trPr/>
        <w:tc>
          <w:tcPr>
            <w:tcW w:w="4943"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bookmarkStart w:id="866" w:name="_Ref158522718"/>
            <w:r>
              <w:rPr>
                <w:lang w:eastAsia="en-US"/>
              </w:rPr>
              <w:t xml:space="preserve">Figure </w:t>
            </w:r>
            <w:bookmarkEnd w:id="866"/>
            <w:r>
              <w:rPr>
                <w:lang w:eastAsia="en-US"/>
              </w:rPr>
              <w:t>3</w:t>
            </w:r>
            <w:r>
              <w:rPr>
                <w:lang w:eastAsia="en-US"/>
              </w:rPr>
              <w:t>: SNIR difference between the case without IM and the case with IM according to the current specification, calculated in the large cell scenario.</w:t>
            </w:r>
          </w:p>
        </w:tc>
        <w:tc>
          <w:tcPr>
            <w:tcW w:w="4914"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bookmarkStart w:id="867" w:name="_Ref158523936"/>
            <w:r>
              <w:rPr>
                <w:lang w:eastAsia="en-US"/>
              </w:rPr>
              <w:t xml:space="preserve">Figure </w:t>
            </w:r>
            <w:bookmarkEnd w:id="867"/>
            <w:r>
              <w:rPr>
                <w:lang w:eastAsia="en-US"/>
              </w:rPr>
              <w:t>4</w:t>
            </w:r>
            <w:r>
              <w:rPr>
                <w:lang w:eastAsia="en-US"/>
              </w:rPr>
              <w:t>: SNIR difference between the case without IM and the case with IMs relaxed by 10 dB, calculated in the macro cell scenario.</w:t>
            </w:r>
          </w:p>
        </w:tc>
      </w:tr>
    </w:tbl>
    <w:p>
      <w:pPr>
        <w:pStyle w:val="FP"/>
        <w:rPr>
          <w:lang w:eastAsia="zh-CN"/>
        </w:rPr>
      </w:pPr>
      <w:r>
        <w:rPr>
          <w:lang w:eastAsia="zh-CN"/>
        </w:rPr>
      </w:r>
    </w:p>
    <w:p>
      <w:pPr>
        <w:pStyle w:val="Normal"/>
        <w:rPr/>
      </w:pPr>
      <w:r>
        <w:rPr>
          <w:rFonts w:cs="Arial" w:ascii="Arial" w:hAnsi="Arial"/>
          <w:sz w:val="28"/>
          <w:szCs w:val="28"/>
          <w:lang w:val="en-US" w:eastAsia="zh-CN"/>
        </w:rPr>
        <w:t xml:space="preserve">Scenario 2: </w:t>
      </w:r>
      <w:r>
        <w:rPr/>
        <w:t xml:space="preserve">Macro interfered by Macro </w:t>
      </w:r>
    </w:p>
    <w:tbl>
      <w:tblPr>
        <w:tblW w:w="9857" w:type="dxa"/>
        <w:jc w:val="left"/>
        <w:tblInd w:w="-113" w:type="dxa"/>
        <w:tblLayout w:type="fixed"/>
        <w:tblCellMar>
          <w:top w:w="0" w:type="dxa"/>
          <w:left w:w="108" w:type="dxa"/>
          <w:bottom w:w="0" w:type="dxa"/>
          <w:right w:w="108" w:type="dxa"/>
        </w:tblCellMar>
      </w:tblPr>
      <w:tblGrid>
        <w:gridCol w:w="4877"/>
        <w:gridCol w:w="4980"/>
      </w:tblGrid>
      <w:tr>
        <w:trPr>
          <w:trHeight w:val="3542" w:hRule="atLeast"/>
        </w:trPr>
        <w:tc>
          <w:tcPr>
            <w:tcW w:w="487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drawing>
                <wp:inline distT="0" distB="0" distL="0" distR="0">
                  <wp:extent cx="2672080" cy="2115820"/>
                  <wp:effectExtent l="0" t="0" r="0" b="0"/>
                  <wp:docPr id="252" name="Image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76" descr=""/>
                          <pic:cNvPicPr>
                            <a:picLocks noChangeAspect="1" noChangeArrowheads="1"/>
                          </pic:cNvPicPr>
                        </pic:nvPicPr>
                        <pic:blipFill>
                          <a:blip r:embed="rId263"/>
                          <a:srcRect l="5230" t="6596" r="7937" b="2007"/>
                          <a:stretch>
                            <a:fillRect/>
                          </a:stretch>
                        </pic:blipFill>
                        <pic:spPr bwMode="auto">
                          <a:xfrm>
                            <a:off x="0" y="0"/>
                            <a:ext cx="2672080" cy="2115820"/>
                          </a:xfrm>
                          <a:prstGeom prst="rect">
                            <a:avLst/>
                          </a:prstGeom>
                        </pic:spPr>
                      </pic:pic>
                    </a:graphicData>
                  </a:graphic>
                </wp:inline>
              </w:drawing>
            </w:r>
          </w:p>
        </w:tc>
        <w:tc>
          <w:tcPr>
            <w:tcW w:w="498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drawing>
                <wp:inline distT="0" distB="0" distL="0" distR="0">
                  <wp:extent cx="2687955" cy="2072005"/>
                  <wp:effectExtent l="0" t="0" r="0" b="0"/>
                  <wp:docPr id="253" name="Image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77" descr=""/>
                          <pic:cNvPicPr>
                            <a:picLocks noChangeAspect="1" noChangeArrowheads="1"/>
                          </pic:cNvPicPr>
                        </pic:nvPicPr>
                        <pic:blipFill>
                          <a:blip r:embed="rId264"/>
                          <a:srcRect l="3064" t="6614" r="7937" b="2169"/>
                          <a:stretch>
                            <a:fillRect/>
                          </a:stretch>
                        </pic:blipFill>
                        <pic:spPr bwMode="auto">
                          <a:xfrm>
                            <a:off x="0" y="0"/>
                            <a:ext cx="2687955" cy="2072005"/>
                          </a:xfrm>
                          <a:prstGeom prst="rect">
                            <a:avLst/>
                          </a:prstGeom>
                        </pic:spPr>
                      </pic:pic>
                    </a:graphicData>
                  </a:graphic>
                </wp:inline>
              </w:drawing>
            </w:r>
          </w:p>
        </w:tc>
      </w:tr>
      <w:tr>
        <w:trPr/>
        <w:tc>
          <w:tcPr>
            <w:tcW w:w="4877"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Figure</w:t>
            </w:r>
            <w:r>
              <w:rPr>
                <w:lang w:eastAsia="en-US"/>
              </w:rPr>
              <w:t xml:space="preserve"> 5</w:t>
            </w:r>
            <w:r>
              <w:rPr>
                <w:lang w:eastAsia="en-US"/>
              </w:rPr>
              <w:t xml:space="preserve"> </w:t>
            </w:r>
            <w:r>
              <w:rPr>
                <w:lang w:eastAsia="zh-CN"/>
              </w:rPr>
              <w:t>C/I</w:t>
            </w:r>
            <w:r>
              <w:rPr>
                <w:lang w:eastAsia="en-US"/>
              </w:rPr>
              <w:t xml:space="preserve"> CDF </w:t>
            </w:r>
            <w:r>
              <w:rPr>
                <w:lang w:eastAsia="zh-CN"/>
              </w:rPr>
              <w:t>comparing different relaxation levels</w:t>
            </w:r>
          </w:p>
        </w:tc>
        <w:tc>
          <w:tcPr>
            <w:tcW w:w="4980"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r>
              <w:rPr>
                <w:lang w:eastAsia="en-US"/>
              </w:rPr>
              <w:t>Figure</w:t>
            </w:r>
            <w:r>
              <w:rPr>
                <w:lang w:eastAsia="en-US"/>
              </w:rPr>
              <w:t xml:space="preserve"> </w:t>
            </w:r>
            <w:r>
              <w:rPr>
                <w:lang w:eastAsia="zh-CN"/>
              </w:rPr>
              <w:t>6</w:t>
            </w:r>
            <w:r>
              <w:rPr>
                <w:lang w:eastAsia="en-US"/>
              </w:rPr>
              <w:t xml:space="preserve"> </w:t>
            </w:r>
            <w:r>
              <w:rPr>
                <w:lang w:eastAsia="zh-CN"/>
              </w:rPr>
              <w:t>C/I degradation</w:t>
            </w:r>
            <w:r>
              <w:rPr>
                <w:lang w:eastAsia="en-US"/>
              </w:rPr>
              <w:t xml:space="preserve"> CDF </w:t>
            </w:r>
            <w:r>
              <w:rPr>
                <w:lang w:eastAsia="zh-CN"/>
              </w:rPr>
              <w:t>comparing different relaxation levels</w:t>
            </w:r>
          </w:p>
        </w:tc>
      </w:tr>
      <w:tr>
        <w:trPr/>
        <w:tc>
          <w:tcPr>
            <w:tcW w:w="487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672080" cy="2056130"/>
                  <wp:effectExtent l="0" t="0" r="0" b="0"/>
                  <wp:docPr id="254" name="Image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78" descr=""/>
                          <pic:cNvPicPr>
                            <a:picLocks noChangeAspect="1" noChangeArrowheads="1"/>
                          </pic:cNvPicPr>
                        </pic:nvPicPr>
                        <pic:blipFill>
                          <a:blip r:embed="rId265"/>
                          <a:srcRect l="3064" t="6722" r="7937" b="2070"/>
                          <a:stretch>
                            <a:fillRect/>
                          </a:stretch>
                        </pic:blipFill>
                        <pic:spPr bwMode="auto">
                          <a:xfrm>
                            <a:off x="0" y="0"/>
                            <a:ext cx="2672080" cy="2056130"/>
                          </a:xfrm>
                          <a:prstGeom prst="rect">
                            <a:avLst/>
                          </a:prstGeom>
                        </pic:spPr>
                      </pic:pic>
                    </a:graphicData>
                  </a:graphic>
                </wp:inline>
              </w:drawing>
            </w:r>
          </w:p>
        </w:tc>
        <w:tc>
          <w:tcPr>
            <w:tcW w:w="498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720340" cy="2084070"/>
                  <wp:effectExtent l="0" t="0" r="0" b="0"/>
                  <wp:docPr id="255" name="Image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79" descr=""/>
                          <pic:cNvPicPr>
                            <a:picLocks noChangeAspect="1" noChangeArrowheads="1"/>
                          </pic:cNvPicPr>
                        </pic:nvPicPr>
                        <pic:blipFill>
                          <a:blip r:embed="rId266"/>
                          <a:srcRect l="3064" t="6614" r="7937" b="2169"/>
                          <a:stretch>
                            <a:fillRect/>
                          </a:stretch>
                        </pic:blipFill>
                        <pic:spPr bwMode="auto">
                          <a:xfrm>
                            <a:off x="0" y="0"/>
                            <a:ext cx="2720340" cy="2084070"/>
                          </a:xfrm>
                          <a:prstGeom prst="rect">
                            <a:avLst/>
                          </a:prstGeom>
                        </pic:spPr>
                      </pic:pic>
                    </a:graphicData>
                  </a:graphic>
                </wp:inline>
              </w:drawing>
            </w:r>
          </w:p>
        </w:tc>
      </w:tr>
      <w:tr>
        <w:trPr/>
        <w:tc>
          <w:tcPr>
            <w:tcW w:w="4877"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r>
              <w:rPr>
                <w:lang w:eastAsia="en-US"/>
              </w:rPr>
              <w:t>Figure</w:t>
            </w:r>
            <w:r>
              <w:rPr>
                <w:lang w:eastAsia="en-US"/>
              </w:rPr>
              <w:t xml:space="preserve"> </w:t>
            </w:r>
            <w:r>
              <w:rPr>
                <w:lang w:eastAsia="zh-CN"/>
              </w:rPr>
              <w:t>7</w:t>
            </w:r>
            <w:r>
              <w:rPr>
                <w:lang w:eastAsia="en-US"/>
              </w:rPr>
              <w:t xml:space="preserve"> Throughput </w:t>
            </w:r>
            <w:r>
              <w:rPr>
                <w:lang w:eastAsia="zh-CN"/>
              </w:rPr>
              <w:t>d</w:t>
            </w:r>
            <w:r>
              <w:rPr>
                <w:lang w:eastAsia="en-US"/>
              </w:rPr>
              <w:t>egradation</w:t>
            </w:r>
            <w:r>
              <w:rPr>
                <w:lang w:eastAsia="zh-CN"/>
              </w:rPr>
              <w:t xml:space="preserve"> CDF</w:t>
            </w:r>
            <w:r>
              <w:rPr>
                <w:lang w:eastAsia="en-US"/>
              </w:rPr>
              <w:t xml:space="preserve"> of EGPRS </w:t>
            </w:r>
            <w:r>
              <w:rPr>
                <w:lang w:eastAsia="zh-CN"/>
              </w:rPr>
              <w:t>comparing different relaxation levels</w:t>
            </w:r>
          </w:p>
        </w:tc>
        <w:tc>
          <w:tcPr>
            <w:tcW w:w="4980"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r>
              <w:rPr>
                <w:lang w:eastAsia="en-US"/>
              </w:rPr>
              <w:t>Figure</w:t>
            </w:r>
            <w:r>
              <w:rPr>
                <w:lang w:eastAsia="en-US"/>
              </w:rPr>
              <w:t xml:space="preserve"> </w:t>
            </w:r>
            <w:r>
              <w:rPr>
                <w:lang w:eastAsia="zh-CN"/>
              </w:rPr>
              <w:t>8</w:t>
            </w:r>
            <w:r>
              <w:rPr>
                <w:lang w:eastAsia="en-US"/>
              </w:rPr>
              <w:t xml:space="preserve"> Throughput </w:t>
            </w:r>
            <w:r>
              <w:rPr>
                <w:lang w:eastAsia="zh-CN"/>
              </w:rPr>
              <w:t>d</w:t>
            </w:r>
            <w:r>
              <w:rPr>
                <w:lang w:eastAsia="en-US"/>
              </w:rPr>
              <w:t>egradation</w:t>
            </w:r>
            <w:r>
              <w:rPr>
                <w:lang w:eastAsia="zh-CN"/>
              </w:rPr>
              <w:t xml:space="preserve"> CDF</w:t>
            </w:r>
            <w:r>
              <w:rPr>
                <w:lang w:eastAsia="en-US"/>
              </w:rPr>
              <w:t xml:space="preserve"> of EGPRS</w:t>
            </w:r>
            <w:r>
              <w:rPr>
                <w:lang w:eastAsia="zh-CN"/>
              </w:rPr>
              <w:t>2-A</w:t>
            </w:r>
            <w:r>
              <w:rPr>
                <w:lang w:eastAsia="en-US"/>
              </w:rPr>
              <w:t xml:space="preserve"> </w:t>
            </w:r>
            <w:r>
              <w:rPr>
                <w:lang w:eastAsia="zh-CN"/>
              </w:rPr>
              <w:t>comparing different relaxation levels</w:t>
            </w:r>
          </w:p>
        </w:tc>
      </w:tr>
    </w:tbl>
    <w:p>
      <w:pPr>
        <w:pStyle w:val="FP"/>
        <w:rPr>
          <w:lang w:eastAsia="zh-CN"/>
        </w:rPr>
      </w:pPr>
      <w:r>
        <w:rPr>
          <w:lang w:eastAsia="zh-CN"/>
        </w:rPr>
      </w:r>
    </w:p>
    <w:p>
      <w:pPr>
        <w:pStyle w:val="Normal"/>
        <w:rPr/>
      </w:pPr>
      <w:r>
        <w:rPr>
          <w:rFonts w:cs="Arial" w:ascii="Arial" w:hAnsi="Arial"/>
          <w:sz w:val="28"/>
          <w:szCs w:val="28"/>
          <w:lang w:val="en-US" w:eastAsia="zh-CN"/>
        </w:rPr>
        <w:t xml:space="preserve">Scenario 3: </w:t>
      </w:r>
      <w:r>
        <w:rPr/>
        <w:t>Small cells interfered by Macro</w:t>
      </w:r>
    </w:p>
    <w:tbl>
      <w:tblPr>
        <w:tblW w:w="9857" w:type="dxa"/>
        <w:jc w:val="left"/>
        <w:tblInd w:w="-113" w:type="dxa"/>
        <w:tblLayout w:type="fixed"/>
        <w:tblCellMar>
          <w:top w:w="0" w:type="dxa"/>
          <w:left w:w="108" w:type="dxa"/>
          <w:bottom w:w="0" w:type="dxa"/>
          <w:right w:w="108" w:type="dxa"/>
        </w:tblCellMar>
      </w:tblPr>
      <w:tblGrid>
        <w:gridCol w:w="4895"/>
        <w:gridCol w:w="4962"/>
      </w:tblGrid>
      <w:tr>
        <w:trPr>
          <w:trHeight w:val="3542" w:hRule="atLeast"/>
        </w:trPr>
        <w:tc>
          <w:tcPr>
            <w:tcW w:w="4895"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drawing>
                <wp:inline distT="0" distB="0" distL="0" distR="0">
                  <wp:extent cx="2672080" cy="1988185"/>
                  <wp:effectExtent l="0" t="0" r="0" b="0"/>
                  <wp:docPr id="256" name="Image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80" descr=""/>
                          <pic:cNvPicPr>
                            <a:picLocks noChangeAspect="1" noChangeArrowheads="1"/>
                          </pic:cNvPicPr>
                        </pic:nvPicPr>
                        <pic:blipFill>
                          <a:blip r:embed="rId267"/>
                          <a:srcRect l="5230" t="6740" r="7127" b="2052"/>
                          <a:stretch>
                            <a:fillRect/>
                          </a:stretch>
                        </pic:blipFill>
                        <pic:spPr bwMode="auto">
                          <a:xfrm>
                            <a:off x="0" y="0"/>
                            <a:ext cx="2672080" cy="1988185"/>
                          </a:xfrm>
                          <a:prstGeom prst="rect">
                            <a:avLst/>
                          </a:prstGeom>
                        </pic:spPr>
                      </pic:pic>
                    </a:graphicData>
                  </a:graphic>
                </wp:inline>
              </w:drawing>
            </w:r>
          </w:p>
        </w:tc>
        <w:tc>
          <w:tcPr>
            <w:tcW w:w="496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drawing>
                <wp:inline distT="0" distB="0" distL="0" distR="0">
                  <wp:extent cx="2650490" cy="2028190"/>
                  <wp:effectExtent l="0" t="0" r="0" b="0"/>
                  <wp:docPr id="257" name="Image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81" descr=""/>
                          <pic:cNvPicPr>
                            <a:picLocks noChangeAspect="1" noChangeArrowheads="1"/>
                          </pic:cNvPicPr>
                        </pic:nvPicPr>
                        <pic:blipFill>
                          <a:blip r:embed="rId268"/>
                          <a:srcRect l="3064" t="6614" r="7937" b="2169"/>
                          <a:stretch>
                            <a:fillRect/>
                          </a:stretch>
                        </pic:blipFill>
                        <pic:spPr bwMode="auto">
                          <a:xfrm>
                            <a:off x="0" y="0"/>
                            <a:ext cx="2650490" cy="2028190"/>
                          </a:xfrm>
                          <a:prstGeom prst="rect">
                            <a:avLst/>
                          </a:prstGeom>
                        </pic:spPr>
                      </pic:pic>
                    </a:graphicData>
                  </a:graphic>
                </wp:inline>
              </w:drawing>
            </w:r>
          </w:p>
        </w:tc>
      </w:tr>
      <w:tr>
        <w:trPr/>
        <w:tc>
          <w:tcPr>
            <w:tcW w:w="4895"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Figure</w:t>
            </w:r>
            <w:r>
              <w:rPr>
                <w:lang w:eastAsia="en-US"/>
              </w:rPr>
              <w:t xml:space="preserve"> </w:t>
            </w:r>
            <w:r>
              <w:rPr>
                <w:lang w:eastAsia="zh-CN"/>
              </w:rPr>
              <w:t>9</w:t>
            </w:r>
            <w:r>
              <w:rPr>
                <w:lang w:eastAsia="en-US"/>
              </w:rPr>
              <w:t xml:space="preserve"> </w:t>
            </w:r>
            <w:r>
              <w:rPr>
                <w:lang w:eastAsia="zh-CN"/>
              </w:rPr>
              <w:t>C/I</w:t>
            </w:r>
            <w:r>
              <w:rPr>
                <w:lang w:eastAsia="en-US"/>
              </w:rPr>
              <w:t xml:space="preserve"> CDF </w:t>
            </w:r>
            <w:r>
              <w:rPr>
                <w:lang w:eastAsia="zh-CN"/>
              </w:rPr>
              <w:t>comparing different relaxation levels</w:t>
            </w:r>
          </w:p>
        </w:tc>
        <w:tc>
          <w:tcPr>
            <w:tcW w:w="4962"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r>
              <w:rPr>
                <w:lang w:eastAsia="en-US"/>
              </w:rPr>
              <w:t>Figure</w:t>
            </w:r>
            <w:r>
              <w:rPr>
                <w:lang w:eastAsia="en-US"/>
              </w:rPr>
              <w:t xml:space="preserve"> </w:t>
            </w:r>
            <w:r>
              <w:rPr>
                <w:lang w:eastAsia="zh-CN"/>
              </w:rPr>
              <w:t>10</w:t>
            </w:r>
            <w:r>
              <w:rPr>
                <w:lang w:eastAsia="en-US"/>
              </w:rPr>
              <w:t xml:space="preserve"> </w:t>
            </w:r>
            <w:r>
              <w:rPr>
                <w:lang w:eastAsia="zh-CN"/>
              </w:rPr>
              <w:t>C/I degradation</w:t>
            </w:r>
            <w:r>
              <w:rPr>
                <w:lang w:eastAsia="en-US"/>
              </w:rPr>
              <w:t xml:space="preserve"> CDF </w:t>
            </w:r>
            <w:r>
              <w:rPr>
                <w:lang w:eastAsia="zh-CN"/>
              </w:rPr>
              <w:t>comparing different relaxation levels</w:t>
            </w:r>
          </w:p>
        </w:tc>
      </w:tr>
      <w:tr>
        <w:trPr/>
        <w:tc>
          <w:tcPr>
            <w:tcW w:w="4895"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672080" cy="2056130"/>
                  <wp:effectExtent l="0" t="0" r="0" b="0"/>
                  <wp:docPr id="258" name="Image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82" descr=""/>
                          <pic:cNvPicPr>
                            <a:picLocks noChangeAspect="1" noChangeArrowheads="1"/>
                          </pic:cNvPicPr>
                        </pic:nvPicPr>
                        <pic:blipFill>
                          <a:blip r:embed="rId269"/>
                          <a:srcRect l="3064" t="6722" r="7937" b="2070"/>
                          <a:stretch>
                            <a:fillRect/>
                          </a:stretch>
                        </pic:blipFill>
                        <pic:spPr bwMode="auto">
                          <a:xfrm>
                            <a:off x="0" y="0"/>
                            <a:ext cx="2672080" cy="2056130"/>
                          </a:xfrm>
                          <a:prstGeom prst="rect">
                            <a:avLst/>
                          </a:prstGeom>
                        </pic:spPr>
                      </pic:pic>
                    </a:graphicData>
                  </a:graphic>
                </wp:inline>
              </w:drawing>
            </w:r>
          </w:p>
        </w:tc>
        <w:tc>
          <w:tcPr>
            <w:tcW w:w="496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693670" cy="2075815"/>
                  <wp:effectExtent l="0" t="0" r="0" b="0"/>
                  <wp:docPr id="259" name="Image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283" descr=""/>
                          <pic:cNvPicPr>
                            <a:picLocks noChangeAspect="1" noChangeArrowheads="1"/>
                          </pic:cNvPicPr>
                        </pic:nvPicPr>
                        <pic:blipFill>
                          <a:blip r:embed="rId270"/>
                          <a:srcRect l="3064" t="6614" r="7937" b="2169"/>
                          <a:stretch>
                            <a:fillRect/>
                          </a:stretch>
                        </pic:blipFill>
                        <pic:spPr bwMode="auto">
                          <a:xfrm>
                            <a:off x="0" y="0"/>
                            <a:ext cx="2693670" cy="2075815"/>
                          </a:xfrm>
                          <a:prstGeom prst="rect">
                            <a:avLst/>
                          </a:prstGeom>
                        </pic:spPr>
                      </pic:pic>
                    </a:graphicData>
                  </a:graphic>
                </wp:inline>
              </w:drawing>
            </w:r>
          </w:p>
        </w:tc>
      </w:tr>
      <w:tr>
        <w:trPr/>
        <w:tc>
          <w:tcPr>
            <w:tcW w:w="4895"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r>
              <w:rPr>
                <w:lang w:eastAsia="en-US"/>
              </w:rPr>
              <w:t>Figure</w:t>
            </w:r>
            <w:r>
              <w:rPr>
                <w:lang w:eastAsia="en-US"/>
              </w:rPr>
              <w:t xml:space="preserve"> </w:t>
            </w:r>
            <w:r>
              <w:rPr>
                <w:lang w:eastAsia="zh-CN"/>
              </w:rPr>
              <w:t>11</w:t>
            </w:r>
            <w:r>
              <w:rPr>
                <w:lang w:eastAsia="en-US"/>
              </w:rPr>
              <w:t xml:space="preserve"> Throughput Degradation</w:t>
            </w:r>
            <w:r>
              <w:rPr>
                <w:lang w:eastAsia="zh-CN"/>
              </w:rPr>
              <w:t xml:space="preserve"> CDF</w:t>
            </w:r>
            <w:r>
              <w:rPr>
                <w:lang w:eastAsia="en-US"/>
              </w:rPr>
              <w:t xml:space="preserve"> of EGPRS </w:t>
            </w:r>
            <w:r>
              <w:rPr>
                <w:lang w:eastAsia="zh-CN"/>
              </w:rPr>
              <w:t>comparing different relaxation levels</w:t>
            </w:r>
          </w:p>
        </w:tc>
        <w:tc>
          <w:tcPr>
            <w:tcW w:w="4962"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lang w:eastAsia="en-US"/>
              </w:rPr>
            </w:pPr>
            <w:r>
              <w:rPr>
                <w:lang w:eastAsia="en-US"/>
              </w:rPr>
              <w:t>Figure</w:t>
            </w:r>
            <w:r>
              <w:rPr>
                <w:lang w:eastAsia="en-US"/>
              </w:rPr>
              <w:t xml:space="preserve"> </w:t>
            </w:r>
            <w:r>
              <w:rPr>
                <w:lang w:eastAsia="zh-CN"/>
              </w:rPr>
              <w:t>12</w:t>
            </w:r>
            <w:r>
              <w:rPr>
                <w:lang w:eastAsia="en-US"/>
              </w:rPr>
              <w:t xml:space="preserve"> Throughput Degradation</w:t>
            </w:r>
            <w:r>
              <w:rPr>
                <w:lang w:eastAsia="zh-CN"/>
              </w:rPr>
              <w:t xml:space="preserve"> CDF</w:t>
            </w:r>
            <w:r>
              <w:rPr>
                <w:lang w:eastAsia="en-US"/>
              </w:rPr>
              <w:t xml:space="preserve"> of EGPRS</w:t>
            </w:r>
            <w:r>
              <w:rPr>
                <w:lang w:eastAsia="zh-CN"/>
              </w:rPr>
              <w:t>2-A</w:t>
            </w:r>
            <w:r>
              <w:rPr>
                <w:lang w:eastAsia="en-US"/>
              </w:rPr>
              <w:t xml:space="preserve"> </w:t>
            </w:r>
            <w:r>
              <w:rPr>
                <w:lang w:eastAsia="zh-CN"/>
              </w:rPr>
              <w:t>comparing different relaxation levels</w:t>
            </w:r>
          </w:p>
        </w:tc>
      </w:tr>
    </w:tbl>
    <w:p>
      <w:pPr>
        <w:pStyle w:val="FP"/>
        <w:rPr>
          <w:lang w:eastAsia="zh-CN"/>
        </w:rPr>
      </w:pPr>
      <w:r>
        <w:rPr>
          <w:lang w:eastAsia="zh-CN"/>
        </w:rPr>
      </w:r>
    </w:p>
    <w:p>
      <w:pPr>
        <w:pStyle w:val="Normal"/>
        <w:rPr>
          <w:rFonts w:ascii="Arial" w:hAnsi="Arial" w:cs="Arial"/>
          <w:sz w:val="28"/>
          <w:szCs w:val="28"/>
          <w:lang w:val="en-US" w:eastAsia="zh-CN"/>
        </w:rPr>
      </w:pPr>
      <w:r>
        <w:rPr>
          <w:rFonts w:cs="Arial" w:ascii="Arial" w:hAnsi="Arial"/>
          <w:sz w:val="28"/>
          <w:szCs w:val="28"/>
          <w:lang w:val="en-US" w:eastAsia="zh-CN"/>
        </w:rPr>
        <w:t xml:space="preserve">Scenario 4: Street level Micro interfered by Urban Macro </w:t>
      </w:r>
    </w:p>
    <w:tbl>
      <w:tblPr>
        <w:tblW w:w="9857" w:type="dxa"/>
        <w:jc w:val="left"/>
        <w:tblInd w:w="-113" w:type="dxa"/>
        <w:tblLayout w:type="fixed"/>
        <w:tblCellMar>
          <w:top w:w="0" w:type="dxa"/>
          <w:left w:w="108" w:type="dxa"/>
          <w:bottom w:w="0" w:type="dxa"/>
          <w:right w:w="108" w:type="dxa"/>
        </w:tblCellMar>
      </w:tblPr>
      <w:tblGrid>
        <w:gridCol w:w="4843"/>
        <w:gridCol w:w="5014"/>
      </w:tblGrid>
      <w:tr>
        <w:trPr>
          <w:trHeight w:val="3542" w:hRule="atLeast"/>
        </w:trPr>
        <w:tc>
          <w:tcPr>
            <w:tcW w:w="4843"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lang w:eastAsia="zh-CN"/>
              </w:rPr>
              <w:drawing>
                <wp:inline distT="0" distB="0" distL="0" distR="0">
                  <wp:extent cx="2560320" cy="2139950"/>
                  <wp:effectExtent l="0" t="0" r="0" b="0"/>
                  <wp:docPr id="260" name="Image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84" descr=""/>
                          <pic:cNvPicPr>
                            <a:picLocks noChangeAspect="1" noChangeArrowheads="1"/>
                          </pic:cNvPicPr>
                        </pic:nvPicPr>
                        <pic:blipFill>
                          <a:blip r:embed="rId271"/>
                          <a:srcRect l="5447" t="2673" r="7195" b="-9"/>
                          <a:stretch>
                            <a:fillRect/>
                          </a:stretch>
                        </pic:blipFill>
                        <pic:spPr bwMode="auto">
                          <a:xfrm>
                            <a:off x="0" y="0"/>
                            <a:ext cx="2560320" cy="2139950"/>
                          </a:xfrm>
                          <a:prstGeom prst="rect">
                            <a:avLst/>
                          </a:prstGeom>
                        </pic:spPr>
                      </pic:pic>
                    </a:graphicData>
                  </a:graphic>
                </wp:inline>
              </w:drawing>
            </w:r>
          </w:p>
        </w:tc>
        <w:tc>
          <w:tcPr>
            <w:tcW w:w="5014"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lang w:eastAsia="zh-CN"/>
              </w:rPr>
              <w:drawing>
                <wp:inline distT="0" distB="0" distL="0" distR="0">
                  <wp:extent cx="2656205" cy="2139950"/>
                  <wp:effectExtent l="0" t="0" r="0" b="0"/>
                  <wp:docPr id="261" name="Image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85" descr=""/>
                          <pic:cNvPicPr>
                            <a:picLocks noChangeAspect="1" noChangeArrowheads="1"/>
                          </pic:cNvPicPr>
                        </pic:nvPicPr>
                        <pic:blipFill>
                          <a:blip r:embed="rId272"/>
                          <a:srcRect l="1876" t="2673" r="7532" b="-9"/>
                          <a:stretch>
                            <a:fillRect/>
                          </a:stretch>
                        </pic:blipFill>
                        <pic:spPr bwMode="auto">
                          <a:xfrm>
                            <a:off x="0" y="0"/>
                            <a:ext cx="2656205" cy="2139950"/>
                          </a:xfrm>
                          <a:prstGeom prst="rect">
                            <a:avLst/>
                          </a:prstGeom>
                        </pic:spPr>
                      </pic:pic>
                    </a:graphicData>
                  </a:graphic>
                </wp:inline>
              </w:drawing>
            </w:r>
          </w:p>
        </w:tc>
      </w:tr>
      <w:tr>
        <w:trPr/>
        <w:tc>
          <w:tcPr>
            <w:tcW w:w="4843"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bookmarkStart w:id="868" w:name="_Ref197338299"/>
            <w:r>
              <w:rPr>
                <w:lang w:eastAsia="en-US"/>
              </w:rPr>
              <w:t xml:space="preserve">Figure </w:t>
            </w:r>
            <w:bookmarkEnd w:id="868"/>
            <w:r>
              <w:rPr>
                <w:lang w:eastAsia="en-US"/>
              </w:rPr>
              <w:t>1</w:t>
            </w:r>
            <w:r>
              <w:rPr>
                <w:lang w:eastAsia="zh-CN"/>
              </w:rPr>
              <w:t>3</w:t>
            </w:r>
            <w:r>
              <w:rPr>
                <w:lang w:eastAsia="en-US"/>
              </w:rPr>
              <w:t xml:space="preserve">. C/I CDF comparing MCPA IM requirements -60, -70 and </w:t>
              <w:noBreakHyphen/>
              <w:t>80 dBc.</w:t>
            </w:r>
          </w:p>
        </w:tc>
        <w:tc>
          <w:tcPr>
            <w:tcW w:w="5014"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bookmarkStart w:id="869" w:name="_Ref197338324"/>
            <w:r>
              <w:rPr>
                <w:lang w:eastAsia="en-US"/>
              </w:rPr>
              <w:t xml:space="preserve">Figure </w:t>
            </w:r>
            <w:bookmarkEnd w:id="869"/>
            <w:r>
              <w:rPr>
                <w:lang w:eastAsia="en-US"/>
              </w:rPr>
              <w:t>1</w:t>
            </w:r>
            <w:r>
              <w:rPr>
                <w:lang w:eastAsia="zh-CN"/>
              </w:rPr>
              <w:t>4</w:t>
            </w:r>
            <w:r>
              <w:rPr>
                <w:lang w:eastAsia="en-US"/>
              </w:rPr>
              <w:t>. C/I degradation CDF comparing relaxed IM requirement to -60 and -70 dBc.</w:t>
            </w:r>
          </w:p>
        </w:tc>
      </w:tr>
      <w:tr>
        <w:trPr/>
        <w:tc>
          <w:tcPr>
            <w:tcW w:w="4843"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560320" cy="2115820"/>
                  <wp:effectExtent l="0" t="0" r="0" b="0"/>
                  <wp:docPr id="262" name="Image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86" descr=""/>
                          <pic:cNvPicPr>
                            <a:picLocks noChangeAspect="1" noChangeArrowheads="1"/>
                          </pic:cNvPicPr>
                        </pic:nvPicPr>
                        <pic:blipFill>
                          <a:blip r:embed="rId273"/>
                          <a:srcRect l="3098" t="3798" r="9544" b="-9"/>
                          <a:stretch>
                            <a:fillRect/>
                          </a:stretch>
                        </pic:blipFill>
                        <pic:spPr bwMode="auto">
                          <a:xfrm>
                            <a:off x="0" y="0"/>
                            <a:ext cx="2560320" cy="2115820"/>
                          </a:xfrm>
                          <a:prstGeom prst="rect">
                            <a:avLst/>
                          </a:prstGeom>
                        </pic:spPr>
                      </pic:pic>
                    </a:graphicData>
                  </a:graphic>
                </wp:inline>
              </w:drawing>
            </w:r>
          </w:p>
        </w:tc>
        <w:tc>
          <w:tcPr>
            <w:tcW w:w="5014"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drawing>
                <wp:inline distT="0" distB="0" distL="0" distR="0">
                  <wp:extent cx="2645410" cy="2115820"/>
                  <wp:effectExtent l="0" t="0" r="0" b="0"/>
                  <wp:docPr id="263" name="Image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87" descr=""/>
                          <pic:cNvPicPr>
                            <a:picLocks noChangeAspect="1" noChangeArrowheads="1"/>
                          </pic:cNvPicPr>
                        </pic:nvPicPr>
                        <pic:blipFill>
                          <a:blip r:embed="rId274"/>
                          <a:srcRect l="898" t="3798" r="8828" b="-9"/>
                          <a:stretch>
                            <a:fillRect/>
                          </a:stretch>
                        </pic:blipFill>
                        <pic:spPr bwMode="auto">
                          <a:xfrm>
                            <a:off x="0" y="0"/>
                            <a:ext cx="2645410" cy="2115820"/>
                          </a:xfrm>
                          <a:prstGeom prst="rect">
                            <a:avLst/>
                          </a:prstGeom>
                        </pic:spPr>
                      </pic:pic>
                    </a:graphicData>
                  </a:graphic>
                </wp:inline>
              </w:drawing>
            </w:r>
          </w:p>
        </w:tc>
      </w:tr>
      <w:tr>
        <w:trPr/>
        <w:tc>
          <w:tcPr>
            <w:tcW w:w="4843"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bookmarkStart w:id="870" w:name="_Ref197338363"/>
            <w:r>
              <w:rPr>
                <w:lang w:eastAsia="en-US"/>
              </w:rPr>
              <w:t xml:space="preserve">Figure </w:t>
            </w:r>
            <w:bookmarkEnd w:id="870"/>
            <w:r>
              <w:rPr>
                <w:lang w:eastAsia="en-US"/>
              </w:rPr>
              <w:t>1</w:t>
            </w:r>
            <w:r>
              <w:rPr>
                <w:lang w:eastAsia="zh-CN"/>
              </w:rPr>
              <w:t>5</w:t>
            </w:r>
            <w:r>
              <w:rPr>
                <w:lang w:eastAsia="en-US"/>
              </w:rPr>
              <w:t>. EGRPS bitrate degradation CDF comparing relaxed IM requirement to -60 and -70 dBc.</w:t>
            </w:r>
          </w:p>
        </w:tc>
        <w:tc>
          <w:tcPr>
            <w:tcW w:w="5014"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bookmarkStart w:id="871" w:name="_Ref197338373"/>
            <w:r>
              <w:rPr>
                <w:lang w:eastAsia="en-US"/>
              </w:rPr>
              <w:t xml:space="preserve">Figure </w:t>
            </w:r>
            <w:bookmarkEnd w:id="871"/>
            <w:r>
              <w:rPr>
                <w:lang w:eastAsia="en-US"/>
              </w:rPr>
              <w:t>1</w:t>
            </w:r>
            <w:r>
              <w:rPr>
                <w:lang w:eastAsia="zh-CN"/>
              </w:rPr>
              <w:t>6</w:t>
            </w:r>
            <w:r>
              <w:rPr>
                <w:lang w:eastAsia="en-US"/>
              </w:rPr>
              <w:t>. EGRPS2-A bitrate degradation CDF comparing relaxed IM requirement to -60 and -70 dBc.</w:t>
            </w:r>
          </w:p>
        </w:tc>
      </w:tr>
    </w:tbl>
    <w:p>
      <w:pPr>
        <w:pStyle w:val="FP"/>
        <w:rPr>
          <w:lang w:eastAsia="zh-CN"/>
        </w:rPr>
      </w:pPr>
      <w:r>
        <w:rPr>
          <w:lang w:eastAsia="zh-CN"/>
        </w:rPr>
      </w:r>
    </w:p>
    <w:p>
      <w:pPr>
        <w:pStyle w:val="Normal"/>
        <w:rPr>
          <w:rFonts w:ascii="Arial" w:hAnsi="Arial" w:cs="Arial"/>
          <w:sz w:val="28"/>
          <w:szCs w:val="28"/>
          <w:lang w:val="en-US" w:eastAsia="zh-CN"/>
        </w:rPr>
      </w:pPr>
      <w:r>
        <w:rPr>
          <w:rFonts w:cs="Arial" w:ascii="Arial" w:hAnsi="Arial"/>
          <w:sz w:val="28"/>
          <w:szCs w:val="28"/>
          <w:lang w:val="en-US" w:eastAsia="zh-CN"/>
        </w:rPr>
        <w:t xml:space="preserve">Scenario 5: Street level Micro interfered by urban small Macro </w:t>
      </w:r>
    </w:p>
    <w:tbl>
      <w:tblPr>
        <w:tblW w:w="9857" w:type="dxa"/>
        <w:jc w:val="left"/>
        <w:tblInd w:w="-113" w:type="dxa"/>
        <w:tblLayout w:type="fixed"/>
        <w:tblCellMar>
          <w:top w:w="0" w:type="dxa"/>
          <w:left w:w="108" w:type="dxa"/>
          <w:bottom w:w="0" w:type="dxa"/>
          <w:right w:w="108" w:type="dxa"/>
        </w:tblCellMar>
      </w:tblPr>
      <w:tblGrid>
        <w:gridCol w:w="4883"/>
        <w:gridCol w:w="4974"/>
      </w:tblGrid>
      <w:tr>
        <w:trPr>
          <w:trHeight w:val="3542" w:hRule="atLeast"/>
        </w:trPr>
        <w:tc>
          <w:tcPr>
            <w:tcW w:w="4883"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lang w:eastAsia="zh-CN"/>
              </w:rPr>
              <w:drawing>
                <wp:inline distT="0" distB="0" distL="0" distR="0">
                  <wp:extent cx="2560320" cy="2124075"/>
                  <wp:effectExtent l="0" t="0" r="0" b="0"/>
                  <wp:docPr id="264" name="Image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88" descr=""/>
                          <pic:cNvPicPr>
                            <a:picLocks noChangeAspect="1" noChangeArrowheads="1"/>
                          </pic:cNvPicPr>
                        </pic:nvPicPr>
                        <pic:blipFill>
                          <a:blip r:embed="rId275"/>
                          <a:srcRect l="5373" t="3582" r="7377" b="-9"/>
                          <a:stretch>
                            <a:fillRect/>
                          </a:stretch>
                        </pic:blipFill>
                        <pic:spPr bwMode="auto">
                          <a:xfrm>
                            <a:off x="0" y="0"/>
                            <a:ext cx="2560320" cy="2124075"/>
                          </a:xfrm>
                          <a:prstGeom prst="rect">
                            <a:avLst/>
                          </a:prstGeom>
                        </pic:spPr>
                      </pic:pic>
                    </a:graphicData>
                  </a:graphic>
                </wp:inline>
              </w:drawing>
            </w:r>
          </w:p>
        </w:tc>
        <w:tc>
          <w:tcPr>
            <w:tcW w:w="4974"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lang w:eastAsia="zh-CN"/>
              </w:rPr>
              <w:drawing>
                <wp:inline distT="0" distB="0" distL="0" distR="0">
                  <wp:extent cx="2597150" cy="2139950"/>
                  <wp:effectExtent l="0" t="0" r="0" b="0"/>
                  <wp:docPr id="265" name="Image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289" descr=""/>
                          <pic:cNvPicPr>
                            <a:picLocks noChangeAspect="1" noChangeArrowheads="1"/>
                          </pic:cNvPicPr>
                        </pic:nvPicPr>
                        <pic:blipFill>
                          <a:blip r:embed="rId276"/>
                          <a:srcRect l="2828" t="2691" r="8720" b="-9"/>
                          <a:stretch>
                            <a:fillRect/>
                          </a:stretch>
                        </pic:blipFill>
                        <pic:spPr bwMode="auto">
                          <a:xfrm>
                            <a:off x="0" y="0"/>
                            <a:ext cx="2597150" cy="2139950"/>
                          </a:xfrm>
                          <a:prstGeom prst="rect">
                            <a:avLst/>
                          </a:prstGeom>
                        </pic:spPr>
                      </pic:pic>
                    </a:graphicData>
                  </a:graphic>
                </wp:inline>
              </w:drawing>
            </w:r>
          </w:p>
        </w:tc>
      </w:tr>
      <w:tr>
        <w:trPr/>
        <w:tc>
          <w:tcPr>
            <w:tcW w:w="4883"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en-US"/>
              </w:rPr>
              <w:t>1</w:t>
            </w:r>
            <w:r>
              <w:rPr>
                <w:lang w:eastAsia="zh-CN"/>
              </w:rPr>
              <w:t>7</w:t>
            </w:r>
            <w:r>
              <w:rPr>
                <w:lang w:eastAsia="en-US"/>
              </w:rPr>
              <w:t xml:space="preserve">. C/I CDF comparing MCPA IM requirements -60, -70 and </w:t>
              <w:noBreakHyphen/>
              <w:t>80 dBc.</w:t>
            </w:r>
          </w:p>
        </w:tc>
        <w:tc>
          <w:tcPr>
            <w:tcW w:w="4974"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en-US"/>
              </w:rPr>
              <w:t>1</w:t>
            </w:r>
            <w:r>
              <w:rPr>
                <w:lang w:eastAsia="zh-CN"/>
              </w:rPr>
              <w:t>8</w:t>
            </w:r>
            <w:r>
              <w:rPr>
                <w:lang w:eastAsia="en-US"/>
              </w:rPr>
              <w:t>. C/I degradation CDF comparing relaxed IM requirement to -60 and -70 dBc.</w:t>
            </w:r>
          </w:p>
        </w:tc>
      </w:tr>
      <w:tr>
        <w:trPr/>
        <w:tc>
          <w:tcPr>
            <w:tcW w:w="488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rPr>
            </w:pPr>
            <w:r>
              <w:rPr>
                <w:lang w:eastAsia="zh-CN"/>
              </w:rPr>
              <w:drawing>
                <wp:inline distT="0" distB="0" distL="0" distR="0">
                  <wp:extent cx="2560320" cy="2139950"/>
                  <wp:effectExtent l="0" t="0" r="0" b="0"/>
                  <wp:docPr id="266" name="Image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90" descr=""/>
                          <pic:cNvPicPr>
                            <a:picLocks noChangeAspect="1" noChangeArrowheads="1"/>
                          </pic:cNvPicPr>
                        </pic:nvPicPr>
                        <pic:blipFill>
                          <a:blip r:embed="rId277"/>
                          <a:srcRect l="2970" t="2691" r="9814" b="-9"/>
                          <a:stretch>
                            <a:fillRect/>
                          </a:stretch>
                        </pic:blipFill>
                        <pic:spPr bwMode="auto">
                          <a:xfrm>
                            <a:off x="0" y="0"/>
                            <a:ext cx="2560320" cy="2139950"/>
                          </a:xfrm>
                          <a:prstGeom prst="rect">
                            <a:avLst/>
                          </a:prstGeom>
                        </pic:spPr>
                      </pic:pic>
                    </a:graphicData>
                  </a:graphic>
                </wp:inline>
              </w:drawing>
            </w:r>
          </w:p>
        </w:tc>
        <w:tc>
          <w:tcPr>
            <w:tcW w:w="4974"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rPr>
            </w:pPr>
            <w:r>
              <w:rPr>
                <w:lang w:eastAsia="zh-CN"/>
              </w:rPr>
              <w:drawing>
                <wp:inline distT="0" distB="0" distL="0" distR="0">
                  <wp:extent cx="2597150" cy="2139950"/>
                  <wp:effectExtent l="0" t="0" r="0" b="0"/>
                  <wp:docPr id="267" name="Image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291" descr=""/>
                          <pic:cNvPicPr>
                            <a:picLocks noChangeAspect="1" noChangeArrowheads="1"/>
                          </pic:cNvPicPr>
                        </pic:nvPicPr>
                        <pic:blipFill>
                          <a:blip r:embed="rId278"/>
                          <a:srcRect l="4900" t="2691" r="6648" b="-9"/>
                          <a:stretch>
                            <a:fillRect/>
                          </a:stretch>
                        </pic:blipFill>
                        <pic:spPr bwMode="auto">
                          <a:xfrm>
                            <a:off x="0" y="0"/>
                            <a:ext cx="2597150" cy="2139950"/>
                          </a:xfrm>
                          <a:prstGeom prst="rect">
                            <a:avLst/>
                          </a:prstGeom>
                        </pic:spPr>
                      </pic:pic>
                    </a:graphicData>
                  </a:graphic>
                </wp:inline>
              </w:drawing>
            </w:r>
          </w:p>
        </w:tc>
      </w:tr>
      <w:tr>
        <w:trPr/>
        <w:tc>
          <w:tcPr>
            <w:tcW w:w="4883"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en-US"/>
              </w:rPr>
              <w:t>1</w:t>
            </w:r>
            <w:r>
              <w:rPr>
                <w:lang w:eastAsia="zh-CN"/>
              </w:rPr>
              <w:t>9</w:t>
            </w:r>
            <w:r>
              <w:rPr>
                <w:lang w:eastAsia="en-US"/>
              </w:rPr>
              <w:t>. EGRPS bitrate degradation CDF comparing relaxed IM requirement to -60 and -70 dBc.</w:t>
            </w:r>
          </w:p>
        </w:tc>
        <w:tc>
          <w:tcPr>
            <w:tcW w:w="4974"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20</w:t>
            </w:r>
            <w:r>
              <w:rPr>
                <w:lang w:eastAsia="en-US"/>
              </w:rPr>
              <w:t>. EGRPS2-A bitrate degradation CDF comparing relaxed IM requirement to -60 and -70 dBc.</w:t>
            </w:r>
          </w:p>
        </w:tc>
      </w:tr>
    </w:tbl>
    <w:p>
      <w:pPr>
        <w:pStyle w:val="FP"/>
        <w:rPr>
          <w:lang w:eastAsia="zh-CN"/>
        </w:rPr>
      </w:pPr>
      <w:r>
        <w:rPr>
          <w:lang w:eastAsia="zh-CN"/>
        </w:rPr>
      </w:r>
    </w:p>
    <w:p>
      <w:pPr>
        <w:pStyle w:val="Normal"/>
        <w:rPr/>
      </w:pPr>
      <w:r>
        <w:rPr>
          <w:rFonts w:cs="Arial" w:ascii="Arial" w:hAnsi="Arial"/>
          <w:sz w:val="28"/>
          <w:szCs w:val="28"/>
          <w:lang w:val="en-US" w:eastAsia="zh-CN"/>
        </w:rPr>
        <w:t xml:space="preserve">Scenario 6: Single street level micro cell interfered by single roof-top macro </w:t>
      </w:r>
      <w:r>
        <w:rPr/>
        <w:t xml:space="preserve">cell </w:t>
      </w:r>
    </w:p>
    <w:tbl>
      <w:tblPr>
        <w:tblW w:w="9857" w:type="dxa"/>
        <w:jc w:val="left"/>
        <w:tblInd w:w="-113" w:type="dxa"/>
        <w:tblLayout w:type="fixed"/>
        <w:tblCellMar>
          <w:top w:w="0" w:type="dxa"/>
          <w:left w:w="108" w:type="dxa"/>
          <w:bottom w:w="0" w:type="dxa"/>
          <w:right w:w="108" w:type="dxa"/>
        </w:tblCellMar>
      </w:tblPr>
      <w:tblGrid>
        <w:gridCol w:w="4915"/>
        <w:gridCol w:w="4942"/>
      </w:tblGrid>
      <w:tr>
        <w:trPr/>
        <w:tc>
          <w:tcPr>
            <w:tcW w:w="4915" w:type="dxa"/>
            <w:tcBorders>
              <w:top w:val="single" w:sz="4" w:space="0" w:color="000000"/>
              <w:left w:val="single" w:sz="4" w:space="0" w:color="000000"/>
              <w:bottom w:val="single" w:sz="4" w:space="0" w:color="000000"/>
              <w:right w:val="single" w:sz="4" w:space="0" w:color="000000"/>
            </w:tcBorders>
          </w:tcPr>
          <w:p>
            <w:pPr>
              <w:pStyle w:val="TextBody"/>
              <w:spacing w:before="0" w:after="180"/>
              <w:rPr>
                <w:lang w:eastAsia="en-US"/>
              </w:rPr>
            </w:pPr>
            <w:r>
              <w:rPr>
                <w:lang w:eastAsia="en-US"/>
              </w:rPr>
              <w:drawing>
                <wp:inline distT="0" distB="0" distL="0" distR="0">
                  <wp:extent cx="2747010" cy="2411730"/>
                  <wp:effectExtent l="0" t="0" r="0" b="0"/>
                  <wp:docPr id="268" name="Image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92" descr=""/>
                          <pic:cNvPicPr>
                            <a:picLocks noChangeAspect="1" noChangeArrowheads="1"/>
                          </pic:cNvPicPr>
                        </pic:nvPicPr>
                        <pic:blipFill>
                          <a:blip r:embed="rId279"/>
                          <a:srcRect l="5008" t="-9" r="9611" b="-9"/>
                          <a:stretch>
                            <a:fillRect/>
                          </a:stretch>
                        </pic:blipFill>
                        <pic:spPr bwMode="auto">
                          <a:xfrm>
                            <a:off x="0" y="0"/>
                            <a:ext cx="2747010" cy="2411730"/>
                          </a:xfrm>
                          <a:prstGeom prst="rect">
                            <a:avLst/>
                          </a:prstGeom>
                        </pic:spPr>
                      </pic:pic>
                    </a:graphicData>
                  </a:graphic>
                </wp:inline>
              </w:drawing>
            </w:r>
          </w:p>
        </w:tc>
        <w:tc>
          <w:tcPr>
            <w:tcW w:w="4942" w:type="dxa"/>
            <w:tcBorders>
              <w:top w:val="single" w:sz="4" w:space="0" w:color="000000"/>
              <w:left w:val="single" w:sz="4" w:space="0" w:color="000000"/>
              <w:bottom w:val="single" w:sz="4" w:space="0" w:color="000000"/>
              <w:right w:val="single" w:sz="4" w:space="0" w:color="000000"/>
            </w:tcBorders>
          </w:tcPr>
          <w:p>
            <w:pPr>
              <w:pStyle w:val="TextBody"/>
              <w:spacing w:before="0" w:after="180"/>
              <w:rPr>
                <w:lang w:eastAsia="en-US"/>
              </w:rPr>
            </w:pPr>
            <w:r>
              <w:rPr>
                <w:lang w:eastAsia="en-US"/>
              </w:rPr>
              <w:drawing>
                <wp:inline distT="0" distB="0" distL="0" distR="0">
                  <wp:extent cx="2773680" cy="2407920"/>
                  <wp:effectExtent l="0" t="0" r="0" b="0"/>
                  <wp:docPr id="269" name="Image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293" descr=""/>
                          <pic:cNvPicPr>
                            <a:picLocks noChangeAspect="1" noChangeArrowheads="1"/>
                          </pic:cNvPicPr>
                        </pic:nvPicPr>
                        <pic:blipFill>
                          <a:blip r:embed="rId280"/>
                          <a:srcRect l="5325" t="-9" r="8315" b="-9"/>
                          <a:stretch>
                            <a:fillRect/>
                          </a:stretch>
                        </pic:blipFill>
                        <pic:spPr bwMode="auto">
                          <a:xfrm>
                            <a:off x="0" y="0"/>
                            <a:ext cx="2773680" cy="2407920"/>
                          </a:xfrm>
                          <a:prstGeom prst="rect">
                            <a:avLst/>
                          </a:prstGeom>
                        </pic:spPr>
                      </pic:pic>
                    </a:graphicData>
                  </a:graphic>
                </wp:inline>
              </w:drawing>
            </w:r>
          </w:p>
        </w:tc>
      </w:tr>
      <w:tr>
        <w:trPr/>
        <w:tc>
          <w:tcPr>
            <w:tcW w:w="9857" w:type="dxa"/>
            <w:gridSpan w:val="2"/>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21</w:t>
            </w:r>
            <w:r>
              <w:rPr>
                <w:lang w:eastAsia="en-US"/>
              </w:rPr>
              <w:t xml:space="preserve">. C/I distribution CDF with different BTS IM3 requirements. The sum of all BTS IM3 products is limited. </w:t>
            </w:r>
          </w:p>
        </w:tc>
      </w:tr>
      <w:tr>
        <w:trPr/>
        <w:tc>
          <w:tcPr>
            <w:tcW w:w="4915"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drawing>
                <wp:inline distT="0" distB="0" distL="0" distR="0">
                  <wp:extent cx="2783840" cy="2400300"/>
                  <wp:effectExtent l="0" t="0" r="0" b="0"/>
                  <wp:docPr id="270" name="Image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94" descr=""/>
                          <pic:cNvPicPr>
                            <a:picLocks noChangeAspect="1" noChangeArrowheads="1"/>
                          </pic:cNvPicPr>
                        </pic:nvPicPr>
                        <pic:blipFill>
                          <a:blip r:embed="rId281"/>
                          <a:srcRect l="5015" t="-9" r="8018" b="-9"/>
                          <a:stretch>
                            <a:fillRect/>
                          </a:stretch>
                        </pic:blipFill>
                        <pic:spPr bwMode="auto">
                          <a:xfrm>
                            <a:off x="0" y="0"/>
                            <a:ext cx="2783840" cy="2400300"/>
                          </a:xfrm>
                          <a:prstGeom prst="rect">
                            <a:avLst/>
                          </a:prstGeom>
                        </pic:spPr>
                      </pic:pic>
                    </a:graphicData>
                  </a:graphic>
                </wp:inline>
              </w:drawing>
            </w:r>
          </w:p>
        </w:tc>
        <w:tc>
          <w:tcPr>
            <w:tcW w:w="494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drawing>
                <wp:inline distT="0" distB="0" distL="0" distR="0">
                  <wp:extent cx="2800350" cy="2400300"/>
                  <wp:effectExtent l="0" t="0" r="0" b="0"/>
                  <wp:docPr id="271" name="Image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295" descr=""/>
                          <pic:cNvPicPr>
                            <a:picLocks noChangeAspect="1" noChangeArrowheads="1"/>
                          </pic:cNvPicPr>
                        </pic:nvPicPr>
                        <pic:blipFill>
                          <a:blip r:embed="rId282"/>
                          <a:srcRect l="4455" t="-9" r="8018" b="-9"/>
                          <a:stretch>
                            <a:fillRect/>
                          </a:stretch>
                        </pic:blipFill>
                        <pic:spPr bwMode="auto">
                          <a:xfrm>
                            <a:off x="0" y="0"/>
                            <a:ext cx="2800350" cy="2400300"/>
                          </a:xfrm>
                          <a:prstGeom prst="rect">
                            <a:avLst/>
                          </a:prstGeom>
                        </pic:spPr>
                      </pic:pic>
                    </a:graphicData>
                  </a:graphic>
                </wp:inline>
              </w:drawing>
            </w:r>
          </w:p>
        </w:tc>
      </w:tr>
      <w:tr>
        <w:trPr/>
        <w:tc>
          <w:tcPr>
            <w:tcW w:w="9857" w:type="dxa"/>
            <w:gridSpan w:val="2"/>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22</w:t>
            </w:r>
            <w:r>
              <w:rPr>
                <w:lang w:eastAsia="en-US"/>
              </w:rPr>
              <w:t xml:space="preserve"> EGRPS2-A bitrate distribution CDF with different BTS IM3 requirements. The sum of all BTS IM3 products is limited. </w:t>
            </w:r>
          </w:p>
        </w:tc>
      </w:tr>
    </w:tbl>
    <w:p>
      <w:pPr>
        <w:pStyle w:val="FP"/>
        <w:rPr>
          <w:lang w:eastAsia="zh-CN"/>
        </w:rPr>
      </w:pPr>
      <w:r>
        <w:rPr>
          <w:lang w:eastAsia="zh-CN"/>
        </w:rPr>
      </w:r>
    </w:p>
    <w:p>
      <w:pPr>
        <w:pStyle w:val="Normal"/>
        <w:rPr>
          <w:rFonts w:ascii="Arial" w:hAnsi="Arial" w:cs="Arial"/>
          <w:sz w:val="28"/>
          <w:szCs w:val="28"/>
          <w:lang w:val="en-US" w:eastAsia="zh-CN"/>
        </w:rPr>
      </w:pPr>
      <w:r>
        <w:rPr>
          <w:rFonts w:cs="Arial" w:ascii="Arial" w:hAnsi="Arial"/>
          <w:sz w:val="28"/>
          <w:szCs w:val="28"/>
          <w:lang w:val="en-US" w:eastAsia="zh-CN"/>
        </w:rPr>
        <w:t xml:space="preserve">Scenario 7: </w:t>
      </w:r>
      <w:bookmarkStart w:id="872" w:name="_Ref194942568"/>
      <w:r>
        <w:rPr>
          <w:rFonts w:cs="Arial" w:ascii="Arial" w:hAnsi="Arial"/>
          <w:sz w:val="28"/>
          <w:szCs w:val="28"/>
          <w:lang w:val="en-US" w:eastAsia="zh-CN"/>
        </w:rPr>
        <w:t>Rural Macro interfered by Rural Macro, with FH</w:t>
      </w:r>
      <w:bookmarkEnd w:id="872"/>
      <w:r>
        <w:rPr>
          <w:rFonts w:cs="Arial" w:ascii="Arial" w:hAnsi="Arial"/>
          <w:sz w:val="28"/>
          <w:szCs w:val="28"/>
          <w:lang w:val="en-US" w:eastAsia="zh-CN"/>
        </w:rPr>
        <w:t xml:space="preserve"> </w:t>
      </w:r>
    </w:p>
    <w:tbl>
      <w:tblPr>
        <w:tblW w:w="9857" w:type="dxa"/>
        <w:jc w:val="left"/>
        <w:tblInd w:w="-113" w:type="dxa"/>
        <w:tblLayout w:type="fixed"/>
        <w:tblCellMar>
          <w:top w:w="0" w:type="dxa"/>
          <w:left w:w="108" w:type="dxa"/>
          <w:bottom w:w="0" w:type="dxa"/>
          <w:right w:w="108" w:type="dxa"/>
        </w:tblCellMar>
      </w:tblPr>
      <w:tblGrid>
        <w:gridCol w:w="4857"/>
        <w:gridCol w:w="5000"/>
      </w:tblGrid>
      <w:tr>
        <w:trPr>
          <w:trHeight w:val="3542" w:hRule="atLeast"/>
        </w:trPr>
        <w:tc>
          <w:tcPr>
            <w:tcW w:w="4857"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lang w:eastAsia="zh-CN"/>
              </w:rPr>
              <w:drawing>
                <wp:inline distT="0" distB="0" distL="0" distR="0">
                  <wp:extent cx="2554605" cy="2136140"/>
                  <wp:effectExtent l="0" t="0" r="0" b="0"/>
                  <wp:docPr id="272" name="Image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96" descr=""/>
                          <pic:cNvPicPr>
                            <a:picLocks noChangeAspect="1" noChangeArrowheads="1"/>
                          </pic:cNvPicPr>
                        </pic:nvPicPr>
                        <pic:blipFill>
                          <a:blip r:embed="rId283"/>
                          <a:srcRect l="5265" t="2691" r="7478" b="-9"/>
                          <a:stretch>
                            <a:fillRect/>
                          </a:stretch>
                        </pic:blipFill>
                        <pic:spPr bwMode="auto">
                          <a:xfrm>
                            <a:off x="0" y="0"/>
                            <a:ext cx="2554605" cy="2136140"/>
                          </a:xfrm>
                          <a:prstGeom prst="rect">
                            <a:avLst/>
                          </a:prstGeom>
                        </pic:spPr>
                      </pic:pic>
                    </a:graphicData>
                  </a:graphic>
                </wp:inline>
              </w:drawing>
            </w:r>
          </w:p>
        </w:tc>
        <w:tc>
          <w:tcPr>
            <w:tcW w:w="5000"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lang w:eastAsia="zh-CN"/>
              </w:rPr>
              <w:drawing>
                <wp:inline distT="0" distB="0" distL="0" distR="0">
                  <wp:extent cx="2597150" cy="2120265"/>
                  <wp:effectExtent l="0" t="0" r="0" b="0"/>
                  <wp:docPr id="273" name="Image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297" descr=""/>
                          <pic:cNvPicPr>
                            <a:picLocks noChangeAspect="1" noChangeArrowheads="1"/>
                          </pic:cNvPicPr>
                        </pic:nvPicPr>
                        <pic:blipFill>
                          <a:blip r:embed="rId284"/>
                          <a:srcRect l="2828" t="3483" r="8565" b="-9"/>
                          <a:stretch>
                            <a:fillRect/>
                          </a:stretch>
                        </pic:blipFill>
                        <pic:spPr bwMode="auto">
                          <a:xfrm>
                            <a:off x="0" y="0"/>
                            <a:ext cx="2597150" cy="2120265"/>
                          </a:xfrm>
                          <a:prstGeom prst="rect">
                            <a:avLst/>
                          </a:prstGeom>
                        </pic:spPr>
                      </pic:pic>
                    </a:graphicData>
                  </a:graphic>
                </wp:inline>
              </w:drawing>
            </w:r>
          </w:p>
        </w:tc>
      </w:tr>
      <w:tr>
        <w:trPr/>
        <w:tc>
          <w:tcPr>
            <w:tcW w:w="4857"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23</w:t>
            </w:r>
            <w:r>
              <w:rPr>
                <w:lang w:eastAsia="en-US"/>
              </w:rPr>
              <w:t xml:space="preserve">. C/I CDF comparing MCPA IM requirements -60, -70 and </w:t>
              <w:noBreakHyphen/>
              <w:t>80 dBc.</w:t>
            </w:r>
          </w:p>
        </w:tc>
        <w:tc>
          <w:tcPr>
            <w:tcW w:w="5000"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24</w:t>
            </w:r>
            <w:r>
              <w:rPr>
                <w:lang w:eastAsia="en-US"/>
              </w:rPr>
              <w:t>. C/I degradation CDF comparing relaxed IM requirement to -60 and -70 dBc.</w:t>
            </w:r>
          </w:p>
        </w:tc>
      </w:tr>
      <w:tr>
        <w:trPr/>
        <w:tc>
          <w:tcPr>
            <w:tcW w:w="48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442845" cy="2200275"/>
                  <wp:effectExtent l="0" t="0" r="0" b="0"/>
                  <wp:docPr id="274" name="Image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98" descr=""/>
                          <pic:cNvPicPr>
                            <a:picLocks noChangeAspect="1" noChangeArrowheads="1"/>
                          </pic:cNvPicPr>
                        </pic:nvPicPr>
                        <pic:blipFill>
                          <a:blip r:embed="rId285"/>
                          <a:srcRect l="4279" t="-9" r="12385" b="-9"/>
                          <a:stretch>
                            <a:fillRect/>
                          </a:stretch>
                        </pic:blipFill>
                        <pic:spPr bwMode="auto">
                          <a:xfrm>
                            <a:off x="0" y="0"/>
                            <a:ext cx="2442845" cy="2200275"/>
                          </a:xfrm>
                          <a:prstGeom prst="rect">
                            <a:avLst/>
                          </a:prstGeom>
                        </pic:spPr>
                      </pic:pic>
                    </a:graphicData>
                  </a:graphic>
                </wp:inline>
              </w:drawing>
            </w:r>
          </w:p>
        </w:tc>
        <w:tc>
          <w:tcPr>
            <w:tcW w:w="500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lang w:eastAsia="zh-CN"/>
              </w:rPr>
            </w:pPr>
            <w:r>
              <w:rPr/>
              <w:drawing>
                <wp:inline distT="0" distB="0" distL="0" distR="0">
                  <wp:extent cx="2629535" cy="2200275"/>
                  <wp:effectExtent l="0" t="0" r="0" b="0"/>
                  <wp:docPr id="275" name="Image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299" descr=""/>
                          <pic:cNvPicPr>
                            <a:picLocks noChangeAspect="1" noChangeArrowheads="1"/>
                          </pic:cNvPicPr>
                        </pic:nvPicPr>
                        <pic:blipFill>
                          <a:blip r:embed="rId286"/>
                          <a:srcRect l="2018" t="-9" r="8255" b="-9"/>
                          <a:stretch>
                            <a:fillRect/>
                          </a:stretch>
                        </pic:blipFill>
                        <pic:spPr bwMode="auto">
                          <a:xfrm>
                            <a:off x="0" y="0"/>
                            <a:ext cx="2629535" cy="2200275"/>
                          </a:xfrm>
                          <a:prstGeom prst="rect">
                            <a:avLst/>
                          </a:prstGeom>
                        </pic:spPr>
                      </pic:pic>
                    </a:graphicData>
                  </a:graphic>
                </wp:inline>
              </w:drawing>
            </w:r>
          </w:p>
        </w:tc>
      </w:tr>
      <w:tr>
        <w:trPr/>
        <w:tc>
          <w:tcPr>
            <w:tcW w:w="4857"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25</w:t>
            </w:r>
            <w:r>
              <w:rPr>
                <w:lang w:eastAsia="en-US"/>
              </w:rPr>
              <w:t>. EGRPS bitrate degradation CDF comparing relaxed IM requirement to -60 and -70 dBc.</w:t>
            </w:r>
          </w:p>
        </w:tc>
        <w:tc>
          <w:tcPr>
            <w:tcW w:w="5000"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26</w:t>
            </w:r>
            <w:r>
              <w:rPr>
                <w:lang w:eastAsia="en-US"/>
              </w:rPr>
              <w:t>. EGRPS2-A bitrate degradation CDF comparing relaxed IM requirement to -60 and -70 dBc.</w:t>
            </w:r>
          </w:p>
        </w:tc>
      </w:tr>
    </w:tbl>
    <w:p>
      <w:pPr>
        <w:pStyle w:val="FP"/>
        <w:rPr>
          <w:lang w:eastAsia="zh-CN"/>
        </w:rPr>
      </w:pPr>
      <w:r>
        <w:rPr>
          <w:lang w:eastAsia="zh-CN"/>
        </w:rPr>
      </w:r>
    </w:p>
    <w:p>
      <w:pPr>
        <w:pStyle w:val="Normal"/>
        <w:rPr>
          <w:rFonts w:ascii="Arial" w:hAnsi="Arial" w:cs="Arial"/>
          <w:sz w:val="28"/>
          <w:szCs w:val="28"/>
          <w:lang w:val="en-US" w:eastAsia="zh-CN"/>
        </w:rPr>
      </w:pPr>
      <w:r>
        <w:rPr>
          <w:rFonts w:cs="Arial" w:ascii="Arial" w:hAnsi="Arial"/>
          <w:sz w:val="28"/>
          <w:szCs w:val="28"/>
          <w:lang w:val="en-US" w:eastAsia="zh-CN"/>
        </w:rPr>
        <w:t xml:space="preserve">Scenario 8: Rural Macro interfered by Rural Macro, no FH </w:t>
      </w:r>
    </w:p>
    <w:tbl>
      <w:tblPr>
        <w:tblW w:w="9857" w:type="dxa"/>
        <w:jc w:val="left"/>
        <w:tblInd w:w="-113" w:type="dxa"/>
        <w:tblLayout w:type="fixed"/>
        <w:tblCellMar>
          <w:top w:w="0" w:type="dxa"/>
          <w:left w:w="108" w:type="dxa"/>
          <w:bottom w:w="0" w:type="dxa"/>
          <w:right w:w="108" w:type="dxa"/>
        </w:tblCellMar>
      </w:tblPr>
      <w:tblGrid>
        <w:gridCol w:w="4861"/>
        <w:gridCol w:w="4996"/>
      </w:tblGrid>
      <w:tr>
        <w:trPr>
          <w:trHeight w:val="3542" w:hRule="atLeast"/>
        </w:trPr>
        <w:tc>
          <w:tcPr>
            <w:tcW w:w="4861"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lang w:eastAsia="zh-CN"/>
              </w:rPr>
              <w:drawing>
                <wp:inline distT="0" distB="0" distL="0" distR="0">
                  <wp:extent cx="2560320" cy="2099945"/>
                  <wp:effectExtent l="0" t="0" r="0" b="0"/>
                  <wp:docPr id="276" name="Image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00" descr=""/>
                          <pic:cNvPicPr>
                            <a:picLocks noChangeAspect="1" noChangeArrowheads="1"/>
                          </pic:cNvPicPr>
                        </pic:nvPicPr>
                        <pic:blipFill>
                          <a:blip r:embed="rId287"/>
                          <a:srcRect l="5508" t="4482" r="7148" b="-9"/>
                          <a:stretch>
                            <a:fillRect/>
                          </a:stretch>
                        </pic:blipFill>
                        <pic:spPr bwMode="auto">
                          <a:xfrm>
                            <a:off x="0" y="0"/>
                            <a:ext cx="2560320" cy="2099945"/>
                          </a:xfrm>
                          <a:prstGeom prst="rect">
                            <a:avLst/>
                          </a:prstGeom>
                        </pic:spPr>
                      </pic:pic>
                    </a:graphicData>
                  </a:graphic>
                </wp:inline>
              </w:drawing>
            </w:r>
          </w:p>
        </w:tc>
        <w:tc>
          <w:tcPr>
            <w:tcW w:w="4996"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lang w:eastAsia="zh-CN"/>
              </w:rPr>
              <w:drawing>
                <wp:inline distT="0" distB="0" distL="0" distR="0">
                  <wp:extent cx="2597150" cy="2143760"/>
                  <wp:effectExtent l="0" t="0" r="0" b="0"/>
                  <wp:docPr id="277" name="Image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301" descr=""/>
                          <pic:cNvPicPr>
                            <a:picLocks noChangeAspect="1" noChangeArrowheads="1"/>
                          </pic:cNvPicPr>
                        </pic:nvPicPr>
                        <pic:blipFill>
                          <a:blip r:embed="rId288"/>
                          <a:srcRect l="2842" t="2691" r="8423" b="-9"/>
                          <a:stretch>
                            <a:fillRect/>
                          </a:stretch>
                        </pic:blipFill>
                        <pic:spPr bwMode="auto">
                          <a:xfrm>
                            <a:off x="0" y="0"/>
                            <a:ext cx="2597150" cy="2143760"/>
                          </a:xfrm>
                          <a:prstGeom prst="rect">
                            <a:avLst/>
                          </a:prstGeom>
                        </pic:spPr>
                      </pic:pic>
                    </a:graphicData>
                  </a:graphic>
                </wp:inline>
              </w:drawing>
            </w:r>
          </w:p>
        </w:tc>
      </w:tr>
      <w:tr>
        <w:trPr/>
        <w:tc>
          <w:tcPr>
            <w:tcW w:w="4861"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27</w:t>
            </w:r>
            <w:r>
              <w:rPr>
                <w:lang w:eastAsia="en-US"/>
              </w:rPr>
              <w:t xml:space="preserve">. C/I CDF comparing MCPA IM requirements -60, -70 and </w:t>
              <w:noBreakHyphen/>
              <w:t>80 dBc.</w:t>
            </w:r>
          </w:p>
        </w:tc>
        <w:tc>
          <w:tcPr>
            <w:tcW w:w="4996"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28</w:t>
            </w:r>
            <w:r>
              <w:rPr>
                <w:lang w:eastAsia="en-US"/>
              </w:rPr>
              <w:t>. C/I degradation CDF comparing relaxed IM requirement to -60 and -70 dBc.</w:t>
            </w:r>
          </w:p>
        </w:tc>
      </w:tr>
      <w:tr>
        <w:trPr/>
        <w:tc>
          <w:tcPr>
            <w:tcW w:w="486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560320" cy="2127885"/>
                  <wp:effectExtent l="0" t="0" r="0" b="0"/>
                  <wp:docPr id="278" name="Image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02" descr=""/>
                          <pic:cNvPicPr>
                            <a:picLocks noChangeAspect="1" noChangeArrowheads="1"/>
                          </pic:cNvPicPr>
                        </pic:nvPicPr>
                        <pic:blipFill>
                          <a:blip r:embed="rId289"/>
                          <a:srcRect l="3233" t="3582" r="9173" b="-9"/>
                          <a:stretch>
                            <a:fillRect/>
                          </a:stretch>
                        </pic:blipFill>
                        <pic:spPr bwMode="auto">
                          <a:xfrm>
                            <a:off x="0" y="0"/>
                            <a:ext cx="2560320" cy="2127885"/>
                          </a:xfrm>
                          <a:prstGeom prst="rect">
                            <a:avLst/>
                          </a:prstGeom>
                        </pic:spPr>
                      </pic:pic>
                    </a:graphicData>
                  </a:graphic>
                </wp:inline>
              </w:drawing>
            </w:r>
          </w:p>
        </w:tc>
        <w:tc>
          <w:tcPr>
            <w:tcW w:w="4996"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Arial" w:hAnsi="Arial" w:cs="Arial"/>
              </w:rPr>
            </w:pPr>
            <w:r>
              <w:rPr/>
              <w:drawing>
                <wp:inline distT="0" distB="0" distL="0" distR="0">
                  <wp:extent cx="2629535" cy="2127885"/>
                  <wp:effectExtent l="0" t="0" r="0" b="0"/>
                  <wp:docPr id="279" name="Image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303" descr=""/>
                          <pic:cNvPicPr>
                            <a:picLocks noChangeAspect="1" noChangeArrowheads="1"/>
                          </pic:cNvPicPr>
                        </pic:nvPicPr>
                        <pic:blipFill>
                          <a:blip r:embed="rId290"/>
                          <a:srcRect l="1910" t="3582" r="8302" b="-9"/>
                          <a:stretch>
                            <a:fillRect/>
                          </a:stretch>
                        </pic:blipFill>
                        <pic:spPr bwMode="auto">
                          <a:xfrm>
                            <a:off x="0" y="0"/>
                            <a:ext cx="2629535" cy="2127885"/>
                          </a:xfrm>
                          <a:prstGeom prst="rect">
                            <a:avLst/>
                          </a:prstGeom>
                        </pic:spPr>
                      </pic:pic>
                    </a:graphicData>
                  </a:graphic>
                </wp:inline>
              </w:drawing>
            </w:r>
          </w:p>
        </w:tc>
      </w:tr>
      <w:tr>
        <w:trPr/>
        <w:tc>
          <w:tcPr>
            <w:tcW w:w="4861"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29</w:t>
            </w:r>
            <w:r>
              <w:rPr>
                <w:lang w:eastAsia="en-US"/>
              </w:rPr>
              <w:t>. EGRPS bitrate degradation CDF comparing relaxed IM requirement to -60 and -70 dBc.</w:t>
            </w:r>
          </w:p>
        </w:tc>
        <w:tc>
          <w:tcPr>
            <w:tcW w:w="4996" w:type="dxa"/>
            <w:tcBorders>
              <w:top w:val="single" w:sz="4" w:space="0" w:color="000000"/>
              <w:left w:val="single" w:sz="4" w:space="0" w:color="000000"/>
              <w:bottom w:val="single" w:sz="4" w:space="0" w:color="000000"/>
              <w:right w:val="single" w:sz="4" w:space="0" w:color="000000"/>
            </w:tcBorders>
          </w:tcPr>
          <w:p>
            <w:pPr>
              <w:pStyle w:val="TF"/>
              <w:numPr>
                <w:ilvl w:val="0"/>
                <w:numId w:val="0"/>
              </w:numPr>
              <w:spacing w:before="0" w:after="240"/>
              <w:outlineLvl w:val="0"/>
              <w:rPr/>
            </w:pPr>
            <w:r>
              <w:rPr>
                <w:lang w:eastAsia="en-US"/>
              </w:rPr>
              <w:t xml:space="preserve">Figure </w:t>
            </w:r>
            <w:r>
              <w:rPr>
                <w:lang w:eastAsia="zh-CN"/>
              </w:rPr>
              <w:t>30</w:t>
            </w:r>
            <w:r>
              <w:rPr>
                <w:lang w:eastAsia="en-US"/>
              </w:rPr>
              <w:t>. EGRPS2-A bitrate degradation CDF comparing relaxed IM requirement to -60 and -70 dBc.</w:t>
            </w:r>
          </w:p>
        </w:tc>
      </w:tr>
    </w:tbl>
    <w:p>
      <w:pPr>
        <w:pStyle w:val="FP"/>
        <w:rPr>
          <w:lang w:eastAsia="zh-CN"/>
        </w:rPr>
      </w:pPr>
      <w:r>
        <w:rPr>
          <w:lang w:eastAsia="zh-CN"/>
        </w:rPr>
      </w:r>
    </w:p>
    <w:p>
      <w:pPr>
        <w:pStyle w:val="Heading2"/>
        <w:rPr>
          <w:rFonts w:cs="Arial"/>
          <w:color w:val="000000"/>
          <w:sz w:val="20"/>
        </w:rPr>
      </w:pPr>
      <w:bookmarkStart w:id="873" w:name="__RefHeading___Toc518036206"/>
      <w:bookmarkEnd w:id="873"/>
      <w:r>
        <w:rPr/>
        <w:t>ZB.2.4</w:t>
        <w:tab/>
        <w:t>Impact to GSM-R due to relaxation</w:t>
      </w:r>
    </w:p>
    <w:p>
      <w:pPr>
        <w:pStyle w:val="Normal"/>
        <w:rPr/>
      </w:pPr>
      <w:r>
        <w:rPr>
          <w:lang w:val="en-US"/>
        </w:rPr>
        <w:t>During the discussions within GERAN, great care was taken to consider possible system impacts of the relaxations on GSM-R applications in railway networks. Concerning the receiver blocking, a compromise could be found very easily by not allowing the according relaxation for GSM-R receiver equipment. Concerning the relaxations on the transmitter side, more investigations had to be done in order to assess the impact of increased interference levels close to railway lines. Since railway operators were not directly present at the GERAN meetings, discussions were established with a railway operator in order to clarify the worst case scenario from the railway perspective. This scenario is given if a BTS of a "public" GSM network transmits close to the handover zone between two GSM-R BTSs along a railway line. If the interferences caused by the transmitter of the "public" GSM BTS are exceeding the minimum receive level defined for GSM-R receivers in trains (between –92 and –98 dBm depending on the type of train), the link between the train and the GSM-R network might be lost. For security reasons, the train then has to be braked thus leading to unacceptable delays in the railway operation. During the discussions with the railway operator, it was recognized that such situations could occur in principle in uncoordinated scenarios. It was also recognized that a whole number of counter measures can be applied to protect the GSM-R system from such impacts. Such measures could be e.g.</w:t>
      </w:r>
    </w:p>
    <w:p>
      <w:pPr>
        <w:pStyle w:val="B1"/>
        <w:rPr/>
      </w:pPr>
      <w:r>
        <w:rPr>
          <w:lang w:val="en-US"/>
        </w:rPr>
        <w:t>-</w:t>
        <w:tab/>
        <w:t>Frequency coordination between the "public" GSM and the GSM-R network.</w:t>
      </w:r>
    </w:p>
    <w:p>
      <w:pPr>
        <w:pStyle w:val="B1"/>
        <w:rPr/>
      </w:pPr>
      <w:r>
        <w:rPr>
          <w:lang w:val="en-US"/>
        </w:rPr>
        <w:t>-</w:t>
        <w:tab/>
        <w:t>Minimum distance between the "public" BTS and the closest railway line.</w:t>
      </w:r>
    </w:p>
    <w:p>
      <w:pPr>
        <w:pStyle w:val="B1"/>
        <w:rPr/>
      </w:pPr>
      <w:r>
        <w:rPr>
          <w:lang w:val="en-US"/>
        </w:rPr>
        <w:t>-</w:t>
        <w:tab/>
        <w:t>Usage of duplex filters within the "public" BTS with sufficient attenuation in the GSM-R frequency band.</w:t>
      </w:r>
    </w:p>
    <w:p>
      <w:pPr>
        <w:pStyle w:val="B1"/>
        <w:rPr/>
      </w:pPr>
      <w:r>
        <w:rPr>
          <w:lang w:val="en-US"/>
        </w:rPr>
        <w:t>-</w:t>
        <w:tab/>
        <w:t>Suited setting of output power and antenna directivity in the "public" BTS.</w:t>
      </w:r>
    </w:p>
    <w:p>
      <w:pPr>
        <w:pStyle w:val="Normal"/>
        <w:rPr>
          <w:szCs w:val="24"/>
          <w:lang w:eastAsia="zh-CN"/>
        </w:rPr>
      </w:pPr>
      <w:r>
        <w:rPr>
          <w:lang w:val="en-US"/>
        </w:rPr>
        <w:t>It was agreed that the according measures have to be specified in detail as "regulatory restrictions" for the usage of MCBTS during the regulatory process after the GERAN approval of the relaxations.</w:t>
      </w:r>
    </w:p>
    <w:p>
      <w:pPr>
        <w:pStyle w:val="Normal"/>
        <w:rPr>
          <w:szCs w:val="24"/>
          <w:lang w:eastAsia="zh-CN"/>
        </w:rPr>
      </w:pPr>
      <w:r>
        <w:rPr>
          <w:szCs w:val="24"/>
          <w:lang w:eastAsia="zh-CN"/>
        </w:rPr>
      </w:r>
    </w:p>
    <w:p>
      <w:pPr>
        <w:pStyle w:val="Heading1"/>
        <w:spacing w:before="120" w:after="120"/>
        <w:ind w:left="1134" w:hanging="1134"/>
        <w:rPr>
          <w:lang w:eastAsia="zh-CN"/>
        </w:rPr>
      </w:pPr>
      <w:bookmarkStart w:id="874" w:name="__RefHeading___Toc518036207"/>
      <w:bookmarkEnd w:id="874"/>
      <w:r>
        <w:rPr/>
        <w:t>ZB.3</w:t>
        <w:tab/>
        <w:t>Receiver</w:t>
      </w:r>
    </w:p>
    <w:p>
      <w:pPr>
        <w:pStyle w:val="Heading2"/>
        <w:rPr/>
      </w:pPr>
      <w:bookmarkStart w:id="875" w:name="__RefHeading___Toc518036208"/>
      <w:bookmarkEnd w:id="875"/>
      <w:r>
        <w:rPr/>
        <w:t>ZB.3.1</w:t>
        <w:tab/>
        <w:t>Proposal for the relaxation</w:t>
      </w:r>
    </w:p>
    <w:p>
      <w:pPr>
        <w:pStyle w:val="Normal"/>
        <w:jc w:val="both"/>
        <w:rPr>
          <w:lang w:val="en-US"/>
        </w:rPr>
      </w:pPr>
      <w:r>
        <w:rPr>
          <w:lang w:val="en-US"/>
        </w:rPr>
        <w:t xml:space="preserve">Initially, it was proposed to relax the blocking requirements of the BTS receiver by aligning them to those of DCS 1800. During the discussions, it was found that on the GSM-R field, there are some differences to GSM networks used for public communication: there are still high power MSs in use and the antenna patterns differ concerning the directivity and the location. As a consequence, it was agreed to split the blocking requirements in the way that those of GSM-R </w:t>
      </w:r>
      <w:r>
        <w:rPr>
          <w:lang w:val="en-US"/>
        </w:rPr>
        <w:t xml:space="preserve">application </w:t>
      </w:r>
      <w:r>
        <w:rPr>
          <w:lang w:val="en-US"/>
        </w:rPr>
        <w:t>are unchanged and only those of "public" GSM networks are relaxed by aligning to the values defined for DCS 1800. Later on it was discussed how to deal with receive levels exceeding the relaxed blocking values. Such high levels occur with a rather small probability but due to complete blocking of the BTS receiver, they can lead to an amount of drop calls that is not acceptable within GSM networks. Several possibilities cover such rare cases were discussed. Finally, it was agreed that the best way to solve this problem is to introduce a second higher blocking level at which the sensitivity may degrade compared to the sensitivity that must be ensured in the "normal" blocking case.</w:t>
      </w:r>
    </w:p>
    <w:p>
      <w:pPr>
        <w:pStyle w:val="Heading2"/>
        <w:rPr/>
      </w:pPr>
      <w:bookmarkStart w:id="876" w:name="__RefHeading___Toc518036209"/>
      <w:bookmarkEnd w:id="876"/>
      <w:r>
        <w:rPr/>
        <w:t>ZB.3.</w:t>
      </w:r>
      <w:r>
        <w:rPr>
          <w:lang w:eastAsia="zh-CN"/>
        </w:rPr>
        <w:t>2</w:t>
      </w:r>
      <w:r>
        <w:rPr/>
        <w:tab/>
        <w:t>Treatment of receive levels exceeding the new blocking limit</w:t>
      </w:r>
    </w:p>
    <w:p>
      <w:pPr>
        <w:pStyle w:val="Normal"/>
        <w:rPr/>
      </w:pPr>
      <w:r>
        <w:rPr/>
        <w:t>Collected path loss data from live networks shows that in dense city areas input signal level will occur above the proposed blocking requirement. However, the probability is low in most cells but there exist cells with significant probability of higher input signal. This is probably due to difficulties to locate base station in other location.</w:t>
      </w:r>
    </w:p>
    <w:p>
      <w:pPr>
        <w:pStyle w:val="Normal"/>
        <w:rPr/>
      </w:pPr>
      <w:r>
        <w:rPr/>
        <w:t>If the receiver was designed to process signals just up to this level, it could be completely blocked by higher signal levels. This is due to the fact that the AD converters have a fixed limit of their dynamic range.</w:t>
      </w:r>
    </w:p>
    <w:p>
      <w:pPr>
        <w:pStyle w:val="Normal"/>
        <w:rPr>
          <w:lang w:val="en-US"/>
        </w:rPr>
      </w:pPr>
      <w:r>
        <w:rPr/>
        <w:t>Several possibilities were considered to deal with or avoid such situations:</w:t>
      </w:r>
    </w:p>
    <w:p>
      <w:pPr>
        <w:pStyle w:val="B1"/>
        <w:rPr/>
      </w:pPr>
      <w:r>
        <w:rPr/>
        <w:t>-</w:t>
        <w:tab/>
        <w:t>Define a second higher blocking level (e.g. 3 dB higher) where larger desensitization could be allowed.</w:t>
      </w:r>
    </w:p>
    <w:p>
      <w:pPr>
        <w:pStyle w:val="B1"/>
        <w:rPr/>
      </w:pPr>
      <w:r>
        <w:rPr/>
        <w:t>-</w:t>
        <w:tab/>
        <w:t>Define a requirement on duration and levels of "blind" periods.</w:t>
      </w:r>
    </w:p>
    <w:p>
      <w:pPr>
        <w:pStyle w:val="B1"/>
        <w:rPr/>
      </w:pPr>
      <w:r>
        <w:rPr/>
        <w:t>-</w:t>
        <w:tab/>
        <w:t>Increase the proposed blocking level to be 2-3 dB higher.</w:t>
      </w:r>
    </w:p>
    <w:p>
      <w:pPr>
        <w:pStyle w:val="Normal"/>
        <w:rPr/>
      </w:pPr>
      <w:r>
        <w:rPr/>
        <w:t xml:space="preserve">It was found that the first proposal delivers the most suitable solution which fits best to the situation in the field: It leaves the value of –25 dBm as target value for the relaxation at which the full "blocking sensitivity" of –101 dBm (original sensitivity of –104 dBm, desensitized in the blocking case by 3 dB) has to be achieved. On the other side, it covers the rare cases where very high blocking signals occur at the receiver. As it was shown above, in such cases the receiver suffers also from a very high wideband noise level caused by the transmitters of mobiles located close to the BTS in the uncoordinated scenario. This noise level anyway leads to a significant desensitization of the BTS receiver. That means that a certain desensitization defined in the standard could not be "seen" by the GSM system. It was then proposed to introduce a second higher blocking level with degraded sensitivity. </w:t>
      </w:r>
    </w:p>
    <w:p>
      <w:pPr>
        <w:pStyle w:val="Heading3"/>
        <w:rPr/>
      </w:pPr>
      <w:bookmarkStart w:id="877" w:name="__RefHeading___Toc518036210"/>
      <w:bookmarkEnd w:id="877"/>
      <w:r>
        <w:rPr/>
        <w:t>ZB.3.</w:t>
      </w:r>
      <w:r>
        <w:rPr>
          <w:lang w:eastAsia="zh-CN"/>
        </w:rPr>
        <w:t>2</w:t>
      </w:r>
      <w:r>
        <w:rPr/>
        <w:t>.</w:t>
      </w:r>
      <w:r>
        <w:rPr>
          <w:lang w:eastAsia="zh-CN"/>
        </w:rPr>
        <w:t>1</w:t>
      </w:r>
      <w:r>
        <w:rPr/>
        <w:tab/>
        <w:t>Simulation results</w:t>
      </w:r>
    </w:p>
    <w:p>
      <w:pPr>
        <w:pStyle w:val="Normal"/>
        <w:rPr/>
      </w:pPr>
      <w:r>
        <w:rPr>
          <w:lang w:val="en-US"/>
        </w:rPr>
        <w:t xml:space="preserve">Both interfering system and victim system are modeled to investigate the impact due to blocking requirement relaxation in </w:t>
      </w:r>
      <w:r>
        <w:rPr>
          <w:lang w:val="en-US"/>
        </w:rPr>
        <w:t>near-far problem scenario</w:t>
      </w:r>
      <w:r>
        <w:rPr>
          <w:lang w:val="en-US"/>
        </w:rPr>
        <w:t xml:space="preserve">. </w:t>
      </w:r>
      <w:r>
        <w:rPr>
          <w:lang w:val="en-US"/>
        </w:rPr>
        <w:t>Four different cases were simulated in the victim network:</w:t>
      </w:r>
    </w:p>
    <w:p>
      <w:pPr>
        <w:pStyle w:val="B1"/>
        <w:rPr/>
      </w:pPr>
      <w:r>
        <w:rPr>
          <w:lang w:val="en-US"/>
        </w:rPr>
        <w:t>-</w:t>
        <w:tab/>
        <w:t>M0: The current requirement where receiver is blocked for Blocking Signal Strength (BSS) &gt; -13 dBm.</w:t>
      </w:r>
    </w:p>
    <w:p>
      <w:pPr>
        <w:pStyle w:val="B1"/>
        <w:rPr/>
      </w:pPr>
      <w:r>
        <w:rPr>
          <w:lang w:val="en-US"/>
        </w:rPr>
        <w:t>-</w:t>
        <w:tab/>
        <w:t>M1: Receiver blocked at BSS &gt; -25 dBm.</w:t>
      </w:r>
    </w:p>
    <w:p>
      <w:pPr>
        <w:pStyle w:val="B1"/>
        <w:rPr/>
      </w:pPr>
      <w:r>
        <w:rPr>
          <w:lang w:val="en-US"/>
        </w:rPr>
        <w:t>-</w:t>
        <w:tab/>
        <w:t>M2: Receiver blocked at BSS &gt; -20 dBm.</w:t>
      </w:r>
    </w:p>
    <w:p>
      <w:pPr>
        <w:pStyle w:val="B1"/>
        <w:rPr/>
      </w:pPr>
      <w:r>
        <w:rPr>
          <w:szCs w:val="22"/>
          <w:lang w:val="en-US"/>
        </w:rPr>
        <w:t>-</w:t>
        <w:tab/>
        <w:t>-25 &lt; BSS &lt;= -20 dBm: sensitivity additionally reduced by 5 dB</w:t>
      </w:r>
    </w:p>
    <w:p>
      <w:pPr>
        <w:pStyle w:val="B1"/>
        <w:rPr/>
      </w:pPr>
      <w:r>
        <w:rPr>
          <w:lang w:val="en-US"/>
        </w:rPr>
        <w:t>-</w:t>
        <w:tab/>
        <w:t>M3: Receiver blocked at signals &gt; -15 dBm.</w:t>
      </w:r>
    </w:p>
    <w:p>
      <w:pPr>
        <w:pStyle w:val="B2"/>
        <w:rPr/>
      </w:pPr>
      <w:r>
        <w:rPr>
          <w:lang w:val="en-US"/>
        </w:rPr>
        <w:t>-</w:t>
        <w:tab/>
        <w:t>-25 &lt; BSS &lt;= -20 dBm: sensitivity additionally reduced by 5 dB</w:t>
      </w:r>
    </w:p>
    <w:p>
      <w:pPr>
        <w:pStyle w:val="B2"/>
        <w:rPr/>
      </w:pPr>
      <w:r>
        <w:rPr>
          <w:lang w:val="en-US"/>
        </w:rPr>
        <w:t>-</w:t>
        <w:tab/>
        <w:t>-20 &lt; BSS &lt;= -15 dBm: sensitivity additionally reduced by 10 dB</w:t>
      </w:r>
    </w:p>
    <w:p>
      <w:pPr>
        <w:pStyle w:val="Normal"/>
        <w:rPr/>
      </w:pPr>
      <w:r>
        <w:rPr>
          <w:lang w:val="en-US"/>
        </w:rPr>
        <w:t>In all cases the receiver is blocked for all frequencies when the disturbing signal strength exceeds the highest blocking level limit.</w:t>
      </w:r>
    </w:p>
    <w:p>
      <w:pPr>
        <w:pStyle w:val="Normal"/>
        <w:rPr>
          <w:b/>
          <w:b/>
        </w:rPr>
      </w:pPr>
      <w:r>
        <w:rPr>
          <w:b/>
        </w:rPr>
        <w:t>BTS blocking impact on dropped calls</w:t>
      </w:r>
    </w:p>
    <w:p>
      <w:pPr>
        <w:pStyle w:val="Normal"/>
        <w:rPr/>
      </w:pPr>
      <w:r>
        <w:rPr/>
        <w:t>In these simulations the stored disturbance matrix</w:t>
      </w:r>
      <w:r>
        <w:rPr>
          <w:lang w:eastAsia="zh-CN"/>
        </w:rPr>
        <w:t>s</w:t>
      </w:r>
      <w:r>
        <w:rPr/>
        <w:t xml:space="preserve"> were applied to all received bursts in the victim network. The drop call evaluation </w:t>
      </w:r>
      <w:r>
        <w:rPr>
          <w:lang w:eastAsia="zh-CN"/>
        </w:rPr>
        <w:t>wa</w:t>
      </w:r>
      <w:r>
        <w:rPr/>
        <w:t>s implemented by adding the disturbance to the SACCH signalling. The following network parameters were used in the simulation of the victim network:</w:t>
      </w:r>
    </w:p>
    <w:p>
      <w:pPr>
        <w:pStyle w:val="TH"/>
        <w:rPr/>
      </w:pPr>
      <w:r>
        <w:rPr/>
      </w:r>
    </w:p>
    <w:tbl>
      <w:tblPr>
        <w:tblW w:w="8551" w:type="dxa"/>
        <w:jc w:val="center"/>
        <w:tblInd w:w="0" w:type="dxa"/>
        <w:tblLayout w:type="fixed"/>
        <w:tblCellMar>
          <w:top w:w="0" w:type="dxa"/>
          <w:left w:w="108" w:type="dxa"/>
          <w:bottom w:w="0" w:type="dxa"/>
          <w:right w:w="108" w:type="dxa"/>
        </w:tblCellMar>
      </w:tblPr>
      <w:tblGrid>
        <w:gridCol w:w="1920"/>
        <w:gridCol w:w="1170"/>
        <w:gridCol w:w="1842"/>
        <w:gridCol w:w="1842"/>
        <w:gridCol w:w="1777"/>
      </w:tblGrid>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napToGrid w:val="false"/>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r>
          </w:p>
        </w:tc>
        <w:tc>
          <w:tcPr>
            <w:tcW w:w="3012" w:type="dxa"/>
            <w:gridSpan w:val="2"/>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eastAsia="zh-CN"/>
              </w:rPr>
            </w:pPr>
            <w:r>
              <w:rPr>
                <w:rFonts w:eastAsia="SimSun;宋体" w:cs="CG Times (WN);Arial" w:ascii="CG Times (WN);Arial" w:hAnsi="CG Times (WN);Arial"/>
                <w:szCs w:val="22"/>
                <w:lang w:val="en-US"/>
              </w:rPr>
              <w:t xml:space="preserve">Ericsson </w:t>
            </w:r>
          </w:p>
        </w:tc>
        <w:tc>
          <w:tcPr>
            <w:tcW w:w="3619" w:type="dxa"/>
            <w:gridSpan w:val="2"/>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eastAsia="zh-CN"/>
              </w:rPr>
            </w:pPr>
            <w:r>
              <w:rPr>
                <w:rFonts w:eastAsia="SimSun;宋体" w:cs="CG Times (WN);Arial" w:ascii="CG Times (WN);Arial" w:hAnsi="CG Times (WN);Arial"/>
                <w:szCs w:val="22"/>
                <w:lang w:val="en-US"/>
              </w:rPr>
              <w:t xml:space="preserve">ZTE </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napToGrid w:val="false"/>
              <w:spacing w:before="0" w:after="180"/>
              <w:rPr>
                <w:rFonts w:ascii="CG Times (WN);Arial" w:hAnsi="CG Times (WN);Arial" w:eastAsia="SimSun;宋体" w:cs="CG Times (WN);Arial"/>
                <w:szCs w:val="22"/>
                <w:lang w:val="en-US" w:eastAsia="zh-CN"/>
              </w:rPr>
            </w:pPr>
            <w:r>
              <w:rPr>
                <w:rFonts w:eastAsia="SimSun;宋体" w:cs="CG Times (WN);Arial" w:ascii="CG Times (WN);Arial" w:hAnsi="CG Times (WN);Arial"/>
                <w:szCs w:val="22"/>
                <w:lang w:val="en-US" w:eastAsia="zh-CN"/>
              </w:rPr>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rPr>
                <w:rFonts w:ascii="CG Times (WN);Arial" w:hAnsi="CG Times (WN);Arial" w:eastAsia="SimSun;宋体" w:cs="CG Times (WN);Arial"/>
                <w:szCs w:val="22"/>
                <w:lang w:val="en-US"/>
              </w:rPr>
            </w:pPr>
            <w:r>
              <w:rPr>
                <w:rFonts w:eastAsia="SimSun;宋体" w:cs="CG Times (WN);Arial" w:ascii="CG Times (WN);Arial" w:hAnsi="CG Times (WN);Arial"/>
                <w:szCs w:val="22"/>
                <w:lang w:val="en-US"/>
              </w:rPr>
              <w:t>Victim</w:t>
            </w:r>
          </w:p>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System</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rPr>
                <w:rFonts w:ascii="CG Times (WN);Arial" w:hAnsi="CG Times (WN);Arial" w:eastAsia="SimSun;宋体" w:cs="CG Times (WN);Arial"/>
                <w:szCs w:val="22"/>
                <w:lang w:val="en-US"/>
              </w:rPr>
            </w:pPr>
            <w:r>
              <w:rPr>
                <w:rFonts w:eastAsia="SimSun;宋体" w:cs="CG Times (WN);Arial" w:ascii="CG Times (WN);Arial" w:hAnsi="CG Times (WN);Arial"/>
                <w:szCs w:val="22"/>
                <w:lang w:val="en-US"/>
              </w:rPr>
              <w:t>Interfering</w:t>
            </w:r>
          </w:p>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System</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rPr>
                <w:rFonts w:ascii="CG Times (WN);Arial" w:hAnsi="CG Times (WN);Arial" w:eastAsia="SimSun;宋体" w:cs="CG Times (WN);Arial"/>
                <w:szCs w:val="22"/>
                <w:lang w:val="en-US"/>
              </w:rPr>
            </w:pPr>
            <w:r>
              <w:rPr>
                <w:rFonts w:eastAsia="SimSun;宋体" w:cs="CG Times (WN);Arial" w:ascii="CG Times (WN);Arial" w:hAnsi="CG Times (WN);Arial"/>
                <w:szCs w:val="22"/>
                <w:lang w:val="en-US"/>
              </w:rPr>
              <w:t>Victim</w:t>
            </w:r>
          </w:p>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System</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rPr>
                <w:rFonts w:ascii="CG Times (WN);Arial" w:hAnsi="CG Times (WN);Arial" w:eastAsia="SimSun;宋体" w:cs="CG Times (WN);Arial"/>
                <w:szCs w:val="22"/>
                <w:lang w:val="en-US"/>
              </w:rPr>
            </w:pPr>
            <w:r>
              <w:rPr>
                <w:rFonts w:eastAsia="SimSun;宋体" w:cs="CG Times (WN);Arial" w:ascii="CG Times (WN);Arial" w:hAnsi="CG Times (WN);Arial"/>
                <w:szCs w:val="22"/>
                <w:lang w:val="en-US"/>
              </w:rPr>
              <w:t>Interfering</w:t>
            </w:r>
          </w:p>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System</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Cell radius</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1400 m</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600 m</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600 m</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600 m</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Sector per cell:</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pPr>
            <w:r>
              <w:rPr>
                <w:rFonts w:eastAsia="SimSun;宋体" w:cs="CG Times (WN);Arial" w:ascii="CG Times (WN);Arial" w:hAnsi="CG Times (WN);Arial"/>
                <w:szCs w:val="22"/>
                <w:lang w:val="en-US"/>
              </w:rPr>
              <w:t>No cells</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48</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48</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27</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27</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No frequency</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27</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27</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48</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48, 72</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Freq reuse</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3/9</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3/9</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4/12</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4/12</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DTX</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off</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off</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Off</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Off</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Max MS power</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33 dBm</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33 dBm</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33 dBm</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33 dBm</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Number of mobiles per cell</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20</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5, 10, 20</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20</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20, 40</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Pass loss model</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HATA</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rPr>
                <w:rFonts w:ascii="CG Times (WN);Arial" w:hAnsi="CG Times (WN);Arial" w:eastAsia="SimSun;宋体" w:cs="CG Times (WN);Arial"/>
                <w:szCs w:val="22"/>
                <w:lang w:val="en-US"/>
              </w:rPr>
            </w:pPr>
            <w:r>
              <w:rPr>
                <w:rFonts w:eastAsia="SimSun;宋体" w:cs="CG Times (WN);Arial" w:ascii="CG Times (WN);Arial" w:hAnsi="CG Times (WN);Arial"/>
                <w:szCs w:val="22"/>
                <w:lang w:val="en-US"/>
              </w:rPr>
              <w:t>Cost231</w:t>
              <w:noBreakHyphen/>
            </w:r>
          </w:p>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Walfish</w:t>
              <w:noBreakHyphen/>
              <w:t>Ikegami</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rPr>
                <w:rFonts w:ascii="CG Times (WN);Arial" w:hAnsi="CG Times (WN);Arial" w:eastAsia="SimSun;宋体" w:cs="CG Times (WN);Arial"/>
                <w:szCs w:val="22"/>
                <w:lang w:val="en-US"/>
              </w:rPr>
            </w:pPr>
            <w:r>
              <w:rPr>
                <w:rFonts w:eastAsia="SimSun;宋体" w:cs="CG Times (WN);Arial" w:ascii="CG Times (WN);Arial" w:hAnsi="CG Times (WN);Arial"/>
                <w:szCs w:val="22"/>
                <w:lang w:val="en-US"/>
              </w:rPr>
              <w:t>Cost231</w:t>
              <w:noBreakHyphen/>
            </w:r>
          </w:p>
          <w:p>
            <w:pPr>
              <w:pStyle w:val="BodyText3"/>
              <w:keepNext w:val="true"/>
              <w:keepLines/>
              <w:spacing w:before="0" w:after="180"/>
              <w:rPr/>
            </w:pPr>
            <w:r>
              <w:rPr>
                <w:rFonts w:eastAsia="SimSun;宋体" w:cs="CG Times (WN);Arial" w:ascii="CG Times (WN);Arial" w:hAnsi="CG Times (WN);Arial"/>
                <w:szCs w:val="22"/>
                <w:lang w:val="en-US"/>
              </w:rPr>
              <w:t>Walfish</w:t>
              <w:noBreakHyphen/>
              <w:t>Ikegami</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rPr>
                <w:rFonts w:ascii="CG Times (WN);Arial" w:hAnsi="CG Times (WN);Arial" w:eastAsia="SimSun;宋体" w:cs="CG Times (WN);Arial"/>
                <w:szCs w:val="22"/>
                <w:lang w:val="en-US"/>
              </w:rPr>
            </w:pPr>
            <w:r>
              <w:rPr>
                <w:rFonts w:eastAsia="SimSun;宋体" w:cs="CG Times (WN);Arial" w:ascii="CG Times (WN);Arial" w:hAnsi="CG Times (WN);Arial"/>
                <w:szCs w:val="22"/>
                <w:lang w:val="en-US"/>
              </w:rPr>
              <w:t>Cost231</w:t>
              <w:noBreakHyphen/>
            </w:r>
          </w:p>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Walfish</w:t>
              <w:noBreakHyphen/>
              <w:t>Ikegami</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Average call length</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40 s</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no limit</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no limit</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no limit</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Minimum MS-BTS distance</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20 m</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20 m</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20 m</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20 m</w:t>
            </w:r>
          </w:p>
        </w:tc>
      </w:tr>
      <w:tr>
        <w:trPr/>
        <w:tc>
          <w:tcPr>
            <w:tcW w:w="192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MCL</w:t>
            </w:r>
          </w:p>
        </w:tc>
        <w:tc>
          <w:tcPr>
            <w:tcW w:w="1170"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52dB</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52 dB</w:t>
            </w:r>
          </w:p>
        </w:tc>
        <w:tc>
          <w:tcPr>
            <w:tcW w:w="1842"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59dB</w:t>
            </w:r>
          </w:p>
        </w:tc>
        <w:tc>
          <w:tcPr>
            <w:tcW w:w="1777" w:type="dxa"/>
            <w:tcBorders>
              <w:top w:val="single" w:sz="4" w:space="0" w:color="000000"/>
              <w:left w:val="single" w:sz="4" w:space="0" w:color="000000"/>
              <w:bottom w:val="single" w:sz="4" w:space="0" w:color="000000"/>
              <w:right w:val="single" w:sz="4" w:space="0" w:color="000000"/>
            </w:tcBorders>
          </w:tcPr>
          <w:p>
            <w:pPr>
              <w:pStyle w:val="BodyText3"/>
              <w:keepNext w:val="true"/>
              <w:keepLines/>
              <w:spacing w:before="0" w:after="180"/>
              <w:rPr>
                <w:rFonts w:ascii="CG Times (WN);Arial" w:hAnsi="CG Times (WN);Arial" w:eastAsia="SimSun;宋体" w:cs="CG Times (WN);Arial"/>
                <w:szCs w:val="22"/>
                <w:lang w:val="en-US"/>
              </w:rPr>
            </w:pPr>
            <w:r>
              <w:rPr>
                <w:rFonts w:eastAsia="SimSun;宋体" w:cs="CG Times (WN);Arial" w:ascii="CG Times (WN);Arial" w:hAnsi="CG Times (WN);Arial"/>
                <w:szCs w:val="22"/>
                <w:lang w:val="en-US"/>
              </w:rPr>
              <w:t>59dB</w:t>
            </w:r>
          </w:p>
        </w:tc>
      </w:tr>
    </w:tbl>
    <w:p>
      <w:pPr>
        <w:pStyle w:val="FP"/>
        <w:rPr>
          <w:lang w:eastAsia="zh-CN"/>
        </w:rPr>
      </w:pPr>
      <w:r>
        <w:rPr>
          <w:lang w:eastAsia="zh-CN"/>
        </w:rPr>
      </w:r>
    </w:p>
    <w:p>
      <w:pPr>
        <w:pStyle w:val="Normal"/>
        <w:rPr/>
      </w:pPr>
      <w:r>
        <w:rPr>
          <w:lang w:val="en-US"/>
        </w:rPr>
        <w:t xml:space="preserve">Disturbing bursts with signal strength higher than 1 dB above the highest blocking level limit are assumed to result in high BER. First a reference simulation with the existing blocking requirement (M0) was performed. The increased dropped call rates with different number of interfering system MS for the new blocking requirement alternatives (M1-M3) are compared to the reference simulation and shown in the figure below: </w:t>
      </w:r>
    </w:p>
    <w:p>
      <w:pPr>
        <w:pStyle w:val="TH"/>
        <w:rPr/>
      </w:pPr>
      <w:r>
        <w:rPr/>
        <w:drawing>
          <wp:inline distT="0" distB="0" distL="0" distR="0">
            <wp:extent cx="5355590" cy="2456815"/>
            <wp:effectExtent l="0" t="0" r="0" b="0"/>
            <wp:docPr id="280" name="Image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04" descr=""/>
                    <pic:cNvPicPr>
                      <a:picLocks noChangeAspect="1" noChangeArrowheads="1"/>
                    </pic:cNvPicPr>
                  </pic:nvPicPr>
                  <pic:blipFill>
                    <a:blip r:embed="rId291"/>
                    <a:srcRect l="-7" t="-15" r="-7" b="-15"/>
                    <a:stretch>
                      <a:fillRect/>
                    </a:stretch>
                  </pic:blipFill>
                  <pic:spPr bwMode="auto">
                    <a:xfrm>
                      <a:off x="0" y="0"/>
                      <a:ext cx="5355590" cy="2456815"/>
                    </a:xfrm>
                    <a:prstGeom prst="rect">
                      <a:avLst/>
                    </a:prstGeom>
                  </pic:spPr>
                </pic:pic>
              </a:graphicData>
            </a:graphic>
          </wp:inline>
        </w:drawing>
      </w:r>
    </w:p>
    <w:p>
      <w:pPr>
        <w:pStyle w:val="TF"/>
        <w:rPr>
          <w:lang w:eastAsia="zh-CN"/>
        </w:rPr>
      </w:pPr>
      <w:r>
        <w:rPr/>
        <w:t>Figure ZB.1. - Increased dropped call rates under different Blocking requirement modes</w:t>
      </w:r>
    </w:p>
    <w:p>
      <w:pPr>
        <w:pStyle w:val="FP"/>
        <w:rPr>
          <w:lang w:eastAsia="zh-CN"/>
        </w:rPr>
      </w:pPr>
      <w:r>
        <w:rPr>
          <w:lang w:eastAsia="zh-CN"/>
        </w:rPr>
      </w:r>
    </w:p>
    <w:p>
      <w:pPr>
        <w:pStyle w:val="Normal"/>
        <w:rPr>
          <w:b/>
          <w:b/>
          <w:lang w:eastAsia="zh-CN"/>
        </w:rPr>
      </w:pPr>
      <w:r>
        <w:rPr>
          <w:b/>
        </w:rPr>
        <w:t xml:space="preserve">EGPRS performance with IR from Ericsson </w:t>
      </w:r>
    </w:p>
    <w:p>
      <w:pPr>
        <w:pStyle w:val="Normal"/>
        <w:rPr>
          <w:lang w:eastAsia="zh-CN"/>
        </w:rPr>
      </w:pPr>
      <w:r>
        <w:rPr/>
        <w:t>The performance impact on EGPRS was simulated using a link simulator with the disturbance matrix applied from simulation of received levels. The simulation assumptions used:</w:t>
      </w:r>
    </w:p>
    <w:p>
      <w:pPr>
        <w:pStyle w:val="B1"/>
        <w:rPr/>
      </w:pPr>
      <w:r>
        <w:rPr/>
        <w:t>Frequency band: 900 MHz</w:t>
      </w:r>
    </w:p>
    <w:p>
      <w:pPr>
        <w:pStyle w:val="B1"/>
        <w:rPr/>
      </w:pPr>
      <w:r>
        <w:rPr/>
        <w:t>TU3iFH propagation condition</w:t>
      </w:r>
    </w:p>
    <w:p>
      <w:pPr>
        <w:pStyle w:val="B1"/>
        <w:rPr/>
      </w:pPr>
      <w:r>
        <w:rPr/>
        <w:t>MRC-receiver with typical impairments</w:t>
      </w:r>
    </w:p>
    <w:p>
      <w:pPr>
        <w:pStyle w:val="B1"/>
        <w:rPr/>
      </w:pPr>
      <w:r>
        <w:rPr/>
        <w:t>20000 radio blocks per simulated point in the graphs</w:t>
      </w:r>
    </w:p>
    <w:p>
      <w:pPr>
        <w:pStyle w:val="Normal"/>
        <w:rPr/>
      </w:pPr>
      <w:r>
        <w:rPr>
          <w:lang w:val="en-US"/>
        </w:rPr>
        <w:t>No correlation between retransmissions during the Incremental Redundancy process was assumed. The achieved link results for MCS-9 and the different specification alternatives, M1 to M3, are shown below</w:t>
      </w:r>
      <w:r>
        <w:rPr/>
        <w:t>.</w:t>
      </w:r>
    </w:p>
    <w:p>
      <w:pPr>
        <w:pStyle w:val="TH"/>
        <w:rPr/>
      </w:pPr>
      <w:r>
        <w:rPr/>
      </w:r>
    </w:p>
    <w:tbl>
      <w:tblPr>
        <w:tblW w:w="8819" w:type="dxa"/>
        <w:jc w:val="left"/>
        <w:tblInd w:w="-108" w:type="dxa"/>
        <w:tblLayout w:type="fixed"/>
        <w:tblCellMar>
          <w:top w:w="0" w:type="dxa"/>
          <w:left w:w="108" w:type="dxa"/>
          <w:bottom w:w="0" w:type="dxa"/>
          <w:right w:w="108" w:type="dxa"/>
        </w:tblCellMar>
      </w:tblPr>
      <w:tblGrid>
        <w:gridCol w:w="4352"/>
        <w:gridCol w:w="4467"/>
      </w:tblGrid>
      <w:tr>
        <w:trPr/>
        <w:tc>
          <w:tcPr>
            <w:tcW w:w="4352" w:type="dxa"/>
            <w:tcBorders>
              <w:right w:val="single" w:sz="4" w:space="0" w:color="000000"/>
            </w:tcBorders>
          </w:tcPr>
          <w:p>
            <w:pPr>
              <w:pStyle w:val="TH"/>
              <w:spacing w:before="60" w:after="180"/>
              <w:rPr>
                <w:rFonts w:eastAsia="SimSun;宋体"/>
                <w:lang w:eastAsia="en-US"/>
              </w:rPr>
            </w:pPr>
            <w:r>
              <w:rPr>
                <w:rFonts w:eastAsia="SimSun;宋体"/>
                <w:lang w:eastAsia="en-US"/>
              </w:rPr>
              <w:drawing>
                <wp:inline distT="0" distB="0" distL="0" distR="0">
                  <wp:extent cx="2508885" cy="2100580"/>
                  <wp:effectExtent l="0" t="0" r="0" b="0"/>
                  <wp:docPr id="281" name="Image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305" descr=""/>
                          <pic:cNvPicPr>
                            <a:picLocks noChangeAspect="1" noChangeArrowheads="1"/>
                          </pic:cNvPicPr>
                        </pic:nvPicPr>
                        <pic:blipFill>
                          <a:blip r:embed="rId292"/>
                          <a:srcRect l="-5" t="1299" r="-5" b="1962"/>
                          <a:stretch>
                            <a:fillRect/>
                          </a:stretch>
                        </pic:blipFill>
                        <pic:spPr bwMode="auto">
                          <a:xfrm>
                            <a:off x="0" y="0"/>
                            <a:ext cx="2508885" cy="2100580"/>
                          </a:xfrm>
                          <a:prstGeom prst="rect">
                            <a:avLst/>
                          </a:prstGeom>
                        </pic:spPr>
                      </pic:pic>
                    </a:graphicData>
                  </a:graphic>
                </wp:inline>
              </w:drawing>
            </w:r>
          </w:p>
        </w:tc>
        <w:tc>
          <w:tcPr>
            <w:tcW w:w="4467" w:type="dxa"/>
            <w:tcBorders>
              <w:left w:val="single" w:sz="4" w:space="0" w:color="000000"/>
            </w:tcBorders>
          </w:tcPr>
          <w:p>
            <w:pPr>
              <w:pStyle w:val="TH"/>
              <w:spacing w:before="60" w:after="180"/>
              <w:rPr>
                <w:rFonts w:eastAsia="SimSun;宋体"/>
                <w:lang w:eastAsia="en-US"/>
              </w:rPr>
            </w:pPr>
            <w:r>
              <w:rPr>
                <w:rFonts w:eastAsia="SimSun;宋体"/>
                <w:lang w:eastAsia="en-US"/>
              </w:rPr>
              <w:drawing>
                <wp:inline distT="0" distB="0" distL="0" distR="0">
                  <wp:extent cx="2698750" cy="2160905"/>
                  <wp:effectExtent l="0" t="0" r="0" b="0"/>
                  <wp:docPr id="282" name="Image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06" descr=""/>
                          <pic:cNvPicPr>
                            <a:picLocks noChangeAspect="1" noChangeArrowheads="1"/>
                          </pic:cNvPicPr>
                        </pic:nvPicPr>
                        <pic:blipFill>
                          <a:blip r:embed="rId293"/>
                          <a:srcRect l="-5" t="1962" r="-5" b="1299"/>
                          <a:stretch>
                            <a:fillRect/>
                          </a:stretch>
                        </pic:blipFill>
                        <pic:spPr bwMode="auto">
                          <a:xfrm>
                            <a:off x="0" y="0"/>
                            <a:ext cx="2698750" cy="2160905"/>
                          </a:xfrm>
                          <a:prstGeom prst="rect">
                            <a:avLst/>
                          </a:prstGeom>
                        </pic:spPr>
                      </pic:pic>
                    </a:graphicData>
                  </a:graphic>
                </wp:inline>
              </w:drawing>
            </w:r>
          </w:p>
        </w:tc>
      </w:tr>
      <w:tr>
        <w:trPr/>
        <w:tc>
          <w:tcPr>
            <w:tcW w:w="4352" w:type="dxa"/>
            <w:tcBorders>
              <w:right w:val="single" w:sz="4" w:space="0" w:color="000000"/>
            </w:tcBorders>
          </w:tcPr>
          <w:p>
            <w:pPr>
              <w:pStyle w:val="TH"/>
              <w:keepNext w:val="true"/>
              <w:keepLines/>
              <w:spacing w:before="60" w:after="180"/>
              <w:jc w:val="center"/>
              <w:rPr/>
            </w:pPr>
            <w:r>
              <w:rPr>
                <w:rFonts w:eastAsia="SimSun;宋体"/>
                <w:lang w:eastAsia="en-US"/>
              </w:rPr>
              <w:t>MCS-9 throughput with incremental redundancy, alternative M1</w:t>
            </w:r>
          </w:p>
        </w:tc>
        <w:tc>
          <w:tcPr>
            <w:tcW w:w="4467" w:type="dxa"/>
            <w:tcBorders>
              <w:left w:val="single" w:sz="4" w:space="0" w:color="000000"/>
            </w:tcBorders>
          </w:tcPr>
          <w:p>
            <w:pPr>
              <w:pStyle w:val="TH"/>
              <w:spacing w:before="60" w:after="180"/>
              <w:rPr>
                <w:rFonts w:eastAsia="SimSun;宋体"/>
                <w:lang w:eastAsia="en-US"/>
              </w:rPr>
            </w:pPr>
            <w:r>
              <w:rPr>
                <w:rFonts w:eastAsia="SimSun;宋体"/>
                <w:lang w:eastAsia="en-US"/>
              </w:rPr>
              <w:t>MCS-9 throughput with incremental redundancy, alternative M2.</w:t>
            </w:r>
          </w:p>
        </w:tc>
      </w:tr>
      <w:tr>
        <w:trPr/>
        <w:tc>
          <w:tcPr>
            <w:tcW w:w="4352" w:type="dxa"/>
            <w:tcBorders>
              <w:right w:val="single" w:sz="4" w:space="0" w:color="000000"/>
            </w:tcBorders>
          </w:tcPr>
          <w:p>
            <w:pPr>
              <w:pStyle w:val="TH"/>
              <w:spacing w:before="60" w:after="180"/>
              <w:rPr>
                <w:rFonts w:eastAsia="SimSun;宋体"/>
                <w:lang w:eastAsia="en-US"/>
              </w:rPr>
            </w:pPr>
            <w:r>
              <w:rPr>
                <w:rFonts w:eastAsia="SimSun;宋体"/>
                <w:lang w:eastAsia="en-US"/>
              </w:rPr>
              <w:drawing>
                <wp:inline distT="0" distB="0" distL="0" distR="0">
                  <wp:extent cx="2625725" cy="1958340"/>
                  <wp:effectExtent l="0" t="0" r="0" b="0"/>
                  <wp:docPr id="283" name="Image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307" descr=""/>
                          <pic:cNvPicPr>
                            <a:picLocks noChangeAspect="1" noChangeArrowheads="1"/>
                          </pic:cNvPicPr>
                        </pic:nvPicPr>
                        <pic:blipFill>
                          <a:blip r:embed="rId294"/>
                          <a:srcRect l="-5" t="1299" r="-5" b="1962"/>
                          <a:stretch>
                            <a:fillRect/>
                          </a:stretch>
                        </pic:blipFill>
                        <pic:spPr bwMode="auto">
                          <a:xfrm>
                            <a:off x="0" y="0"/>
                            <a:ext cx="2625725" cy="1958340"/>
                          </a:xfrm>
                          <a:prstGeom prst="rect">
                            <a:avLst/>
                          </a:prstGeom>
                        </pic:spPr>
                      </pic:pic>
                    </a:graphicData>
                  </a:graphic>
                </wp:inline>
              </w:drawing>
            </w:r>
          </w:p>
        </w:tc>
        <w:tc>
          <w:tcPr>
            <w:tcW w:w="4467" w:type="dxa"/>
            <w:tcBorders>
              <w:left w:val="single" w:sz="4" w:space="0" w:color="000000"/>
            </w:tcBorders>
          </w:tcPr>
          <w:p>
            <w:pPr>
              <w:pStyle w:val="TH"/>
              <w:snapToGrid w:val="false"/>
              <w:spacing w:before="60" w:after="180"/>
              <w:rPr>
                <w:rFonts w:eastAsia="SimSun;宋体"/>
                <w:lang w:eastAsia="en-US"/>
              </w:rPr>
            </w:pPr>
            <w:r>
              <w:rPr>
                <w:rFonts w:eastAsia="SimSun;宋体"/>
                <w:lang w:eastAsia="en-US"/>
              </w:rPr>
            </w:r>
          </w:p>
        </w:tc>
      </w:tr>
      <w:tr>
        <w:trPr/>
        <w:tc>
          <w:tcPr>
            <w:tcW w:w="4352" w:type="dxa"/>
            <w:tcBorders>
              <w:right w:val="single" w:sz="4" w:space="0" w:color="000000"/>
            </w:tcBorders>
          </w:tcPr>
          <w:p>
            <w:pPr>
              <w:pStyle w:val="TH"/>
              <w:spacing w:before="60" w:after="180"/>
              <w:rPr>
                <w:rFonts w:eastAsia="SimSun;宋体"/>
                <w:lang w:eastAsia="en-US"/>
              </w:rPr>
            </w:pPr>
            <w:r>
              <w:rPr>
                <w:rFonts w:eastAsia="SimSun;宋体"/>
                <w:lang w:eastAsia="en-US"/>
              </w:rPr>
              <w:t>MCS-9 throughput with incremental redundancy, alternative M3.</w:t>
            </w:r>
          </w:p>
        </w:tc>
        <w:tc>
          <w:tcPr>
            <w:tcW w:w="4467" w:type="dxa"/>
            <w:tcBorders>
              <w:left w:val="single" w:sz="4" w:space="0" w:color="000000"/>
            </w:tcBorders>
          </w:tcPr>
          <w:p>
            <w:pPr>
              <w:pStyle w:val="BodyText3"/>
              <w:snapToGrid w:val="false"/>
              <w:spacing w:before="0" w:after="180"/>
              <w:rPr>
                <w:rFonts w:ascii="CG Times (WN);Arial" w:hAnsi="CG Times (WN);Arial" w:eastAsia="SimSun;宋体" w:cs="CG Times (WN);Arial"/>
                <w:lang w:eastAsia="en-US"/>
              </w:rPr>
            </w:pPr>
            <w:r>
              <w:rPr>
                <w:rFonts w:eastAsia="SimSun;宋体" w:cs="CG Times (WN);Arial" w:ascii="CG Times (WN);Arial" w:hAnsi="CG Times (WN);Arial"/>
                <w:lang w:eastAsia="en-US"/>
              </w:rPr>
            </w:r>
          </w:p>
        </w:tc>
      </w:tr>
    </w:tbl>
    <w:p>
      <w:pPr>
        <w:pStyle w:val="FP"/>
        <w:rPr/>
      </w:pPr>
      <w:r>
        <w:rPr/>
      </w:r>
    </w:p>
    <w:p>
      <w:pPr>
        <w:pStyle w:val="Heading3"/>
        <w:rPr/>
      </w:pPr>
      <w:bookmarkStart w:id="878" w:name="__RefHeading___Toc518036211"/>
      <w:bookmarkEnd w:id="878"/>
      <w:r>
        <w:rPr/>
        <w:t>ZB.3.</w:t>
      </w:r>
      <w:r>
        <w:rPr>
          <w:lang w:eastAsia="zh-CN"/>
        </w:rPr>
        <w:t>2</w:t>
      </w:r>
      <w:r>
        <w:rPr/>
        <w:t>.</w:t>
      </w:r>
      <w:r>
        <w:rPr>
          <w:lang w:eastAsia="zh-CN"/>
        </w:rPr>
        <w:t>2</w:t>
      </w:r>
      <w:r>
        <w:rPr/>
        <w:tab/>
        <w:t>Conclusion</w:t>
      </w:r>
    </w:p>
    <w:p>
      <w:pPr>
        <w:pStyle w:val="Normal"/>
        <w:rPr/>
      </w:pPr>
      <w:r>
        <w:rPr/>
        <w:t>Simulations show that if the performance or behaviour is not defined for levels above -25 dBm, the impact may be significant due to the character of wideband receivers to block all frequencies for each blocked burst.</w:t>
      </w:r>
    </w:p>
    <w:p>
      <w:pPr>
        <w:pStyle w:val="Normal"/>
        <w:rPr>
          <w:szCs w:val="22"/>
        </w:rPr>
      </w:pPr>
      <w:r>
        <w:rPr/>
        <w:t>By adding slightly relaxed requirements at higher disturbing signal strength, the impact from the limitation of receiver dynamic range can be significantly reduced.</w:t>
      </w:r>
    </w:p>
    <w:p>
      <w:pPr>
        <w:pStyle w:val="Heading3"/>
        <w:rPr/>
      </w:pPr>
      <w:bookmarkStart w:id="879" w:name="__RefHeading___Toc518036212"/>
      <w:bookmarkEnd w:id="879"/>
      <w:r>
        <w:rPr/>
        <w:t>ZB.3.</w:t>
      </w:r>
      <w:r>
        <w:rPr>
          <w:lang w:eastAsia="zh-CN"/>
        </w:rPr>
        <w:t>2</w:t>
      </w:r>
      <w:r>
        <w:rPr/>
        <w:t>.</w:t>
      </w:r>
      <w:r>
        <w:rPr>
          <w:lang w:eastAsia="zh-CN"/>
        </w:rPr>
        <w:t>3</w:t>
      </w:r>
      <w:r>
        <w:rPr/>
        <w:tab/>
        <w:t>Discussion</w:t>
      </w:r>
    </w:p>
    <w:p>
      <w:pPr>
        <w:pStyle w:val="Normal"/>
        <w:rPr>
          <w:lang w:eastAsia="zh-CN"/>
        </w:rPr>
      </w:pPr>
      <w:r>
        <w:rPr/>
        <w:t>It is shown that RX blocking levels of up to -15 dBm can still occur in live networks taking into account macro and micro cell deployment in urban areas and that higher call drop rates and losses of data throughput can be observed if the receiver is blind for levels above -22 dBm. Also comparing the current requirements in 45.005 on RX blocking level between DCS 1800 and GSM 900, we observe a system gain difference of 9 dB, which is composed of a 3 dB higher maximum transmit power (33 dBm for GSM900, 30 dBm for DCS 1800) and a 6 dB better propagation in case of free space propagation. Taking the current RX blocking level requirement of -25 dBm for DCS 1800 as a reference, the BTS receiver for GSM 900 should be designed to cope with blocking levels of up to -16 dBm, 9dB above -25 dBm. Thus it is proposed to add a second blocking level requirement at -16 dBm and to accept a degradation of the sensitivity performance of 9 dB, leading to a sensitivity performance of -92 dBm in case of a severe blocker.</w:t>
      </w:r>
      <w:r>
        <w:br w:type="page"/>
      </w:r>
    </w:p>
    <w:p>
      <w:pPr>
        <w:pStyle w:val="Heading9"/>
        <w:rPr/>
      </w:pPr>
      <w:bookmarkStart w:id="880" w:name="__RefHeading___Toc518036213"/>
      <w:r>
        <w:rPr>
          <w:lang w:eastAsia="zh-CN"/>
        </w:rPr>
        <w:t>A</w:t>
      </w:r>
      <w:r>
        <w:rPr/>
        <w:t>nnex ZC:</w:t>
      </w:r>
      <w:r>
        <w:rPr>
          <w:lang w:eastAsia="zh-CN"/>
        </w:rPr>
        <w:t xml:space="preserve"> </w:t>
      </w:r>
      <w:r>
        <w:rPr/>
        <w:t>Introduction of Medium Range and Local Area multicarrier BTS classes</w:t>
      </w:r>
      <w:bookmarkEnd w:id="880"/>
      <w:r>
        <w:rPr/>
        <w:t xml:space="preserve"> </w:t>
      </w:r>
    </w:p>
    <w:p>
      <w:pPr>
        <w:pStyle w:val="Heading1"/>
        <w:spacing w:before="120" w:after="120"/>
        <w:ind w:left="1134" w:hanging="1134"/>
        <w:rPr/>
      </w:pPr>
      <w:bookmarkStart w:id="881" w:name="__RefHeading___Toc518036214"/>
      <w:bookmarkEnd w:id="881"/>
      <w:r>
        <w:rPr/>
        <w:t>ZC.1</w:t>
        <w:tab/>
        <w:t>Introduction</w:t>
      </w:r>
    </w:p>
    <w:p>
      <w:pPr>
        <w:pStyle w:val="Normal"/>
        <w:rPr/>
      </w:pPr>
      <w:r>
        <w:rPr/>
        <w:t xml:space="preserve">With the introduction of the MSR Medium Range (MR) and Local Area (LA) base station classes [1], corresponding MCBTS classes were also introduced to enable GSM capability sets for MSR Band Category 2. To minimize specification impact and ensure requirement alignment it was decided to use the existing macro multicarrier BTS class (there is only one class from TS 45.005 v8.11.0 and onwards) as a baseline and adapt the requirements toward shorter distances between MS and base stations and also lower BTS output powers. The multicarrier BTS class existing before the introduction of the MR and LA classes was renamed Wide Area (WA) to distinguish the three classes, and align with nomenclature used in MSR. </w:t>
      </w:r>
    </w:p>
    <w:p>
      <w:pPr>
        <w:pStyle w:val="Normal"/>
        <w:rPr/>
      </w:pPr>
      <w:r>
        <w:rPr/>
        <w:t>To create sets of MSR compatible parameters it was decided to base MR and LA MCBTS on the micro and pico scenarios used in the development of the new MSR BS classes [2], which implies a Minimum Coupling Loss (MCL) of 53 dB and 45 dB, respectively, for all bands. The smallest MCL that the WA MCBTS is compatible with is the GSM900 small cell scenario that has an MCL of 59 dB.</w:t>
      </w:r>
    </w:p>
    <w:p>
      <w:pPr>
        <w:pStyle w:val="Normal"/>
        <w:rPr>
          <w:lang w:val="en-US" w:eastAsia="zh-CN"/>
        </w:rPr>
      </w:pPr>
      <w:r>
        <w:rPr/>
        <w:t>The approach used for the specification of MR and LA requirements was to shift the already specified WA MCBTS requirements by respective MCL difference, i.e. 59-53=6 dB for MR and 59-45=14 dB, for LA, This would imply the new classes would have the same performance requirements, RF protection and co-existence characteristics as the WA MCBTS class However, this approach was not always followed and in those cases further justification can be found under applicable paragraphs below.</w:t>
      </w:r>
    </w:p>
    <w:p>
      <w:pPr>
        <w:pStyle w:val="Heading1"/>
        <w:spacing w:before="120" w:after="120"/>
        <w:ind w:left="1134" w:hanging="1134"/>
        <w:rPr>
          <w:lang w:eastAsia="zh-CN"/>
        </w:rPr>
      </w:pPr>
      <w:bookmarkStart w:id="882" w:name="__RefHeading___Toc518036215"/>
      <w:r>
        <w:rPr/>
        <w:t>ZC.2</w:t>
        <w:tab/>
        <w:t>Transmitter</w:t>
      </w:r>
      <w:bookmarkEnd w:id="882"/>
      <w:r>
        <w:rPr/>
        <w:t xml:space="preserve"> </w:t>
      </w:r>
    </w:p>
    <w:p>
      <w:pPr>
        <w:pStyle w:val="Normal"/>
        <w:rPr/>
      </w:pPr>
      <w:r>
        <w:rPr/>
        <w:t>To align with the MR and LA MSR BS [1], the new classes were specified with a maximum output power of 38 dBm and 24 dBm, respectively. But to avoid multicarrier margins when deriving MS blocking and BTS co</w:t>
        <w:noBreakHyphen/>
        <w:t xml:space="preserve">location blocking it was decided to specify these power levels as the total output power per antenna port. </w:t>
      </w:r>
    </w:p>
    <w:p>
      <w:pPr>
        <w:pStyle w:val="Normal"/>
        <w:rPr/>
      </w:pPr>
      <w:r>
        <w:rPr/>
        <w:t>Limits on spectrum due to the modulation and wideband noise was tightened by 6 dB and 14 dB for MR and LA, respectively, compared to WA, to maintain the same interference levels into adjacent systems. This was fulfilled by adopting the WA MCBTS noise mask together with the new output power definition and reducing the absolute limits by 6dB and 14 dB for the two classes, respectively.</w:t>
      </w:r>
    </w:p>
    <w:p>
      <w:pPr>
        <w:pStyle w:val="Normal"/>
        <w:rPr/>
      </w:pPr>
      <w:r>
        <w:rPr/>
        <w:t xml:space="preserve">The out-of-band spurious emission limits in the offsets from 2 MHz and 5 MHz were based on transmitter intermodulation for the highest output power level together with regulatory limits for offsets outside 10 MHz. A connection slope was used from 5 MHz to 10 MHz, as was done for WA MCBTS. The out-of-band spurious emission limits in the receive band was relaxed corresponding to the reduction of reference sensitivity, giving requirements of -92 dBm and -84 dBm for MR and LA, respectively (see sub-clause ZC.3 for futher background) . However, the MR requirement was further adjusted by 1 dB to -91 dBm to align with the MSR BS </w:t>
      </w:r>
    </w:p>
    <w:p>
      <w:pPr>
        <w:pStyle w:val="Normal"/>
        <w:rPr/>
      </w:pPr>
      <w:r>
        <w:rPr/>
        <w:t>For intra BTS intermodulation, the WA MCBTS requirements were adopted also for MR and LA MCBTS, with the addition that the lower limit for IM emission was reduced to -46 dBm for carrier output powers below 24 dBm.</w:t>
      </w:r>
    </w:p>
    <w:p>
      <w:pPr>
        <w:pStyle w:val="Heading1"/>
        <w:spacing w:before="120" w:after="120"/>
        <w:ind w:left="1134" w:hanging="1134"/>
        <w:rPr>
          <w:lang w:eastAsia="zh-CN"/>
        </w:rPr>
      </w:pPr>
      <w:bookmarkStart w:id="883" w:name="__RefHeading___Toc518036216"/>
      <w:r>
        <w:rPr/>
        <w:t>ZC.3</w:t>
        <w:tab/>
        <w:t>Receiver</w:t>
      </w:r>
      <w:bookmarkEnd w:id="883"/>
      <w:r>
        <w:rPr/>
        <w:t xml:space="preserve"> </w:t>
      </w:r>
    </w:p>
    <w:p>
      <w:pPr>
        <w:pStyle w:val="Normal"/>
        <w:rPr/>
      </w:pPr>
      <w:r>
        <w:rPr/>
        <w:t>The difference in MCL compared to the WA class was used to derive the new reference sensitivity levels, giving a desensitization of 6 dB and 14 dB for the MR and LA classes, respectively. The same reference interference requirements as WA MCBTS were reused, but for the LA class the propagation condition was limited to TI5, as was done for pico-BTS. Since VAMOS performance was found to be affected to a larger extent than non-VAMOS performance for the TI5 propagation, an additional margin of 2 dB was introduced for TI5 and VAMOS channels, resulting in a 5 dB and 6 dB additional margins to the TU50 requirements for Reference sensitivity and Reference interference respectively.</w:t>
      </w:r>
    </w:p>
    <w:p>
      <w:pPr>
        <w:pStyle w:val="Normal"/>
        <w:rPr/>
      </w:pPr>
      <w:r>
        <w:rPr/>
        <w:t>Based on the maxium MS output power (33 dBm) and the MCL for respective class, 5 dB and 13 dB higher blocking levels than the WA class was introduced for all bands. Further, it was considered sufficient in GSM900 to only keep two blocker levels instead of three. The degradation at the higher of two blocking levels was set to be 8 dB and 12 dB, for the MR and LA classes, respectively. AM suppression was scaled in the same way as for inband blocking, with requirements 5 dB and 13 dB stricter than WA MCBTS, for LA and MR, respectively.</w:t>
      </w:r>
    </w:p>
    <w:p>
      <w:pPr>
        <w:pStyle w:val="Normal"/>
        <w:rPr/>
      </w:pPr>
      <w:r>
        <w:rPr/>
        <w:t>The general out-of-band blocking requirement for WA MCBTS was reused also for MR and LA. The co-location requirement was based on the maximum output power of 38 dBm and 24 dBm attenuated by 30 dB, giving +8 dBm and -6 dBm for MR and LA, respectively.</w:t>
      </w:r>
    </w:p>
    <w:p>
      <w:pPr>
        <w:pStyle w:val="Normal"/>
        <w:rPr/>
      </w:pPr>
      <w:r>
        <w:rPr/>
        <w:t xml:space="preserve">Since the reference sensitivity level was increased, the interference levels for intermodulation were increased to not relax the requirement on receiver linearity. A third-order (3:1) relation between intermodulation noise and interferer level was assumed. For MR, this corresponds to a 6 / 3 = 2 dB increase in interferer level compared to WA MCBTS and for LA, 14 / 3 ≈ 5 dB. </w:t>
      </w:r>
    </w:p>
    <w:p>
      <w:pPr>
        <w:pStyle w:val="Normal"/>
        <w:rPr/>
      </w:pPr>
      <w:r>
        <w:rPr/>
        <w:t>For Nominal Error Rates, the low signal level was raised corresponding to the desensitization. The high level input requirement at 10</w:t>
      </w:r>
      <w:r>
        <w:rPr>
          <w:vertAlign w:val="superscript"/>
        </w:rPr>
        <w:t>-3</w:t>
      </w:r>
      <w:r>
        <w:rPr/>
        <w:t xml:space="preserve"> BER is related to the highest expected input level not under power control, that for the WA MCBTS 900 this level was specified with a 8 dB margin (33 dBm -59 dB - (-18 dBm)), but for the new classes it was considered sufficient to have a margin of 6 dB (4 carriers) for MR and 3 dB (2 carriers) for LA.  So instead of increasing these levels by the MCL difference, an increase of 4 dB ((59-53) – (8-6)) and 9 dB ((59-45) – (8-3)) was seen as sufficient. The same increase was used for the requirements for random access and paging performance. The -40 dBm levels refer to signals under power control and were not changed with the introduction of the new classes.</w:t>
      </w:r>
    </w:p>
    <w:p>
      <w:pPr>
        <w:pStyle w:val="Heading1"/>
        <w:spacing w:before="120" w:after="120"/>
        <w:ind w:left="1134" w:hanging="1134"/>
        <w:rPr/>
      </w:pPr>
      <w:bookmarkStart w:id="884" w:name="__RefHeading___Toc518036217"/>
      <w:bookmarkEnd w:id="884"/>
      <w:r>
        <w:rPr/>
        <w:t>ZC.4</w:t>
        <w:tab/>
        <w:t>References</w:t>
      </w:r>
    </w:p>
    <w:p>
      <w:pPr>
        <w:pStyle w:val="EX"/>
        <w:rPr>
          <w:lang w:eastAsia="zh-CN"/>
        </w:rPr>
      </w:pPr>
      <w:r>
        <w:rPr>
          <w:lang w:eastAsia="zh-CN"/>
        </w:rPr>
        <w:t>[1]</w:t>
        <w:tab/>
        <w:t>3GPP TS 37.104: "Multi-Standard Radio (MSR) Base Station (BS) radio transmission and reception"</w:t>
      </w:r>
    </w:p>
    <w:p>
      <w:pPr>
        <w:pStyle w:val="EX"/>
        <w:rPr>
          <w:szCs w:val="22"/>
          <w:lang w:eastAsia="zh-CN"/>
        </w:rPr>
      </w:pPr>
      <w:r>
        <w:rPr>
          <w:szCs w:val="22"/>
          <w:lang w:eastAsia="zh-CN"/>
        </w:rPr>
        <w:t>[2]</w:t>
        <w:tab/>
        <w:t>3GPP TR 25.951: "FDD Base Station (BS) classification"</w:t>
      </w:r>
    </w:p>
    <w:p>
      <w:pPr>
        <w:pStyle w:val="FP"/>
        <w:rPr>
          <w:szCs w:val="22"/>
          <w:lang w:eastAsia="zh-CN"/>
        </w:rPr>
      </w:pPr>
      <w:r>
        <w:rPr>
          <w:szCs w:val="22"/>
          <w:lang w:eastAsia="zh-CN"/>
        </w:rPr>
      </w:r>
      <w:r>
        <w:br w:type="page"/>
      </w:r>
    </w:p>
    <w:p>
      <w:pPr>
        <w:pStyle w:val="Heading9"/>
        <w:rPr/>
      </w:pPr>
      <w:bookmarkStart w:id="885" w:name="__RefHeading___Toc518036218"/>
      <w:bookmarkEnd w:id="885"/>
      <w:r>
        <w:rPr>
          <w:lang w:eastAsia="zh-CN"/>
        </w:rPr>
        <w:t>A</w:t>
      </w:r>
      <w:r>
        <w:rPr/>
        <w:t>nnex ZD:</w:t>
      </w:r>
      <w:r>
        <w:rPr>
          <w:lang w:eastAsia="zh-CN"/>
        </w:rPr>
        <w:br/>
      </w:r>
      <w:r>
        <w:rPr/>
        <w:t>ER-GSM band introduction</w:t>
      </w:r>
    </w:p>
    <w:p>
      <w:pPr>
        <w:pStyle w:val="Heading1"/>
        <w:ind w:left="1134" w:hanging="1134"/>
        <w:rPr/>
      </w:pPr>
      <w:bookmarkStart w:id="886" w:name="__RefHeading___Toc518036219"/>
      <w:bookmarkEnd w:id="886"/>
      <w:r>
        <w:rPr/>
        <w:t>ZD.1</w:t>
        <w:tab/>
        <w:t>Introduction</w:t>
      </w:r>
    </w:p>
    <w:p>
      <w:pPr>
        <w:pStyle w:val="Normal"/>
        <w:rPr/>
      </w:pPr>
      <w:r>
        <w:rPr/>
        <w:t>In Europe within the CEPT area it was decided in June 2009 to allow the use of the band 870-876/915-921 MHz, which is planned for applications within the land mobile servic based on national possibilities and national market, see [2].</w:t>
      </w:r>
    </w:p>
    <w:p>
      <w:pPr>
        <w:pStyle w:val="Normal"/>
        <w:rPr/>
      </w:pPr>
      <w:r>
        <w:rPr/>
        <w:t>In [2] it is decided that the frequency requirements for Wide Band Digital Land Mobile PMR/PAMR systems referred to in the Annex to this Decision shall be met within the bands 870-876 MHz paired with 915-921 MHz with 45 MHz duplex spacing between the transmit frequencies of mobile stations (870-876 MHz) and the transmit frequencies of bases stations (915-921 MHz), GSM-R within the bands 873-876 MHz / 918-921 MHz is considered as a subset of PMR/PAMR.</w:t>
      </w:r>
    </w:p>
    <w:p>
      <w:pPr>
        <w:pStyle w:val="Normal"/>
        <w:rPr/>
      </w:pPr>
      <w:r>
        <w:rPr/>
        <w:t>In countries where [2] is implemented 3 MHz additional RF bandwidth is available for European Railway use in ER-GSM band, provided that those frequencies are granted by the National regulator. With this introduction, the guard band between UL and DL is reduced to 3 MHz.</w:t>
      </w:r>
    </w:p>
    <w:p>
      <w:pPr>
        <w:pStyle w:val="Normal"/>
        <w:rPr>
          <w:lang w:val="en-US" w:eastAsia="zh-CN"/>
        </w:rPr>
      </w:pPr>
      <w:r>
        <w:rPr/>
        <w:t>This annex aims at capturing the co-existence studies that were produced at 3GPP TSG GERAN level and related inputs given by 3GPP TSG RAN4 on the requirements of UTRA and E-UTRA systems deployed in E-GSM band.</w:t>
      </w:r>
    </w:p>
    <w:p>
      <w:pPr>
        <w:pStyle w:val="Heading1"/>
        <w:ind w:left="1134" w:hanging="1134"/>
        <w:rPr/>
      </w:pPr>
      <w:bookmarkStart w:id="887" w:name="__RefHeading___Toc518036220"/>
      <w:bookmarkEnd w:id="887"/>
      <w:r>
        <w:rPr/>
        <w:t>ZD.2</w:t>
        <w:tab/>
        <w:t>Generalities on Working assumption and methodology</w:t>
      </w:r>
    </w:p>
    <w:p>
      <w:pPr>
        <w:pStyle w:val="Heading2"/>
        <w:rPr/>
      </w:pPr>
      <w:bookmarkStart w:id="888" w:name="__RefHeading___Toc518036221"/>
      <w:bookmarkEnd w:id="888"/>
      <w:r>
        <w:rPr/>
        <w:t>ZD.2.1 Evaluation on impacted requirements</w:t>
      </w:r>
    </w:p>
    <w:p>
      <w:pPr>
        <w:pStyle w:val="Normal"/>
        <w:rPr/>
      </w:pPr>
      <w:r>
        <w:rPr/>
        <w:t>Use of GSM systems in ER-GSM band may impact the performance of systems already deployed in band VIII, such as Public GSM systems (legacy BTS or MCBTS), UTRA BS or E-UTRA BS.</w:t>
      </w:r>
    </w:p>
    <w:p>
      <w:pPr>
        <w:pStyle w:val="Normal"/>
        <w:rPr/>
      </w:pPr>
      <w:r>
        <w:rPr/>
        <w:t>Those systems can be impacted by:</w:t>
      </w:r>
    </w:p>
    <w:p>
      <w:pPr>
        <w:pStyle w:val="B1"/>
        <w:rPr/>
      </w:pPr>
      <w:r>
        <w:rPr/>
        <w:t>-</w:t>
        <w:tab/>
        <w:t>Main emissions in DL band that could result in blocking of installed systems.</w:t>
      </w:r>
    </w:p>
    <w:p>
      <w:pPr>
        <w:pStyle w:val="B1"/>
        <w:rPr/>
      </w:pPr>
      <w:r>
        <w:rPr/>
        <w:t>-</w:t>
        <w:tab/>
        <w:t>Tx spurious emissions in UL/DL guard band and in E-GSM UL band</w:t>
      </w:r>
    </w:p>
    <w:p>
      <w:pPr>
        <w:pStyle w:val="NO"/>
        <w:rPr/>
      </w:pPr>
      <w:r>
        <w:rPr/>
        <w:t>NOTE:</w:t>
        <w:tab/>
        <w:t>Co-existence study in [3] concluded that spurious emissions from ER-GSM equipments have no impact on systems already deployed in the field. Therefore, this topic is not developed in this annex.</w:t>
      </w:r>
    </w:p>
    <w:p>
      <w:pPr>
        <w:pStyle w:val="Normal"/>
        <w:rPr/>
      </w:pPr>
      <w:r>
        <w:rPr/>
        <w:t>Evaluation of these elements can be made by evaluating RF level of aggressor systems at system input of victim system. This can be done with the general equation below:</w:t>
      </w:r>
    </w:p>
    <w:p>
      <w:pPr>
        <w:pStyle w:val="Normal"/>
        <w:rPr/>
      </w:pPr>
      <w:r>
        <w:rPr/>
        <w:t>Pin = Tx power – Rejection – Isolation where</w:t>
      </w:r>
    </w:p>
    <w:p>
      <w:pPr>
        <w:pStyle w:val="B1"/>
        <w:rPr/>
      </w:pPr>
      <w:r>
        <w:rPr/>
        <w:t>-</w:t>
        <w:tab/>
        <w:t>Pin = RF power level at victim system input;  Rejection = Rx filter rejection of victim receiver</w:t>
      </w:r>
    </w:p>
    <w:p>
      <w:pPr>
        <w:pStyle w:val="NO"/>
        <w:rPr/>
      </w:pPr>
      <w:r>
        <w:rPr/>
        <w:t>NOTE: In some situation, rejection is not to be considered</w:t>
      </w:r>
    </w:p>
    <w:p>
      <w:pPr>
        <w:pStyle w:val="B1"/>
        <w:rPr/>
      </w:pPr>
      <w:r>
        <w:rPr/>
        <w:t>-</w:t>
        <w:tab/>
        <w:t>Isolation = isolation between aggressor and victim system.</w:t>
      </w:r>
    </w:p>
    <w:p>
      <w:pPr>
        <w:pStyle w:val="Normal"/>
        <w:rPr/>
      </w:pPr>
      <w:r>
        <w:rPr/>
        <w:t>In the next chapters, Isolation and Rejection will be evaluated for all relevant scenarios.</w:t>
      </w:r>
    </w:p>
    <w:p>
      <w:pPr>
        <w:pStyle w:val="Normal"/>
        <w:rPr/>
      </w:pPr>
      <w:r>
        <w:rPr/>
        <w:t>Currently [4] defines a requirement on the level of Tx spurious emissions in BTS receive band as -89 dBm/100 kHz for a R-GSM BTS (c.f. Table 4.3-4). It has been approved within TSG GERAN that this level can be kept unchanged for a ER-GSM BTS since the introduction of this new band results in same scenario as for R-GSM band.</w:t>
      </w:r>
    </w:p>
    <w:p>
      <w:pPr>
        <w:pStyle w:val="Heading2"/>
        <w:rPr/>
      </w:pPr>
      <w:bookmarkStart w:id="889" w:name="__RefHeading___Toc518036222"/>
      <w:bookmarkEnd w:id="889"/>
      <w:r>
        <w:rPr/>
        <w:t>ZD.2.2</w:t>
        <w:tab/>
        <w:t>Assumptions</w:t>
      </w:r>
    </w:p>
    <w:p>
      <w:pPr>
        <w:pStyle w:val="Heading3"/>
        <w:rPr/>
      </w:pPr>
      <w:bookmarkStart w:id="890" w:name="__RefHeading___Toc518036223"/>
      <w:bookmarkEnd w:id="890"/>
      <w:r>
        <w:rPr/>
        <w:t>ZD.2.</w:t>
      </w:r>
      <w:r>
        <w:rPr>
          <w:lang w:eastAsia="zh-CN"/>
        </w:rPr>
        <w:t>2.1</w:t>
      </w:r>
      <w:r>
        <w:rPr/>
        <w:tab/>
        <w:t>RF performances</w:t>
      </w:r>
    </w:p>
    <w:p>
      <w:pPr>
        <w:pStyle w:val="Normal"/>
        <w:rPr/>
      </w:pPr>
      <w:r>
        <w:rPr/>
        <w:t xml:space="preserve">RF performances assumed for the impacted systems have been agreed during the study on ER-GSM introduction for evaluations in 3GPP TSG GERAN and by liaisoning with 3GPP RAN4. Open issues in this regard were raised to 3GPP RAN4 to their specifications [6] and [7]. In [8] 3GPP RAN4 provided feedback on UTRA and E-UTRA RF performances to be assumed for the evaluation of the impact on UTRA and E-UTRA systems in the E-GSM band. </w:t>
      </w:r>
    </w:p>
    <w:p>
      <w:pPr>
        <w:pStyle w:val="Normal"/>
        <w:rPr/>
      </w:pPr>
      <w:r>
        <w:rPr/>
        <w:t>The assumptions on RF performances for the impacted systems (victim systems) are summarized below:</w:t>
      </w:r>
    </w:p>
    <w:p>
      <w:pPr>
        <w:pStyle w:val="Normal"/>
        <w:ind w:left="284" w:hanging="0"/>
        <w:rPr>
          <w:b/>
          <w:b/>
          <w:bCs/>
        </w:rPr>
      </w:pPr>
      <w:r>
        <w:rPr>
          <w:b/>
          <w:bCs/>
        </w:rPr>
        <w:t>Nominal Sensitivity</w:t>
      </w:r>
    </w:p>
    <w:p>
      <w:pPr>
        <w:pStyle w:val="B1"/>
        <w:rPr/>
      </w:pPr>
      <w:r>
        <w:rPr/>
        <w:t>-</w:t>
        <w:tab/>
        <w:t>GSM BTS nominal sensitivity: -110 dBm</w:t>
      </w:r>
    </w:p>
    <w:p>
      <w:pPr>
        <w:pStyle w:val="NO"/>
        <w:rPr/>
      </w:pPr>
      <w:r>
        <w:rPr/>
        <w:t>NOTE:</w:t>
        <w:tab/>
        <w:t>Reference sensitivity for GSM BTS systems is specified at -104 dBm. However, state of the art BTS have significantly better sensitivity than specified. Therefore, this is considered in the feasibility study</w:t>
      </w:r>
    </w:p>
    <w:p>
      <w:pPr>
        <w:pStyle w:val="B1"/>
        <w:rPr/>
      </w:pPr>
      <w:r>
        <w:rPr/>
        <w:t>-</w:t>
        <w:tab/>
        <w:t>UTRA BS nominal sensitivity: -121 dBm</w:t>
      </w:r>
    </w:p>
    <w:p>
      <w:pPr>
        <w:pStyle w:val="B1"/>
        <w:rPr/>
      </w:pPr>
      <w:r>
        <w:rPr/>
        <w:t>-</w:t>
        <w:tab/>
        <w:t>E-UTRA BS nominal sensitivity: -101.5 dBm</w:t>
      </w:r>
    </w:p>
    <w:p>
      <w:pPr>
        <w:pStyle w:val="NO"/>
        <w:rPr/>
      </w:pPr>
      <w:r>
        <w:rPr/>
        <w:t>NOTE:</w:t>
        <w:tab/>
        <w:t>Nominal sensitivity for UTRA and E-UTRA BS are aligned to specifications [6] and [7] as outlined by TSG RAN4 in [8].</w:t>
      </w:r>
    </w:p>
    <w:p>
      <w:pPr>
        <w:pStyle w:val="Normal"/>
        <w:ind w:left="284" w:hanging="0"/>
        <w:rPr>
          <w:b/>
          <w:b/>
        </w:rPr>
      </w:pPr>
      <w:r>
        <w:rPr>
          <w:b/>
        </w:rPr>
        <w:t xml:space="preserve">Acceptable desensitization </w:t>
      </w:r>
    </w:p>
    <w:p>
      <w:pPr>
        <w:pStyle w:val="B1"/>
        <w:rPr/>
      </w:pPr>
      <w:r>
        <w:rPr/>
        <w:t>-</w:t>
        <w:tab/>
        <w:t>Acceptable desensitization of victim system:  0.8 dB</w:t>
      </w:r>
    </w:p>
    <w:p>
      <w:pPr>
        <w:pStyle w:val="NO"/>
        <w:rPr/>
      </w:pPr>
      <w:r>
        <w:rPr/>
        <w:t>NOTE:</w:t>
        <w:tab/>
        <w:t>While specified desensitization criteria for blocking and intermodulation interferers are 3 dB for GSM BTS and 6 dB for UTRA and E-UTRA BS, feasibility study on ER-GSM introduction considered desensitization of impacted systems of 0.8 dB. This is because emissions of ER-GSM BTS in the DL band 918-921 MHz are likely to be more continuous. The 0.8 dB desensitization criteria was found acceptable by TSG RAN4[8].</w:t>
      </w:r>
    </w:p>
    <w:p>
      <w:pPr>
        <w:pStyle w:val="Normal"/>
        <w:ind w:left="284" w:hanging="0"/>
        <w:rPr>
          <w:b/>
          <w:b/>
        </w:rPr>
      </w:pPr>
      <w:r>
        <w:rPr>
          <w:b/>
        </w:rPr>
        <w:t>Minimum Coupling Loss</w:t>
      </w:r>
    </w:p>
    <w:p>
      <w:pPr>
        <w:pStyle w:val="B1"/>
        <w:rPr/>
      </w:pPr>
      <w:r>
        <w:rPr/>
        <w:t>-</w:t>
        <w:tab/>
        <w:t xml:space="preserve">Minimum coupling loss between ER-GSM BTS and victim base station receiver for uncoordinated deployment scenario: 67 dB. </w:t>
      </w:r>
    </w:p>
    <w:p>
      <w:pPr>
        <w:pStyle w:val="NO"/>
        <w:rPr/>
      </w:pPr>
      <w:r>
        <w:rPr/>
        <w:t>NOTE:</w:t>
        <w:tab/>
        <w:t>This figure is based on the assumed minimum coupling loss between base stations [5].</w:t>
      </w:r>
    </w:p>
    <w:p>
      <w:pPr>
        <w:pStyle w:val="Normal"/>
        <w:ind w:left="284" w:hanging="0"/>
        <w:rPr>
          <w:b/>
          <w:b/>
        </w:rPr>
      </w:pPr>
      <w:r>
        <w:rPr>
          <w:b/>
        </w:rPr>
        <w:t>Blocking performance</w:t>
      </w:r>
    </w:p>
    <w:p>
      <w:pPr>
        <w:pStyle w:val="B1"/>
        <w:rPr/>
      </w:pPr>
      <w:r>
        <w:rPr/>
        <w:t>-</w:t>
        <w:tab/>
        <w:t>Blocking performance for a GSM victim BTS is derived based on GERAN specification [4] for an inband blocker with an offset larger than 3 MHz as outlined in section ZD.2.2.3.</w:t>
      </w:r>
    </w:p>
    <w:p>
      <w:pPr>
        <w:pStyle w:val="B1"/>
        <w:rPr/>
      </w:pPr>
      <w:r>
        <w:rPr/>
        <w:t>-</w:t>
        <w:tab/>
        <w:t>For blocking performance of UTRA and E-UTRA BS in the ER-GSM band feedback was received in [8] that the assumed performance should be as specified in [6] and [7] meaning that the inband blocking requirement in the band 880-915 MHz is also applicable for the blocker at lowermost ER-GSM carrier frequency at 918.2 MHz and that there is no specific requirement in RAN4 specifications for a blocker at uppermost ER-GSM carrier frequency at 921.0 MHz. Further information on the derived performance at 918.2 MHz is provided in section ZD.2.2.3.</w:t>
      </w:r>
    </w:p>
    <w:p>
      <w:pPr>
        <w:pStyle w:val="Heading3"/>
        <w:rPr/>
      </w:pPr>
      <w:bookmarkStart w:id="891" w:name="__RefHeading___Toc518036224"/>
      <w:bookmarkEnd w:id="891"/>
      <w:r>
        <w:rPr/>
        <w:t>ZD.2.2</w:t>
      </w:r>
      <w:r>
        <w:rPr>
          <w:lang w:eastAsia="zh-CN"/>
        </w:rPr>
        <w:t>.2</w:t>
      </w:r>
      <w:r>
        <w:rPr/>
        <w:tab/>
      </w:r>
      <w:r>
        <w:rPr>
          <w:lang w:val="en-US"/>
        </w:rPr>
        <w:t>Blocker rejection by victim public base station</w:t>
      </w:r>
    </w:p>
    <w:p>
      <w:pPr>
        <w:pStyle w:val="Normal"/>
        <w:rPr/>
      </w:pPr>
      <w:r>
        <w:rPr/>
        <w:t xml:space="preserve">Receiver from victim system could be partly protected by rejection of diplexer or Rx filter. </w:t>
      </w:r>
    </w:p>
    <w:p>
      <w:pPr>
        <w:pStyle w:val="Normal"/>
        <w:rPr/>
      </w:pPr>
      <w:r>
        <w:rPr/>
        <w:t>It was however agreed in TSG GERAN that public BSs exist where there is no rejection at lowermost ER-GSM carrier frequency at 918.2 MHz (taking into account frequency drift and ensure a flat insertion loss over the frequencies in the pass band). In addition 0 dB rejection at 918.2 MHz corresponds to assumptions for victim UTRA and E-UTRA BS in 3GPP RAN4[8]. Hence this worst case scenario has been considered for the evaluation in the present annex in order to determine the maximum ER-GSM output power per carrier in case of uncoordinated and coordinated networks. For the transition region between 918.2-921.0 MHz a linear slope was agreed. The blocking rejection model for the victim receiver is depicted below in Figure 1.</w:t>
      </w:r>
    </w:p>
    <w:p>
      <w:pPr>
        <w:pStyle w:val="TH"/>
        <w:rPr/>
      </w:pPr>
      <w:r>
        <w:rPr/>
        <w:drawing>
          <wp:inline distT="0" distB="0" distL="0" distR="0">
            <wp:extent cx="2980690" cy="2494280"/>
            <wp:effectExtent l="0" t="0" r="0" b="0"/>
            <wp:docPr id="284" name="Image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08" descr=""/>
                    <pic:cNvPicPr>
                      <a:picLocks noChangeAspect="1" noChangeArrowheads="1"/>
                    </pic:cNvPicPr>
                  </pic:nvPicPr>
                  <pic:blipFill>
                    <a:blip r:embed="rId295"/>
                    <a:srcRect l="-12" t="-14" r="-12" b="-14"/>
                    <a:stretch>
                      <a:fillRect/>
                    </a:stretch>
                  </pic:blipFill>
                  <pic:spPr bwMode="auto">
                    <a:xfrm>
                      <a:off x="0" y="0"/>
                      <a:ext cx="2980690" cy="2494280"/>
                    </a:xfrm>
                    <a:prstGeom prst="rect">
                      <a:avLst/>
                    </a:prstGeom>
                  </pic:spPr>
                </pic:pic>
              </a:graphicData>
            </a:graphic>
          </wp:inline>
        </w:drawing>
      </w:r>
    </w:p>
    <w:p>
      <w:pPr>
        <w:pStyle w:val="TF"/>
        <w:rPr/>
      </w:pPr>
      <w:r>
        <w:rPr/>
        <w:t xml:space="preserve">Figure 1: Blocker rejection  model over UL/DL guard band assumed for victim base station (E-GSM, UTRA, E-UTRA BS). </w:t>
      </w:r>
    </w:p>
    <w:p>
      <w:pPr>
        <w:pStyle w:val="Normal"/>
        <w:rPr/>
      </w:pPr>
      <w:r>
        <w:rPr/>
        <w:t xml:space="preserve">Based on feedback received from several network manufacturers, the two parameters of the blocker rejection model for the victim base station were defined in TSG GERAN: </w:t>
      </w:r>
    </w:p>
    <w:p>
      <w:pPr>
        <w:pStyle w:val="B1"/>
        <w:rPr/>
      </w:pPr>
      <w:r>
        <w:rPr/>
        <w:t>-</w:t>
        <w:tab/>
        <w:t xml:space="preserve">There is no protection for the lowest ER-GSM carrier frequency at 918.2 MHz, hence the cut-of.frequency for the slope is at 918.2 MHz. </w:t>
      </w:r>
    </w:p>
    <w:p>
      <w:pPr>
        <w:pStyle w:val="B1"/>
        <w:rPr/>
      </w:pPr>
      <w:r>
        <w:rPr/>
        <w:t>-</w:t>
        <w:tab/>
        <w:t xml:space="preserve">The slope coefficient of the linear slope in the frequency range between 918.2 and 921.0 MHz is 6 dB/MHz for GSM BTS victim system.  </w:t>
      </w:r>
    </w:p>
    <w:p>
      <w:pPr>
        <w:pStyle w:val="B1"/>
        <w:rPr/>
      </w:pPr>
      <w:r>
        <w:rPr/>
        <w:t>-</w:t>
        <w:tab/>
        <w:t>The slope coefficient of the linear slope in the frequency range between 918.2 and 921.0 MHz is 11 dB/MHz for UTRA BS or E-UTRA BS victim system.</w:t>
      </w:r>
    </w:p>
    <w:p>
      <w:pPr>
        <w:pStyle w:val="Heading3"/>
        <w:rPr/>
      </w:pPr>
      <w:bookmarkStart w:id="892" w:name="__RefHeading___Toc518036225"/>
      <w:bookmarkEnd w:id="892"/>
      <w:r>
        <w:rPr/>
        <w:t>ZD.2.2</w:t>
      </w:r>
      <w:r>
        <w:rPr>
          <w:lang w:eastAsia="zh-CN"/>
        </w:rPr>
        <w:t>.3</w:t>
      </w:r>
      <w:r>
        <w:rPr/>
        <w:tab/>
        <w:t>Blocking and Intermodulation reminders</w:t>
      </w:r>
    </w:p>
    <w:p>
      <w:pPr>
        <w:pStyle w:val="Normal"/>
        <w:rPr/>
      </w:pPr>
      <w:r>
        <w:rPr/>
        <w:t xml:space="preserve">In case of impact of ER-GSM BTS to GSM BTS victim station, a blocker level of -13 dBm was assumed for single carrier legacy BTS and a blocker level of -25 dBm for MCBTS according to inband blocking specification for a blocker with a larger offset than 3 MHz specified in [4]. </w:t>
      </w:r>
    </w:p>
    <w:p>
      <w:pPr>
        <w:pStyle w:val="Normal"/>
        <w:rPr/>
      </w:pPr>
      <w:r>
        <w:rPr/>
        <w:t>In case of impact of ER-GSM BTS to UTRA/E-UTRA BS victim station, from the investigation carried out in 3GPP RAN4 [8], a required isolation between GSM BTS and UTRA/E-UTRA BS systems of 104 dB / 106 dB for an  assumed output power of 45 dBm per GSM carrier for ER-GSM BTS is determined. This investigation is based on different assumed modulations for the narrowband blocker level: whilst UTRA narrow blocking specification [6] is based on  -47 dBm for a GMSK modulated blocker, E-UTRA narrow blocking specification [7] is based on -49 dBm for an E-UTRAN UE blocker carrying 1 Resource Block having a higher PAPR than the GMSK signal. Thus  it was agreed to align the UTRA and E-UTRA blocking requirements for the present study by reusing the blocker level defined for  UTRA (-47 dBm) for the E-UTRA analysis. Application of intermodulation requirements was not considered further, since these correspond to inband interferers with same interferer power, whilst in the present scenario victim receiver filter attenuation on two carriers from the ER-GSM BTS is assumed to be different.</w:t>
      </w:r>
    </w:p>
    <w:p>
      <w:pPr>
        <w:pStyle w:val="Heading3"/>
        <w:rPr/>
      </w:pPr>
      <w:bookmarkStart w:id="893" w:name="__RefHeading___Toc518036226"/>
      <w:bookmarkEnd w:id="893"/>
      <w:r>
        <w:rPr/>
        <w:t>ZD.2.2.4</w:t>
        <w:tab/>
        <w:t>Desensitization computing method</w:t>
      </w:r>
    </w:p>
    <w:p>
      <w:pPr>
        <w:pStyle w:val="Normal"/>
        <w:rPr/>
      </w:pPr>
      <w:r>
        <w:rPr/>
        <w:t>In order to simplify the computations a method has been elaborated to evaluate requested protection level for a given desensitization (0.8 dB) from applicable specifications. Specified desensitization criteria are 3 dB for GSM and 6 dB for UTRA and E-UTRA.</w:t>
      </w:r>
    </w:p>
    <w:p>
      <w:pPr>
        <w:pStyle w:val="Normal"/>
        <w:rPr/>
      </w:pPr>
      <w:r>
        <w:rPr/>
        <w:t>In order to simplify the computations a general desensitization computation is developed to quickly estimate acceptable interferer. Starting from desensitization as specified by a standard for a given interferer level, the goal is to evaluate what interferer level can be accepted for a given desensitization.</w:t>
      </w:r>
    </w:p>
    <w:p>
      <w:pPr>
        <w:pStyle w:val="Normal"/>
        <w:rPr/>
      </w:pPr>
      <w:r>
        <w:rPr/>
        <w:t>Comparing noise in a given bandwidth:</w:t>
      </w:r>
    </w:p>
    <w:p>
      <w:pPr>
        <w:pStyle w:val="Normal"/>
        <w:ind w:left="284" w:hanging="0"/>
        <w:rPr/>
      </w:pPr>
      <w:r>
        <w:rPr/>
        <w:t>Thermal noise floor:</w:t>
        <w:tab/>
        <w:t>KTB</w:t>
        <w:br/>
        <w:t>After amplification with noise figure N:</w:t>
        <w:tab/>
        <w:t>NKTB (equivalent at Rx input)</w:t>
        <w:br/>
        <w:t>Desensitization by X, noise floor becomes:</w:t>
        <w:tab/>
        <w:t>X NKTB</w:t>
        <w:br/>
        <w:tab/>
        <w:t>Added noise = (X-1) NKTB</w:t>
        <w:br/>
        <w:t>Desensitization by Y, noise floor becomes:</w:t>
        <w:tab/>
        <w:t>Y NKTB</w:t>
        <w:br/>
        <w:tab/>
        <w:t>Added noise = (Y-1) NKTB</w:t>
        <w:br/>
        <w:t>Ratio:</w:t>
        <w:tab/>
        <w:t>(NKTB (X-1) / NKTB (Y-1))</w:t>
        <w:br/>
        <w:tab/>
        <w:t>(X-1) / (Y-1)</w:t>
      </w:r>
    </w:p>
    <w:p>
      <w:pPr>
        <w:pStyle w:val="Normal"/>
        <w:ind w:left="284" w:hanging="0"/>
        <w:rPr/>
      </w:pPr>
      <w:r>
        <w:rPr/>
        <w:t>Ratio in dB is the interferer power level reduction requested to get YdB desensitization when a system is specified for XdB desensitization with a given interferer power level</w:t>
      </w:r>
    </w:p>
    <w:p>
      <w:pPr>
        <w:pStyle w:val="Normal"/>
        <w:rPr/>
      </w:pPr>
      <w:r>
        <w:rPr/>
        <w:t>For example with GSM (normal BTS):</w:t>
      </w:r>
    </w:p>
    <w:p>
      <w:pPr>
        <w:pStyle w:val="Normal"/>
        <w:ind w:left="284" w:hanging="0"/>
        <w:rPr/>
      </w:pPr>
      <w:r>
        <w:rPr/>
        <w:t>Specified blocker for -101 dBm sensitivity is -13 dBm (over 3 MHz offset)</w:t>
        <w:br/>
        <w:t>Nominal sensitivity = -110 dBm,</w:t>
        <w:br/>
        <w:tab/>
        <w:t>therefore desensitization is 9 dB with blocker as specified by 3GPP 45.005</w:t>
        <w:br/>
        <w:t>Acceptable desensitization in normal operation = 0.8 dB</w:t>
        <w:br/>
        <w:tab/>
        <w:t>Delta (dB) = 15.4 dB.</w:t>
        <w:br/>
        <w:t>Acceptable blocker for a BTS with -110 dBm nominal sensitivity is:</w:t>
        <w:br/>
        <w:tab/>
        <w:t>-13 dBm – 15.4 dB = -28.4 dBm (for 0.8 dB desensitization)</w:t>
      </w:r>
    </w:p>
    <w:p>
      <w:pPr>
        <w:pStyle w:val="Heading3"/>
        <w:rPr/>
      </w:pPr>
      <w:bookmarkStart w:id="894" w:name="__RefHeading___Toc518036227"/>
      <w:bookmarkEnd w:id="894"/>
      <w:r>
        <w:rPr/>
        <w:t>ZD.2.2.5</w:t>
        <w:tab/>
        <w:t>Coordinated and uncoordinated deployment</w:t>
      </w:r>
    </w:p>
    <w:p>
      <w:pPr>
        <w:pStyle w:val="Normal"/>
        <w:rPr/>
      </w:pPr>
      <w:r>
        <w:rPr/>
        <w:t>At CEPT coordination between public and railway operators is recommended to alleviate interference cases reported by some railway operators (see [9]). This recommendation would be applicable to ER-GSM deployment as well. Considering this possibility, requirements on RF parameters in coordinated case could be adjusted, in particular for the Minimum Coupling Loss to be used.</w:t>
      </w:r>
    </w:p>
    <w:p>
      <w:pPr>
        <w:pStyle w:val="Heading3"/>
        <w:rPr/>
      </w:pPr>
      <w:bookmarkStart w:id="895" w:name="__RefHeading___Toc518036228"/>
      <w:bookmarkEnd w:id="895"/>
      <w:r>
        <w:rPr/>
        <w:t>ZD.2.2.6</w:t>
        <w:tab/>
        <w:t>Exception to blocking requirement for ER-GSM mobiles</w:t>
      </w:r>
    </w:p>
    <w:p>
      <w:pPr>
        <w:pStyle w:val="Normal"/>
        <w:rPr/>
      </w:pPr>
      <w:r>
        <w:rPr/>
        <w:t>Because of the reduction of the guard band between RX and TX band to 3MHz it was assumed that some relaxation related to out-of-band blocking performance for interferers in the upper 3 MHz range of the E-GSM UL band  is needed for implementation reasons. A relaxed value for the blocking requirement (see Table 5.1-2b Exceptions to Blocking requirements of [4]) is therefore considered: -12 dBm instead of -7 dBm (R-GSM small MS) and -5 dBm (R-GSM MS), respectively.</w:t>
      </w:r>
    </w:p>
    <w:p>
      <w:pPr>
        <w:pStyle w:val="Heading1"/>
        <w:ind w:left="1134" w:hanging="1134"/>
        <w:rPr/>
      </w:pPr>
      <w:bookmarkStart w:id="896" w:name="__RefHeading___Toc518036229"/>
      <w:r>
        <w:rPr/>
        <w:t>ZD.3</w:t>
        <w:tab/>
        <w:t>Victim receiver performance for lowest frequency offset of ER-GSM interferer</w:t>
      </w:r>
      <w:bookmarkEnd w:id="896"/>
      <w:r>
        <w:rPr/>
        <w:t xml:space="preserve">  </w:t>
      </w:r>
    </w:p>
    <w:p>
      <w:pPr>
        <w:pStyle w:val="Normal"/>
        <w:rPr>
          <w:lang w:eastAsia="zh-CN"/>
        </w:rPr>
      </w:pPr>
      <w:r>
        <w:rPr/>
        <w:t xml:space="preserve">In this section the assumed receiver performance for the victim base station (E-GSM, UTRA, E-UTRA) is derived from existing blocking performance requirements in 3GPP specifications ([4],[6],[7]) and based on the assumptions in section ZD.2. The performance is applicable for the lowest frequency offset of the ER-GSM carrier from the EGSM UL band, i.e. at 918.2 MHz, where no receiver filter attenuation is assumed, see clause ZD 2.2.2. The case of co-existence between public and railway GSM systems is considered only. </w:t>
      </w:r>
    </w:p>
    <w:p>
      <w:pPr>
        <w:pStyle w:val="Heading2"/>
        <w:rPr/>
      </w:pPr>
      <w:bookmarkStart w:id="897" w:name="__RefHeading___Toc518036230"/>
      <w:bookmarkEnd w:id="897"/>
      <w:r>
        <w:rPr/>
        <w:t>ZD.3.</w:t>
      </w:r>
      <w:r>
        <w:rPr>
          <w:lang w:eastAsia="zh-CN"/>
        </w:rPr>
        <w:t>1</w:t>
      </w:r>
      <w:r>
        <w:rPr/>
        <w:tab/>
      </w:r>
      <w:r>
        <w:rPr>
          <w:lang w:val="en-US"/>
        </w:rPr>
        <w:t>GSM BTS as victim receiver</w:t>
      </w:r>
    </w:p>
    <w:p>
      <w:pPr>
        <w:pStyle w:val="Normal"/>
        <w:rPr/>
      </w:pPr>
      <w:r>
        <w:rPr/>
        <w:t>In this section GSM BTS of a public GSM system is considered as victim receiver and the maximum interferer level of the DL carrier frequency of the ER-GSM base station at the victim receiver antenna port is determined for the lowest frequency offset (918.2 MHz).  In-Band blocking is defined up to bottom of DL band (925 MHz) according to applicable standards, therefore, enough isolation shall be met so that base station are not blocking each others. Desentisitization from standard is converted to acceptable desensitization using the desensitization computing method. The analysis is performed for blocking.</w:t>
      </w:r>
    </w:p>
    <w:p>
      <w:pPr>
        <w:pStyle w:val="Normal"/>
        <w:rPr/>
      </w:pPr>
      <w:r>
        <w:rPr/>
        <w:t>Table 1 presents these evaluations for GSM legacy BTS and GSM MCBTS as victim receiver for nominal performance level.</w:t>
      </w:r>
    </w:p>
    <w:p>
      <w:pPr>
        <w:pStyle w:val="TH"/>
        <w:rPr/>
      </w:pPr>
      <w:r>
        <w:rPr/>
        <w:t>Table 1: Maximum ER-GSM blocker leval at victim base station (GSM BTS).</w:t>
      </w:r>
    </w:p>
    <w:tbl>
      <w:tblPr>
        <w:tblW w:w="6079" w:type="dxa"/>
        <w:jc w:val="center"/>
        <w:tblInd w:w="0" w:type="dxa"/>
        <w:tblLayout w:type="fixed"/>
        <w:tblCellMar>
          <w:top w:w="0" w:type="dxa"/>
          <w:left w:w="108" w:type="dxa"/>
          <w:bottom w:w="0" w:type="dxa"/>
          <w:right w:w="108" w:type="dxa"/>
        </w:tblCellMar>
      </w:tblPr>
      <w:tblGrid>
        <w:gridCol w:w="2310"/>
        <w:gridCol w:w="1867"/>
        <w:gridCol w:w="1902"/>
      </w:tblGrid>
      <w:tr>
        <w:trPr/>
        <w:tc>
          <w:tcPr>
            <w:tcW w:w="231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769"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One BCCH at full power, fixed frequency at lower Tx channel edge</w:t>
            </w:r>
          </w:p>
        </w:tc>
      </w:tr>
      <w:tr>
        <w:trPr>
          <w:trHeight w:val="424" w:hRule="atLeast"/>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Accepted desensitization</w:t>
            </w:r>
          </w:p>
          <w:p>
            <w:pPr>
              <w:pStyle w:val="TAL"/>
              <w:rPr>
                <w:lang w:val="en-GB"/>
              </w:rPr>
            </w:pPr>
            <w:r>
              <w:rPr>
                <w:lang w:val="en-GB"/>
              </w:rPr>
              <w:t>0.8 dB</w:t>
            </w:r>
          </w:p>
        </w:tc>
        <w:tc>
          <w:tcPr>
            <w:tcW w:w="186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SCBTS</w:t>
            </w:r>
          </w:p>
          <w:p>
            <w:pPr>
              <w:pStyle w:val="TAL"/>
              <w:rPr/>
            </w:pPr>
            <w:r>
              <w:rPr>
                <w:lang w:val="en-GB"/>
              </w:rPr>
              <w:t>Nominal</w:t>
            </w:r>
          </w:p>
        </w:tc>
        <w:tc>
          <w:tcPr>
            <w:tcW w:w="19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MCBTS</w:t>
            </w:r>
          </w:p>
          <w:p>
            <w:pPr>
              <w:pStyle w:val="TAL"/>
              <w:rPr>
                <w:lang w:val="en-GB"/>
              </w:rPr>
            </w:pPr>
            <w:r>
              <w:rPr>
                <w:lang w:val="en-GB"/>
              </w:rPr>
              <w:t>Nominal</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Sensitivity with blocker</w:t>
            </w:r>
          </w:p>
        </w:tc>
        <w:tc>
          <w:tcPr>
            <w:tcW w:w="186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-101.0 dBm</w:t>
            </w:r>
          </w:p>
        </w:tc>
        <w:tc>
          <w:tcPr>
            <w:tcW w:w="19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-101.0 dBm</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Nominal sensitivity</w:t>
            </w:r>
          </w:p>
        </w:tc>
        <w:tc>
          <w:tcPr>
            <w:tcW w:w="186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-110.0 dBm</w:t>
            </w:r>
          </w:p>
        </w:tc>
        <w:tc>
          <w:tcPr>
            <w:tcW w:w="19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-110.0 dBm</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Desensitization</w:t>
            </w:r>
          </w:p>
        </w:tc>
        <w:tc>
          <w:tcPr>
            <w:tcW w:w="186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9.0 dB</w:t>
            </w:r>
          </w:p>
        </w:tc>
        <w:tc>
          <w:tcPr>
            <w:tcW w:w="19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9.0 dB</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Accepted desensitization</w:t>
            </w:r>
          </w:p>
        </w:tc>
        <w:tc>
          <w:tcPr>
            <w:tcW w:w="186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0.8 dB</w:t>
            </w:r>
          </w:p>
        </w:tc>
        <w:tc>
          <w:tcPr>
            <w:tcW w:w="19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0.8 dB</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Delta</w:t>
            </w:r>
          </w:p>
        </w:tc>
        <w:tc>
          <w:tcPr>
            <w:tcW w:w="186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15.4 dB</w:t>
            </w:r>
          </w:p>
        </w:tc>
        <w:tc>
          <w:tcPr>
            <w:tcW w:w="19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15.4 dB</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Blocker level</w:t>
            </w:r>
          </w:p>
        </w:tc>
        <w:tc>
          <w:tcPr>
            <w:tcW w:w="186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-13.0 dBm</w:t>
            </w:r>
          </w:p>
        </w:tc>
        <w:tc>
          <w:tcPr>
            <w:tcW w:w="19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-25.0 dB</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pPr>
            <w:r>
              <w:rPr>
                <w:lang w:val="en-GB"/>
              </w:rPr>
              <w:t>Corrected blocker level</w:t>
            </w:r>
          </w:p>
        </w:tc>
        <w:tc>
          <w:tcPr>
            <w:tcW w:w="186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-28.4 dBm</w:t>
            </w:r>
          </w:p>
        </w:tc>
        <w:tc>
          <w:tcPr>
            <w:tcW w:w="190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-40.4 dBm</w:t>
            </w:r>
          </w:p>
        </w:tc>
      </w:tr>
    </w:tbl>
    <w:p>
      <w:pPr>
        <w:pStyle w:val="FP"/>
        <w:rPr/>
      </w:pPr>
      <w:r>
        <w:rPr/>
      </w:r>
    </w:p>
    <w:p>
      <w:pPr>
        <w:pStyle w:val="Normal"/>
        <w:rPr/>
      </w:pPr>
      <w:r>
        <w:rPr/>
        <w:t xml:space="preserve">From this evaluation the maximum allowed blocker level at victim receiver antenna connector of -28.4 dBm results in case of GSM legacy BTS and of -40.4 dBm in case of GSM MCBTS as victim receiver. </w:t>
      </w:r>
    </w:p>
    <w:p>
      <w:pPr>
        <w:pStyle w:val="Heading2"/>
        <w:rPr/>
      </w:pPr>
      <w:bookmarkStart w:id="898" w:name="__RefHeading___Toc518036231"/>
      <w:bookmarkEnd w:id="898"/>
      <w:r>
        <w:rPr>
          <w:lang w:val="pt-BR"/>
        </w:rPr>
        <w:t>ZD.3.</w:t>
      </w:r>
      <w:r>
        <w:rPr>
          <w:lang w:val="pt-BR" w:eastAsia="zh-CN"/>
        </w:rPr>
        <w:t>2</w:t>
      </w:r>
      <w:r>
        <w:rPr>
          <w:lang w:val="pt-BR"/>
        </w:rPr>
        <w:tab/>
        <w:t>UTRA/E-UTRA BS as victim receiver</w:t>
      </w:r>
    </w:p>
    <w:p>
      <w:pPr>
        <w:pStyle w:val="Normal"/>
        <w:rPr/>
      </w:pPr>
      <w:r>
        <w:rPr/>
        <w:t>In this section UTRA or E-UTRA BS, respectively, of a public GSM system is considered as victim receiver and the maximum interferer level of the DL carrier frequency of the ER-GSM base station at the victim receiver antenna port is determined for the lowest frequency offset (918.2 MHz). In-Band blocking is defined up to bottom of DL band (925 MHz) according to applicable standards, therefore, enough isolation shall be met so that base station are not blocking each others. Desentisitization from standard is converted to acceptable desensitization using the desensitization computing method. The analysisis is performed for blocking.</w:t>
      </w:r>
    </w:p>
    <w:p>
      <w:pPr>
        <w:pStyle w:val="Normal"/>
        <w:rPr/>
      </w:pPr>
      <w:r>
        <w:rPr/>
        <w:t>Table 2 presents the evaluation for  UTRA BS as victim receiver for the nominal performance level.</w:t>
      </w:r>
    </w:p>
    <w:p>
      <w:pPr>
        <w:pStyle w:val="TH"/>
        <w:rPr/>
      </w:pPr>
      <w:r>
        <w:rPr/>
        <w:t>Table 2: Maximum ER-GSM blocker leval at victim base station (UTRA BS).</w:t>
      </w:r>
    </w:p>
    <w:tbl>
      <w:tblPr>
        <w:tblW w:w="5308" w:type="dxa"/>
        <w:jc w:val="center"/>
        <w:tblInd w:w="0" w:type="dxa"/>
        <w:tblLayout w:type="fixed"/>
        <w:tblCellMar>
          <w:top w:w="0" w:type="dxa"/>
          <w:left w:w="108" w:type="dxa"/>
          <w:bottom w:w="0" w:type="dxa"/>
          <w:right w:w="108" w:type="dxa"/>
        </w:tblCellMar>
      </w:tblPr>
      <w:tblGrid>
        <w:gridCol w:w="2310"/>
        <w:gridCol w:w="2998"/>
      </w:tblGrid>
      <w:tr>
        <w:trPr/>
        <w:tc>
          <w:tcPr>
            <w:tcW w:w="2310"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299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One BCCH at full power, fixed frequency at lower Tx channel edge</w:t>
            </w:r>
          </w:p>
        </w:tc>
      </w:tr>
      <w:tr>
        <w:trPr>
          <w:trHeight w:val="424" w:hRule="atLeast"/>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Accepted desensitization</w:t>
            </w:r>
          </w:p>
          <w:p>
            <w:pPr>
              <w:pStyle w:val="TAL"/>
              <w:rPr>
                <w:lang w:val="en-GB"/>
              </w:rPr>
            </w:pPr>
            <w:r>
              <w:rPr>
                <w:lang w:val="en-GB"/>
              </w:rPr>
              <w:t>0.8 dB</w:t>
            </w:r>
          </w:p>
        </w:tc>
        <w:tc>
          <w:tcPr>
            <w:tcW w:w="299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UTRA BS</w:t>
            </w:r>
          </w:p>
          <w:p>
            <w:pPr>
              <w:pStyle w:val="TAL"/>
              <w:rPr>
                <w:lang w:val="en-GB"/>
              </w:rPr>
            </w:pPr>
            <w:r>
              <w:rPr>
                <w:lang w:val="en-GB"/>
              </w:rPr>
              <w:t>Nominal</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Sensitivity with blocker</w:t>
            </w:r>
          </w:p>
        </w:tc>
        <w:tc>
          <w:tcPr>
            <w:tcW w:w="299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-110.0 dBm</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Nominal sensitivity</w:t>
            </w:r>
          </w:p>
        </w:tc>
        <w:tc>
          <w:tcPr>
            <w:tcW w:w="299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-121.0 dBm</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Desensitization</w:t>
            </w:r>
          </w:p>
        </w:tc>
        <w:tc>
          <w:tcPr>
            <w:tcW w:w="2998" w:type="dxa"/>
            <w:tcBorders>
              <w:top w:val="single" w:sz="4" w:space="0" w:color="000000"/>
              <w:left w:val="single" w:sz="4" w:space="0" w:color="000000"/>
              <w:bottom w:val="single" w:sz="4" w:space="0" w:color="000000"/>
              <w:right w:val="single" w:sz="4" w:space="0" w:color="000000"/>
            </w:tcBorders>
          </w:tcPr>
          <w:p>
            <w:pPr>
              <w:pStyle w:val="TAL"/>
              <w:rPr/>
            </w:pPr>
            <w:r>
              <w:rPr>
                <w:lang w:val="en-GB"/>
              </w:rPr>
              <w:t>6.0 dB</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Accepted desensitization</w:t>
            </w:r>
          </w:p>
        </w:tc>
        <w:tc>
          <w:tcPr>
            <w:tcW w:w="299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0.8 dB</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Delta</w:t>
            </w:r>
          </w:p>
        </w:tc>
        <w:tc>
          <w:tcPr>
            <w:tcW w:w="299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11.7 dB</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Blocker level</w:t>
            </w:r>
          </w:p>
        </w:tc>
        <w:tc>
          <w:tcPr>
            <w:tcW w:w="299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-47.0 dBm</w:t>
            </w:r>
          </w:p>
        </w:tc>
      </w:tr>
      <w:tr>
        <w:trPr/>
        <w:tc>
          <w:tcPr>
            <w:tcW w:w="231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Corrected blocker level</w:t>
            </w:r>
          </w:p>
        </w:tc>
        <w:tc>
          <w:tcPr>
            <w:tcW w:w="299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-58.7 dBm</w:t>
            </w:r>
          </w:p>
        </w:tc>
      </w:tr>
    </w:tbl>
    <w:p>
      <w:pPr>
        <w:pStyle w:val="FP"/>
        <w:rPr/>
      </w:pPr>
      <w:r>
        <w:rPr/>
      </w:r>
    </w:p>
    <w:p>
      <w:pPr>
        <w:pStyle w:val="Normal"/>
        <w:rPr/>
      </w:pPr>
      <w:r>
        <w:rPr/>
        <w:t xml:space="preserve">From this evaluation the maximum allowed blocker level at victim receiver antenna connector of -58.7 dBm results in case of UTRA BS as victim receiver. According to the consideration in clause 2.2.3 the maximum ER-GSM blocker level for UTRA BS is also assumed for E-UTRA BS. </w:t>
      </w:r>
    </w:p>
    <w:p>
      <w:pPr>
        <w:pStyle w:val="Heading1"/>
        <w:ind w:left="1134" w:hanging="1134"/>
        <w:rPr/>
      </w:pPr>
      <w:bookmarkStart w:id="899" w:name="__RefHeading___Toc518036232"/>
      <w:r>
        <w:rPr/>
        <w:t>ZD.4</w:t>
        <w:tab/>
        <w:t>Victim receiver performance in the ER-GSM frequency range</w:t>
      </w:r>
      <w:bookmarkEnd w:id="899"/>
      <w:r>
        <w:rPr/>
        <w:t xml:space="preserve"> </w:t>
      </w:r>
    </w:p>
    <w:p>
      <w:pPr>
        <w:pStyle w:val="Normal"/>
        <w:rPr/>
      </w:pPr>
      <w:r>
        <w:rPr/>
        <w:t xml:space="preserve">In this section the assumed receiver performance for the victim base station (E-GSM, UTRA, E-UTRA) is derived from the receiver blocker rejection model in the frequency range 918.2 to 921.0 MHz for victim base station depicted in clause ZD.2.2.2 as well as from the determination of the maximum allowed blocker level at lowest frequency offset of the ER-GSM interferer, i.e. at 918.2 MHz, depicted in table 1 in clause ZD.3 for GSM victim base station and in table 2 for UTRA/E-UTRA base station, respectively for the case of co-existence between public and railway GSM systems. </w:t>
      </w:r>
    </w:p>
    <w:p>
      <w:pPr>
        <w:pStyle w:val="Heading2"/>
        <w:rPr/>
      </w:pPr>
      <w:bookmarkStart w:id="900" w:name="__RefHeading___Toc518036233"/>
      <w:r>
        <w:rPr/>
        <w:t>ZD.4.</w:t>
      </w:r>
      <w:r>
        <w:rPr>
          <w:lang w:eastAsia="zh-CN"/>
        </w:rPr>
        <w:t>1</w:t>
      </w:r>
      <w:r>
        <w:rPr/>
        <w:tab/>
      </w:r>
      <w:r>
        <w:rPr>
          <w:lang w:val="en-US"/>
        </w:rPr>
        <w:t>GSM BTS as victim receiver</w:t>
      </w:r>
      <w:bookmarkEnd w:id="900"/>
      <w:r>
        <w:rPr>
          <w:lang w:val="en-US"/>
        </w:rPr>
        <w:t xml:space="preserve"> </w:t>
      </w:r>
    </w:p>
    <w:p>
      <w:pPr>
        <w:pStyle w:val="Normal"/>
        <w:rPr/>
      </w:pPr>
      <w:r>
        <w:rPr/>
        <w:t xml:space="preserve">In the ER-GSM frequency range 918 to 921 MHz victim receiver has got additional protection according to the blocker rejection model in clause ZD 2.2.2. Hence the maximum blocker level at victim GSM base station as depicted in clause ZD 3.1 for a blocker at 918.2 MHz can be increased by the additional rejection provided for the ER-GSM carrier frequency under investigation. </w:t>
      </w:r>
    </w:p>
    <w:p>
      <w:pPr>
        <w:pStyle w:val="Normal"/>
        <w:rPr/>
      </w:pPr>
      <w:r>
        <w:rPr/>
        <w:t>Thus the ER-GSM blocker level Pin,max at the victim BTS receiver should be at most:</w:t>
      </w:r>
    </w:p>
    <w:p>
      <w:pPr>
        <w:pStyle w:val="B1"/>
        <w:rPr/>
      </w:pPr>
      <w:r>
        <w:rPr/>
        <w:t>-</w:t>
        <w:tab/>
        <w:t>Pin,max = -28.4 dBm + (f-918.2)*6 dB in case of coexistence with legacy GSM BTS</w:t>
      </w:r>
    </w:p>
    <w:p>
      <w:pPr>
        <w:pStyle w:val="B1"/>
        <w:rPr/>
      </w:pPr>
      <w:r>
        <w:rPr/>
        <w:t>-</w:t>
        <w:tab/>
        <w:t>Pin,max = -40.4 dBm + (f-918.2)*6 dB in case of coexistence with GSM MCBTS</w:t>
      </w:r>
    </w:p>
    <w:p>
      <w:pPr>
        <w:pStyle w:val="Normal"/>
        <w:rPr/>
      </w:pPr>
      <w:r>
        <w:rPr/>
        <w:t xml:space="preserve">The calculation rule related to MCBTS as victim requiring a higher receiver protection is selected for coexistence with public GSM systems.   </w:t>
      </w:r>
    </w:p>
    <w:p>
      <w:pPr>
        <w:pStyle w:val="Normal"/>
        <w:rPr/>
      </w:pPr>
      <w:r>
        <w:rPr/>
        <w:t xml:space="preserve">It has been agreed in 3GPP TSG GERAN to specify for unccordinated operation between public mobile and GSM railway networks the maximum output power level at the agreessor side (ER-GSM) rather than the maximum allowed interferer level at victim BS receiver side. </w:t>
      </w:r>
    </w:p>
    <w:p>
      <w:pPr>
        <w:pStyle w:val="Normal"/>
        <w:rPr/>
      </w:pPr>
      <w:r>
        <w:rPr/>
        <w:t xml:space="preserve">Taking into account the assumed MCL=67 dB for uncoordinated network operation, see clause ZD.2.2.1, the maximum output power Pout,max of the ER-GSM BTS per GSM carrier for uncoordinated networks with GSM BTS as victim receiver will be : </w:t>
      </w:r>
    </w:p>
    <w:p>
      <w:pPr>
        <w:pStyle w:val="B1"/>
        <w:rPr/>
      </w:pPr>
      <w:r>
        <w:rPr/>
        <w:t>-</w:t>
        <w:tab/>
        <w:t>Pout,max = -40.4 dBm + 67 dB + (f-918.2)*6 dB =  26.6 dBm + (f-918.2)*6 dB</w:t>
      </w:r>
    </w:p>
    <w:p>
      <w:pPr>
        <w:pStyle w:val="Normal"/>
        <w:rPr/>
      </w:pPr>
      <w:r>
        <w:rPr/>
        <w:t xml:space="preserve">with f being the DL frequency between 918.2 … </w:t>
      </w:r>
      <w:r>
        <w:rPr>
          <w:lang w:val="pt-BR"/>
        </w:rPr>
        <w:t>921.0 MHz.</w:t>
      </w:r>
    </w:p>
    <w:p>
      <w:pPr>
        <w:pStyle w:val="Heading2"/>
        <w:rPr/>
      </w:pPr>
      <w:bookmarkStart w:id="901" w:name="__RefHeading___Toc518036234"/>
      <w:r>
        <w:rPr>
          <w:lang w:val="pt-BR"/>
        </w:rPr>
        <w:t>ZD.4.</w:t>
      </w:r>
      <w:r>
        <w:rPr>
          <w:lang w:val="pt-BR" w:eastAsia="zh-CN"/>
        </w:rPr>
        <w:t>2</w:t>
      </w:r>
      <w:r>
        <w:rPr>
          <w:lang w:val="pt-BR"/>
        </w:rPr>
        <w:tab/>
        <w:t>UTRA/E-UTRA BS as victim receiver</w:t>
      </w:r>
      <w:bookmarkEnd w:id="901"/>
      <w:r>
        <w:rPr>
          <w:lang w:val="pt-BR"/>
        </w:rPr>
        <w:t xml:space="preserve"> </w:t>
      </w:r>
    </w:p>
    <w:p>
      <w:pPr>
        <w:pStyle w:val="Normal"/>
        <w:rPr/>
      </w:pPr>
      <w:r>
        <w:rPr/>
        <w:t xml:space="preserve">As for GSM victim BTS, victim UTRA/E-UTRA BS receiver in the ER-GSM frequency range 918 to 921 MHz has got additional protection according to the blocker rejection model in clause ZD 2.2.2. Hence the maximum blocker level at victim UTRA/E-UTRA base station as depicted in clause ZD 3.2 for a blocker at 918.2 MHz can be increased by the additional rejection provided for the ER-GSM carrier frequency under investigation. </w:t>
      </w:r>
    </w:p>
    <w:p>
      <w:pPr>
        <w:pStyle w:val="Normal"/>
        <w:rPr/>
      </w:pPr>
      <w:r>
        <w:rPr/>
        <w:t>Thus the ER-GSM blocker level Pin,max at the victim BS receiver should be at most:</w:t>
      </w:r>
    </w:p>
    <w:p>
      <w:pPr>
        <w:pStyle w:val="B1"/>
        <w:rPr/>
      </w:pPr>
      <w:r>
        <w:rPr/>
        <w:t>-</w:t>
        <w:tab/>
        <w:t>Pin,max = -58.7 dBm + (f-918.2)*11 dB in case of coexistence with UTRA or E-UTRA BS</w:t>
      </w:r>
    </w:p>
    <w:p>
      <w:pPr>
        <w:pStyle w:val="Normal"/>
        <w:rPr/>
      </w:pPr>
      <w:r>
        <w:rPr/>
        <w:t xml:space="preserve">It has been agreed in 3GPP TSG GERAN to specify for unccordinated operation between public mobile and GSM railway networks the maximum output power level at the agreessor side (ER-GSM) rather than the maximum allowed interferer level at victim BS receiver side. </w:t>
      </w:r>
    </w:p>
    <w:p>
      <w:pPr>
        <w:pStyle w:val="Normal"/>
        <w:rPr/>
      </w:pPr>
      <w:r>
        <w:rPr/>
        <w:t xml:space="preserve">Taking into account the assumed MCL=67 dB for uncoordinated network operation, see clause ZD.2.2.1, the maximum output power Pout,max of the ER-GSM BTS per GSM carrier for uncoordinated networks with GSM BTS as victim receiver will be : </w:t>
      </w:r>
    </w:p>
    <w:p>
      <w:pPr>
        <w:pStyle w:val="B1"/>
        <w:rPr/>
      </w:pPr>
      <w:r>
        <w:rPr/>
        <w:t>-</w:t>
        <w:tab/>
        <w:t>Pout,max = -58.7 dBm + 67 dB + (f-918.2)*11 dB =  8.3 dBm + (f-918.2)*11 dB</w:t>
      </w:r>
    </w:p>
    <w:p>
      <w:pPr>
        <w:pStyle w:val="Normal"/>
        <w:rPr/>
      </w:pPr>
      <w:r>
        <w:rPr/>
        <w:t>with f being the DL frequency between 918.2 … 921.0 MHz.</w:t>
      </w:r>
    </w:p>
    <w:p>
      <w:pPr>
        <w:pStyle w:val="Heading1"/>
        <w:ind w:left="1134" w:hanging="1134"/>
        <w:rPr/>
      </w:pPr>
      <w:bookmarkStart w:id="902" w:name="__RefHeading___Toc518036235"/>
      <w:bookmarkEnd w:id="902"/>
      <w:r>
        <w:rPr/>
        <w:t>ZD.5</w:t>
        <w:tab/>
        <w:t>Specified requirement based on co-existence analysis</w:t>
      </w:r>
    </w:p>
    <w:p>
      <w:pPr>
        <w:pStyle w:val="Normal"/>
        <w:rPr/>
      </w:pPr>
      <w:r>
        <w:rPr/>
        <w:t xml:space="preserve">From the evaluations in the present annex, it appears some specific RF requirements are needed to ensure co-existence of ER-GSM and other 3GPP systems deployed in E-GSM band. In particular the BTS transmitter maximum rated output power per carrier shall be subject to regulatory coordination to avoid uncoordinated system impacts based on the case of uncoordinated or coordinated deployment in the same geographical area with other systems in the E-GSM band as given in the present annex. </w:t>
      </w:r>
    </w:p>
    <w:p>
      <w:pPr>
        <w:pStyle w:val="Heading2"/>
        <w:rPr/>
      </w:pPr>
      <w:bookmarkStart w:id="903" w:name="__RefHeading___Toc518036236"/>
      <w:bookmarkEnd w:id="903"/>
      <w:r>
        <w:rPr/>
        <w:t>ZD.5.1 Uncoordinated deployment</w:t>
      </w:r>
    </w:p>
    <w:p>
      <w:pPr>
        <w:pStyle w:val="Normal"/>
        <w:rPr/>
      </w:pPr>
      <w:r>
        <w:rPr/>
        <w:t>In case of uncoordinated deployment with other systems in the E-GSM band, in order to prevent blocking, the BTS transmitter maximum rated output power per carrier, measured at the input of the transmitter combiner, in the frequency range 918-921 MHz shall be at most:</w:t>
      </w:r>
    </w:p>
    <w:p>
      <w:pPr>
        <w:pStyle w:val="B1"/>
        <w:rPr/>
      </w:pPr>
      <w:r>
        <w:rPr/>
        <w:t>-</w:t>
        <w:tab/>
        <w:t>-40.4 dBm + MCL + (f-918.2)*6 dB in case of coexistence with GSM BTS</w:t>
      </w:r>
    </w:p>
    <w:p>
      <w:pPr>
        <w:pStyle w:val="B1"/>
        <w:rPr/>
      </w:pPr>
      <w:r>
        <w:rPr/>
        <w:t>-</w:t>
        <w:tab/>
        <w:t>-58.7 dBm + MCL + (f-918.2)*11 dB in case of coexistence with UTRA and E-UTRA BS</w:t>
      </w:r>
    </w:p>
    <w:p>
      <w:pPr>
        <w:pStyle w:val="Normal"/>
        <w:rPr/>
      </w:pPr>
      <w:r>
        <w:rPr/>
        <w:t>where f = DL frequency in MHz, 918.2 ≤ f ≤ 921.0 and MCL=67dB.</w:t>
      </w:r>
    </w:p>
    <w:p>
      <w:pPr>
        <w:pStyle w:val="NO"/>
        <w:rPr/>
      </w:pPr>
      <w:r>
        <w:rPr/>
        <w:t>NOTE:</w:t>
        <w:tab/>
        <w:t>While specified desensitization criteria for blocking and intermodulation interferers are 3 dB for GSM BTS and 6 dB for UTRA and E-UTRA BS, feasibility study on ER-GSM introduction considered desensitization of impacted systems of 0.8 dB. This is because emissions of ER-GSM BTS in the DL band 918-921 MHz are likely to be more continuous.</w:t>
      </w:r>
    </w:p>
    <w:p>
      <w:pPr>
        <w:pStyle w:val="FP"/>
        <w:rPr/>
      </w:pPr>
      <w:r>
        <w:rPr/>
      </w:r>
    </w:p>
    <w:p>
      <w:pPr>
        <w:pStyle w:val="Heading2"/>
        <w:rPr>
          <w:lang w:val="en-US"/>
        </w:rPr>
      </w:pPr>
      <w:bookmarkStart w:id="904" w:name="__RefHeading___Toc518036237"/>
      <w:bookmarkEnd w:id="904"/>
      <w:r>
        <w:rPr/>
        <w:t>ZD.5.</w:t>
      </w:r>
      <w:r>
        <w:rPr>
          <w:lang w:val="en-US"/>
        </w:rPr>
        <w:t>2</w:t>
      </w:r>
      <w:r>
        <w:rPr/>
        <w:t xml:space="preserve"> </w:t>
      </w:r>
      <w:r>
        <w:rPr>
          <w:lang w:val="en-US"/>
        </w:rPr>
        <w:t>C</w:t>
      </w:r>
      <w:r>
        <w:rPr/>
        <w:t>oordinated deployment</w:t>
      </w:r>
    </w:p>
    <w:p>
      <w:pPr>
        <w:pStyle w:val="FP"/>
        <w:rPr/>
      </w:pPr>
      <w:r>
        <w:rPr/>
        <w:t>In case of uncoordinated deployment with other systems in the E-GSM band, MCL higher than 67 dB can be taken into account to allow higher output power from an ER-GSM BTS transmitting in 918-921 MHz.</w:t>
      </w:r>
    </w:p>
    <w:p>
      <w:pPr>
        <w:pStyle w:val="Heading1"/>
        <w:ind w:left="1134" w:hanging="1134"/>
        <w:rPr/>
      </w:pPr>
      <w:bookmarkStart w:id="905" w:name="__RefHeading___Toc518036238"/>
      <w:bookmarkEnd w:id="905"/>
      <w:r>
        <w:rPr/>
        <w:t>ZD.6</w:t>
        <w:tab/>
        <w:t>References</w:t>
      </w:r>
    </w:p>
    <w:p>
      <w:pPr>
        <w:pStyle w:val="EX"/>
        <w:rPr/>
      </w:pPr>
      <w:r>
        <w:rPr/>
        <w:t>[1]</w:t>
        <w:tab/>
        <w:t>GP-111468, "New WI proposal: Introduction of ER-GSM band", source BMWi, Huawei Technologies (UK), Kapsch CarrierCom France S.A.S, Nokia Siemens Networks, Sagemcom SAS. TSG GERAN Meeting #51.</w:t>
      </w:r>
    </w:p>
    <w:p>
      <w:pPr>
        <w:pStyle w:val="EX"/>
        <w:rPr/>
      </w:pPr>
      <w:r>
        <w:rPr/>
        <w:t>[2]</w:t>
        <w:tab/>
        <w:t>ECC/DEC/(04)06) amended 26 June 2009</w:t>
      </w:r>
    </w:p>
    <w:p>
      <w:pPr>
        <w:pStyle w:val="EX"/>
        <w:rPr/>
      </w:pPr>
      <w:r>
        <w:rPr/>
        <w:t>[3]</w:t>
        <w:tab/>
        <w:t>GP-130098, "Elements for assessing impact of ER-GSM systems introduction"</w:t>
      </w:r>
    </w:p>
    <w:p>
      <w:pPr>
        <w:pStyle w:val="EX"/>
        <w:rPr/>
      </w:pPr>
      <w:r>
        <w:rPr/>
        <w:t>[4]</w:t>
        <w:tab/>
        <w:t>3GPP TS 45.005</w:t>
      </w:r>
    </w:p>
    <w:p>
      <w:pPr>
        <w:pStyle w:val="EX"/>
        <w:rPr/>
      </w:pPr>
      <w:r>
        <w:rPr/>
        <w:t>[5]</w:t>
        <w:tab/>
        <w:t>3GPP TR 25.942</w:t>
      </w:r>
    </w:p>
    <w:p>
      <w:pPr>
        <w:pStyle w:val="EX"/>
        <w:rPr/>
      </w:pPr>
      <w:r>
        <w:rPr/>
        <w:t>[6]</w:t>
        <w:tab/>
        <w:t>3GPP TS 25.104</w:t>
      </w:r>
    </w:p>
    <w:p>
      <w:pPr>
        <w:pStyle w:val="EX"/>
        <w:rPr/>
      </w:pPr>
      <w:r>
        <w:rPr/>
        <w:t>[7]</w:t>
        <w:tab/>
        <w:t>3GPP TS 36.104</w:t>
      </w:r>
    </w:p>
    <w:p>
      <w:pPr>
        <w:pStyle w:val="EX"/>
        <w:rPr/>
      </w:pPr>
      <w:r>
        <w:rPr/>
        <w:t>[8]</w:t>
        <w:tab/>
        <w:t>GP-130090, "Response to LS on UTRA / E-UTRA parameters for ER-GSM study", source TSG RAN WG4</w:t>
      </w:r>
    </w:p>
    <w:p>
      <w:pPr>
        <w:pStyle w:val="EX"/>
        <w:rPr/>
      </w:pPr>
      <w:r>
        <w:rPr/>
        <w:t>[9]</w:t>
        <w:tab/>
        <w:t>ECC Report 162: PRACTICAL MECHANISM TO IMPROVE THE COMPATIBILITY BETWEEN GSM-R AND PUBLIC MOBILE NETWORKS AND GUIDANCE ON PRACTICAL COORDINATION. Montegrotto Terme, May 2011</w:t>
      </w:r>
    </w:p>
    <w:p>
      <w:pPr>
        <w:pStyle w:val="FP"/>
        <w:rPr/>
      </w:pPr>
      <w:r>
        <w:rPr/>
      </w:r>
      <w:r>
        <w:br w:type="page"/>
      </w:r>
    </w:p>
    <w:p>
      <w:pPr>
        <w:pStyle w:val="Heading9"/>
        <w:rPr>
          <w:lang w:val="en-US"/>
        </w:rPr>
      </w:pPr>
      <w:bookmarkStart w:id="906" w:name="__RefHeading___Toc518036239"/>
      <w:bookmarkEnd w:id="906"/>
      <w:r>
        <w:rPr>
          <w:lang w:eastAsia="zh-CN"/>
        </w:rPr>
        <w:t>A</w:t>
      </w:r>
      <w:r>
        <w:rPr/>
        <w:t>nnex ZE:</w:t>
      </w:r>
      <w:r>
        <w:rPr>
          <w:lang w:eastAsia="zh-CN"/>
        </w:rPr>
        <w:br/>
      </w:r>
      <w:r>
        <w:rPr/>
        <w:t>Extended TSC Sets</w:t>
      </w:r>
    </w:p>
    <w:p>
      <w:pPr>
        <w:pStyle w:val="Normal"/>
        <w:rPr/>
      </w:pPr>
      <w:r>
        <w:rPr/>
        <w:t>This Annex contains a collection of documents related to Extended TSC Sets.</w:t>
      </w:r>
    </w:p>
    <w:p>
      <w:pPr>
        <w:pStyle w:val="Heading1"/>
        <w:ind w:left="1134" w:hanging="1134"/>
        <w:rPr/>
      </w:pPr>
      <w:bookmarkStart w:id="907" w:name="__RefHeading___Toc518036240"/>
      <w:bookmarkEnd w:id="907"/>
      <w:r>
        <w:rPr/>
        <w:t>ZE.1</w:t>
        <w:tab/>
        <w:t>Extended TSC Sets Design</w:t>
      </w:r>
    </w:p>
    <w:p>
      <w:pPr>
        <w:pStyle w:val="Normal"/>
        <w:rPr>
          <w:lang w:val="en-US"/>
        </w:rPr>
      </w:pPr>
      <w:r>
        <w:rPr>
          <w:lang w:val="en-US"/>
        </w:rPr>
        <w:t>3GPP TSG GERAN WG1 #63</w:t>
      </w:r>
    </w:p>
    <w:p>
      <w:pPr>
        <w:pStyle w:val="Normal"/>
        <w:rPr>
          <w:lang w:val="en-US"/>
        </w:rPr>
      </w:pPr>
      <w:r>
        <w:rPr>
          <w:lang w:val="en-US"/>
        </w:rPr>
        <w:t>GP-140646 (with corrected GMSK set 3 sequence 7)</w:t>
      </w:r>
    </w:p>
    <w:p>
      <w:pPr>
        <w:pStyle w:val="Normal"/>
        <w:rPr>
          <w:lang w:val="sv-SE"/>
        </w:rPr>
      </w:pPr>
      <w:r>
        <w:rPr>
          <w:lang w:val="sv-SE"/>
        </w:rPr>
        <w:t>Ljubljana, Slovenia,</w:t>
        <w:tab/>
        <w:t>Agenda item 7.2.6.2</w:t>
      </w:r>
    </w:p>
    <w:p>
      <w:pPr>
        <w:pStyle w:val="Normal"/>
        <w:rPr/>
      </w:pPr>
      <w:r>
        <w:rPr/>
        <w:t>26 - 29 August 2014</w:t>
      </w:r>
    </w:p>
    <w:p>
      <w:pPr>
        <w:pStyle w:val="Normal"/>
        <w:rPr/>
      </w:pPr>
      <w:r>
        <w:rPr/>
        <w:t>Source: Ericsson</w:t>
      </w:r>
    </w:p>
    <w:p>
      <w:pPr>
        <w:pStyle w:val="Normal"/>
        <w:rPr>
          <w:b/>
          <w:b/>
          <w:color w:val="000000"/>
          <w:lang w:eastAsia="fr-FR"/>
        </w:rPr>
      </w:pPr>
      <w:bookmarkStart w:id="908" w:name="_Ref206493657"/>
      <w:r>
        <w:rPr>
          <w:b/>
        </w:rPr>
        <w:t xml:space="preserve">Title: </w:t>
      </w:r>
      <w:r>
        <w:rPr>
          <w:b/>
          <w:color w:val="000000"/>
          <w:lang w:eastAsia="fr-FR"/>
        </w:rPr>
        <w:t>Training Sequence Design for NewToN</w:t>
      </w:r>
    </w:p>
    <w:p>
      <w:pPr>
        <w:pStyle w:val="Heading2"/>
        <w:rPr/>
      </w:pPr>
      <w:bookmarkStart w:id="909" w:name="_Ref206493657"/>
      <w:bookmarkStart w:id="910" w:name="__RefHeading___Toc518036241"/>
      <w:bookmarkEnd w:id="910"/>
      <w:r>
        <w:rPr/>
        <w:t>ZE.1.1</w:t>
        <w:tab/>
        <w:t>Introduction</w:t>
      </w:r>
      <w:bookmarkEnd w:id="909"/>
    </w:p>
    <w:p>
      <w:pPr>
        <w:pStyle w:val="Normal"/>
        <w:rPr/>
      </w:pPr>
      <w:r>
        <w:rPr/>
        <w:t xml:space="preserve">In this Subclause, a Training Sequence Code (TSC) set for NewToN is proposed. </w:t>
      </w:r>
    </w:p>
    <w:p>
      <w:pPr>
        <w:pStyle w:val="Normal"/>
        <w:rPr/>
      </w:pPr>
      <w:r>
        <w:rPr/>
        <w:t xml:space="preserve">In Subclause ZE.1.2, a method for designing training sequences is described. </w:t>
      </w:r>
    </w:p>
    <w:p>
      <w:pPr>
        <w:pStyle w:val="Normal"/>
        <w:rPr/>
      </w:pPr>
      <w:r>
        <w:rPr/>
        <w:t>In Subclause ZE.1.3, the proposed TSC set from Ericsson is presented.</w:t>
      </w:r>
    </w:p>
    <w:p>
      <w:pPr>
        <w:pStyle w:val="Heading2"/>
        <w:rPr/>
      </w:pPr>
      <w:bookmarkStart w:id="911" w:name="__RefHeading___Toc518036242"/>
      <w:bookmarkStart w:id="912" w:name="_Ref161065940"/>
      <w:bookmarkEnd w:id="911"/>
      <w:r>
        <w:rPr/>
        <w:t>ZE.1.2</w:t>
        <w:tab/>
        <w:t>Training Sequence Design</w:t>
      </w:r>
      <w:bookmarkEnd w:id="912"/>
    </w:p>
    <w:p>
      <w:pPr>
        <w:pStyle w:val="Normal"/>
        <w:rPr/>
      </w:pPr>
      <w:r>
        <w:rPr/>
        <w:t xml:space="preserve">The training sequence set candidate presented in this contribution has been found using the search based method described in this section. </w:t>
      </w:r>
    </w:p>
    <w:p>
      <w:pPr>
        <w:pStyle w:val="Normal"/>
        <w:rPr/>
      </w:pPr>
      <w:r>
        <w:rPr/>
        <w:t xml:space="preserve">Consider candidate training sequences,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oMath>
      <w:r>
        <w:rPr/>
        <w:t>, of length N</w:t>
      </w:r>
    </w:p>
    <w:p>
      <w:pPr>
        <w:pStyle w:val="EQ"/>
        <w:jc w:val="center"/>
        <w:rPr/>
      </w:pP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0</m:t>
                  </m:r>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e>
              </m:mr>
              <m:mr>
                <m:e>
                  <m:r>
                    <w:rPr>
                      <w:rFonts w:ascii="Cambria Math" w:hAnsi="Cambria Math"/>
                    </w:rPr>
                    <m:t xml:space="preserve">0</m:t>
                  </m:r>
                  <m:r>
                    <w:rPr>
                      <w:rFonts w:ascii="Cambria Math" w:hAnsi="Cambria Math"/>
                    </w:rPr>
                    <m:t xml:space="preserve">,</m:t>
                  </m:r>
                  <m:r>
                    <m:t xml:space="preserve"> </m:t>
                  </m:r>
                  <m:r>
                    <m:rPr>
                      <m:lit/>
                      <m:nor/>
                    </m:rPr>
                    <w:rPr>
                      <w:rFonts w:ascii="Cambria Math" w:hAnsi="Cambria Math"/>
                    </w:rPr>
                    <m:t xml:space="preserve">otherwise</m:t>
                  </m:r>
                </m:e>
              </m:mr>
            </m:m>
          </m:e>
        </m:d>
      </m:oMath>
      <w:r>
        <w:rPr/>
        <w:tab/>
        <w:t>(1)</w:t>
      </w:r>
    </w:p>
    <w:p>
      <w:pPr>
        <w:pStyle w:val="Normal"/>
        <w:rPr/>
      </w:pPr>
      <w:r>
        <w:rPr/>
        <w:t xml:space="preserve">and already decided training sequences, i.e. legacy training sequences and possibly already decided NewToN sequences,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oMath>
      <w:r>
        <w:rPr/>
        <w:t>, of length N</w:t>
      </w:r>
    </w:p>
    <w:p>
      <w:pPr>
        <w:pStyle w:val="EQ"/>
        <w:jc w:val="center"/>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0</m:t>
                  </m:r>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e>
              </m:mr>
              <m:mr>
                <m:e>
                  <m:r>
                    <w:rPr>
                      <w:rFonts w:ascii="Cambria Math" w:hAnsi="Cambria Math"/>
                    </w:rPr>
                    <m:t xml:space="preserve">0</m:t>
                  </m:r>
                  <m:r>
                    <w:rPr>
                      <w:rFonts w:ascii="Cambria Math" w:hAnsi="Cambria Math"/>
                    </w:rPr>
                    <m:t xml:space="preserve">,</m:t>
                  </m:r>
                  <m:r>
                    <m:t xml:space="preserve"> </m:t>
                  </m:r>
                  <m:r>
                    <m:rPr>
                      <m:lit/>
                      <m:nor/>
                    </m:rPr>
                    <w:rPr>
                      <w:rFonts w:ascii="Cambria Math" w:hAnsi="Cambria Math"/>
                    </w:rPr>
                    <m:t xml:space="preserve">otherwise</m:t>
                  </m:r>
                </m:e>
              </m:mr>
            </m:m>
          </m:e>
        </m:d>
      </m:oMath>
      <w:r>
        <w:rPr/>
        <w:t>.</w:t>
        <w:tab/>
        <w:t>(2)</w:t>
      </w:r>
    </w:p>
    <w:p>
      <w:pPr>
        <w:pStyle w:val="Normal"/>
        <w:rPr/>
      </w:pPr>
      <w:r>
        <w:rPr/>
        <w:t xml:space="preserve">Let </w:t>
      </w:r>
      <w:r>
        <w:rPr/>
      </w:r>
      <m:oMath xmlns:m="http://schemas.openxmlformats.org/officeDocument/2006/math">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p>
          <m:e>
            <m:r>
              <w:rPr>
                <w:rFonts w:ascii="Cambria Math" w:hAnsi="Cambria Math"/>
              </w:rPr>
              <m:t xml:space="preserve">x</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denote the rotated sequences. The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:s are rotated according to desired modulation and the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oMath>
      <w:r>
        <w:rPr/>
        <w:t>:s are rotated according to the modulation the sequence is defined for. Legacy sequences are rotated for all modulations, i.e. 16 GMSK + 8 8PSK + 8 16QAM + 8 32QAM = 40 rotated sequences. Also the GMSK dummy burst and possibly already decided NewToN sequences are rotated according to the modulation used.</w:t>
      </w:r>
    </w:p>
    <w:p>
      <w:pPr>
        <w:pStyle w:val="Heading3"/>
        <w:rPr/>
      </w:pPr>
      <w:bookmarkStart w:id="913" w:name="__RefHeading___Toc518036243"/>
      <w:bookmarkEnd w:id="913"/>
      <w:r>
        <w:rPr/>
        <w:t>ZE.1.2.1</w:t>
        <w:tab/>
        <w:t>Initial Search</w:t>
      </w:r>
    </w:p>
    <w:p>
      <w:pPr>
        <w:pStyle w:val="Normal"/>
        <w:rPr/>
      </w:pPr>
      <w:r>
        <w:rPr/>
        <w:t xml:space="preserve">Let </w:t>
      </w: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s</m:t>
        </m:r>
        <m:r>
          <w:rPr>
            <w:rFonts w:ascii="Cambria Math" w:hAnsi="Cambria Math"/>
          </w:rPr>
          <m:t xml:space="preserve">)</m:t>
        </m:r>
      </m:oMath>
      <w:r>
        <w:rPr/>
        <w:t xml:space="preserve"> denote cross correlation,</w:t>
      </w:r>
    </w:p>
    <w:p>
      <w:pPr>
        <w:pStyle w:val="EQ"/>
        <w:keepLines w:val="false"/>
        <w:jc w:val="center"/>
        <w:rPr/>
      </w:pP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limLow>
          <m:e>
            <m:r>
              <m:rPr>
                <m:lit/>
                <m:nor/>
              </m:rPr>
              <w:rPr>
                <w:rFonts w:ascii="Cambria Math" w:hAnsi="Cambria Math"/>
              </w:rPr>
              <m:t xml:space="preserve">max</m:t>
            </m:r>
          </m:e>
          <m:lim>
            <m:d>
              <m:dPr>
                <m:begChr m:val="{"/>
                <m:endChr m:val=""/>
              </m:dPr>
              <m:e>
                <m:m>
                  <m:mr>
                    <m:e>
                      <m:r>
                        <w:rPr>
                          <w:rFonts w:ascii="Cambria Math" w:hAnsi="Cambria Math"/>
                        </w:rPr>
                        <m:t xml:space="preserve">k</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K</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K</m:t>
                          </m:r>
                        </m:e>
                      </m:d>
                    </m:e>
                  </m:mr>
                  <m:mr>
                    <m:e>
                      <m:sSup>
                        <m:e>
                          <m:r>
                            <w:rPr>
                              <w:rFonts w:ascii="Cambria Math" w:hAnsi="Cambria Math"/>
                            </w:rPr>
                            <m:t xml:space="preserve">x</m:t>
                          </m:r>
                        </m:e>
                        <m:sup>
                          <m:r>
                            <w:rPr>
                              <w:rFonts w:ascii="Cambria Math" w:hAnsi="Cambria Math"/>
                            </w:rPr>
                            <m:t xml:space="preserve">'</m:t>
                          </m:r>
                        </m:sup>
                      </m:sSup>
                      <m:r>
                        <w:rPr>
                          <w:rFonts w:ascii="Cambria Math" w:hAnsi="Cambria Math"/>
                        </w:rPr>
                        <m:t xml:space="preserve">∈</m:t>
                      </m:r>
                      <m:r>
                        <w:rPr>
                          <w:rFonts w:ascii="Cambria Math" w:hAnsi="Cambria Math"/>
                        </w:rPr>
                        <m:t xml:space="preserve">X</m:t>
                      </m:r>
                    </m:e>
                  </m:mr>
                </m:m>
              </m:e>
            </m:d>
          </m:lim>
        </m:limLow>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sub>
              <m:sup>
                <m:r>
                  <w:rPr>
                    <w:rFonts w:ascii="Cambria Math" w:hAnsi="Cambria Math"/>
                  </w:rPr>
                  <m:t xml:space="preserve">∞</m:t>
                </m:r>
              </m:sup>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sSup>
                  <m:e>
                    <m:r>
                      <w:rPr>
                        <w:rFonts w:ascii="Cambria Math" w:hAnsi="Cambria Math"/>
                      </w:rPr>
                      <m:t xml:space="preserve">x</m:t>
                    </m:r>
                  </m:e>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e>
            </m:nary>
          </m:e>
        </m:d>
      </m:oMath>
      <w:r>
        <w:rPr/>
        <w:t>,</w:t>
        <w:tab/>
        <w:t>(3)</w:t>
      </w:r>
    </w:p>
    <w:p>
      <w:pPr>
        <w:pStyle w:val="Normal"/>
        <w:rPr/>
      </w:pPr>
      <w:r>
        <w:rPr/>
        <w:t xml:space="preserve">where </w:t>
      </w:r>
    </w:p>
    <w:p>
      <w:pPr>
        <w:pStyle w:val="Normal"/>
        <w:rPr/>
      </w:pPr>
      <w:r>
        <w:rPr/>
      </w:r>
      <m:oMath xmlns:m="http://schemas.openxmlformats.org/officeDocument/2006/math">
        <m:r>
          <w:rPr>
            <w:rFonts w:ascii="Cambria Math" w:hAnsi="Cambria Math"/>
          </w:rPr>
          <m:t xml:space="preserve">K</m:t>
        </m:r>
      </m:oMath>
      <w:r>
        <w:rPr/>
        <w:t xml:space="preserve"> </w:t>
      </w:r>
      <w:r>
        <w:rPr/>
        <w:t>is a suitable maximum considered lag</w:t>
      </w:r>
    </w:p>
    <w:p>
      <w:pPr>
        <w:pStyle w:val="Normal"/>
        <w:rPr/>
      </w:pPr>
      <w:r>
        <w:rPr/>
      </w:r>
      <m:oMath xmlns:m="http://schemas.openxmlformats.org/officeDocument/2006/math">
        <m:r>
          <w:rPr>
            <w:rFonts w:ascii="Cambria Math" w:hAnsi="Cambria Math"/>
          </w:rPr>
          <m:t xml:space="preserve">X</m:t>
        </m:r>
      </m:oMath>
      <w:r>
        <w:rPr/>
        <w:t xml:space="preserve"> </w:t>
      </w:r>
      <w:r>
        <w:rPr/>
        <w:t xml:space="preserve">is a suitable subset of all known </w:t>
      </w:r>
      <w:r>
        <w:rPr/>
      </w:r>
      <m:oMath xmlns:m="http://schemas.openxmlformats.org/officeDocument/2006/math">
        <m:sSup>
          <m:e>
            <m:r>
              <w:rPr>
                <w:rFonts w:ascii="Cambria Math" w:hAnsi="Cambria Math"/>
              </w:rPr>
              <m:t xml:space="preserve">x</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p>
    <w:p>
      <w:pPr>
        <w:pStyle w:val="Normal"/>
        <w:rPr/>
      </w:pPr>
      <w:r>
        <w:rPr/>
      </w:r>
      <m:oMath xmlns:m="http://schemas.openxmlformats.org/officeDocument/2006/math">
        <m:r>
          <w:rPr>
            <w:rFonts w:ascii="Cambria Math" w:hAnsi="Cambria Math"/>
          </w:rPr>
          <m:t xml:space="preserve">(</m:t>
        </m:r>
        <m:r>
          <m:rPr>
            <m:lit/>
            <m:nor/>
          </m:rPr>
          <w:rPr>
            <w:rFonts w:ascii="Cambria Math" w:hAnsi="Cambria Math"/>
          </w:rPr>
          <m:t xml:space="preserve">.</m:t>
        </m:r>
        <m:sSup>
          <m:e>
            <m:r>
              <w:rPr>
                <w:rFonts w:ascii="Cambria Math" w:hAnsi="Cambria Math"/>
              </w:rPr>
              <m:t xml:space="preserve">)</m:t>
            </m:r>
          </m:e>
          <m:sup/>
        </m:sSup>
      </m:oMath>
      <w:r>
        <w:rPr/>
        <w:t xml:space="preserve"> </w:t>
      </w:r>
      <w:r>
        <w:rPr/>
        <w:t>denotes complex conjugate</w:t>
      </w:r>
    </w:p>
    <w:p>
      <w:pPr>
        <w:pStyle w:val="Normal"/>
        <w:rPr/>
      </w:pPr>
      <w:r>
        <w:rPr/>
        <w:t>An exhaustive search through all possible training sequences was performed and N</w:t>
      </w:r>
      <w:r>
        <w:rPr>
          <w:vertAlign w:val="subscript"/>
        </w:rPr>
        <w:t>L</w:t>
      </w:r>
      <w:r>
        <w:rPr/>
        <w:t xml:space="preserve">, a large number, sequences with the lowest </w:t>
      </w: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s</m:t>
        </m:r>
        <m:r>
          <w:rPr>
            <w:rFonts w:ascii="Cambria Math" w:hAnsi="Cambria Math"/>
          </w:rPr>
          <m:t xml:space="preserve">)</m:t>
        </m:r>
      </m:oMath>
      <w:r>
        <w:rPr/>
        <w:t xml:space="preserve">, were selected using a suitably small value for </w:t>
      </w:r>
      <w:r>
        <w:rPr/>
      </w:r>
      <m:oMath xmlns:m="http://schemas.openxmlformats.org/officeDocument/2006/math">
        <m:r>
          <w:rPr>
            <w:rFonts w:ascii="Cambria Math" w:hAnsi="Cambria Math"/>
          </w:rPr>
          <m:t xml:space="preserve">K</m:t>
        </m:r>
      </m:oMath>
      <w:r>
        <w:rPr/>
        <w:t>.</w:t>
      </w:r>
    </w:p>
    <w:p>
      <w:pPr>
        <w:pStyle w:val="Normal"/>
        <w:rPr/>
      </w:pPr>
      <w:r>
        <w:rPr/>
        <w:t>Also, any candidate sequence not fulfilling the following three requirements where disqualified from the search.</w:t>
      </w:r>
    </w:p>
    <w:p>
      <w:pPr>
        <w:pStyle w:val="B1"/>
        <w:rPr/>
      </w:pPr>
      <w:r>
        <w:rPr/>
        <w:t>-</w:t>
        <w:tab/>
        <w:t xml:space="preserve">Autocorrelation,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s</m:t>
        </m:r>
        <m:r>
          <w:rPr>
            <w:rFonts w:ascii="Cambria Math" w:hAnsi="Cambria Math"/>
          </w:rPr>
          <m:t xml:space="preserve">)</m:t>
        </m:r>
      </m:oMath>
      <w:r>
        <w:rPr/>
        <w:t xml:space="preserve">, </w:t>
      </w:r>
      <w:r>
        <w:rPr/>
      </w:r>
      <m:oMath xmlns:m="http://schemas.openxmlformats.org/officeDocument/2006/math">
        <m:d>
          <m:dPr>
            <m:begChr m:val="|"/>
            <m:endChr m:val="|"/>
          </m:dPr>
          <m:e>
            <m:sSub>
              <m:e>
                <m:r>
                  <w:rPr>
                    <w:rFonts w:ascii="Cambria Math" w:hAnsi="Cambria Math"/>
                  </w:rPr>
                  <m:t xml:space="preserve">r</m:t>
                </m:r>
              </m:e>
              <m:sub>
                <m:r>
                  <w:rPr>
                    <w:rFonts w:ascii="Cambria Math" w:hAnsi="Cambria Math"/>
                  </w:rPr>
                  <m:t xml:space="preserve">s</m:t>
                </m:r>
              </m:sub>
            </m:sSub>
            <m:d>
              <m:dPr>
                <m:begChr m:val="("/>
                <m:endChr m:val=")"/>
              </m:dPr>
              <m:e>
                <m:r>
                  <w:rPr>
                    <w:rFonts w:ascii="Cambria Math" w:hAnsi="Cambria Math"/>
                  </w:rPr>
                  <m:t xml:space="preserve">1</m:t>
                </m:r>
              </m:e>
            </m:d>
          </m:e>
        </m:d>
      </m:oMath>
      <w:r>
        <w:rPr/>
        <w:t xml:space="preserve"> and </w:t>
      </w:r>
      <w:r>
        <w:rPr/>
      </w:r>
      <m:oMath xmlns:m="http://schemas.openxmlformats.org/officeDocument/2006/math">
        <m:d>
          <m:dPr>
            <m:begChr m:val="|"/>
            <m:endChr m:val="|"/>
          </m:dPr>
          <m:e>
            <m:sSub>
              <m:e>
                <m:r>
                  <w:rPr>
                    <w:rFonts w:ascii="Cambria Math" w:hAnsi="Cambria Math"/>
                  </w:rPr>
                  <m:t xml:space="preserve">r</m:t>
                </m:r>
              </m:e>
              <m:sub>
                <m:r>
                  <w:rPr>
                    <w:rFonts w:ascii="Cambria Math" w:hAnsi="Cambria Math"/>
                  </w:rPr>
                  <m:t xml:space="preserve">s</m:t>
                </m:r>
              </m:sub>
            </m:sSub>
            <m:d>
              <m:dPr>
                <m:begChr m:val="("/>
                <m:endChr m:val=")"/>
              </m:dPr>
              <m:e>
                <m:r>
                  <w:rPr>
                    <w:rFonts w:ascii="Cambria Math" w:hAnsi="Cambria Math"/>
                  </w:rPr>
                  <m:t xml:space="preserve">2</m:t>
                </m:r>
              </m:e>
            </m:d>
          </m:e>
        </m:d>
      </m:oMath>
      <w:r>
        <w:rPr/>
        <w:t xml:space="preserve"> must be small.</w:t>
      </w:r>
    </w:p>
    <w:p>
      <w:pPr>
        <w:pStyle w:val="EQ"/>
        <w:keepLines w:val="false"/>
        <w:jc w:val="center"/>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p>
              <m:e>
                <m:d>
                  <m:dPr>
                    <m:begChr m:val="|"/>
                    <m:endChr m:val="|"/>
                  </m:dPr>
                  <m:e>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r>
                      <w:rPr>
                        <w:rFonts w:ascii="Cambria Math" w:hAnsi="Cambria Math"/>
                      </w:rPr>
                      <m:t xml:space="preserve">k</m:t>
                    </m:r>
                    <m:r>
                      <w:rPr>
                        <w:rFonts w:ascii="Cambria Math" w:hAnsi="Cambria Math"/>
                      </w:rPr>
                      <m:t xml:space="preserve">)</m:t>
                    </m:r>
                  </m:e>
                </m:d>
              </m:e>
              <m:sup>
                <m:r>
                  <w:rPr>
                    <w:rFonts w:ascii="Cambria Math" w:hAnsi="Cambria Math"/>
                  </w:rPr>
                  <m:t xml:space="preserve">2</m:t>
                </m:r>
              </m:sup>
            </m:sSup>
          </m:e>
        </m:nary>
        <m:r>
          <w:rPr>
            <w:rFonts w:ascii="Cambria Math" w:hAnsi="Cambria Math"/>
          </w:rPr>
          <m:t xml:space="preserve">,</m:t>
        </m:r>
        <m:r>
          <m:t xml:space="preserve"> </m:t>
        </m:r>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k</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sSup>
              <m:e>
                <m:r>
                  <w:rPr>
                    <w:rFonts w:ascii="Cambria Math" w:hAnsi="Cambria Math"/>
                  </w:rPr>
                  <m:t xml:space="preserve">s</m:t>
                </m:r>
              </m:e>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e>
        </m:nary>
      </m:oMath>
      <w:r>
        <w:rPr/>
        <w:t>.</w:t>
        <w:tab/>
        <w:t>(4)</w:t>
      </w:r>
    </w:p>
    <w:p>
      <w:pPr>
        <w:pStyle w:val="B1"/>
        <w:rPr/>
      </w:pPr>
      <w:r>
        <w:rPr>
          <w:rStyle w:val="B1Char"/>
        </w:rPr>
        <w:t>-</w:t>
        <w:tab/>
        <w:t>Possible Least Squares (LS) regression matrices must have a low matrix condition value (the ratio between maximum and minimum singular value).</w:t>
        <w:br/>
      </w:r>
      <w:r>
        <w:rPr>
          <w:lang w:val="en-US" w:eastAsia="en-US"/>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limLow>
          <m:e>
            <m:r>
              <m:rPr>
                <m:lit/>
                <m:nor/>
              </m:rPr>
              <w:rPr>
                <w:rFonts w:ascii="Cambria Math" w:hAnsi="Cambria Math"/>
              </w:rPr>
              <m:t xml:space="preserve">max</m:t>
            </m:r>
          </m:e>
          <m:lim>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10</m:t>
                </m:r>
              </m:e>
            </m:d>
          </m:lim>
        </m:limLow>
        <m:d>
          <m:dPr>
            <m:begChr m:val="{"/>
            <m:endChr m:val="}"/>
          </m:dPr>
          <m:e>
            <m:r>
              <m:rPr>
                <m:lit/>
                <m:nor/>
              </m:rPr>
              <w:rPr>
                <w:rFonts w:ascii="Cambria Math" w:hAnsi="Cambria Math"/>
              </w:rPr>
              <m:t xml:space="preserve">cond</m:t>
            </m:r>
            <m:r>
              <w:rPr>
                <w:rFonts w:ascii="Cambria Math" w:hAnsi="Cambria Math"/>
              </w:rPr>
              <m:t xml:space="preserve">(</m:t>
            </m:r>
            <m:sSup>
              <m:e>
                <m:r>
                  <w:rPr>
                    <w:rFonts w:ascii="Cambria Math" w:hAnsi="Cambria Math"/>
                  </w:rPr>
                  <m:t xml:space="preserve">S</m:t>
                </m:r>
              </m:e>
              <m:sup>
                <m:r>
                  <w:rPr>
                    <w:rFonts w:ascii="Cambria Math" w:hAnsi="Cambria Math"/>
                  </w:rPr>
                  <m:t xml:space="preserve">H</m:t>
                </m:r>
              </m:sup>
            </m:sSup>
            <m:r>
              <w:rPr>
                <w:rFonts w:ascii="Cambria Math" w:hAnsi="Cambria Math"/>
              </w:rPr>
              <m:t xml:space="preserve">S</m:t>
            </m:r>
            <m:r>
              <w:rPr>
                <w:rFonts w:ascii="Cambria Math" w:hAnsi="Cambria Math"/>
              </w:rPr>
              <m:t xml:space="preserve">)</m:t>
            </m:r>
          </m:e>
        </m:d>
        <m:r>
          <w:rPr>
            <w:rFonts w:ascii="Cambria Math" w:hAnsi="Cambria Math"/>
          </w:rPr>
          <m:t xml:space="preserve">,</m:t>
        </m:r>
        <m:r>
          <m:t xml:space="preserve"> </m:t>
        </m:r>
        <m:r>
          <w:rPr>
            <w:rFonts w:ascii="Cambria Math" w:hAnsi="Cambria Math"/>
          </w:rPr>
          <m:t xml:space="preserve">S</m:t>
        </m:r>
        <m:r>
          <w:rPr>
            <w:rFonts w:ascii="Cambria Math" w:hAnsi="Cambria Math"/>
          </w:rPr>
          <m:t xml:space="preserve">=</m:t>
        </m:r>
        <m:d>
          <m:dPr>
            <m:begChr m:val="["/>
            <m:endChr m:val="]"/>
          </m:dPr>
          <m:e>
            <m:m>
              <m:mr>
                <m:e>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e>
                <m:e>
                  <m:r>
                    <w:rPr>
                      <w:rFonts w:ascii="Cambria Math" w:hAnsi="Cambria Math"/>
                    </w:rPr>
                    <m:t xml:space="preserve">⋯</m:t>
                  </m:r>
                </m:e>
                <m:e>
                  <m:r>
                    <w:rPr>
                      <w:rFonts w:ascii="Cambria Math" w:hAnsi="Cambria Math"/>
                    </w:rPr>
                    <m:t xml:space="preserve">s</m:t>
                  </m:r>
                  <m:r>
                    <w:rPr>
                      <w:rFonts w:ascii="Cambria Math" w:hAnsi="Cambria Math"/>
                    </w:rPr>
                    <m:t xml:space="preserve">(</m:t>
                  </m:r>
                  <m:r>
                    <w:rPr>
                      <w:rFonts w:ascii="Cambria Math" w:hAnsi="Cambria Math"/>
                    </w:rPr>
                    <m:t xml:space="preserve">0</m:t>
                  </m:r>
                  <m:r>
                    <w:rPr>
                      <w:rFonts w:ascii="Cambria Math" w:hAnsi="Cambria Math"/>
                    </w:rPr>
                    <m:t xml:space="preserve">)</m:t>
                  </m:r>
                </m:e>
              </m:mr>
              <m:mr>
                <m:e>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e>
                <m:e>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e>
                <m:e/>
                <m:e>
                  <m:r>
                    <w:rPr>
                      <w:rFonts w:ascii="Cambria Math" w:hAnsi="Cambria Math"/>
                    </w:rPr>
                    <m:t xml:space="preserve">⋮</m:t>
                  </m:r>
                </m:e>
              </m:mr>
              <m:mr>
                <m:e>
                  <m:r>
                    <w:rPr>
                      <w:rFonts w:ascii="Cambria Math" w:hAnsi="Cambria Math"/>
                    </w:rPr>
                    <m:t xml:space="preserve">⋮</m:t>
                  </m:r>
                </m:e>
                <m:e/>
                <m:e>
                  <m:r>
                    <w:rPr>
                      <w:rFonts w:ascii="Cambria Math" w:hAnsi="Cambria Math"/>
                    </w:rPr>
                    <m:t xml:space="preserve">⋱</m:t>
                  </m:r>
                </m:e>
                <m:e>
                  <m:r>
                    <w:rPr>
                      <w:rFonts w:ascii="Cambria Math" w:hAnsi="Cambria Math"/>
                    </w:rPr>
                    <m:t xml:space="preserve">⋮</m:t>
                  </m:r>
                </m:e>
              </m:mr>
              <m:mr>
                <m:e>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e>
              </m:mr>
            </m:m>
          </m:e>
        </m:d>
      </m:oMath>
      <w:r>
        <w:rPr>
          <w:lang w:val="en-US" w:eastAsia="en-US"/>
        </w:rPr>
        <w:t>.</w:t>
        <w:tab/>
        <w:t>(5)</w:t>
        <w:br/>
      </w:r>
      <w:r>
        <w:rPr/>
        <w:t xml:space="preserve">where </w:t>
      </w:r>
      <w:r>
        <w:rPr/>
      </w:r>
      <m:oMath xmlns:m="http://schemas.openxmlformats.org/officeDocument/2006/math">
        <m:r>
          <w:rPr>
            <w:rFonts w:ascii="Cambria Math" w:hAnsi="Cambria Math"/>
          </w:rPr>
          <m:t xml:space="preserve">L</m:t>
        </m:r>
      </m:oMath>
      <w:r>
        <w:rPr/>
        <w:t xml:space="preserve"> is the channel length used in LS. A high condition value is associated with high energy leakage from an interfering signal according to the maximum channel estimation error defined in Subclause ZE.1.2.2.2.</w:t>
      </w:r>
    </w:p>
    <w:p>
      <w:pPr>
        <w:pStyle w:val="B1"/>
        <w:rPr/>
      </w:pPr>
      <w:r>
        <w:rPr/>
        <w:t>-</w:t>
        <w:tab/>
        <w:t xml:space="preserve">The cross correlation </w:t>
      </w: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s</m:t>
        </m:r>
        <m:r>
          <w:rPr>
            <w:rFonts w:ascii="Cambria Math" w:hAnsi="Cambria Math"/>
          </w:rPr>
          <m:t xml:space="preserve">)</m:t>
        </m:r>
      </m:oMath>
      <w:r>
        <w:rPr/>
        <w:t xml:space="preserve"> against all known sequences must not be high for large </w:t>
      </w:r>
      <w:r>
        <w:rPr/>
      </w:r>
      <m:oMath xmlns:m="http://schemas.openxmlformats.org/officeDocument/2006/math">
        <m:r>
          <w:rPr>
            <w:rFonts w:ascii="Cambria Math" w:hAnsi="Cambria Math"/>
          </w:rPr>
          <m:t xml:space="preserve">K</m:t>
        </m:r>
      </m:oMath>
      <w:r>
        <w:rPr/>
        <w:t xml:space="preserve">. In this case </w:t>
      </w:r>
      <w:r>
        <w:rPr/>
      </w:r>
      <m:oMath xmlns:m="http://schemas.openxmlformats.org/officeDocument/2006/math">
        <m:r>
          <w:rPr>
            <w:rFonts w:ascii="Cambria Math" w:hAnsi="Cambria Math"/>
          </w:rPr>
          <m:t xml:space="preserve">X</m:t>
        </m:r>
      </m:oMath>
      <w:r>
        <w:rPr/>
        <w:t xml:space="preserve"> is the set of all known rotated sequences, including the dummy burst and possibly already decided NewToN sequences.</w:t>
      </w:r>
    </w:p>
    <w:p>
      <w:pPr>
        <w:pStyle w:val="FP"/>
        <w:rPr/>
      </w:pPr>
      <w:r>
        <w:rPr/>
      </w:r>
    </w:p>
    <w:p>
      <w:pPr>
        <w:pStyle w:val="Heading3"/>
        <w:rPr/>
      </w:pPr>
      <w:bookmarkStart w:id="914" w:name="__RefHeading___Toc518036244"/>
      <w:bookmarkStart w:id="915" w:name="_Ref386805501"/>
      <w:bookmarkEnd w:id="914"/>
      <w:r>
        <w:rPr/>
        <w:t>ZE.1.2.2</w:t>
        <w:tab/>
        <w:t>Building the Cost Function</w:t>
      </w:r>
      <w:bookmarkEnd w:id="915"/>
    </w:p>
    <w:p>
      <w:pPr>
        <w:pStyle w:val="Heading4"/>
        <w:ind w:left="1418" w:hanging="1418"/>
        <w:rPr/>
      </w:pPr>
      <w:bookmarkStart w:id="916" w:name="__RefHeading___Toc518036245"/>
      <w:bookmarkEnd w:id="916"/>
      <w:r>
        <w:rPr/>
        <w:t>ZE.1.2.2.1</w:t>
        <w:tab/>
        <w:t>Auto Correlation Cost</w:t>
      </w:r>
    </w:p>
    <w:p>
      <w:pPr>
        <w:pStyle w:val="Normal"/>
        <w:rPr/>
      </w:pPr>
      <w:r>
        <w:rPr/>
        <w:t>A maximized and normalized SNR-degradation, Ψ(s), was calculated for each of the N</w:t>
      </w:r>
      <w:r>
        <w:rPr>
          <w:vertAlign w:val="subscript"/>
        </w:rPr>
        <w:t>L</w:t>
      </w:r>
      <w:r>
        <w:rPr/>
        <w:t xml:space="preserve"> best sequences. The normalized SNR-degradation, Ψ(s,L). The maximization and normalization is done with respect to the channel length, L.</w:t>
      </w:r>
    </w:p>
    <w:p>
      <w:pPr>
        <w:pStyle w:val="EQ"/>
        <w:rPr/>
      </w:pPr>
      <w:r>
        <w:rPr/>
      </w:r>
      <m:oMath xmlns:m="http://schemas.openxmlformats.org/officeDocument/2006/math">
        <m:eqArr>
          <m:e>
            <m:r>
              <w:rPr>
                <w:rFonts w:ascii="Cambria Math" w:hAnsi="Cambria Math"/>
              </w:rPr>
              <m:t xml:space="preserve">Ψ</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limLow>
              <m:e>
                <m:r>
                  <m:rPr>
                    <m:lit/>
                    <m:nor/>
                  </m:rPr>
                  <w:rPr>
                    <w:rFonts w:ascii="Cambria Math" w:hAnsi="Cambria Math"/>
                  </w:rPr>
                  <m:t xml:space="preserve">max</m:t>
                </m:r>
              </m:e>
              <m:lim>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10</m:t>
                    </m:r>
                  </m:e>
                </m:d>
              </m:lim>
            </m:limLow>
            <m:d>
              <m:dPr>
                <m:begChr m:val="{"/>
                <m:endChr m:val="}"/>
              </m:dPr>
              <m:e>
                <m:r>
                  <w:rPr>
                    <w:rFonts w:ascii="Cambria Math" w:hAnsi="Cambria Math"/>
                  </w:rPr>
                  <m:t xml:space="preserve">Ψ</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e>
            </m:d>
            <m:r>
              <w:rPr>
                <w:rFonts w:ascii="Cambria Math" w:hAnsi="Cambria Math"/>
              </w:rPr>
              <m:t xml:space="preserve">,</m:t>
            </m:r>
            <m:r>
              <m:t xml:space="preserve"> </m:t>
            </m:r>
            <m:r>
              <w:rPr>
                <w:rFonts w:ascii="Cambria Math" w:hAnsi="Cambria Math"/>
              </w:rPr>
              <m:t xml:space="preserve">Ψ</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m:t>
            </m:r>
            <m:r>
              <m:rPr>
                <m:lit/>
                <m:nor/>
              </m:rPr>
              <w:rPr>
                <w:rFonts w:ascii="Cambria Math" w:hAnsi="Cambria Math"/>
              </w:rPr>
              <m:t xml:space="preserve">10</m:t>
            </m:r>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num>
                  <m:den>
                    <m:r>
                      <w:rPr>
                        <w:rFonts w:ascii="Cambria Math" w:hAnsi="Cambria Math"/>
                      </w:rPr>
                      <m:t xml:space="preserve">L</m:t>
                    </m:r>
                  </m:den>
                </m:f>
                <m:r>
                  <m:rPr>
                    <m:lit/>
                    <m:nor/>
                  </m:rPr>
                  <w:rPr>
                    <w:rFonts w:ascii="Cambria Math" w:hAnsi="Cambria Math"/>
                  </w:rPr>
                  <m:t xml:space="preserve">tr</m:t>
                </m:r>
                <m:d>
                  <m:dPr>
                    <m:begChr m:val="{"/>
                    <m:endChr m:val="}"/>
                  </m:dPr>
                  <m:e>
                    <m:sSup>
                      <m:e>
                        <m:d>
                          <m:dPr>
                            <m:begChr m:val="["/>
                            <m:endChr m:val="]"/>
                          </m:dPr>
                          <m:e>
                            <m:sSup>
                              <m:e>
                                <m:r>
                                  <w:rPr>
                                    <w:rFonts w:ascii="Cambria Math" w:hAnsi="Cambria Math"/>
                                  </w:rPr>
                                  <m:t xml:space="preserve">S</m:t>
                                </m:r>
                              </m:e>
                              <m:sup>
                                <m:r>
                                  <w:rPr>
                                    <w:rFonts w:ascii="Cambria Math" w:hAnsi="Cambria Math"/>
                                  </w:rPr>
                                  <m:t xml:space="preserve">H</m:t>
                                </m:r>
                              </m:sup>
                            </m:sSup>
                            <m:r>
                              <w:rPr>
                                <w:rFonts w:ascii="Cambria Math" w:hAnsi="Cambria Math"/>
                              </w:rPr>
                              <m:t xml:space="preserve">S</m:t>
                            </m:r>
                          </m:e>
                        </m:d>
                      </m:e>
                      <m:sup>
                        <m:r>
                          <w:rPr>
                            <w:rFonts w:ascii="Cambria Math" w:hAnsi="Cambria Math"/>
                          </w:rPr>
                          <m:t xml:space="preserve">−</m:t>
                        </m:r>
                        <m:r>
                          <w:rPr>
                            <w:rFonts w:ascii="Cambria Math" w:hAnsi="Cambria Math"/>
                          </w:rPr>
                          <m:t xml:space="preserve">1</m:t>
                        </m:r>
                      </m:sup>
                    </m:sSup>
                  </m:e>
                </m:d>
              </m:e>
            </m:d>
          </m:e>
          <m:e>
            <m:r>
              <w:rPr>
                <w:rFonts w:ascii="Cambria Math" w:hAnsi="Cambria Math"/>
              </w:rPr>
              <m:t xml:space="preserve">S</m:t>
            </m:r>
            <m:r>
              <w:rPr>
                <w:rFonts w:ascii="Cambria Math" w:hAnsi="Cambria Math"/>
              </w:rPr>
              <m:t xml:space="preserve">=</m:t>
            </m:r>
            <m:d>
              <m:dPr>
                <m:begChr m:val="["/>
                <m:endChr m:val="]"/>
              </m:dPr>
              <m:e>
                <m:m>
                  <m:mr>
                    <m:e>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e>
                    <m:e>
                      <m:r>
                        <w:rPr>
                          <w:rFonts w:ascii="Cambria Math" w:hAnsi="Cambria Math"/>
                        </w:rPr>
                        <m:t xml:space="preserve">⋯</m:t>
                      </m:r>
                    </m:e>
                    <m:e>
                      <m:r>
                        <w:rPr>
                          <w:rFonts w:ascii="Cambria Math" w:hAnsi="Cambria Math"/>
                        </w:rPr>
                        <m:t xml:space="preserve">s</m:t>
                      </m:r>
                      <m:r>
                        <w:rPr>
                          <w:rFonts w:ascii="Cambria Math" w:hAnsi="Cambria Math"/>
                        </w:rPr>
                        <m:t xml:space="preserve">(</m:t>
                      </m:r>
                      <m:r>
                        <w:rPr>
                          <w:rFonts w:ascii="Cambria Math" w:hAnsi="Cambria Math"/>
                        </w:rPr>
                        <m:t xml:space="preserve">0</m:t>
                      </m:r>
                      <m:r>
                        <w:rPr>
                          <w:rFonts w:ascii="Cambria Math" w:hAnsi="Cambria Math"/>
                        </w:rPr>
                        <m:t xml:space="preserve">)</m:t>
                      </m:r>
                    </m:e>
                  </m:mr>
                  <m:mr>
                    <m:e>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e>
                    <m:e>
                      <m:r>
                        <w:rPr>
                          <w:rFonts w:ascii="Cambria Math" w:hAnsi="Cambria Math"/>
                        </w:rPr>
                        <m:t xml:space="preserve">s</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e>
                    <m:e/>
                    <m:e>
                      <m:r>
                        <w:rPr>
                          <w:rFonts w:ascii="Cambria Math" w:hAnsi="Cambria Math"/>
                        </w:rPr>
                        <m:t xml:space="preserve">⋮</m:t>
                      </m:r>
                    </m:e>
                  </m:mr>
                  <m:mr>
                    <m:e>
                      <m:r>
                        <w:rPr>
                          <w:rFonts w:ascii="Cambria Math" w:hAnsi="Cambria Math"/>
                        </w:rPr>
                        <m:t xml:space="preserve">⋮</m:t>
                      </m:r>
                    </m:e>
                    <m:e/>
                    <m:e>
                      <m:r>
                        <w:rPr>
                          <w:rFonts w:ascii="Cambria Math" w:hAnsi="Cambria Math"/>
                        </w:rPr>
                        <m:t xml:space="preserve">⋱</m:t>
                      </m:r>
                    </m:e>
                    <m:e>
                      <m:r>
                        <w:rPr>
                          <w:rFonts w:ascii="Cambria Math" w:hAnsi="Cambria Math"/>
                        </w:rPr>
                        <m:t xml:space="preserve">⋮</m:t>
                      </m:r>
                    </m:e>
                  </m:mr>
                  <m:mr>
                    <m:e>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e>
                  </m:mr>
                </m:m>
              </m:e>
            </m:d>
          </m:e>
        </m:eqArr>
      </m:oMath>
      <w:r>
        <w:rPr/>
        <w:t>,</w:t>
        <w:tab/>
        <w:t>(6)</w:t>
      </w:r>
    </w:p>
    <w:p>
      <w:pPr>
        <w:pStyle w:val="Normal"/>
        <w:rPr/>
      </w:pPr>
      <w:r>
        <w:rPr/>
        <w:t>where tr{.} denotes the trace operator and (.)</w:t>
      </w:r>
      <w:r>
        <w:rPr>
          <w:vertAlign w:val="superscript"/>
        </w:rPr>
        <w:t>H</w:t>
      </w:r>
      <w:r>
        <w:rPr/>
        <w:t xml:space="preserve"> denotes complex conjugate transpose. </w:t>
      </w:r>
      <w:r>
        <w:rPr/>
      </w:r>
      <m:oMath xmlns:m="http://schemas.openxmlformats.org/officeDocument/2006/math">
        <m:r>
          <w:rPr>
            <w:rFonts w:ascii="Cambria Math" w:hAnsi="Cambria Math"/>
          </w:rPr>
          <m:t xml:space="preserve">L</m:t>
        </m:r>
      </m:oMath>
      <w:r>
        <w:rPr/>
        <w:t xml:space="preserve"> in the denominator of the scale factor compensates for the L additions done by the trace operator.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t xml:space="preserve"> in the nominator of the scale factor compensates for the N-L+1 additions done for all elements in </w:t>
      </w:r>
      <w:r>
        <w:rPr/>
      </w:r>
      <m:oMath xmlns:m="http://schemas.openxmlformats.org/officeDocument/2006/math">
        <m:sSup>
          <m:e>
            <m:r>
              <w:rPr>
                <w:rFonts w:ascii="Cambria Math" w:hAnsi="Cambria Math"/>
              </w:rPr>
              <m:t xml:space="preserve">S</m:t>
            </m:r>
          </m:e>
          <m:sup>
            <m:r>
              <w:rPr>
                <w:rFonts w:ascii="Cambria Math" w:hAnsi="Cambria Math"/>
              </w:rPr>
              <m:t xml:space="preserve">H</m:t>
            </m:r>
          </m:sup>
        </m:sSup>
        <m:r>
          <w:rPr>
            <w:rFonts w:ascii="Cambria Math" w:hAnsi="Cambria Math"/>
          </w:rPr>
          <m:t xml:space="preserve">S</m:t>
        </m:r>
      </m:oMath>
      <w:r>
        <w:rPr/>
        <w:t xml:space="preserve">. </w:t>
      </w:r>
    </w:p>
    <w:p>
      <w:pPr>
        <w:pStyle w:val="Heading4"/>
        <w:ind w:left="1418" w:hanging="1418"/>
        <w:rPr/>
      </w:pPr>
      <w:bookmarkStart w:id="917" w:name="__RefHeading___Toc518036246"/>
      <w:bookmarkStart w:id="918" w:name="_Ref386805925"/>
      <w:bookmarkEnd w:id="917"/>
      <w:r>
        <w:rPr/>
        <w:t>ZE.1.2.2.2</w:t>
        <w:tab/>
        <w:t>Cross Correlation Cost</w:t>
      </w:r>
      <w:bookmarkEnd w:id="918"/>
    </w:p>
    <w:p>
      <w:pPr>
        <w:pStyle w:val="Heading5"/>
        <w:ind w:left="1701" w:hanging="1701"/>
        <w:rPr/>
      </w:pPr>
      <w:bookmarkStart w:id="919" w:name="__RefHeading___Toc518036247"/>
      <w:bookmarkStart w:id="920" w:name="_Ref387141801"/>
      <w:bookmarkEnd w:id="919"/>
      <w:r>
        <w:rPr/>
        <w:t>ZE.1.2.2.2.1</w:t>
        <w:tab/>
        <w:t>Basic Principle</w:t>
      </w:r>
      <w:bookmarkEnd w:id="920"/>
    </w:p>
    <w:p>
      <w:pPr>
        <w:pStyle w:val="Normal"/>
        <w:rPr/>
      </w:pPr>
      <w:r>
        <w:rPr/>
        <w:t xml:space="preserve">The cross correlation cost between two sequences was calculated as the maximum channel estimate error caused by the interfering training sequence when employing a least squares estimator. The maximum is with respect to channel length and time lag due to an unsynchronized interfering training sequence. Consider the received signal during the training period from user "k" and interferer "p", </w:t>
      </w:r>
    </w:p>
    <w:p>
      <w:pPr>
        <w:pStyle w:val="EQ"/>
        <w:jc w:val="center"/>
        <w:rPr/>
      </w:pPr>
      <w:r>
        <w:rPr/>
      </w:r>
      <m:oMath xmlns:m="http://schemas.openxmlformats.org/officeDocument/2006/math">
        <m:r>
          <w:rPr>
            <w:rFonts w:ascii="Cambria Math" w:hAnsi="Cambria Math"/>
          </w:rPr>
          <m:t xml:space="preserve">R</m:t>
        </m:r>
        <m:r>
          <w:rPr>
            <w:rFonts w:ascii="Cambria Math" w:hAnsi="Cambria Math"/>
          </w:rPr>
          <m:t xml:space="preserve">=</m:t>
        </m:r>
        <m:sSub>
          <m:e>
            <m:r>
              <w:rPr>
                <w:rFonts w:ascii="Cambria Math" w:hAnsi="Cambria Math"/>
              </w:rPr>
              <m:t xml:space="preserve">S</m:t>
            </m:r>
          </m:e>
          <m:sub>
            <m:r>
              <w:rPr>
                <w:rFonts w:ascii="Cambria Math" w:hAnsi="Cambria Math"/>
              </w:rPr>
              <m:t xml:space="preserve">k</m:t>
            </m:r>
          </m:sub>
        </m:sSub>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h</m:t>
            </m:r>
          </m:e>
          <m:sub>
            <m:r>
              <w:rPr>
                <w:rFonts w:ascii="Cambria Math" w:hAnsi="Cambria Math"/>
              </w:rPr>
              <m:t xml:space="preserve">p</m:t>
            </m:r>
          </m:sub>
        </m:sSub>
        <m:r>
          <w:rPr>
            <w:rFonts w:ascii="Cambria Math" w:hAnsi="Cambria Math"/>
          </w:rPr>
          <m:t xml:space="preserve">+</m:t>
        </m:r>
        <m:r>
          <m:rPr>
            <m:lit/>
            <m:nor/>
          </m:rPr>
          <w:rPr>
            <w:rFonts w:ascii="Cambria Math" w:hAnsi="Cambria Math"/>
          </w:rPr>
          <m:t xml:space="preserve">noise</m:t>
        </m:r>
      </m:oMath>
      <w:r>
        <w:rPr/>
        <w:t>,</w:t>
        <w:tab/>
        <w:t>(7)</w:t>
      </w:r>
    </w:p>
    <w:p>
      <w:pPr>
        <w:pStyle w:val="Normal"/>
        <w:rPr/>
      </w:pPr>
      <w:r>
        <w:rPr/>
        <w:t>where h</w:t>
      </w:r>
      <w:r>
        <w:rPr>
          <w:vertAlign w:val="subscript"/>
        </w:rPr>
        <w:t>k</w:t>
      </w:r>
      <w:r>
        <w:rPr/>
        <w:t xml:space="preserve"> and h</w:t>
      </w:r>
      <w:r>
        <w:rPr>
          <w:vertAlign w:val="subscript"/>
        </w:rPr>
        <w:t>p</w:t>
      </w:r>
      <w:r>
        <w:rPr/>
        <w:t xml:space="preserve"> denotes the channel of interest and interfering channel, respectively.  Given the received vector R, the least squares estimate of h</w:t>
      </w:r>
      <w:r>
        <w:rPr>
          <w:vertAlign w:val="subscript"/>
        </w:rPr>
        <w:t>k</w:t>
      </w:r>
      <w:r>
        <w:rPr/>
        <w:t xml:space="preserve"> is given by, </w:t>
      </w:r>
    </w:p>
    <w:p>
      <w:pPr>
        <w:pStyle w:val="EQ"/>
        <w:jc w:val="center"/>
        <w:rPr/>
      </w:pP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k</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h</m:t>
            </m:r>
          </m:e>
          <m:sub>
            <m:r>
              <w:rPr>
                <w:rFonts w:ascii="Cambria Math" w:hAnsi="Cambria Math"/>
              </w:rPr>
              <m:t xml:space="preserve">p</m:t>
            </m:r>
          </m:sub>
        </m:sSub>
        <m:r>
          <w:rPr>
            <w:rFonts w:ascii="Cambria Math" w:hAnsi="Cambria Math"/>
          </w:rPr>
          <m:t xml:space="preserve">+</m:t>
        </m:r>
        <m:r>
          <m:rPr>
            <m:lit/>
            <m:nor/>
          </m:rPr>
          <w:rPr>
            <w:rFonts w:ascii="Cambria Math" w:hAnsi="Cambria Math"/>
          </w:rPr>
          <m:t xml:space="preserve">error</m:t>
        </m:r>
      </m:oMath>
      <w:r>
        <w:rPr/>
        <w:t>,</w:t>
        <w:tab/>
        <w:t>(8)</w:t>
      </w:r>
    </w:p>
    <w:p>
      <w:pPr>
        <w:pStyle w:val="Normal"/>
        <w:rPr/>
      </w:pPr>
      <w:r>
        <w:rPr/>
        <w:t xml:space="preserve">where the error includes the contribution not captured by the model, i.e. thermal noise, model error, etc. The training sequences should be selected such that the energy leaked from an interfering signal </w:t>
      </w:r>
      <w:r>
        <w:rPr/>
      </w:r>
      <m:oMath xmlns:m="http://schemas.openxmlformats.org/officeDocument/2006/math">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oMath>
      <w:r>
        <w:rPr/>
        <w:t xml:space="preserve"> is minimized, where </w:t>
      </w:r>
      <w:r>
        <w:rPr/>
      </w:r>
      <m:oMath xmlns:m="http://schemas.openxmlformats.org/officeDocument/2006/math">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r>
          <w:rPr>
            <w:rFonts w:ascii="Cambria Math" w:hAnsi="Cambria Math"/>
          </w:rPr>
          <m:t xml:space="preserve">=</m:t>
        </m:r>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h</m:t>
            </m:r>
          </m:e>
          <m:sub>
            <m:r>
              <w:rPr>
                <w:rFonts w:ascii="Cambria Math" w:hAnsi="Cambria Math"/>
              </w:rPr>
              <m:t xml:space="preserve">p</m:t>
            </m:r>
          </m:sub>
        </m:sSub>
      </m:oMath>
      <w:r>
        <w:rPr/>
        <w:t>. Assume a one branch receiver and that the covariance of the channel h</w:t>
      </w:r>
      <w:r>
        <w:rPr>
          <w:vertAlign w:val="subscript"/>
        </w:rPr>
        <w:t>p</w:t>
      </w:r>
      <w:r>
        <w:rPr/>
        <w:t xml:space="preserve"> is equal to identity (corresponding to independent and identically distributed taps). Using the properties </w:t>
      </w:r>
    </w:p>
    <w:p>
      <w:pPr>
        <w:pStyle w:val="EQ"/>
        <w:jc w:val="center"/>
        <w:rPr/>
      </w:pPr>
      <w:r>
        <w:rPr/>
      </w:r>
      <m:oMath xmlns:m="http://schemas.openxmlformats.org/officeDocument/2006/math">
        <m:r>
          <m:rPr>
            <m:lit/>
            <m:nor/>
          </m:rPr>
          <w:rPr>
            <w:rFonts w:ascii="Cambria Math" w:hAnsi="Cambria Math"/>
          </w:rPr>
          <m:t xml:space="preserve">tr</m:t>
        </m:r>
        <m:d>
          <m:dPr>
            <m:begChr m:val="{"/>
            <m:endChr m:val="}"/>
          </m:dPr>
          <m:e>
            <m:r>
              <w:rPr>
                <w:rFonts w:ascii="Cambria Math" w:hAnsi="Cambria Math"/>
              </w:rPr>
              <m:t xml:space="preserve">E</m:t>
            </m:r>
            <m:d>
              <m:dPr>
                <m:begChr m:val="["/>
                <m:endChr m:val="]"/>
              </m:dPr>
              <m:e/>
            </m:d>
          </m:e>
        </m:d>
        <m:r>
          <w:rPr>
            <w:rFonts w:ascii="Cambria Math" w:hAnsi="Cambria Math"/>
          </w:rPr>
          <m:t xml:space="preserve">=</m:t>
        </m:r>
        <m:r>
          <w:rPr>
            <w:rFonts w:ascii="Cambria Math" w:hAnsi="Cambria Math"/>
          </w:rPr>
          <m:t xml:space="preserve">E</m:t>
        </m:r>
        <m:d>
          <m:dPr>
            <m:begChr m:val="["/>
            <m:endChr m:val="]"/>
          </m:dPr>
          <m:e>
            <m:r>
              <m:rPr>
                <m:lit/>
                <m:nor/>
              </m:rPr>
              <w:rPr>
                <w:rFonts w:ascii="Cambria Math" w:hAnsi="Cambria Math"/>
              </w:rPr>
              <m:t xml:space="preserve">tr</m:t>
            </m:r>
            <m:d>
              <m:dPr>
                <m:begChr m:val="{"/>
                <m:endChr m:val="}"/>
              </m:dPr>
              <m:e/>
            </m:d>
          </m:e>
        </m:d>
      </m:oMath>
      <w:r>
        <w:rPr/>
        <w:tab/>
        <w:t>(9)</w:t>
      </w:r>
    </w:p>
    <w:p>
      <w:pPr>
        <w:pStyle w:val="Normal"/>
        <w:rPr/>
      </w:pPr>
      <w:r>
        <w:rPr/>
        <w:t>and</w:t>
      </w:r>
    </w:p>
    <w:p>
      <w:pPr>
        <w:pStyle w:val="EQ"/>
        <w:jc w:val="center"/>
        <w:rPr/>
      </w:pPr>
      <w:r>
        <w:rPr/>
      </w:r>
      <m:oMath xmlns:m="http://schemas.openxmlformats.org/officeDocument/2006/math">
        <m:r>
          <m:rPr>
            <m:lit/>
            <m:nor/>
          </m:rPr>
          <w:rPr>
            <w:rFonts w:ascii="Cambria Math" w:hAnsi="Cambria Math"/>
          </w:rPr>
          <m:t xml:space="preserve">tr</m:t>
        </m:r>
        <m:d>
          <m:dPr>
            <m:begChr m:val="{"/>
            <m:endChr m:val="}"/>
          </m:dPr>
          <m:e>
            <m:r>
              <m:rPr>
                <m:lit/>
                <m:nor/>
              </m:rPr>
              <w:rPr>
                <w:rFonts w:ascii="Cambria Math" w:hAnsi="Cambria Math"/>
              </w:rPr>
              <m:t xml:space="preserve">ABC</m:t>
            </m:r>
          </m:e>
        </m:d>
        <m:r>
          <w:rPr>
            <w:rFonts w:ascii="Cambria Math" w:hAnsi="Cambria Math"/>
          </w:rPr>
          <m:t xml:space="preserve">=</m:t>
        </m:r>
        <m:r>
          <m:rPr>
            <m:lit/>
            <m:nor/>
          </m:rPr>
          <w:rPr>
            <w:rFonts w:ascii="Cambria Math" w:hAnsi="Cambria Math"/>
          </w:rPr>
          <m:t xml:space="preserve">tr</m:t>
        </m:r>
        <m:d>
          <m:dPr>
            <m:begChr m:val="{"/>
            <m:endChr m:val="}"/>
          </m:dPr>
          <m:e>
            <m:r>
              <m:rPr>
                <m:lit/>
                <m:nor/>
              </m:rPr>
              <w:rPr>
                <w:rFonts w:ascii="Cambria Math" w:hAnsi="Cambria Math"/>
              </w:rPr>
              <m:t xml:space="preserve">BCA</m:t>
            </m:r>
          </m:e>
        </m:d>
        <m:r>
          <w:rPr>
            <w:rFonts w:ascii="Cambria Math" w:hAnsi="Cambria Math"/>
          </w:rPr>
          <m:t xml:space="preserve">=</m:t>
        </m:r>
        <m:r>
          <m:rPr>
            <m:lit/>
            <m:nor/>
          </m:rPr>
          <w:rPr>
            <w:rFonts w:ascii="Cambria Math" w:hAnsi="Cambria Math"/>
          </w:rPr>
          <m:t xml:space="preserve">tr</m:t>
        </m:r>
        <m:d>
          <m:dPr>
            <m:begChr m:val="{"/>
            <m:endChr m:val="}"/>
          </m:dPr>
          <m:e>
            <m:r>
              <m:rPr>
                <m:lit/>
                <m:nor/>
              </m:rPr>
              <w:rPr>
                <w:rFonts w:ascii="Cambria Math" w:hAnsi="Cambria Math"/>
              </w:rPr>
              <m:t xml:space="preserve">CAB</m:t>
            </m:r>
          </m:e>
        </m:d>
      </m:oMath>
      <w:r>
        <w:rPr/>
        <w:tab/>
        <w:t>(10)</w:t>
      </w:r>
    </w:p>
    <w:p>
      <w:pPr>
        <w:pStyle w:val="Normal"/>
        <w:rPr/>
      </w:pPr>
      <w:r>
        <w:rPr/>
        <w:t>yields</w:t>
      </w:r>
    </w:p>
    <w:p>
      <w:pPr>
        <w:pStyle w:val="EQ"/>
        <w:jc w:val="center"/>
        <w:rPr/>
      </w:pPr>
      <w:r>
        <w:rPr/>
      </w:r>
      <m:oMath xmlns:m="http://schemas.openxmlformats.org/officeDocument/2006/math">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r>
          <w:rPr>
            <w:rFonts w:ascii="Cambria Math" w:hAnsi="Cambria Math"/>
          </w:rPr>
          <m:t xml:space="preserve">=</m:t>
        </m:r>
        <m:r>
          <m:rPr>
            <m:lit/>
            <m:nor/>
          </m:rPr>
          <w:rPr>
            <w:rFonts w:ascii="Cambria Math" w:hAnsi="Cambria Math"/>
          </w:rPr>
          <m:t xml:space="preserve">tr</m:t>
        </m:r>
        <m:d>
          <m:dPr>
            <m:begChr m:val="{"/>
            <m:endChr m:val="}"/>
          </m:dPr>
          <m:e>
            <m:r>
              <m:t xml:space="preserve"> </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p</m:t>
                </m:r>
              </m:sub>
            </m:sSub>
          </m:e>
        </m:d>
      </m:oMath>
      <w:r>
        <w:rPr/>
        <w:t>.</w:t>
        <w:tab/>
        <w:t>(11)</w:t>
      </w:r>
    </w:p>
    <w:p>
      <w:pPr>
        <w:pStyle w:val="Normal"/>
        <w:rPr/>
      </w:pPr>
      <w:r>
        <w:rPr/>
        <w:t xml:space="preserve">The expression is normalized with respect to the channel length and scaled in the same way as the SNR-degradation. If the interfering signal is unsynchronized, the sequences do not completely overlap. The error due to the interfering training sequence only depends on the overlapping part. This means that the non-overlapping parts of the sequences need to be removed from S. </w:t>
      </w:r>
    </w:p>
    <w:p>
      <w:pPr>
        <w:pStyle w:val="Normal"/>
        <w:rPr/>
      </w:pPr>
      <w:r>
        <w:rPr/>
        <w:t xml:space="preserve">Denote these truncated versions of S as S(μ), where μ is the time lag between user "k" and interferer "p". Note that the least squares algorithm still remains the same, therefore the factors </w:t>
      </w:r>
      <w:r>
        <w:rPr/>
      </w:r>
      <m:oMath xmlns:m="http://schemas.openxmlformats.org/officeDocument/2006/math">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oMath>
      <w:r>
        <w:rPr/>
        <w:t xml:space="preserve"> are unchanged. The maximum impact from an interfering sequence s</w:t>
      </w:r>
      <w:r>
        <w:rPr>
          <w:vertAlign w:val="subscript"/>
        </w:rPr>
        <w:t>p</w:t>
      </w:r>
      <w:r>
        <w:rPr/>
        <w:t xml:space="preserve"> using the carrier sequence s</w:t>
      </w:r>
      <w:r>
        <w:rPr>
          <w:vertAlign w:val="subscript"/>
        </w:rPr>
        <w:t>k</w:t>
      </w:r>
      <w:r>
        <w:rPr/>
        <w:t xml:space="preserve"> is denoted "cross correlation cost" and is defined as,</w:t>
      </w:r>
    </w:p>
    <w:p>
      <w:pPr>
        <w:pStyle w:val="EQ"/>
        <w:rPr/>
      </w:pPr>
      <w:r>
        <w:rPr/>
      </w:r>
      <m:oMath xmlns:m="http://schemas.openxmlformats.org/officeDocument/2006/math">
        <m:eqArr>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m:t>
            </m:r>
            <m:limLow>
              <m:e>
                <m:r>
                  <m:rPr>
                    <m:lit/>
                    <m:nor/>
                  </m:rPr>
                  <w:rPr>
                    <w:rFonts w:ascii="Cambria Math" w:hAnsi="Cambria Math"/>
                  </w:rPr>
                  <m:t xml:space="preserve">max</m:t>
                </m:r>
              </m:e>
              <m:lim>
                <m:d>
                  <m:dPr>
                    <m:begChr m:val="{"/>
                    <m:endChr m:val=""/>
                  </m:dPr>
                  <m:e>
                    <m:m>
                      <m:mr>
                        <m:e>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10</m:t>
                              </m:r>
                            </m:e>
                          </m:d>
                        </m:e>
                      </m:mr>
                      <m:mr>
                        <m:e>
                          <m:r>
                            <w:rPr>
                              <w:rFonts w:ascii="Cambria Math" w:hAnsi="Cambria Math"/>
                            </w:rPr>
                            <m:t xml:space="preserve">μ</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6</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6</m:t>
                              </m:r>
                            </m:e>
                          </m:d>
                        </m:e>
                      </m:mr>
                    </m:m>
                  </m:e>
                </m:d>
              </m:lim>
            </m:limLow>
            <m:d>
              <m:dPr>
                <m:begChr m:val="{"/>
                <m:endChr m:val="}"/>
              </m:dPr>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μ</m:t>
                </m:r>
                <m:r>
                  <w:rPr>
                    <w:rFonts w:ascii="Cambria Math" w:hAnsi="Cambria Math"/>
                  </w:rPr>
                  <m:t xml:space="preserve">)</m:t>
                </m:r>
              </m:e>
            </m:d>
          </m:e>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μ</m:t>
            </m:r>
            <m:r>
              <w:rPr>
                <w:rFonts w:ascii="Cambria Math" w:hAnsi="Cambria Math"/>
              </w:rPr>
              <m:t xml:space="preserve">)</m:t>
            </m:r>
            <m:r>
              <w:rPr>
                <w:rFonts w:ascii="Cambria Math" w:hAnsi="Cambria Math"/>
              </w:rPr>
              <m:t xml:space="preserve">=</m:t>
            </m:r>
            <m:r>
              <m:rPr>
                <m:lit/>
                <m:nor/>
              </m:rPr>
              <w:rPr>
                <w:rFonts w:ascii="Cambria Math" w:hAnsi="Cambria Math"/>
              </w:rPr>
              <m:t xml:space="preserve">10</m:t>
            </m:r>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r>
                  <w:rPr>
                    <w:rFonts w:ascii="Cambria Math" w:hAnsi="Cambria Math"/>
                  </w:rPr>
                  <m:t xml:space="preserve">1</m:t>
                </m:r>
                <m:r>
                  <w:rPr>
                    <w:rFonts w:ascii="Cambria Math" w:hAnsi="Cambria Math"/>
                  </w:rPr>
                  <m:t xml:space="preserve">+</m:t>
                </m:r>
                <m:sSup>
                  <m:e>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μ</m:t>
                                </m:r>
                              </m:e>
                            </m:d>
                          </m:den>
                        </m:f>
                      </m:e>
                    </m:d>
                  </m:e>
                  <m:sup>
                    <m:r>
                      <w:rPr>
                        <w:rFonts w:ascii="Cambria Math" w:hAnsi="Cambria Math"/>
                      </w:rPr>
                      <m:t xml:space="preserve">2</m:t>
                    </m:r>
                  </m:sup>
                </m:sSup>
                <m:f>
                  <m:num>
                    <m:r>
                      <w:rPr>
                        <w:rFonts w:ascii="Cambria Math" w:hAnsi="Cambria Math"/>
                      </w:rPr>
                      <m:t xml:space="preserve">1</m:t>
                    </m:r>
                  </m:num>
                  <m:den>
                    <m:r>
                      <w:rPr>
                        <w:rFonts w:ascii="Cambria Math" w:hAnsi="Cambria Math"/>
                      </w:rPr>
                      <m:t xml:space="preserve">L</m:t>
                    </m:r>
                  </m:den>
                </m:f>
                <m:r>
                  <m:rPr>
                    <m:lit/>
                    <m:nor/>
                  </m:rPr>
                  <w:rPr>
                    <w:rFonts w:ascii="Cambria Math" w:hAnsi="Cambria Math"/>
                  </w:rPr>
                  <m:t xml:space="preserve">tr</m:t>
                </m:r>
                <m:d>
                  <m:dPr>
                    <m:begChr m:val="{"/>
                    <m:endChr m:val="}"/>
                  </m:dPr>
                  <m:e>
                    <m:r>
                      <w:rPr>
                        <w:rFonts w:ascii="Cambria Math" w:hAnsi="Cambria Math"/>
                      </w:rPr>
                      <m:t xml:space="preserve">S</m:t>
                    </m:r>
                    <m:sSubSup>
                      <m:e>
                        <m:d>
                          <m:dPr>
                            <m:begChr m:val="("/>
                            <m:endChr m:val=")"/>
                          </m:dPr>
                          <m:e>
                            <m:r>
                              <w:rPr>
                                <w:rFonts w:ascii="Cambria Math" w:hAnsi="Cambria Math"/>
                              </w:rPr>
                              <m:t xml:space="preserve">μ</m:t>
                            </m:r>
                          </m:e>
                        </m:d>
                      </m:e>
                      <m:sub>
                        <m:r>
                          <w:rPr>
                            <w:rFonts w:ascii="Cambria Math" w:hAnsi="Cambria Math"/>
                          </w:rPr>
                          <m:t xml:space="preserve">p</m:t>
                        </m:r>
                      </m:sub>
                      <m:sup>
                        <m:r>
                          <w:rPr>
                            <w:rFonts w:ascii="Cambria Math" w:hAnsi="Cambria Math"/>
                          </w:rPr>
                          <m:t xml:space="preserve">H</m:t>
                        </m:r>
                      </m:sup>
                    </m:sSubSup>
                    <m:r>
                      <w:rPr>
                        <w:rFonts w:ascii="Cambria Math" w:hAnsi="Cambria Math"/>
                      </w:rPr>
                      <m:t xml:space="preserve">S</m:t>
                    </m:r>
                    <m:r>
                      <w:rPr>
                        <w:rFonts w:ascii="Cambria Math" w:hAnsi="Cambria Math"/>
                      </w:rPr>
                      <m:t xml:space="preserve">(</m:t>
                    </m:r>
                    <m:r>
                      <w:rPr>
                        <w:rFonts w:ascii="Cambria Math" w:hAnsi="Cambria Math"/>
                      </w:rPr>
                      <m:t xml:space="preserve">μ</m:t>
                    </m:r>
                    <m:sSub>
                      <m:e>
                        <m:r>
                          <w:rPr>
                            <w:rFonts w:ascii="Cambria Math" w:hAnsi="Cambria Math"/>
                          </w:rPr>
                          <m:t xml:space="preserve">)</m:t>
                        </m:r>
                      </m:e>
                      <m:sub>
                        <m:r>
                          <w:rPr>
                            <w:rFonts w:ascii="Cambria Math" w:hAnsi="Cambria Math"/>
                          </w:rPr>
                          <m:t xml:space="preserve">k</m:t>
                        </m:r>
                      </m:sub>
                    </m:sSub>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r>
                      <w:rPr>
                        <w:rFonts w:ascii="Cambria Math" w:hAnsi="Cambria Math"/>
                      </w:rPr>
                      <m:t xml:space="preserve">S</m:t>
                    </m:r>
                    <m:r>
                      <w:rPr>
                        <w:rFonts w:ascii="Cambria Math" w:hAnsi="Cambria Math"/>
                      </w:rPr>
                      <m:t xml:space="preserve">(</m:t>
                    </m:r>
                    <m:r>
                      <w:rPr>
                        <w:rFonts w:ascii="Cambria Math" w:hAnsi="Cambria Math"/>
                      </w:rPr>
                      <m:t xml:space="preserve">μ</m:t>
                    </m:r>
                    <m:sSubSup>
                      <m:e>
                        <m:r>
                          <w:rPr>
                            <w:rFonts w:ascii="Cambria Math" w:hAnsi="Cambria Math"/>
                          </w:rPr>
                          <m:t xml:space="preserve">)</m:t>
                        </m:r>
                      </m:e>
                      <m:sub>
                        <m:r>
                          <w:rPr>
                            <w:rFonts w:ascii="Cambria Math" w:hAnsi="Cambria Math"/>
                          </w:rPr>
                          <m:t xml:space="preserve">k</m:t>
                        </m:r>
                      </m:sub>
                      <m:sup>
                        <m:r>
                          <w:rPr>
                            <w:rFonts w:ascii="Cambria Math" w:hAnsi="Cambria Math"/>
                          </w:rPr>
                          <m:t xml:space="preserve">H</m:t>
                        </m:r>
                      </m:sup>
                    </m:sSubSup>
                    <m:r>
                      <w:rPr>
                        <w:rFonts w:ascii="Cambria Math" w:hAnsi="Cambria Math"/>
                      </w:rPr>
                      <m:t xml:space="preserve">S</m:t>
                    </m:r>
                    <m:r>
                      <w:rPr>
                        <w:rFonts w:ascii="Cambria Math" w:hAnsi="Cambria Math"/>
                      </w:rPr>
                      <m:t xml:space="preserve">(</m:t>
                    </m:r>
                    <m:r>
                      <w:rPr>
                        <w:rFonts w:ascii="Cambria Math" w:hAnsi="Cambria Math"/>
                      </w:rPr>
                      <m:t xml:space="preserve">μ</m:t>
                    </m:r>
                    <m:sSub>
                      <m:e>
                        <m:r>
                          <w:rPr>
                            <w:rFonts w:ascii="Cambria Math" w:hAnsi="Cambria Math"/>
                          </w:rPr>
                          <m:t xml:space="preserve">)</m:t>
                        </m:r>
                      </m:e>
                      <m:sub>
                        <m:r>
                          <w:rPr>
                            <w:rFonts w:ascii="Cambria Math" w:hAnsi="Cambria Math"/>
                          </w:rPr>
                          <m:t xml:space="preserve">p</m:t>
                        </m:r>
                      </m:sub>
                    </m:sSub>
                  </m:e>
                </m:d>
              </m:e>
            </m:d>
          </m:e>
        </m:eqArr>
      </m:oMath>
      <w:r>
        <w:rPr/>
        <w:tab/>
        <w:t>(12)</w:t>
      </w:r>
    </w:p>
    <w:p>
      <w:pPr>
        <w:pStyle w:val="Normal"/>
        <w:rPr/>
      </w:pPr>
      <w:r>
        <w:rPr/>
      </w:r>
      <m:oMath xmlns:m="http://schemas.openxmlformats.org/officeDocument/2006/math">
        <m:r>
          <w:rPr>
            <w:rFonts w:ascii="Cambria Math" w:hAnsi="Cambria Math"/>
          </w:rPr>
          <m:t xml:space="preserve">L</m:t>
        </m:r>
      </m:oMath>
      <w:r>
        <w:rPr/>
        <w:t xml:space="preserve"> </w:t>
      </w:r>
      <w:r>
        <w:rPr/>
        <w:t xml:space="preserve">in the denominator of the scale factor compensates for the L additions done by the trace operator. For lag equal to zero, </w:t>
      </w:r>
      <w:r>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0</m:t>
        </m:r>
      </m:oMath>
      <w:r>
        <w:rPr/>
        <w:t xml:space="preserve">, the N-L+1 additions for each element in the </w:t>
      </w:r>
      <w:r>
        <w:rPr/>
      </w:r>
      <m:oMath xmlns:m="http://schemas.openxmlformats.org/officeDocument/2006/math">
        <m:sSup>
          <m:e>
            <m:d>
              <m:dPr>
                <m:begChr m:val="("/>
                <m:endChr m:val=")"/>
              </m:dPr>
              <m:e>
                <m:sSup>
                  <m:e>
                    <m:r>
                      <w:rPr>
                        <w:rFonts w:ascii="Cambria Math" w:hAnsi="Cambria Math"/>
                      </w:rPr>
                      <m:t xml:space="preserve">S</m:t>
                    </m:r>
                  </m:e>
                  <m:sup>
                    <m:r>
                      <w:rPr>
                        <w:rFonts w:ascii="Cambria Math" w:hAnsi="Cambria Math"/>
                      </w:rPr>
                      <m:t xml:space="preserve">H</m:t>
                    </m:r>
                  </m:sup>
                </m:sSup>
                <m:r>
                  <w:rPr>
                    <w:rFonts w:ascii="Cambria Math" w:hAnsi="Cambria Math"/>
                  </w:rPr>
                  <m:t xml:space="preserve">S</m:t>
                </m:r>
              </m:e>
            </m:d>
          </m:e>
          <m:sup>
            <m:r>
              <w:rPr>
                <w:rFonts w:ascii="Cambria Math" w:hAnsi="Cambria Math"/>
              </w:rPr>
              <m:t xml:space="preserve">−</m:t>
            </m:r>
            <m:r>
              <w:rPr>
                <w:rFonts w:ascii="Cambria Math" w:hAnsi="Cambria Math"/>
              </w:rPr>
              <m:t xml:space="preserve">1</m:t>
            </m:r>
          </m:sup>
        </m:sSup>
      </m:oMath>
      <w:r>
        <w:rPr/>
        <w:t xml:space="preserve">:s are compensated by the N-L+1 additions for each element in </w:t>
      </w:r>
      <w:r>
        <w:rPr/>
      </w:r>
      <m:oMath xmlns:m="http://schemas.openxmlformats.org/officeDocument/2006/math">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p</m:t>
            </m:r>
          </m:sub>
        </m:sSub>
      </m:oMath>
      <w:r>
        <w:rPr/>
        <w:t xml:space="preserve"> and </w:t>
      </w:r>
      <w:r>
        <w:rPr/>
      </w:r>
      <m:oMath xmlns:m="http://schemas.openxmlformats.org/officeDocument/2006/math">
        <m:sSubSup>
          <m:e>
            <m:r>
              <w:rPr>
                <w:rFonts w:ascii="Cambria Math" w:hAnsi="Cambria Math"/>
              </w:rPr>
              <m:t xml:space="preserve">S</m:t>
            </m:r>
          </m:e>
          <m:sub>
            <m:r>
              <w:rPr>
                <w:rFonts w:ascii="Cambria Math" w:hAnsi="Cambria Math"/>
              </w:rPr>
              <m:t xml:space="preserve">p</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oMath>
      <w:r>
        <w:rPr/>
        <w:t xml:space="preserve">. The scale factor </w:t>
      </w:r>
      <w:r>
        <w:rPr/>
      </w:r>
      <m:oMath xmlns:m="http://schemas.openxmlformats.org/officeDocument/2006/math">
        <m:sSup>
          <m:e>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μ</m:t>
                        </m:r>
                      </m:e>
                    </m:d>
                  </m:den>
                </m:f>
              </m:e>
            </m:d>
          </m:e>
          <m:sup>
            <m:r>
              <w:rPr>
                <w:rFonts w:ascii="Cambria Math" w:hAnsi="Cambria Math"/>
              </w:rPr>
              <m:t xml:space="preserve">2</m:t>
            </m:r>
          </m:sup>
        </m:sSup>
      </m:oMath>
      <w:r>
        <w:rPr/>
        <w:t xml:space="preserve"> compensates for the reduced number of additions in </w:t>
      </w:r>
      <w:r>
        <w:rPr/>
      </w:r>
      <m:oMath xmlns:m="http://schemas.openxmlformats.org/officeDocument/2006/math">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p</m:t>
            </m:r>
          </m:sub>
        </m:sSub>
      </m:oMath>
      <w:r>
        <w:rPr/>
        <w:t xml:space="preserve"> and </w:t>
      </w:r>
      <w:r>
        <w:rPr/>
      </w:r>
      <m:oMath xmlns:m="http://schemas.openxmlformats.org/officeDocument/2006/math">
        <m:sSubSup>
          <m:e>
            <m:r>
              <w:rPr>
                <w:rFonts w:ascii="Cambria Math" w:hAnsi="Cambria Math"/>
              </w:rPr>
              <m:t xml:space="preserve">S</m:t>
            </m:r>
          </m:e>
          <m:sub>
            <m:r>
              <w:rPr>
                <w:rFonts w:ascii="Cambria Math" w:hAnsi="Cambria Math"/>
              </w:rPr>
              <m:t xml:space="preserve">p</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oMath>
      <w:r>
        <w:rPr/>
        <w:t xml:space="preserve"> for lags not equal to zero.</w:t>
      </w:r>
    </w:p>
    <w:p>
      <w:pPr>
        <w:pStyle w:val="Normal"/>
        <w:rPr/>
      </w:pPr>
      <w:r>
        <w:rPr/>
        <w:t>The auto correlation cost Ψ(s) and cross correlation cost Δ</w:t>
      </w:r>
      <w:r>
        <w:rPr>
          <w:vertAlign w:val="subscript"/>
        </w:rPr>
        <w:t>b</w:t>
      </w:r>
      <w:r>
        <w:rPr/>
        <w:t>(s</w:t>
      </w:r>
      <w:r>
        <w:rPr>
          <w:vertAlign w:val="subscript"/>
        </w:rPr>
        <w:t>k</w:t>
      </w:r>
      <w:r>
        <w:rPr/>
        <w:t>,s</w:t>
      </w:r>
      <w:r>
        <w:rPr>
          <w:vertAlign w:val="subscript"/>
        </w:rPr>
        <w:t>p</w:t>
      </w:r>
      <w:r>
        <w:rPr/>
        <w:t>) for all N</w:t>
      </w:r>
      <w:r>
        <w:rPr>
          <w:vertAlign w:val="subscript"/>
        </w:rPr>
        <w:t>L</w:t>
      </w:r>
      <w:r>
        <w:rPr/>
        <w:t xml:space="preserve"> sequences are stored in a matrix X.</w:t>
      </w:r>
    </w:p>
    <w:p>
      <w:pPr>
        <w:pStyle w:val="EQ"/>
        <w:rPr/>
      </w:pP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m>
              <m:mr>
                <m:e>
                  <m:r>
                    <w:rPr>
                      <w:rFonts w:ascii="Cambria Math" w:hAnsi="Cambria Math"/>
                    </w:rPr>
                    <m:t xml:space="preserve">Ψ</m:t>
                  </m:r>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e>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e>
                <m:e>
                  <m:r>
                    <w:rPr>
                      <w:rFonts w:ascii="Cambria Math" w:hAnsi="Cambria Math"/>
                    </w:rPr>
                    <m:t xml:space="preserve">⋯</m:t>
                  </m:r>
                </m:e>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e>
              </m:mr>
              <m:mr>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e>
                <m:e>
                  <m:r>
                    <w:rPr>
                      <w:rFonts w:ascii="Cambria Math" w:hAnsi="Cambria Math"/>
                    </w:rPr>
                    <m:t xml:space="preserve">Ψ</m:t>
                  </m:r>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e>
                <m:e/>
                <m:e>
                  <m:r>
                    <w:rPr>
                      <w:rFonts w:ascii="Cambria Math" w:hAnsi="Cambria Math"/>
                    </w:rPr>
                    <m:t xml:space="preserve">⋮</m:t>
                  </m:r>
                </m:e>
              </m:mr>
              <m:mr>
                <m:e>
                  <m:r>
                    <w:rPr>
                      <w:rFonts w:ascii="Cambria Math" w:hAnsi="Cambria Math"/>
                    </w:rPr>
                    <m:t xml:space="preserve">⋮</m:t>
                  </m:r>
                </m:e>
                <m:e/>
                <m:e>
                  <m:r>
                    <w:rPr>
                      <w:rFonts w:ascii="Cambria Math" w:hAnsi="Cambria Math"/>
                    </w:rPr>
                    <m:t xml:space="preserve">⋱</m:t>
                  </m:r>
                </m:e>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e>
              </m:mr>
              <m:mr>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e>
                <m:e>
                  <m:r>
                    <w:rPr>
                      <w:rFonts w:ascii="Cambria Math" w:hAnsi="Cambria Math"/>
                    </w:rPr>
                    <m:t xml:space="preserve">⋯</m:t>
                  </m:r>
                </m:e>
                <m:e>
                  <m:sSub>
                    <m:e>
                      <m:r>
                        <w:rPr>
                          <w:rFonts w:ascii="Cambria Math" w:hAnsi="Cambria Math"/>
                        </w:rPr>
                        <m:t xml:space="preserve">Δ</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2</m:t>
                      </m:r>
                    </m:sub>
                  </m:sSub>
                  <m:r>
                    <w:rPr>
                      <w:rFonts w:ascii="Cambria Math" w:hAnsi="Cambria Math"/>
                    </w:rPr>
                    <m:t xml:space="preserve">)</m:t>
                  </m:r>
                </m:e>
                <m:e>
                  <m:r>
                    <w:rPr>
                      <w:rFonts w:ascii="Cambria Math" w:hAnsi="Cambria Math"/>
                    </w:rPr>
                    <m:t xml:space="preserve">Ψ</m:t>
                  </m:r>
                  <m:r>
                    <w:rPr>
                      <w:rFonts w:ascii="Cambria Math" w:hAnsi="Cambria Math"/>
                    </w:rPr>
                    <m:t xml:space="preserve">(</m:t>
                  </m:r>
                  <m:sSub>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e>
              </m:mr>
            </m:m>
          </m:e>
        </m:d>
      </m:oMath>
      <w:r>
        <w:rPr/>
        <w:tab/>
        <w:t>(13)</w:t>
      </w:r>
    </w:p>
    <w:p>
      <w:pPr>
        <w:pStyle w:val="Heading5"/>
        <w:ind w:left="1701" w:hanging="1701"/>
        <w:rPr/>
      </w:pPr>
      <w:bookmarkStart w:id="921" w:name="__RefHeading___Toc518036248"/>
      <w:bookmarkStart w:id="922" w:name="_Ref387073198"/>
      <w:bookmarkEnd w:id="921"/>
      <w:r>
        <w:rPr/>
        <w:t>ZE.1.2.2.2.2</w:t>
        <w:tab/>
        <w:t>Used Model</w:t>
      </w:r>
      <w:bookmarkEnd w:id="922"/>
    </w:p>
    <w:p>
      <w:pPr>
        <w:pStyle w:val="Normal"/>
        <w:rPr/>
      </w:pPr>
      <w:r>
        <w:rPr/>
        <w:t xml:space="preserve">Subclause ZE.1.2.2.2.1 describes the basic principle used when searching for TSCs. However, for the NewToN work the basic principle was modified to include: </w:t>
      </w:r>
    </w:p>
    <w:p>
      <w:pPr>
        <w:pStyle w:val="B1"/>
        <w:rPr/>
      </w:pPr>
      <w:r>
        <w:rPr/>
        <w:t>-</w:t>
        <w:tab/>
        <w:t>Adjacent channel interference.</w:t>
      </w:r>
    </w:p>
    <w:p>
      <w:pPr>
        <w:pStyle w:val="B1"/>
        <w:rPr/>
      </w:pPr>
      <w:r>
        <w:rPr/>
        <w:t>-</w:t>
        <w:tab/>
        <w:t xml:space="preserve">Modulation rotations. </w:t>
      </w:r>
    </w:p>
    <w:p>
      <w:pPr>
        <w:pStyle w:val="B1"/>
        <w:rPr/>
      </w:pPr>
      <w:r>
        <w:rPr/>
        <w:t>-</w:t>
        <w:tab/>
        <w:t>Cross correlation between different modulations and between NewToN candidates and legacy sequences. Thus, the training sequence code of the desired signal,</w:t>
      </w:r>
      <w:r>
        <w:rPr/>
      </w:r>
      <m:oMath xmlns:m="http://schemas.openxmlformats.org/officeDocument/2006/math">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not necessarily taken from the same TSC set or list as the training sequence code of the interfering signal, </w:t>
      </w:r>
      <w:r>
        <w:rPr/>
      </w:r>
      <m:oMath xmlns:m="http://schemas.openxmlformats.org/officeDocument/2006/math">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w:t>
      </w:r>
    </w:p>
    <w:p>
      <w:pPr>
        <w:pStyle w:val="Normal"/>
        <w:rPr/>
      </w:pPr>
      <w:r>
        <w:rPr/>
        <w:t>The channel h</w:t>
      </w:r>
      <w:r>
        <w:rPr>
          <w:vertAlign w:val="subscript"/>
        </w:rPr>
        <w:t>p</w:t>
      </w:r>
      <w:r>
        <w:rPr/>
        <w:t xml:space="preserve"> is split into Tx-filter, </w:t>
      </w:r>
      <w:r>
        <w:rPr/>
      </w:r>
      <m:oMath xmlns:m="http://schemas.openxmlformats.org/officeDocument/2006/math">
        <m:r>
          <w:rPr>
            <w:rFonts w:ascii="Cambria Math" w:hAnsi="Cambria Math"/>
          </w:rPr>
          <m:t xml:space="preserve">y</m:t>
        </m:r>
      </m:oMath>
      <w:r>
        <w:rPr/>
        <w:t xml:space="preserve">, Rx-filter, </w:t>
      </w:r>
      <w:r>
        <w:rPr/>
      </w:r>
      <m:oMath xmlns:m="http://schemas.openxmlformats.org/officeDocument/2006/math">
        <m:r>
          <w:rPr>
            <w:rFonts w:ascii="Cambria Math" w:hAnsi="Cambria Math"/>
          </w:rPr>
          <m:t xml:space="preserve">g</m:t>
        </m:r>
      </m:oMath>
      <w:r>
        <w:rPr/>
        <w:t xml:space="preserve"> and channel, </w:t>
      </w:r>
      <w:r>
        <w:rPr/>
      </w:r>
      <m:oMath xmlns:m="http://schemas.openxmlformats.org/officeDocument/2006/math">
        <m:r>
          <w:rPr>
            <w:rFonts w:ascii="Cambria Math" w:hAnsi="Cambria Math"/>
          </w:rPr>
          <m:t xml:space="preserve">h</m:t>
        </m:r>
      </m:oMath>
      <w:r>
        <w:rPr/>
        <w:t>.</w:t>
      </w:r>
    </w:p>
    <w:p>
      <w:pPr>
        <w:pStyle w:val="EQ"/>
        <w:jc w:val="center"/>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d>
            <m:dPr>
              <m:begChr m:val="["/>
              <m:endChr m:val="]"/>
            </m:dPr>
            <m:e>
              <m:m>
                <m:mr>
                  <m:e>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e>
                </m:mr>
                <m:mr>
                  <m:e>
                    <m:r>
                      <w:rPr>
                        <w:rFonts w:ascii="Cambria Math" w:hAnsi="Cambria Math"/>
                      </w:rPr>
                      <m:t xml:space="preserve">⋮</m:t>
                    </m:r>
                  </m:e>
                </m:mr>
                <m:mr>
                  <m:e>
                    <m:r>
                      <w:rPr>
                        <w:rFonts w:ascii="Cambria Math" w:hAnsi="Cambria Math"/>
                      </w:rPr>
                      <m:t xml:space="preserve">y</m:t>
                    </m:r>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r>
                      <w:rPr>
                        <w:rFonts w:ascii="Cambria Math" w:hAnsi="Cambria Math"/>
                      </w:rPr>
                      <m:t xml:space="preserve">)</m:t>
                    </m:r>
                  </m:e>
                </m:mr>
              </m:m>
            </m:e>
          </m:d>
          <m:r>
            <w:rPr>
              <w:rFonts w:ascii="Cambria Math" w:hAnsi="Cambria Math"/>
            </w:rPr>
            <m:t xml:space="preserve">,</m:t>
          </m:r>
          <m:r>
            <m:t xml:space="preserve"> </m:t>
          </m:r>
          <m:r>
            <w:rPr>
              <w:rFonts w:ascii="Cambria Math" w:hAnsi="Cambria Math"/>
            </w:rPr>
            <m:t xml:space="preserve">g</m:t>
          </m:r>
          <m:r>
            <w:rPr>
              <w:rFonts w:ascii="Cambria Math" w:hAnsi="Cambria Math"/>
            </w:rPr>
            <m:t xml:space="preserve">=</m:t>
          </m:r>
          <m:d>
            <m:dPr>
              <m:begChr m:val="["/>
              <m:endChr m:val="]"/>
            </m:dPr>
            <m:e>
              <m:m>
                <m:mr>
                  <m:e>
                    <m:r>
                      <w:rPr>
                        <w:rFonts w:ascii="Cambria Math" w:hAnsi="Cambria Math"/>
                      </w:rPr>
                      <m:t xml:space="preserve">g</m:t>
                    </m:r>
                    <m:r>
                      <w:rPr>
                        <w:rFonts w:ascii="Cambria Math" w:hAnsi="Cambria Math"/>
                      </w:rPr>
                      <m:t xml:space="preserve">(</m:t>
                    </m:r>
                    <m:r>
                      <w:rPr>
                        <w:rFonts w:ascii="Cambria Math" w:hAnsi="Cambria Math"/>
                      </w:rPr>
                      <m:t xml:space="preserve">0</m:t>
                    </m:r>
                    <m:r>
                      <w:rPr>
                        <w:rFonts w:ascii="Cambria Math" w:hAnsi="Cambria Math"/>
                      </w:rPr>
                      <m:t xml:space="preserve">)</m:t>
                    </m:r>
                  </m:e>
                </m:mr>
                <m:mr>
                  <m:e>
                    <m:r>
                      <w:rPr>
                        <w:rFonts w:ascii="Cambria Math" w:hAnsi="Cambria Math"/>
                      </w:rPr>
                      <m:t xml:space="preserve">⋮</m:t>
                    </m:r>
                  </m:e>
                </m:mr>
                <m:mr>
                  <m:e>
                    <m:r>
                      <w:rPr>
                        <w:rFonts w:ascii="Cambria Math" w:hAnsi="Cambria Math"/>
                      </w:rPr>
                      <m:t xml:space="preserve">g</m:t>
                    </m:r>
                    <m:r>
                      <w:rPr>
                        <w:rFonts w:ascii="Cambria Math" w:hAnsi="Cambria Math"/>
                      </w:rPr>
                      <m:t xml:space="preserve">(</m:t>
                    </m:r>
                    <m:sSub>
                      <m:e>
                        <m:r>
                          <w:rPr>
                            <w:rFonts w:ascii="Cambria Math" w:hAnsi="Cambria Math"/>
                          </w:rPr>
                          <m:t xml:space="preserve">L</m:t>
                        </m:r>
                      </m:e>
                      <m:sub>
                        <m:r>
                          <w:rPr>
                            <w:rFonts w:ascii="Cambria Math" w:hAnsi="Cambria Math"/>
                          </w:rPr>
                          <m:t xml:space="preserve">g</m:t>
                        </m:r>
                      </m:sub>
                    </m:sSub>
                    <m:r>
                      <w:rPr>
                        <w:rFonts w:ascii="Cambria Math" w:hAnsi="Cambria Math"/>
                      </w:rPr>
                      <m:t xml:space="preserve">−</m:t>
                    </m:r>
                    <m:r>
                      <w:rPr>
                        <w:rFonts w:ascii="Cambria Math" w:hAnsi="Cambria Math"/>
                      </w:rPr>
                      <m:t xml:space="preserve">1</m:t>
                    </m:r>
                    <m:r>
                      <w:rPr>
                        <w:rFonts w:ascii="Cambria Math" w:hAnsi="Cambria Math"/>
                      </w:rPr>
                      <m:t xml:space="preserve">)</m:t>
                    </m:r>
                  </m:e>
                </m:mr>
              </m:m>
            </m:e>
          </m:d>
          <m:r>
            <w:rPr>
              <w:rFonts w:ascii="Cambria Math" w:hAnsi="Cambria Math"/>
            </w:rPr>
            <m:t xml:space="preserve">,</m:t>
          </m:r>
          <m:r>
            <m:t xml:space="preserve"> </m:t>
          </m:r>
          <m:r>
            <w:rPr>
              <w:rFonts w:ascii="Cambria Math" w:hAnsi="Cambria Math"/>
            </w:rPr>
            <m:t xml:space="preserve">h</m:t>
          </m:r>
          <m:r>
            <w:rPr>
              <w:rFonts w:ascii="Cambria Math" w:hAnsi="Cambria Math"/>
            </w:rPr>
            <m:t xml:space="preserve">=</m:t>
          </m:r>
          <m:d>
            <m:dPr>
              <m:begChr m:val="["/>
              <m:endChr m:val="]"/>
            </m:dPr>
            <m:e>
              <m:m>
                <m:mr>
                  <m:e>
                    <m:r>
                      <w:rPr>
                        <w:rFonts w:ascii="Cambria Math" w:hAnsi="Cambria Math"/>
                      </w:rPr>
                      <m:t xml:space="preserve">h</m:t>
                    </m:r>
                    <m:r>
                      <w:rPr>
                        <w:rFonts w:ascii="Cambria Math" w:hAnsi="Cambria Math"/>
                      </w:rPr>
                      <m:t xml:space="preserve">(</m:t>
                    </m:r>
                    <m:r>
                      <w:rPr>
                        <w:rFonts w:ascii="Cambria Math" w:hAnsi="Cambria Math"/>
                      </w:rPr>
                      <m:t xml:space="preserve">0</m:t>
                    </m:r>
                    <m:r>
                      <w:rPr>
                        <w:rFonts w:ascii="Cambria Math" w:hAnsi="Cambria Math"/>
                      </w:rPr>
                      <m:t xml:space="preserve">)</m:t>
                    </m:r>
                  </m:e>
                </m:mr>
                <m:mr>
                  <m:e>
                    <m:r>
                      <w:rPr>
                        <w:rFonts w:ascii="Cambria Math" w:hAnsi="Cambria Math"/>
                      </w:rPr>
                      <m:t xml:space="preserve">⋮</m:t>
                    </m:r>
                  </m:e>
                </m:mr>
                <m:mr>
                  <m:e>
                    <m:r>
                      <w:rPr>
                        <w:rFonts w:ascii="Cambria Math" w:hAnsi="Cambria Math"/>
                      </w:rPr>
                      <m:t xml:space="preserve">h</m:t>
                    </m:r>
                    <m:r>
                      <w:rPr>
                        <w:rFonts w:ascii="Cambria Math" w:hAnsi="Cambria Math"/>
                      </w:rPr>
                      <m:t xml:space="preserve">(</m:t>
                    </m:r>
                    <m:sSub>
                      <m:e>
                        <m:r>
                          <w:rPr>
                            <w:rFonts w:ascii="Cambria Math" w:hAnsi="Cambria Math"/>
                          </w:rPr>
                          <m:t xml:space="preserve">L</m:t>
                        </m:r>
                      </m:e>
                      <m:sub>
                        <m:r>
                          <w:rPr>
                            <w:rFonts w:ascii="Cambria Math" w:hAnsi="Cambria Math"/>
                          </w:rPr>
                          <m:t xml:space="preserve">h</m:t>
                        </m:r>
                      </m:sub>
                    </m:sSub>
                    <m:r>
                      <w:rPr>
                        <w:rFonts w:ascii="Cambria Math" w:hAnsi="Cambria Math"/>
                      </w:rPr>
                      <m:t xml:space="preserve">−</m:t>
                    </m:r>
                    <m:r>
                      <w:rPr>
                        <w:rFonts w:ascii="Cambria Math" w:hAnsi="Cambria Math"/>
                      </w:rPr>
                      <m:t xml:space="preserve">1</m:t>
                    </m:r>
                    <m:r>
                      <w:rPr>
                        <w:rFonts w:ascii="Cambria Math" w:hAnsi="Cambria Math"/>
                      </w:rPr>
                      <m:t xml:space="preserve">)</m:t>
                    </m:r>
                  </m:e>
                </m:mr>
              </m:m>
            </m:e>
          </m:d>
        </m:oMath>
      </m:oMathPara>
    </w:p>
    <w:p>
      <w:pPr>
        <w:pStyle w:val="EQ"/>
        <w:jc w:val="center"/>
        <w:rPr/>
      </w:pPr>
      <w:r>
        <w:rPr/>
      </w:r>
      <m:oMath xmlns:m="http://schemas.openxmlformats.org/officeDocument/2006/math">
        <m:sSub>
          <m:e>
            <m:r>
              <w:rPr>
                <w:rFonts w:ascii="Cambria Math" w:hAnsi="Cambria Math"/>
              </w:rPr>
              <m:t xml:space="preserve">h</m:t>
            </m:r>
          </m:e>
          <m:sub>
            <m:r>
              <w:rPr>
                <w:rFonts w:ascii="Cambria Math" w:hAnsi="Cambria Math"/>
              </w:rPr>
              <m:t xml:space="preserve">p</m:t>
            </m:r>
          </m:sub>
        </m:sSub>
        <m:r>
          <w:rPr>
            <w:rFonts w:ascii="Cambria Math" w:hAnsi="Cambria Math"/>
          </w:rPr>
          <m:t xml:space="preserve">=</m:t>
        </m:r>
        <m:r>
          <m:rPr>
            <m:lit/>
            <m:nor/>
          </m:rPr>
          <w:rPr>
            <w:rFonts w:ascii="Cambria Math" w:hAnsi="Cambria Math"/>
          </w:rPr>
          <m:t xml:space="preserve">YGh</m:t>
        </m:r>
      </m:oMath>
      <w:r>
        <w:rPr/>
        <w:tab/>
        <w:t>(14)</w:t>
      </w:r>
    </w:p>
    <w:p>
      <w:pPr>
        <w:pStyle w:val="EQ"/>
        <w:jc w:val="center"/>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d>
            <m:dPr>
              <m:begChr m:val="["/>
              <m:endChr m:val="]"/>
            </m:dPr>
            <m:e>
              <m:m>
                <m:mr>
                  <m:e>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0</m:t>
                    </m:r>
                  </m:e>
                </m:mr>
                <m:mr>
                  <m:e>
                    <m:r>
                      <w:rPr>
                        <w:rFonts w:ascii="Cambria Math" w:hAnsi="Cambria Math"/>
                      </w:rPr>
                      <m:t xml:space="preserve">y</m:t>
                    </m:r>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e>
                </m:mr>
                <m:mr>
                  <m:e>
                    <m:r>
                      <w:rPr>
                        <w:rFonts w:ascii="Cambria Math" w:hAnsi="Cambria Math"/>
                      </w:rPr>
                      <m:t xml:space="preserve">0</m:t>
                    </m:r>
                  </m:e>
                  <m:e>
                    <m:r>
                      <w:rPr>
                        <w:rFonts w:ascii="Cambria Math" w:hAnsi="Cambria Math"/>
                      </w:rPr>
                      <m:t xml:space="preserve">y</m:t>
                    </m:r>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r>
                      <w:rPr>
                        <w:rFonts w:ascii="Cambria Math" w:hAnsi="Cambria Math"/>
                      </w:rPr>
                      <m:t xml:space="preserve">y</m:t>
                    </m:r>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r>
                      <w:rPr>
                        <w:rFonts w:ascii="Cambria Math" w:hAnsi="Cambria Math"/>
                      </w:rPr>
                      <m:t xml:space="preserve">)</m:t>
                    </m:r>
                  </m:e>
                </m:mr>
              </m:m>
            </m:e>
          </m:d>
          <m:r>
            <w:rPr>
              <w:rFonts w:ascii="Cambria Math" w:hAnsi="Cambria Math"/>
            </w:rPr>
            <m:t xml:space="preserve">,</m:t>
          </m:r>
          <m:r>
            <m:t xml:space="preserve"> </m:t>
          </m:r>
          <m:r>
            <w:rPr>
              <w:rFonts w:ascii="Cambria Math" w:hAnsi="Cambria Math"/>
            </w:rPr>
            <m:t xml:space="preserve">(</m:t>
          </m:r>
          <m:sSub>
            <m:e>
              <m:r>
                <w:rPr>
                  <w:rFonts w:ascii="Cambria Math" w:hAnsi="Cambria Math"/>
                </w:rPr>
                <m:t xml:space="preserve">N</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g</m:t>
              </m:r>
            </m:sub>
          </m:sSub>
          <m:r>
            <w:rPr>
              <w:rFonts w:ascii="Cambria Math" w:hAnsi="Cambria Math"/>
            </w:rPr>
            <m:t xml:space="preserve">)</m:t>
          </m:r>
        </m:oMath>
      </m:oMathPara>
    </w:p>
    <w:p>
      <w:pPr>
        <w:pStyle w:val="EQ"/>
        <w:jc w:val="center"/>
        <w:rPr/>
      </w:pPr>
      <w:r>
        <w:rPr/>
      </w:r>
      <m:oMathPara xmlns:m="http://schemas.openxmlformats.org/officeDocument/2006/math">
        <m:oMathParaPr>
          <m:jc m:val="center"/>
        </m:oMathParaPr>
        <m:oMath>
          <m:r>
            <w:rPr>
              <w:rFonts w:ascii="Cambria Math" w:hAnsi="Cambria Math"/>
            </w:rPr>
            <m:t xml:space="preserve">G</m:t>
          </m:r>
          <m:r>
            <w:rPr>
              <w:rFonts w:ascii="Cambria Math" w:hAnsi="Cambria Math"/>
            </w:rPr>
            <m:t xml:space="preserve">=</m:t>
          </m:r>
          <m:d>
            <m:dPr>
              <m:begChr m:val="["/>
              <m:endChr m:val="]"/>
            </m:dPr>
            <m:e>
              <m:m>
                <m:mr>
                  <m:e>
                    <m:r>
                      <w:rPr>
                        <w:rFonts w:ascii="Cambria Math" w:hAnsi="Cambria Math"/>
                      </w:rPr>
                      <m:t xml:space="preserve">g</m:t>
                    </m:r>
                    <m:r>
                      <w:rPr>
                        <w:rFonts w:ascii="Cambria Math" w:hAnsi="Cambria Math"/>
                      </w:rPr>
                      <m:t xml:space="preserve">(</m:t>
                    </m:r>
                    <m:r>
                      <w:rPr>
                        <w:rFonts w:ascii="Cambria Math" w:hAnsi="Cambria Math"/>
                      </w:rPr>
                      <m:t xml:space="preserve">0</m:t>
                    </m:r>
                    <m:r>
                      <w:rPr>
                        <w:rFonts w:ascii="Cambria Math" w:hAnsi="Cambria Math"/>
                      </w:rPr>
                      <m:t xml:space="preserve">)</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g</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g</m:t>
                    </m:r>
                    <m:r>
                      <w:rPr>
                        <w:rFonts w:ascii="Cambria Math" w:hAnsi="Cambria Math"/>
                      </w:rPr>
                      <m:t xml:space="preserve">(</m:t>
                    </m:r>
                    <m:r>
                      <w:rPr>
                        <w:rFonts w:ascii="Cambria Math" w:hAnsi="Cambria Math"/>
                      </w:rPr>
                      <m:t xml:space="preserve">0</m:t>
                    </m:r>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0</m:t>
                    </m:r>
                  </m:e>
                </m:mr>
                <m:mr>
                  <m:e>
                    <m:r>
                      <w:rPr>
                        <w:rFonts w:ascii="Cambria Math" w:hAnsi="Cambria Math"/>
                      </w:rPr>
                      <m:t xml:space="preserve">g</m:t>
                    </m:r>
                    <m:r>
                      <w:rPr>
                        <w:rFonts w:ascii="Cambria Math" w:hAnsi="Cambria Math"/>
                      </w:rPr>
                      <m:t xml:space="preserve">(</m:t>
                    </m:r>
                    <m:sSub>
                      <m:e>
                        <m:r>
                          <w:rPr>
                            <w:rFonts w:ascii="Cambria Math" w:hAnsi="Cambria Math"/>
                          </w:rPr>
                          <m:t xml:space="preserve">L</m:t>
                        </m:r>
                      </m:e>
                      <m:sub>
                        <m:r>
                          <w:rPr>
                            <w:rFonts w:ascii="Cambria Math" w:hAnsi="Cambria Math"/>
                          </w:rPr>
                          <m:t xml:space="preserve">g</m:t>
                        </m:r>
                      </m:sub>
                    </m:sSub>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g</m:t>
                    </m:r>
                    <m:r>
                      <w:rPr>
                        <w:rFonts w:ascii="Cambria Math" w:hAnsi="Cambria Math"/>
                      </w:rPr>
                      <m:t xml:space="preserve">(</m:t>
                    </m:r>
                    <m:r>
                      <w:rPr>
                        <w:rFonts w:ascii="Cambria Math" w:hAnsi="Cambria Math"/>
                      </w:rPr>
                      <m:t xml:space="preserve">0</m:t>
                    </m:r>
                    <m:r>
                      <w:rPr>
                        <w:rFonts w:ascii="Cambria Math" w:hAnsi="Cambria Math"/>
                      </w:rPr>
                      <m:t xml:space="preserve">)</m:t>
                    </m:r>
                  </m:e>
                </m:mr>
                <m:mr>
                  <m:e>
                    <m:r>
                      <w:rPr>
                        <w:rFonts w:ascii="Cambria Math" w:hAnsi="Cambria Math"/>
                      </w:rPr>
                      <m:t xml:space="preserve">0</m:t>
                    </m:r>
                  </m:e>
                  <m:e>
                    <m:r>
                      <w:rPr>
                        <w:rFonts w:ascii="Cambria Math" w:hAnsi="Cambria Math"/>
                      </w:rPr>
                      <m:t xml:space="preserve">g</m:t>
                    </m:r>
                    <m:r>
                      <w:rPr>
                        <w:rFonts w:ascii="Cambria Math" w:hAnsi="Cambria Math"/>
                      </w:rPr>
                      <m:t xml:space="preserve">(</m:t>
                    </m:r>
                    <m:sSub>
                      <m:e>
                        <m:r>
                          <w:rPr>
                            <w:rFonts w:ascii="Cambria Math" w:hAnsi="Cambria Math"/>
                          </w:rPr>
                          <m:t xml:space="preserve">L</m:t>
                        </m:r>
                      </m:e>
                      <m:sub>
                        <m:r>
                          <w:rPr>
                            <w:rFonts w:ascii="Cambria Math" w:hAnsi="Cambria Math"/>
                          </w:rPr>
                          <m:t xml:space="preserve">g</m:t>
                        </m:r>
                      </m:sub>
                    </m:sSub>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r>
                      <w:rPr>
                        <w:rFonts w:ascii="Cambria Math" w:hAnsi="Cambria Math"/>
                      </w:rPr>
                      <m:t xml:space="preserve">g</m:t>
                    </m:r>
                    <m:r>
                      <w:rPr>
                        <w:rFonts w:ascii="Cambria Math" w:hAnsi="Cambria Math"/>
                      </w:rPr>
                      <m:t xml:space="preserve">(</m:t>
                    </m:r>
                    <m:sSub>
                      <m:e>
                        <m:r>
                          <w:rPr>
                            <w:rFonts w:ascii="Cambria Math" w:hAnsi="Cambria Math"/>
                          </w:rPr>
                          <m:t xml:space="preserve">L</m:t>
                        </m:r>
                      </m:e>
                      <m:sub>
                        <m:r>
                          <w:rPr>
                            <w:rFonts w:ascii="Cambria Math" w:hAnsi="Cambria Math"/>
                          </w:rPr>
                          <m:t xml:space="preserve">g</m:t>
                        </m:r>
                      </m:sub>
                    </m:sSub>
                    <m:r>
                      <w:rPr>
                        <w:rFonts w:ascii="Cambria Math" w:hAnsi="Cambria Math"/>
                      </w:rPr>
                      <m:t xml:space="preserve">−</m:t>
                    </m:r>
                    <m:r>
                      <w:rPr>
                        <w:rFonts w:ascii="Cambria Math" w:hAnsi="Cambria Math"/>
                      </w:rPr>
                      <m:t xml:space="preserve">1</m:t>
                    </m:r>
                    <m:r>
                      <w:rPr>
                        <w:rFonts w:ascii="Cambria Math" w:hAnsi="Cambria Math"/>
                      </w:rPr>
                      <m:t xml:space="preserve">)</m:t>
                    </m:r>
                  </m:e>
                </m:mr>
              </m:m>
            </m:e>
          </m:d>
          <m:r>
            <w:rPr>
              <w:rFonts w:ascii="Cambria Math" w:hAnsi="Cambria Math"/>
            </w:rPr>
            <m:t xml:space="preserve">,</m:t>
          </m:r>
          <m:r>
            <m:t xml:space="preserve"> </m:t>
          </m:r>
          <m:r>
            <w:rPr>
              <w:rFonts w:ascii="Cambria Math" w:hAnsi="Cambria Math"/>
            </w:rPr>
            <m:t xml:space="preserve">(</m:t>
          </m:r>
          <m:sSub>
            <m:e>
              <m:r>
                <w:rPr>
                  <w:rFonts w:ascii="Cambria Math" w:hAnsi="Cambria Math"/>
                </w:rPr>
                <m:t xml:space="preserve">N</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h</m:t>
              </m:r>
            </m:sub>
          </m:sSub>
          <m:r>
            <w:rPr>
              <w:rFonts w:ascii="Cambria Math" w:hAnsi="Cambria Math"/>
            </w:rPr>
            <m:t xml:space="preserve">)</m:t>
          </m:r>
        </m:oMath>
      </m:oMathPara>
    </w:p>
    <w:p>
      <w:pPr>
        <w:pStyle w:val="EQ"/>
        <w:jc w:val="center"/>
        <w:rPr/>
      </w:pPr>
      <w:r>
        <w:rPr/>
      </w:r>
      <m:oMathPara xmlns:m="http://schemas.openxmlformats.org/officeDocument/2006/math">
        <m:oMathParaPr>
          <m:jc m:val="center"/>
        </m:oMathParaPr>
        <m:oMath>
          <m:d>
            <m:dPr>
              <m:begChr m:val="{"/>
              <m:endChr m:val=""/>
            </m:dPr>
            <m:e>
              <m:m>
                <m:mr>
                  <m:e>
                    <m:sSub>
                      <m:e>
                        <m:r>
                          <w:rPr>
                            <w:rFonts w:ascii="Cambria Math" w:hAnsi="Cambria Math"/>
                          </w:rPr>
                          <m:t xml:space="preserve">N</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h</m:t>
                        </m:r>
                      </m:sub>
                    </m:sSub>
                    <m:r>
                      <w:rPr>
                        <w:rFonts w:ascii="Cambria Math" w:hAnsi="Cambria Math"/>
                      </w:rPr>
                      <m:t xml:space="preserve">−</m:t>
                    </m:r>
                    <m:r>
                      <w:rPr>
                        <w:rFonts w:ascii="Cambria Math" w:hAnsi="Cambria Math"/>
                      </w:rPr>
                      <m:t xml:space="preserve">1</m:t>
                    </m:r>
                  </m:e>
                </m:mr>
                <m:mr>
                  <m:e>
                    <m:sSub>
                      <m:e>
                        <m:r>
                          <w:rPr>
                            <w:rFonts w:ascii="Cambria Math" w:hAnsi="Cambria Math"/>
                          </w:rPr>
                          <m:t xml:space="preserve">N</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g</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h</m:t>
                        </m:r>
                      </m:sub>
                    </m:sSub>
                    <m:r>
                      <w:rPr>
                        <w:rFonts w:ascii="Cambria Math" w:hAnsi="Cambria Math"/>
                      </w:rPr>
                      <m:t xml:space="preserve">−</m:t>
                    </m:r>
                    <m:r>
                      <w:rPr>
                        <w:rFonts w:ascii="Cambria Math" w:hAnsi="Cambria Math"/>
                      </w:rPr>
                      <m:t xml:space="preserve">2</m:t>
                    </m:r>
                  </m:e>
                </m:mr>
                <m:mr>
                  <m:e>
                    <m:r>
                      <w:rPr>
                        <w:rFonts w:ascii="Cambria Math" w:hAnsi="Cambria Math"/>
                      </w:rPr>
                      <m:t xml:space="preserve">L</m:t>
                    </m:r>
                    <m:r>
                      <w:rPr>
                        <w:rFonts w:ascii="Cambria Math" w:hAnsi="Cambria Math"/>
                      </w:rPr>
                      <m:t xml:space="preserve">=</m:t>
                    </m:r>
                    <m:sSub>
                      <m:e>
                        <m:r>
                          <w:rPr>
                            <w:rFonts w:ascii="Cambria Math" w:hAnsi="Cambria Math"/>
                          </w:rPr>
                          <m:t xml:space="preserve">N</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h</m:t>
                        </m:r>
                      </m:sub>
                    </m:sSub>
                    <m:r>
                      <w:rPr>
                        <w:rFonts w:ascii="Cambria Math" w:hAnsi="Cambria Math"/>
                      </w:rPr>
                      <m:t xml:space="preserve">−</m:t>
                    </m:r>
                    <m:r>
                      <w:rPr>
                        <w:rFonts w:ascii="Cambria Math" w:hAnsi="Cambria Math"/>
                      </w:rPr>
                      <m:t xml:space="preserve">2</m:t>
                    </m:r>
                  </m:e>
                </m:mr>
              </m:m>
            </m:e>
          </m:d>
        </m:oMath>
      </m:oMathPara>
    </w:p>
    <w:p>
      <w:pPr>
        <w:pStyle w:val="Normal"/>
        <w:rPr/>
      </w:pPr>
      <w:r>
        <w:rPr/>
        <w:t xml:space="preserve">An adjacent channel interferer with frequency offset </w:t>
      </w:r>
      <w:r>
        <w:rPr/>
      </w:r>
      <m:oMath xmlns:m="http://schemas.openxmlformats.org/officeDocument/2006/math">
        <m:sSub>
          <m:e>
            <m:r>
              <w:rPr>
                <w:rFonts w:ascii="Cambria Math" w:hAnsi="Cambria Math"/>
              </w:rPr>
              <m:t xml:space="preserve">f</m:t>
            </m:r>
          </m:e>
          <m:sub>
            <m:r>
              <w:rPr>
                <w:rFonts w:ascii="Cambria Math" w:hAnsi="Cambria Math"/>
              </w:rPr>
              <m:t xml:space="preserve">Δ</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200</m:t>
        </m:r>
        <m:r>
          <m:t xml:space="preserve"> </m:t>
        </m:r>
        <m:r>
          <m:rPr>
            <m:lit/>
            <m:nor/>
          </m:rPr>
          <w:rPr>
            <w:rFonts w:ascii="Cambria Math" w:hAnsi="Cambria Math"/>
          </w:rPr>
          <m:t xml:space="preserve">kHz</m:t>
        </m:r>
      </m:oMath>
      <w:r>
        <w:rPr/>
        <w:t xml:space="preserve"> is perceived as a rotated interferer with rotation </w:t>
      </w:r>
      <w:r>
        <w:rPr>
          <w:lang w:val="en-US" w:eastAsia="en-US"/>
        </w:rPr>
      </w:r>
      <m:oMath xmlns:m="http://schemas.openxmlformats.org/officeDocument/2006/math">
        <m:sSup>
          <m:e>
            <m:r>
              <w:rPr>
                <w:rFonts w:ascii="Cambria Math" w:hAnsi="Cambria Math"/>
              </w:rPr>
              <m:t xml:space="preserve">e</m:t>
            </m:r>
          </m:e>
          <m:sup>
            <m:r>
              <w:rPr>
                <w:rFonts w:ascii="Cambria Math" w:hAnsi="Cambria Math"/>
              </w:rPr>
              <m:t xml:space="preserve">j</m:t>
            </m:r>
            <m:r>
              <w:rPr>
                <w:rFonts w:ascii="Cambria Math" w:hAnsi="Cambria Math"/>
              </w:rPr>
              <m:t xml:space="preserve">2</m:t>
            </m:r>
            <m:sSub>
              <m:e>
                <m:r>
                  <w:rPr>
                    <w:rFonts w:ascii="Cambria Math" w:hAnsi="Cambria Math"/>
                  </w:rPr>
                  <m:t xml:space="preserve">πf</m:t>
                </m:r>
              </m:e>
              <m:sub>
                <m:r>
                  <w:rPr>
                    <w:rFonts w:ascii="Cambria Math" w:hAnsi="Cambria Math"/>
                  </w:rPr>
                  <m:t xml:space="preserve">Δ</m:t>
                </m:r>
              </m:sub>
            </m:sSub>
            <m:r>
              <m:rPr>
                <m:lit/>
                <m:nor/>
              </m:rPr>
              <w:rPr>
                <w:rFonts w:ascii="Cambria Math" w:hAnsi="Cambria Math"/>
              </w:rPr>
              <m:t xml:space="preserve">nT</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m:t>
            </m:r>
            <m:f>
              <m:num>
                <m:r>
                  <m:rPr>
                    <m:lit/>
                    <m:nor/>
                  </m:rPr>
                  <w:rPr>
                    <w:rFonts w:ascii="Cambria Math" w:hAnsi="Cambria Math"/>
                  </w:rPr>
                  <m:t xml:space="preserve">96</m:t>
                </m:r>
              </m:num>
              <m:den>
                <m:r>
                  <m:rPr>
                    <m:lit/>
                    <m:nor/>
                  </m:rPr>
                  <w:rPr>
                    <w:rFonts w:ascii="Cambria Math" w:hAnsi="Cambria Math"/>
                  </w:rPr>
                  <m:t xml:space="preserve">65</m:t>
                </m:r>
              </m:den>
            </m:f>
            <m:r>
              <w:rPr>
                <w:rFonts w:ascii="Cambria Math" w:hAnsi="Cambria Math"/>
              </w:rPr>
              <m:t xml:space="preserve">n</m:t>
            </m:r>
          </m:sup>
        </m:sSup>
      </m:oMath>
      <w:r>
        <w:rPr>
          <w:lang w:val="en-US" w:eastAsia="en-US"/>
        </w:rPr>
        <w:t xml:space="preserve">, for </w:t>
      </w:r>
      <w:r>
        <w:rPr>
          <w:lang w:val="en-US" w:eastAsia="en-US"/>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f>
          <m:num>
            <m:r>
              <m:rPr>
                <m:lit/>
                <m:nor/>
              </m:rPr>
              <w:rPr>
                <w:rFonts w:ascii="Cambria Math" w:hAnsi="Cambria Math"/>
              </w:rPr>
              <m:t xml:space="preserve">13</m:t>
            </m:r>
          </m:num>
          <m:den>
            <m:r>
              <m:rPr>
                <m:lit/>
                <m:nor/>
              </m:rPr>
              <w:rPr>
                <w:rFonts w:ascii="Cambria Math" w:hAnsi="Cambria Math"/>
              </w:rPr>
              <m:t xml:space="preserve">48</m:t>
            </m:r>
          </m:den>
        </m:f>
        <m:sSup>
          <m:e>
            <m:r>
              <m:rPr>
                <m:lit/>
                <m:nor/>
              </m:rPr>
              <w:rPr>
                <w:rFonts w:ascii="Cambria Math" w:hAnsi="Cambria Math"/>
              </w:rPr>
              <m:t xml:space="preserve">10</m:t>
            </m:r>
          </m:e>
          <m:sup>
            <m:r>
              <w:rPr>
                <w:rFonts w:ascii="Cambria Math" w:hAnsi="Cambria Math"/>
              </w:rPr>
              <m:t xml:space="preserve">6</m:t>
            </m:r>
          </m:sup>
        </m:sSup>
        <m:r>
          <m:t xml:space="preserve"> </m:t>
        </m:r>
        <m:r>
          <w:rPr>
            <w:rFonts w:ascii="Cambria Math" w:hAnsi="Cambria Math"/>
          </w:rPr>
          <m:t xml:space="preserve">s</m:t>
        </m:r>
      </m:oMath>
      <w:r>
        <w:rPr>
          <w:lang w:val="en-US" w:eastAsia="en-US"/>
        </w:rPr>
        <w:t>.</w:t>
      </w:r>
    </w:p>
    <w:p>
      <w:pPr>
        <w:pStyle w:val="Normal"/>
        <w:rPr/>
      </w:pPr>
      <w:r>
        <w:rPr/>
        <w:t>The interfering signal after the Tx-filter is</w:t>
      </w:r>
    </w:p>
    <w:p>
      <w:pPr>
        <w:pStyle w:val="EQ"/>
        <w:rPr/>
      </w:pPr>
      <w:r>
        <w:rPr/>
      </w:r>
      <m:oMath xmlns:m="http://schemas.openxmlformats.org/officeDocument/2006/math">
        <m:r>
          <w:rPr>
            <w:rFonts w:ascii="Cambria Math" w:hAnsi="Cambria Math"/>
          </w:rPr>
          <m:t xml:space="preserve">γ</m:t>
        </m:r>
        <m:d>
          <m:dPr>
            <m:begChr m:val="("/>
            <m:endChr m:val=")"/>
          </m:dPr>
          <m:e>
            <m:r>
              <w:rPr>
                <w:rFonts w:ascii="Cambria Math" w:hAnsi="Cambria Math"/>
              </w:rPr>
              <m:t xml:space="preserve">n</m:t>
            </m:r>
          </m:e>
        </m:d>
        <m:r>
          <w:rPr>
            <w:rFonts w:ascii="Cambria Math" w:hAnsi="Cambria Math"/>
          </w:rPr>
          <m:t xml:space="preserve">=</m:t>
        </m:r>
        <m:sSup>
          <m:e>
            <m:r>
              <w:rPr>
                <w:rFonts w:ascii="Cambria Math" w:hAnsi="Cambria Math"/>
              </w:rPr>
              <m:t xml:space="preserve">e</m:t>
            </m:r>
          </m:e>
          <m:sup>
            <m:r>
              <w:rPr>
                <w:rFonts w:ascii="Cambria Math" w:hAnsi="Cambria Math"/>
              </w:rPr>
              <m:t xml:space="preserve">jφn</m:t>
            </m:r>
          </m:sup>
        </m:sSup>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sup>
          <m:e>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e>
        </m:nary>
        <m:r>
          <w:rPr>
            <w:rFonts w:ascii="Cambria Math" w:hAnsi="Cambria Math"/>
          </w:rPr>
          <m:t xml:space="preserve">,</m:t>
        </m:r>
        <m:r>
          <m:t xml:space="preserve"> </m:t>
        </m:r>
        <m:r>
          <w:rPr>
            <w:rFonts w:ascii="Cambria Math" w:hAnsi="Cambria Math"/>
          </w:rPr>
          <m:t xml:space="preserve">φ</m:t>
        </m:r>
        <m:r>
          <w:rPr>
            <w:rFonts w:ascii="Cambria Math" w:hAnsi="Cambria Math"/>
          </w:rPr>
          <m:t xml:space="preserve">=</m:t>
        </m:r>
        <m:d>
          <m:dPr>
            <m:begChr m:val="{"/>
            <m:endChr m:val=""/>
          </m:dPr>
          <m:e>
            <m:m>
              <m:mr>
                <m:e>
                  <m:r>
                    <w:rPr>
                      <w:rFonts w:ascii="Cambria Math" w:hAnsi="Cambria Math"/>
                    </w:rPr>
                    <m:t xml:space="preserve">±</m:t>
                  </m:r>
                  <m:f>
                    <m:num>
                      <m:r>
                        <m:rPr>
                          <m:lit/>
                          <m:nor/>
                        </m:rPr>
                        <w:rPr>
                          <w:rFonts w:ascii="Cambria Math" w:hAnsi="Cambria Math"/>
                        </w:rPr>
                        <m:t xml:space="preserve">96</m:t>
                      </m:r>
                    </m:num>
                    <m:den>
                      <m:r>
                        <m:rPr>
                          <m:lit/>
                          <m:nor/>
                        </m:rPr>
                        <w:rPr>
                          <w:rFonts w:ascii="Cambria Math" w:hAnsi="Cambria Math"/>
                        </w:rPr>
                        <m:t xml:space="preserve">65</m:t>
                      </m:r>
                    </m:den>
                  </m:f>
                  <m:r>
                    <w:rPr>
                      <w:rFonts w:ascii="Cambria Math" w:hAnsi="Cambria Math"/>
                    </w:rPr>
                    <m:t xml:space="preserve">π</m:t>
                  </m:r>
                  <m:r>
                    <w:rPr>
                      <w:rFonts w:ascii="Cambria Math" w:hAnsi="Cambria Math"/>
                    </w:rPr>
                    <m:t xml:space="preserve">,</m:t>
                  </m:r>
                  <m:r>
                    <m:t xml:space="preserve"> </m:t>
                  </m:r>
                  <m:r>
                    <m:rPr>
                      <m:lit/>
                      <m:nor/>
                    </m:rPr>
                    <w:rPr>
                      <w:rFonts w:ascii="Cambria Math" w:hAnsi="Cambria Math"/>
                    </w:rPr>
                    <m:t xml:space="preserve">adjacent</m:t>
                  </m:r>
                  <m:r>
                    <m:t xml:space="preserve"> </m:t>
                  </m:r>
                  <m:r>
                    <m:rPr>
                      <m:lit/>
                      <m:nor/>
                    </m:rPr>
                    <w:rPr>
                      <w:rFonts w:ascii="Cambria Math" w:hAnsi="Cambria Math"/>
                    </w:rPr>
                    <m:t xml:space="preserve">channel</m:t>
                  </m:r>
                </m:e>
              </m:mr>
              <m:mr>
                <m:e>
                  <m:r>
                    <w:rPr>
                      <w:rFonts w:ascii="Cambria Math" w:hAnsi="Cambria Math"/>
                    </w:rPr>
                    <m:t xml:space="preserve">0</m:t>
                  </m:r>
                  <m:r>
                    <w:rPr>
                      <w:rFonts w:ascii="Cambria Math" w:hAnsi="Cambria Math"/>
                    </w:rPr>
                    <m:t xml:space="preserve">,</m:t>
                  </m:r>
                  <m:r>
                    <m:t xml:space="preserve"> </m:t>
                  </m:r>
                  <m:r>
                    <m:rPr>
                      <m:lit/>
                      <m:nor/>
                    </m:rPr>
                    <w:rPr>
                      <w:rFonts w:ascii="Cambria Math" w:hAnsi="Cambria Math"/>
                    </w:rPr>
                    <m:t xml:space="preserve">co</m:t>
                  </m:r>
                  <m:r>
                    <m:t xml:space="preserve"> </m:t>
                  </m:r>
                  <m:r>
                    <m:rPr>
                      <m:lit/>
                      <m:nor/>
                    </m:rPr>
                    <w:rPr>
                      <w:rFonts w:ascii="Cambria Math" w:hAnsi="Cambria Math"/>
                    </w:rPr>
                    <m:t xml:space="preserve">channel</m:t>
                  </m:r>
                </m:e>
              </m:mr>
            </m:m>
          </m:e>
        </m:d>
      </m:oMath>
      <w:r>
        <w:rPr/>
        <w:t>.</w:t>
        <w:tab/>
        <w:t>(15)</w:t>
      </w:r>
    </w:p>
    <w:p>
      <w:pPr>
        <w:pStyle w:val="Normal"/>
        <w:rPr/>
      </w:pPr>
      <w:r>
        <w:rPr/>
        <w:t>After the combined channel and Rx-filter (</w:t>
      </w: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t</m:t>
        </m:r>
        <m:r>
          <w:rPr>
            <w:rFonts w:ascii="Cambria Math" w:hAnsi="Cambria Math"/>
          </w:rPr>
          <m:t xml:space="preserve">)</m:t>
        </m:r>
      </m:oMath>
      <w:r>
        <w:rPr/>
        <w:t>), where * denotes convolution, the received signal is</w:t>
      </w:r>
    </w:p>
    <w:p>
      <w:pPr>
        <w:pStyle w:val="EQ"/>
        <w:rPr/>
      </w:pPr>
      <w:r>
        <w:rPr/>
      </w:r>
      <m:oMath xmlns:m="http://schemas.openxmlformats.org/officeDocument/2006/math">
        <m:eqArr>
          <m:e>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sup>
              <m:e>
                <m:r>
                  <w:rPr>
                    <w:rFonts w:ascii="Cambria Math" w:hAnsi="Cambria Math"/>
                  </w:rPr>
                  <m:t xml:space="preserve">γ</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m:t>
                </m:r>
              </m:e>
            </m:nary>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sup>
              <m:e>
                <m:sSup>
                  <m:e>
                    <m:r>
                      <w:rPr>
                        <w:rFonts w:ascii="Cambria Math" w:hAnsi="Cambria Math"/>
                      </w:rPr>
                      <m:t xml:space="preserve">e</m:t>
                    </m:r>
                  </m:e>
                  <m:sup>
                    <m:r>
                      <w:rPr>
                        <w:rFonts w:ascii="Cambria Math" w:hAnsi="Cambria Math"/>
                      </w:rPr>
                      <m:t xml:space="preserve">jφ</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sup>
                </m:sSup>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sup>
                  <m:e>
                    <m:d>
                      <m:dPr>
                        <m:begChr m:val="("/>
                        <m:endChr m:val=")"/>
                      </m:dPr>
                      <m:e>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m:t>
                    </m:r>
                  </m:e>
                </m:nary>
              </m:e>
            </m:nary>
          </m:e>
          <m:e>
            <m:r>
              <w:rPr>
                <w:rFonts w:ascii="Cambria Math" w:hAnsi="Cambria Math"/>
              </w:rPr>
              <m:t xml:space="preserve">=</m:t>
            </m:r>
            <m:sSup>
              <m:e>
                <m:r>
                  <w:rPr>
                    <w:rFonts w:ascii="Cambria Math" w:hAnsi="Cambria Math"/>
                  </w:rPr>
                  <m:t xml:space="preserve">e</m:t>
                </m:r>
              </m:e>
              <m:sup>
                <m:r>
                  <w:rPr>
                    <w:rFonts w:ascii="Cambria Math" w:hAnsi="Cambria Math"/>
                  </w:rPr>
                  <m:t xml:space="preserve">jφn</m:t>
                </m:r>
              </m:sup>
            </m:sSup>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sup>
                  <m:e>
                    <m:d>
                      <m:dPr>
                        <m:begChr m:val="("/>
                        <m:endChr m:val=")"/>
                      </m:dPr>
                      <m:e>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e>
                    </m:d>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jφm</m:t>
                        </m:r>
                      </m:sup>
                    </m:sSup>
                  </m:e>
                </m:nary>
              </m:e>
            </m:nary>
          </m:e>
        </m:eqArr>
      </m:oMath>
      <w:r>
        <w:rPr/>
        <w:t>,</w:t>
        <w:tab/>
        <w:t>(16)</w:t>
      </w:r>
    </w:p>
    <w:p>
      <w:pPr>
        <w:pStyle w:val="Normal"/>
        <w:rPr/>
      </w:pPr>
      <w:r>
        <w:rPr/>
        <w:t>i.e. a rotated received signal and a de-rotated channel z(t). The received signal in matrix notation is</w:t>
      </w:r>
    </w:p>
    <w:p>
      <w:pPr>
        <w:pStyle w:val="TextBody"/>
        <w:jc w:val="center"/>
        <w:rPr/>
      </w:pPr>
      <w:r>
        <w:rPr/>
      </w:r>
      <m:oMath xmlns:m="http://schemas.openxmlformats.org/officeDocument/2006/math">
        <m:r>
          <w:rPr>
            <w:rFonts w:ascii="Cambria Math" w:hAnsi="Cambria Math"/>
          </w:rPr>
          <m:t xml:space="preserve">R</m:t>
        </m:r>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m:t>
            </m:r>
          </m:sub>
        </m:sSub>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sSub>
          <m:e>
            <m:r>
              <m:rPr>
                <m:lit/>
                <m:nor/>
              </m:rPr>
              <w:rPr>
                <w:rFonts w:ascii="Cambria Math" w:hAnsi="Cambria Math"/>
              </w:rPr>
              <m:t xml:space="preserve">Ye</m:t>
            </m:r>
          </m:e>
          <m:sub>
            <m:r>
              <w:rPr>
                <w:rFonts w:ascii="Cambria Math" w:hAnsi="Cambria Math"/>
              </w:rPr>
              <m:t xml:space="preserve">−</m:t>
            </m:r>
          </m:sub>
        </m:sSub>
        <m:r>
          <m:rPr>
            <m:lit/>
            <m:nor/>
          </m:rPr>
          <w:rPr>
            <w:rFonts w:ascii="Cambria Math" w:hAnsi="Cambria Math"/>
          </w:rPr>
          <m:t xml:space="preserve">Gh</m:t>
        </m:r>
        <m:r>
          <w:rPr>
            <w:rFonts w:ascii="Cambria Math" w:hAnsi="Cambria Math"/>
          </w:rPr>
          <m:t xml:space="preserve">+</m:t>
        </m:r>
        <m:r>
          <m:rPr>
            <m:lit/>
            <m:nor/>
          </m:rPr>
          <w:rPr>
            <w:rFonts w:ascii="Cambria Math" w:hAnsi="Cambria Math"/>
          </w:rPr>
          <m:t xml:space="preserve">noise</m:t>
        </m:r>
      </m:oMath>
      <w:r>
        <w:rPr/>
        <w:t>,</w:t>
        <w:tab/>
        <w:t>(17)</w:t>
      </w:r>
    </w:p>
    <w:p>
      <w:pPr>
        <w:pStyle w:val="Normal"/>
        <w:rPr/>
      </w:pPr>
      <w:r>
        <w:rPr/>
        <w:t>where</w:t>
      </w:r>
    </w:p>
    <w:p>
      <w:pPr>
        <w:pStyle w:val="EQ"/>
        <w:rPr/>
      </w:pPr>
      <w:r>
        <w:rPr/>
      </w:r>
      <m:oMath xmlns:m="http://schemas.openxmlformats.org/officeDocument/2006/math">
        <m:eqArr>
          <m:e>
            <m:sSub>
              <m:e>
                <m:r>
                  <w:rPr>
                    <w:rFonts w:ascii="Cambria Math" w:hAnsi="Cambria Math"/>
                  </w:rPr>
                  <m:t xml:space="preserve">e</m:t>
                </m:r>
              </m:e>
              <m:sub>
                <m:r>
                  <w:rPr>
                    <w:rFonts w:ascii="Cambria Math" w:hAnsi="Cambria Math"/>
                  </w:rPr>
                  <m:t xml:space="preserve">+</m:t>
                </m:r>
              </m:sub>
            </m:sSub>
            <m:r>
              <w:rPr>
                <w:rFonts w:ascii="Cambria Math" w:hAnsi="Cambria Math"/>
              </w:rPr>
              <m:t xml:space="preserve">=</m:t>
            </m:r>
            <m:d>
              <m:dPr>
                <m:begChr m:val="["/>
                <m:endChr m:val="]"/>
              </m:dPr>
              <m:e>
                <m:m>
                  <m:mr>
                    <m:e>
                      <m:sSup>
                        <m:e>
                          <m:r>
                            <w:rPr>
                              <w:rFonts w:ascii="Cambria Math" w:hAnsi="Cambria Math"/>
                            </w:rPr>
                            <m:t xml:space="preserve">e</m:t>
                          </m:r>
                        </m:e>
                        <m:sup>
                          <m:r>
                            <w:rPr>
                              <w:rFonts w:ascii="Cambria Math" w:hAnsi="Cambria Math"/>
                            </w:rPr>
                            <m:t xml:space="preserve">jφ</m:t>
                          </m:r>
                          <m:r>
                            <w:rPr>
                              <w:rFonts w:ascii="Cambria Math" w:hAnsi="Cambria Math"/>
                            </w:rPr>
                            <m:t xml:space="preserve">0</m:t>
                          </m:r>
                        </m:sup>
                      </m:sSup>
                    </m:e>
                    <m:e>
                      <m:r>
                        <w:rPr>
                          <w:rFonts w:ascii="Cambria Math" w:hAnsi="Cambria Math"/>
                        </w:rPr>
                        <m:t xml:space="preserve">0</m:t>
                      </m:r>
                    </m:e>
                    <m:e>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sSup>
                        <m:e>
                          <m:r>
                            <w:rPr>
                              <w:rFonts w:ascii="Cambria Math" w:hAnsi="Cambria Math"/>
                            </w:rPr>
                            <m:t xml:space="preserve">e</m:t>
                          </m:r>
                        </m:e>
                        <m:sup>
                          <m:r>
                            <w:rPr>
                              <w:rFonts w:ascii="Cambria Math" w:hAnsi="Cambria Math"/>
                            </w:rPr>
                            <m:t xml:space="preserve">jφ</m:t>
                          </m:r>
                          <m:r>
                            <w:rPr>
                              <w:rFonts w:ascii="Cambria Math" w:hAnsi="Cambria Math"/>
                            </w:rPr>
                            <m:t xml:space="preserve">1</m:t>
                          </m:r>
                        </m:sup>
                      </m:sSup>
                    </m:e>
                    <m:e>
                      <m:r>
                        <w:rPr>
                          <w:rFonts w:ascii="Cambria Math" w:hAnsi="Cambria Math"/>
                        </w:rPr>
                        <m:t xml:space="preserve">⋱</m:t>
                      </m:r>
                    </m:e>
                    <m:e>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sSup>
                        <m:e>
                          <m:r>
                            <w:rPr>
                              <w:rFonts w:ascii="Cambria Math" w:hAnsi="Cambria Math"/>
                            </w:rPr>
                            <m:t xml:space="preserve">e</m:t>
                          </m:r>
                        </m:e>
                        <m:sup>
                          <m:r>
                            <w:rPr>
                              <w:rFonts w:ascii="Cambria Math" w:hAnsi="Cambria Math"/>
                            </w:rPr>
                            <m:t xml:space="preserve">jφ</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sup>
                      </m:sSup>
                    </m:e>
                  </m:mr>
                </m:m>
              </m:e>
            </m:d>
            <m:r>
              <w:rPr>
                <w:rFonts w:ascii="Cambria Math" w:hAnsi="Cambria Math"/>
              </w:rPr>
              <m:t xml:space="preserve">,</m:t>
            </m:r>
            <m:r>
              <m:t xml:space="preserve"> </m:t>
            </m:r>
            <m:sSub>
              <m:e>
                <m:r>
                  <w:rPr>
                    <w:rFonts w:ascii="Cambria Math" w:hAnsi="Cambria Math"/>
                  </w:rPr>
                  <m:t xml:space="preserve">e</m:t>
                </m:r>
              </m:e>
              <m:sub>
                <m:r>
                  <w:rPr>
                    <w:rFonts w:ascii="Cambria Math" w:hAnsi="Cambria Math"/>
                  </w:rPr>
                  <m:t xml:space="preserve">−</m:t>
                </m:r>
              </m:sub>
            </m:sSub>
            <m:r>
              <w:rPr>
                <w:rFonts w:ascii="Cambria Math" w:hAnsi="Cambria Math"/>
              </w:rPr>
              <m:t xml:space="preserve">=</m:t>
            </m:r>
            <m:d>
              <m:dPr>
                <m:begChr m:val="["/>
                <m:endChr m:val="]"/>
              </m:dPr>
              <m:e>
                <m:m>
                  <m:mr>
                    <m:e>
                      <m:sSup>
                        <m:e>
                          <m:r>
                            <w:rPr>
                              <w:rFonts w:ascii="Cambria Math" w:hAnsi="Cambria Math"/>
                            </w:rPr>
                            <m:t xml:space="preserve">e</m:t>
                          </m:r>
                        </m:e>
                        <m:sup>
                          <m:r>
                            <w:rPr>
                              <w:rFonts w:ascii="Cambria Math" w:hAnsi="Cambria Math"/>
                            </w:rPr>
                            <m:t xml:space="preserve">−</m:t>
                          </m:r>
                          <m:r>
                            <w:rPr>
                              <w:rFonts w:ascii="Cambria Math" w:hAnsi="Cambria Math"/>
                            </w:rPr>
                            <m:t xml:space="preserve">jφ</m:t>
                          </m:r>
                          <m:r>
                            <w:rPr>
                              <w:rFonts w:ascii="Cambria Math" w:hAnsi="Cambria Math"/>
                            </w:rPr>
                            <m:t xml:space="preserve">0</m:t>
                          </m:r>
                        </m:sup>
                      </m:sSup>
                    </m:e>
                    <m:e>
                      <m:r>
                        <w:rPr>
                          <w:rFonts w:ascii="Cambria Math" w:hAnsi="Cambria Math"/>
                        </w:rPr>
                        <m:t xml:space="preserve">0</m:t>
                      </m:r>
                    </m:e>
                    <m:e>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sSup>
                        <m:e>
                          <m:r>
                            <w:rPr>
                              <w:rFonts w:ascii="Cambria Math" w:hAnsi="Cambria Math"/>
                            </w:rPr>
                            <m:t xml:space="preserve">e</m:t>
                          </m:r>
                        </m:e>
                        <m:sup>
                          <m:r>
                            <w:rPr>
                              <w:rFonts w:ascii="Cambria Math" w:hAnsi="Cambria Math"/>
                            </w:rPr>
                            <m:t xml:space="preserve">−</m:t>
                          </m:r>
                          <m:r>
                            <w:rPr>
                              <w:rFonts w:ascii="Cambria Math" w:hAnsi="Cambria Math"/>
                            </w:rPr>
                            <m:t xml:space="preserve">jφ</m:t>
                          </m:r>
                          <m:r>
                            <w:rPr>
                              <w:rFonts w:ascii="Cambria Math" w:hAnsi="Cambria Math"/>
                            </w:rPr>
                            <m:t xml:space="preserve">1</m:t>
                          </m:r>
                        </m:sup>
                      </m:sSup>
                    </m:e>
                    <m:e>
                      <m:r>
                        <w:rPr>
                          <w:rFonts w:ascii="Cambria Math" w:hAnsi="Cambria Math"/>
                        </w:rPr>
                        <m:t xml:space="preserve">⋱</m:t>
                      </m:r>
                    </m:e>
                    <m:e>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sSup>
                        <m:e>
                          <m:r>
                            <w:rPr>
                              <w:rFonts w:ascii="Cambria Math" w:hAnsi="Cambria Math"/>
                            </w:rPr>
                            <m:t xml:space="preserve">e</m:t>
                          </m:r>
                        </m:e>
                        <m:sup>
                          <m:r>
                            <w:rPr>
                              <w:rFonts w:ascii="Cambria Math" w:hAnsi="Cambria Math"/>
                            </w:rPr>
                            <m:t xml:space="preserve">−</m:t>
                          </m:r>
                          <m:r>
                            <w:rPr>
                              <w:rFonts w:ascii="Cambria Math" w:hAnsi="Cambria Math"/>
                            </w:rPr>
                            <m:t xml:space="preserve">jφ</m:t>
                          </m:r>
                          <m:r>
                            <w:rPr>
                              <w:rFonts w:ascii="Cambria Math" w:hAnsi="Cambria Math"/>
                            </w:rPr>
                            <m:t xml:space="preserve">(</m:t>
                          </m:r>
                          <m:sSub>
                            <m:e>
                              <m:r>
                                <w:rPr>
                                  <w:rFonts w:ascii="Cambria Math" w:hAnsi="Cambria Math"/>
                                </w:rPr>
                                <m:t xml:space="preserve">L</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h</m:t>
                              </m:r>
                            </m:sub>
                          </m:sSub>
                          <m:r>
                            <w:rPr>
                              <w:rFonts w:ascii="Cambria Math" w:hAnsi="Cambria Math"/>
                            </w:rPr>
                            <m:t xml:space="preserve">−</m:t>
                          </m:r>
                          <m:r>
                            <w:rPr>
                              <w:rFonts w:ascii="Cambria Math" w:hAnsi="Cambria Math"/>
                            </w:rPr>
                            <m:t xml:space="preserve">2</m:t>
                          </m:r>
                          <m:r>
                            <w:rPr>
                              <w:rFonts w:ascii="Cambria Math" w:hAnsi="Cambria Math"/>
                            </w:rPr>
                            <m:t xml:space="preserve">)</m:t>
                          </m:r>
                        </m:sup>
                      </m:sSup>
                    </m:e>
                  </m:mr>
                </m:m>
              </m:e>
            </m:d>
          </m:e>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d>
              <m:dPr>
                <m:begChr m:val="["/>
                <m:endChr m:val="]"/>
              </m:dPr>
              <m:e>
                <m:m>
                  <m:mr>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e>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e>
                    <m:e>
                      <m:r>
                        <w:rPr>
                          <w:rFonts w:ascii="Cambria Math" w:hAnsi="Cambria Math"/>
                        </w:rPr>
                        <m:t xml:space="preserve">⋯</m:t>
                      </m:r>
                    </m:e>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0</m:t>
                      </m:r>
                      <m:r>
                        <w:rPr>
                          <w:rFonts w:ascii="Cambria Math" w:hAnsi="Cambria Math"/>
                        </w:rPr>
                        <m:t xml:space="preserve">)</m:t>
                      </m:r>
                    </m:e>
                  </m:mr>
                  <m:mr>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L</m:t>
                      </m:r>
                      <m:r>
                        <w:rPr>
                          <w:rFonts w:ascii="Cambria Math" w:hAnsi="Cambria Math"/>
                        </w:rPr>
                        <m:t xml:space="preserve">)</m:t>
                      </m:r>
                    </m:e>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e>
                    <m:e/>
                    <m:e>
                      <m:r>
                        <w:rPr>
                          <w:rFonts w:ascii="Cambria Math" w:hAnsi="Cambria Math"/>
                        </w:rPr>
                        <m:t xml:space="preserve">⋮</m:t>
                      </m:r>
                    </m:e>
                  </m:mr>
                  <m:mr>
                    <m:e>
                      <m:r>
                        <w:rPr>
                          <w:rFonts w:ascii="Cambria Math" w:hAnsi="Cambria Math"/>
                        </w:rPr>
                        <m:t xml:space="preserve">⋮</m:t>
                      </m:r>
                    </m:e>
                    <m:e/>
                    <m:e>
                      <m:r>
                        <w:rPr>
                          <w:rFonts w:ascii="Cambria Math" w:hAnsi="Cambria Math"/>
                        </w:rPr>
                        <m:t xml:space="preserve">⋱</m:t>
                      </m:r>
                    </m:e>
                    <m:e>
                      <m:r>
                        <w:rPr>
                          <w:rFonts w:ascii="Cambria Math" w:hAnsi="Cambria Math"/>
                        </w:rPr>
                        <m:t xml:space="preserve">⋮</m:t>
                      </m:r>
                    </m:e>
                  </m:mr>
                  <m:mr>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e>
                      <m:r>
                        <w:rPr>
                          <w:rFonts w:ascii="Cambria Math" w:hAnsi="Cambria Math"/>
                        </w:rPr>
                        <m:t xml:space="preserve">⋯</m:t>
                      </m:r>
                    </m:e>
                    <m:e>
                      <m:r>
                        <w:rPr>
                          <w:rFonts w:ascii="Cambria Math" w:hAnsi="Cambria Math"/>
                        </w:rPr>
                        <m:t xml:space="preserve">⋯</m:t>
                      </m:r>
                    </m:e>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e>
                  </m:mr>
                </m:m>
              </m:e>
            </m:d>
          </m:e>
        </m:eqArr>
      </m:oMath>
      <w:r>
        <w:rPr/>
        <w:tab/>
        <w:t>(18)</w:t>
      </w:r>
    </w:p>
    <w:p>
      <w:pPr>
        <w:pStyle w:val="Normal"/>
        <w:rPr/>
      </w:pPr>
      <w:r>
        <w:rPr/>
        <w:t>The least squares estimate of h</w:t>
      </w:r>
      <w:r>
        <w:rPr>
          <w:vertAlign w:val="subscript"/>
        </w:rPr>
        <w:t>k</w:t>
      </w:r>
      <w:r>
        <w:rPr/>
        <w:t xml:space="preserve"> is</w:t>
      </w:r>
    </w:p>
    <w:p>
      <w:pPr>
        <w:pStyle w:val="EQ"/>
        <w:jc w:val="center"/>
        <w:rPr/>
      </w:pPr>
      <w:r>
        <w:rPr/>
      </w:r>
      <m:oMath xmlns:m="http://schemas.openxmlformats.org/officeDocument/2006/math">
        <m:sSub>
          <m:e>
            <m:acc>
              <m:accPr>
                <m:chr m:val="^"/>
              </m:accPr>
              <m:e>
                <m:r>
                  <w:rPr>
                    <w:rFonts w:ascii="Cambria Math" w:hAnsi="Cambria Math"/>
                  </w:rPr>
                  <m:t xml:space="preserve">h</m:t>
                </m:r>
              </m:e>
            </m:acc>
          </m:e>
          <m:sub>
            <m:r>
              <w:rPr>
                <w:rFonts w:ascii="Cambria Math" w:hAnsi="Cambria Math"/>
              </w:rPr>
              <m:t xml:space="preserve">k</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sSubSup>
        <m:sSub>
          <m:e>
            <m:r>
              <w:rPr>
                <w:rFonts w:ascii="Cambria Math" w:hAnsi="Cambria Math"/>
              </w:rPr>
              <m:t xml:space="preserve">e</m:t>
            </m:r>
          </m:e>
          <m:sub>
            <m:r>
              <w:rPr>
                <w:rFonts w:ascii="Cambria Math" w:hAnsi="Cambria Math"/>
              </w:rPr>
              <m:t xml:space="preserve">+</m:t>
            </m:r>
          </m:sub>
        </m:sSub>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sSub>
          <m:e>
            <m:r>
              <m:rPr>
                <m:lit/>
                <m:nor/>
              </m:rPr>
              <w:rPr>
                <w:rFonts w:ascii="Cambria Math" w:hAnsi="Cambria Math"/>
              </w:rPr>
              <m:t xml:space="preserve">Ye</m:t>
            </m:r>
          </m:e>
          <m:sub>
            <m:r>
              <w:rPr>
                <w:rFonts w:ascii="Cambria Math" w:hAnsi="Cambria Math"/>
              </w:rPr>
              <m:t xml:space="preserve">−</m:t>
            </m:r>
          </m:sub>
        </m:sSub>
        <m:r>
          <m:rPr>
            <m:lit/>
            <m:nor/>
          </m:rPr>
          <w:rPr>
            <w:rFonts w:ascii="Cambria Math" w:hAnsi="Cambria Math"/>
          </w:rPr>
          <m:t xml:space="preserve">Gh</m:t>
        </m:r>
        <m:r>
          <w:rPr>
            <w:rFonts w:ascii="Cambria Math" w:hAnsi="Cambria Math"/>
          </w:rPr>
          <m:t xml:space="preserve">+</m:t>
        </m:r>
        <m:r>
          <m:rPr>
            <m:lit/>
            <m:nor/>
          </m:rPr>
          <w:rPr>
            <w:rFonts w:ascii="Cambria Math" w:hAnsi="Cambria Math"/>
          </w:rPr>
          <m:t xml:space="preserve">error</m:t>
        </m:r>
      </m:oMath>
      <w:r>
        <w:rPr/>
        <w:t>.</w:t>
        <w:tab/>
        <w:t>(19)</w:t>
      </w:r>
    </w:p>
    <w:p>
      <w:pPr>
        <w:pStyle w:val="Normal"/>
        <w:rPr/>
      </w:pPr>
      <w:r>
        <w:rPr/>
        <w:t>Note that this least squares use rotated sequences, this is equivalent to using un-rotated sequences and de-rotating the received signal, this is shown inSubclause ZE.1.4. Rotated sequences are used here for simplicity.</w:t>
      </w:r>
    </w:p>
    <w:p>
      <w:pPr>
        <w:pStyle w:val="Normal"/>
        <w:rPr/>
      </w:pPr>
      <w:r>
        <w:rPr/>
        <w:t xml:space="preserve">The training sequences should be selected such that the energy leaked from an interfering signal </w:t>
      </w:r>
      <w:r>
        <w:rPr/>
      </w:r>
      <m:oMath xmlns:m="http://schemas.openxmlformats.org/officeDocument/2006/math">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oMath>
      <w:r>
        <w:rPr/>
        <w:t xml:space="preserve"> is minimized, where </w:t>
      </w:r>
      <w:r>
        <w:rPr/>
      </w:r>
      <m:oMath xmlns:m="http://schemas.openxmlformats.org/officeDocument/2006/math">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r>
          <w:rPr>
            <w:rFonts w:ascii="Cambria Math" w:hAnsi="Cambria Math"/>
          </w:rPr>
          <m:t xml:space="preserve">=</m:t>
        </m:r>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sSubSup>
        <m:sSub>
          <m:e>
            <m:r>
              <w:rPr>
                <w:rFonts w:ascii="Cambria Math" w:hAnsi="Cambria Math"/>
              </w:rPr>
              <m:t xml:space="preserve">e</m:t>
            </m:r>
          </m:e>
          <m:sub>
            <m:r>
              <w:rPr>
                <w:rFonts w:ascii="Cambria Math" w:hAnsi="Cambria Math"/>
              </w:rPr>
              <m:t xml:space="preserve">+</m:t>
            </m:r>
          </m:sub>
        </m:sSub>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sSub>
          <m:e>
            <m:r>
              <m:rPr>
                <m:lit/>
                <m:nor/>
              </m:rPr>
              <w:rPr>
                <w:rFonts w:ascii="Cambria Math" w:hAnsi="Cambria Math"/>
              </w:rPr>
              <m:t xml:space="preserve">Ye</m:t>
            </m:r>
          </m:e>
          <m:sub>
            <m:r>
              <w:rPr>
                <w:rFonts w:ascii="Cambria Math" w:hAnsi="Cambria Math"/>
              </w:rPr>
              <m:t xml:space="preserve">−</m:t>
            </m:r>
          </m:sub>
        </m:sSub>
        <m:r>
          <m:rPr>
            <m:lit/>
            <m:nor/>
          </m:rPr>
          <w:rPr>
            <w:rFonts w:ascii="Cambria Math" w:hAnsi="Cambria Math"/>
          </w:rPr>
          <m:t xml:space="preserve">Gh</m:t>
        </m:r>
      </m:oMath>
      <w:r>
        <w:rPr/>
        <w:t>. Assume a one branch receiver, an unknown Rx-filter and that the covariance of the Rx-filter and channel are equal to identity (corresponding to independent and identically distributed taps).</w:t>
      </w:r>
    </w:p>
    <w:p>
      <w:pPr>
        <w:pStyle w:val="Normal"/>
        <w:rPr/>
      </w:pPr>
      <w:r>
        <w:rPr/>
        <w:t>Similarly as in Subclause ZE.1.2.2.2.1</w:t>
      </w:r>
    </w:p>
    <w:p>
      <w:pPr>
        <w:pStyle w:val="EQ"/>
        <w:rPr/>
      </w:pPr>
      <w:r>
        <w:rPr/>
      </w:r>
      <m:oMath xmlns:m="http://schemas.openxmlformats.org/officeDocument/2006/math">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r>
          <w:rPr>
            <w:rFonts w:ascii="Cambria Math" w:hAnsi="Cambria Math"/>
          </w:rPr>
          <m:t xml:space="preserve">=</m:t>
        </m:r>
        <m:r>
          <m:rPr>
            <m:lit/>
            <m:nor/>
          </m:rPr>
          <w:rPr>
            <w:rFonts w:ascii="Cambria Math" w:hAnsi="Cambria Math"/>
          </w:rPr>
          <m:t xml:space="preserve">tr</m:t>
        </m:r>
        <m:d>
          <m:dPr>
            <m:begChr m:val="{"/>
            <m:endChr m:val="}"/>
          </m:dPr>
          <m:e>
            <m:r>
              <m:t xml:space="preserve"> </m:t>
            </m:r>
            <m:sSup>
              <m:e>
                <m:r>
                  <w:rPr>
                    <w:rFonts w:ascii="Cambria Math" w:hAnsi="Cambria Math"/>
                  </w:rPr>
                  <m:t xml:space="preserve">Y</m:t>
                </m:r>
              </m:e>
              <m:sup>
                <m:r>
                  <w:rPr>
                    <w:rFonts w:ascii="Cambria Math" w:hAnsi="Cambria Math"/>
                  </w:rPr>
                  <m:t xml:space="preserve">H</m:t>
                </m:r>
              </m:sup>
            </m:sSup>
            <m:sSubSup>
              <m:e>
                <m:r>
                  <w:rPr>
                    <w:rFonts w:ascii="Cambria Math" w:hAnsi="Cambria Math"/>
                  </w:rPr>
                  <m:t xml:space="preserve">S</m:t>
                </m:r>
              </m:e>
              <m:sub>
                <m:r>
                  <w:rPr>
                    <w:rFonts w:ascii="Cambria Math" w:hAnsi="Cambria Math"/>
                  </w:rPr>
                  <m:t xml:space="preserve">p</m:t>
                </m:r>
              </m:sub>
              <m:sup/>
            </m:sSubSup>
            <m:sSubSup>
              <m:e>
                <m:r>
                  <w:rPr>
                    <w:rFonts w:ascii="Cambria Math" w:hAnsi="Cambria Math"/>
                  </w:rPr>
                  <m:t xml:space="preserve">e</m:t>
                </m:r>
              </m:e>
              <m:sub>
                <m:r>
                  <w:rPr>
                    <w:rFonts w:ascii="Cambria Math" w:hAnsi="Cambria Math"/>
                  </w:rPr>
                  <m:t xml:space="preserve">+</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sSubSup>
            <m:sSub>
              <m:e>
                <m:r>
                  <w:rPr>
                    <w:rFonts w:ascii="Cambria Math" w:hAnsi="Cambria Math"/>
                  </w:rPr>
                  <m:t xml:space="preserve">e</m:t>
                </m:r>
              </m:e>
              <m:sub>
                <m:r>
                  <w:rPr>
                    <w:rFonts w:ascii="Cambria Math" w:hAnsi="Cambria Math"/>
                  </w:rPr>
                  <m:t xml:space="preserve">+</m:t>
                </m:r>
              </m:sub>
            </m:sSub>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Y</m:t>
            </m:r>
          </m:e>
        </m:d>
      </m:oMath>
      <w:r>
        <w:rPr/>
        <w:t>.</w:t>
        <w:tab/>
        <w:t>(20)</w:t>
      </w:r>
    </w:p>
    <w:p>
      <w:pPr>
        <w:pStyle w:val="Normal"/>
        <w:rPr/>
      </w:pPr>
      <w:r>
        <w:rPr/>
        <w:t xml:space="preserve">Because of the assumptions on G and h </w:t>
      </w:r>
      <w:r>
        <w:rPr/>
      </w:r>
      <m:oMath xmlns:m="http://schemas.openxmlformats.org/officeDocument/2006/math">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oMath>
      <w:r>
        <w:rPr/>
        <w:t xml:space="preserve">  becomes independent of G, h and </w:t>
      </w:r>
      <w:r>
        <w:rPr/>
      </w:r>
      <m:oMath xmlns:m="http://schemas.openxmlformats.org/officeDocument/2006/math">
        <m:sSub>
          <m:e>
            <m:r>
              <w:rPr>
                <w:rFonts w:ascii="Cambria Math" w:hAnsi="Cambria Math"/>
              </w:rPr>
              <m:t xml:space="preserve">e</m:t>
            </m:r>
          </m:e>
          <m:sub>
            <m:r>
              <w:rPr>
                <w:rFonts w:ascii="Cambria Math" w:hAnsi="Cambria Math"/>
              </w:rPr>
              <m:t xml:space="preserve">−</m:t>
            </m:r>
          </m:sub>
        </m:sSub>
      </m:oMath>
      <w:r>
        <w:rPr/>
        <w:t>. The expression is normalized with respect to the total unknown channel length (L</w:t>
      </w:r>
      <w:r>
        <w:rPr>
          <w:vertAlign w:val="subscript"/>
        </w:rPr>
        <w:t>h</w:t>
      </w:r>
      <w:r>
        <w:rPr/>
        <w:t>+L</w:t>
      </w:r>
      <w:r>
        <w:rPr>
          <w:vertAlign w:val="subscript"/>
        </w:rPr>
        <w:t>g</w:t>
      </w:r>
      <w:r>
        <w:rPr/>
        <w:t>-1 = L-L</w:t>
      </w:r>
      <w:r>
        <w:rPr>
          <w:vertAlign w:val="subscript"/>
        </w:rPr>
        <w:t>y</w:t>
      </w:r>
      <w:r>
        <w:rPr/>
        <w:t xml:space="preserve">+1) and scaled in the same way as the SNR-degradation. The resulting cost is cubed to increase the dynamic range to punish bad pairs. </w:t>
      </w:r>
    </w:p>
    <w:p>
      <w:pPr>
        <w:pStyle w:val="Normal"/>
        <w:rPr>
          <w:vertAlign w:val="subscript"/>
        </w:rPr>
      </w:pPr>
      <w:r>
        <w:rPr/>
        <w:t xml:space="preserve">If the interfering signal is unsynchronized, the sequences do not completely overlap. The error due to the interfering training sequence only depends on the overlapping part. This means that the non-overlapping parts of the sequences need to be removed from S', denote these truncated versions of S' as S'(μ), where μ is the time lag between user "k" and interferer "p". Note that the least squares algorithm still remains the same, therefore the factors </w:t>
      </w:r>
      <w:r>
        <w:rPr/>
      </w:r>
      <m:oMath xmlns:m="http://schemas.openxmlformats.org/officeDocument/2006/math">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oMath>
      <w:r>
        <w:rPr/>
        <w:t xml:space="preserve"> are unchanged. The maximum impact from an interfering sequence s'</w:t>
      </w:r>
      <w:r>
        <w:rPr>
          <w:vertAlign w:val="subscript"/>
        </w:rPr>
        <w:t xml:space="preserve">p </w:t>
      </w:r>
      <w:r>
        <w:rPr/>
        <w:t>(with some modulation) when using the carrier sequence s'</w:t>
      </w:r>
      <w:r>
        <w:rPr>
          <w:vertAlign w:val="subscript"/>
        </w:rPr>
        <w:t>k</w:t>
      </w:r>
      <w:r>
        <w:rPr/>
        <w:t xml:space="preserve"> (with some modulation) is denoted "cross correlation cost" and is defined as,</w:t>
      </w:r>
    </w:p>
    <w:p>
      <w:pPr>
        <w:pStyle w:val="EQ"/>
        <w:rPr/>
      </w:pPr>
      <w:r>
        <w:rPr/>
      </w:r>
      <m:oMath xmlns:m="http://schemas.openxmlformats.org/officeDocument/2006/math">
        <m:eqArr>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m:t>
            </m:r>
            <m:limLow>
              <m:e>
                <m:r>
                  <m:rPr>
                    <m:lit/>
                    <m:nor/>
                  </m:rPr>
                  <w:rPr>
                    <w:rFonts w:ascii="Cambria Math" w:hAnsi="Cambria Math"/>
                  </w:rPr>
                  <m:t xml:space="preserve">max</m:t>
                </m:r>
              </m:e>
              <m:lim>
                <m:d>
                  <m:dPr>
                    <m:begChr m:val="{"/>
                    <m:endChr m:val=""/>
                  </m:dPr>
                  <m:e>
                    <m:m>
                      <m:mr>
                        <m:e>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10</m:t>
                              </m:r>
                            </m:e>
                          </m:d>
                        </m:e>
                      </m:mr>
                      <m:mr>
                        <m:e>
                          <m:r>
                            <w:rPr>
                              <w:rFonts w:ascii="Cambria Math" w:hAnsi="Cambria Math"/>
                            </w:rPr>
                            <m:t xml:space="preserve">μ</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6</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6</m:t>
                              </m:r>
                            </m:e>
                          </m:d>
                        </m:e>
                      </m:mr>
                    </m:m>
                  </m:e>
                </m:d>
              </m:lim>
            </m:limLow>
            <m:d>
              <m:dPr>
                <m:begChr m:val="{"/>
                <m:endChr m:val="}"/>
              </m:dPr>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μ</m:t>
                </m:r>
                <m:r>
                  <w:rPr>
                    <w:rFonts w:ascii="Cambria Math" w:hAnsi="Cambria Math"/>
                  </w:rPr>
                  <m:t xml:space="preserve">)</m:t>
                </m:r>
              </m:e>
            </m:d>
          </m:e>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μ</m:t>
            </m:r>
            <m:r>
              <w:rPr>
                <w:rFonts w:ascii="Cambria Math" w:hAnsi="Cambria Math"/>
              </w:rPr>
              <m:t xml:space="preserve">)</m:t>
            </m:r>
            <m:r>
              <w:rPr>
                <w:rFonts w:ascii="Cambria Math" w:hAnsi="Cambria Math"/>
              </w:rPr>
              <m:t xml:space="preserve">=</m:t>
            </m:r>
            <m:sSup>
              <m:e>
                <m:d>
                  <m:dPr>
                    <m:begChr m:val="("/>
                    <m:endChr m:val=")"/>
                  </m:dPr>
                  <m:e>
                    <m:r>
                      <m:rPr>
                        <m:lit/>
                        <m:nor/>
                      </m:rPr>
                      <w:rPr>
                        <w:rFonts w:ascii="Cambria Math" w:hAnsi="Cambria Math"/>
                      </w:rPr>
                      <m:t xml:space="preserve">10</m:t>
                    </m:r>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r>
                          <w:rPr>
                            <w:rFonts w:ascii="Cambria Math" w:hAnsi="Cambria Math"/>
                          </w:rPr>
                          <m:t xml:space="preserve">1</m:t>
                        </m:r>
                        <m:r>
                          <w:rPr>
                            <w:rFonts w:ascii="Cambria Math" w:hAnsi="Cambria Math"/>
                          </w:rPr>
                          <m:t xml:space="preserve">+</m:t>
                        </m:r>
                        <m:f>
                          <m:num>
                            <m:sSup>
                              <m:e>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μ</m:t>
                                            </m:r>
                                          </m:e>
                                        </m:d>
                                      </m:den>
                                    </m:f>
                                  </m:e>
                                </m:d>
                              </m:e>
                              <m:sup>
                                <m:r>
                                  <w:rPr>
                                    <w:rFonts w:ascii="Cambria Math" w:hAnsi="Cambria Math"/>
                                  </w:rPr>
                                  <m:t xml:space="preserve">2</m:t>
                                </m:r>
                              </m:sup>
                            </m:sSup>
                          </m:num>
                          <m:den>
                            <m:r>
                              <m:rPr>
                                <m:lit/>
                                <m:nor/>
                              </m:rPr>
                              <w:rPr>
                                <w:rFonts w:ascii="Cambria Math" w:hAnsi="Cambria Math"/>
                              </w:rPr>
                              <m:t xml:space="preserve">max</m:t>
                            </m:r>
                            <m:r>
                              <w:rPr>
                                <w:rFonts w:ascii="Cambria Math" w:hAnsi="Cambria Math"/>
                              </w:rPr>
                              <m:t xml:space="preserve">(</m:t>
                            </m:r>
                            <m:r>
                              <w:rPr>
                                <w:rFonts w:ascii="Cambria Math" w:hAnsi="Cambria Math"/>
                              </w:rPr>
                              <m:t xml:space="preserve">L</m:t>
                            </m:r>
                            <m:r>
                              <w:rPr>
                                <w:rFonts w:ascii="Cambria Math" w:hAnsi="Cambria Math"/>
                              </w:rPr>
                              <m:t xml:space="preserve">−</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r>
                              <w:rPr>
                                <w:rFonts w:ascii="Cambria Math" w:hAnsi="Cambria Math"/>
                              </w:rPr>
                              <m:t xml:space="preserve">1,1</m:t>
                            </m:r>
                            <m:r>
                              <w:rPr>
                                <w:rFonts w:ascii="Cambria Math" w:hAnsi="Cambria Math"/>
                              </w:rPr>
                              <m:t xml:space="preserve">)</m:t>
                            </m:r>
                          </m:den>
                        </m:f>
                        <m:r>
                          <m:rPr>
                            <m:lit/>
                            <m:nor/>
                          </m:rPr>
                          <w:rPr>
                            <w:rFonts w:ascii="Cambria Math" w:hAnsi="Cambria Math"/>
                          </w:rPr>
                          <m:t xml:space="preserve">tr</m:t>
                        </m:r>
                        <m:d>
                          <m:dPr>
                            <m:begChr m:val="{"/>
                            <m:endChr m:val="}"/>
                          </m:dPr>
                          <m:e>
                            <m:sSup>
                              <m:e>
                                <m:r>
                                  <w:rPr>
                                    <w:rFonts w:ascii="Cambria Math" w:hAnsi="Cambria Math"/>
                                  </w:rPr>
                                  <m:t xml:space="preserve">Y</m:t>
                                </m:r>
                              </m:e>
                              <m:sup>
                                <m:r>
                                  <w:rPr>
                                    <w:rFonts w:ascii="Cambria Math" w:hAnsi="Cambria Math"/>
                                  </w:rPr>
                                  <m:t xml:space="preserve">H</m:t>
                                </m:r>
                              </m:sup>
                            </m:sSup>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r>
                              <w:rPr>
                                <w:rFonts w:ascii="Cambria Math" w:hAnsi="Cambria Math"/>
                              </w:rPr>
                              <m:t xml:space="preserve">μ</m:t>
                            </m:r>
                            <m:r>
                              <w:rPr>
                                <w:rFonts w:ascii="Cambria Math" w:hAnsi="Cambria Math"/>
                              </w:rPr>
                              <m:t xml:space="preserve">)</m:t>
                            </m:r>
                            <m:sSubSup>
                              <m:e>
                                <m:r>
                                  <w:rPr>
                                    <w:rFonts w:ascii="Cambria Math" w:hAnsi="Cambria Math"/>
                                  </w:rPr>
                                  <m:t xml:space="preserve">e</m:t>
                                </m:r>
                              </m:e>
                              <m:sub>
                                <m:r>
                                  <w:rPr>
                                    <w:rFonts w:ascii="Cambria Math" w:hAnsi="Cambria Math"/>
                                  </w:rPr>
                                  <m:t xml:space="preserve">+</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r>
                              <w:rPr>
                                <w:rFonts w:ascii="Cambria Math" w:hAnsi="Cambria Math"/>
                              </w:rPr>
                              <m:t xml:space="preserve">μ</m:t>
                            </m:r>
                            <m:r>
                              <w:rPr>
                                <w:rFonts w:ascii="Cambria Math" w:hAnsi="Cambria Math"/>
                              </w:rPr>
                              <m:t xml:space="preserve">)</m:t>
                            </m:r>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r>
                              <w:rPr>
                                <w:rFonts w:ascii="Cambria Math" w:hAnsi="Cambria Math"/>
                              </w:rPr>
                              <m:t xml:space="preserve">μ</m:t>
                            </m:r>
                            <m:r>
                              <w:rPr>
                                <w:rFonts w:ascii="Cambria Math" w:hAnsi="Cambria Math"/>
                              </w:rPr>
                              <m:t xml:space="preserve">)</m:t>
                            </m:r>
                            <m:sSub>
                              <m:e>
                                <m:r>
                                  <w:rPr>
                                    <w:rFonts w:ascii="Cambria Math" w:hAnsi="Cambria Math"/>
                                  </w:rPr>
                                  <m:t xml:space="preserve">e</m:t>
                                </m:r>
                              </m:e>
                              <m:sub>
                                <m:r>
                                  <w:rPr>
                                    <w:rFonts w:ascii="Cambria Math" w:hAnsi="Cambria Math"/>
                                  </w:rPr>
                                  <m:t xml:space="preserve">+</m:t>
                                </m:r>
                              </m:sub>
                            </m:sSub>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μ</m:t>
                            </m:r>
                            <m:r>
                              <w:rPr>
                                <w:rFonts w:ascii="Cambria Math" w:hAnsi="Cambria Math"/>
                              </w:rPr>
                              <m:t xml:space="preserve">)</m:t>
                            </m:r>
                            <m:r>
                              <w:rPr>
                                <w:rFonts w:ascii="Cambria Math" w:hAnsi="Cambria Math"/>
                              </w:rPr>
                              <m:t xml:space="preserve">Y</m:t>
                            </m:r>
                          </m:e>
                        </m:d>
                      </m:e>
                    </m:d>
                  </m:e>
                </m:d>
              </m:e>
              <m:sup>
                <m:r>
                  <w:rPr>
                    <w:rFonts w:ascii="Cambria Math" w:hAnsi="Cambria Math"/>
                  </w:rPr>
                  <m:t xml:space="preserve">3</m:t>
                </m:r>
              </m:sup>
            </m:sSup>
          </m:e>
        </m:eqArr>
      </m:oMath>
      <w:r>
        <w:rPr/>
        <w:tab/>
        <w:t>(21)</w:t>
      </w:r>
    </w:p>
    <w:p>
      <w:pPr>
        <w:pStyle w:val="Normal"/>
        <w:rPr/>
      </w:pPr>
      <w:r>
        <w:rPr/>
        <w:t>Note that if L is smaller than L</w:t>
      </w:r>
      <w:r>
        <w:rPr>
          <w:vertAlign w:val="subscript"/>
        </w:rPr>
        <w:t>y</w:t>
      </w:r>
      <w:r>
        <w:rPr/>
        <w:t xml:space="preserve"> the length of the total unknown channel is 1 and the Tx-filter is truncated to its strongest taps. For scaling purposes the sum of the used Tx-filter taps should be equal to one.</w:t>
      </w:r>
    </w:p>
    <w:p>
      <w:pPr>
        <w:pStyle w:val="Normal"/>
        <w:rPr/>
      </w:pPr>
      <w:r>
        <w:rPr/>
        <w:t xml:space="preserve">The cost matrices when comparing candidate sequences of the same modulation for co-channel interference are </w:t>
      </w:r>
    </w:p>
    <w:p>
      <w:pPr>
        <w:pStyle w:val="EQ"/>
        <w:rPr/>
      </w:pPr>
      <w:r>
        <w:rPr/>
      </w:r>
      <m:oMath xmlns:m="http://schemas.openxmlformats.org/officeDocument/2006/math">
        <m:r>
          <w:rPr>
            <w:rFonts w:ascii="Cambria Math" w:hAnsi="Cambria Math"/>
          </w:rPr>
          <m:t xml:space="preserve">D</m:t>
        </m:r>
        <m:r>
          <w:rPr>
            <w:rFonts w:ascii="Cambria Math" w:hAnsi="Cambria Math"/>
          </w:rPr>
          <m:t xml:space="preserve">(</m:t>
        </m:r>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Ψ</m:t>
                  </m:r>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e>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0</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1</m:t>
                      </m:r>
                    </m:sub>
                    <m:sup>
                      <m:r>
                        <w:rPr>
                          <w:rFonts w:ascii="Cambria Math" w:hAnsi="Cambria Math"/>
                        </w:rPr>
                        <m:t xml:space="preserve">'</m:t>
                      </m:r>
                    </m:sup>
                  </m:sSubSup>
                  <m:r>
                    <w:rPr>
                      <w:rFonts w:ascii="Cambria Math" w:hAnsi="Cambria Math"/>
                    </w:rPr>
                    <m:t xml:space="preserve">)</m:t>
                  </m:r>
                </m:e>
                <m:e>
                  <m:r>
                    <w:rPr>
                      <w:rFonts w:ascii="Cambria Math" w:hAnsi="Cambria Math"/>
                    </w:rPr>
                    <m:t xml:space="preserve">⋯</m:t>
                  </m:r>
                </m:e>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0</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e>
              </m:mr>
              <m:mr>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1</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0</m:t>
                      </m:r>
                    </m:sub>
                    <m:sup>
                      <m:r>
                        <w:rPr>
                          <w:rFonts w:ascii="Cambria Math" w:hAnsi="Cambria Math"/>
                        </w:rPr>
                        <m:t xml:space="preserve">'</m:t>
                      </m:r>
                    </m:sup>
                  </m:sSubSup>
                  <m:r>
                    <w:rPr>
                      <w:rFonts w:ascii="Cambria Math" w:hAnsi="Cambria Math"/>
                    </w:rPr>
                    <m:t xml:space="preserve">)</m:t>
                  </m:r>
                </m:e>
                <m:e>
                  <m:r>
                    <w:rPr>
                      <w:rFonts w:ascii="Cambria Math" w:hAnsi="Cambria Math"/>
                    </w:rPr>
                    <m:t xml:space="preserve">Ψ</m:t>
                  </m:r>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e>
                <m:e/>
                <m:e>
                  <m:r>
                    <w:rPr>
                      <w:rFonts w:ascii="Cambria Math" w:hAnsi="Cambria Math"/>
                    </w:rPr>
                    <m:t xml:space="preserve">⋮</m:t>
                  </m:r>
                </m:e>
              </m:mr>
              <m:mr>
                <m:e>
                  <m:r>
                    <w:rPr>
                      <w:rFonts w:ascii="Cambria Math" w:hAnsi="Cambria Math"/>
                    </w:rPr>
                    <m:t xml:space="preserve">⋮</m:t>
                  </m:r>
                </m:e>
                <m:e/>
                <m:e>
                  <m:r>
                    <w:rPr>
                      <w:rFonts w:ascii="Cambria Math" w:hAnsi="Cambria Math"/>
                    </w:rPr>
                    <m:t xml:space="preserve">⋱</m:t>
                  </m:r>
                </m:e>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2</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e>
              </m:mr>
              <m:mr>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0</m:t>
                      </m:r>
                    </m:sub>
                    <m:sup>
                      <m:r>
                        <w:rPr>
                          <w:rFonts w:ascii="Cambria Math" w:hAnsi="Cambria Math"/>
                        </w:rPr>
                        <m:t xml:space="preserve">'</m:t>
                      </m:r>
                    </m:sup>
                  </m:sSubSup>
                  <m:r>
                    <w:rPr>
                      <w:rFonts w:ascii="Cambria Math" w:hAnsi="Cambria Math"/>
                    </w:rPr>
                    <m:t xml:space="preserve">)</m:t>
                  </m:r>
                </m:e>
                <m:e>
                  <m:r>
                    <w:rPr>
                      <w:rFonts w:ascii="Cambria Math" w:hAnsi="Cambria Math"/>
                    </w:rPr>
                    <m:t xml:space="preserve">⋯</m:t>
                  </m:r>
                </m:e>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2</m:t>
                      </m:r>
                    </m:sub>
                    <m:sup>
                      <m:r>
                        <w:rPr>
                          <w:rFonts w:ascii="Cambria Math" w:hAnsi="Cambria Math"/>
                        </w:rPr>
                        <m:t xml:space="preserve">'</m:t>
                      </m:r>
                    </m:sup>
                  </m:sSubSup>
                  <m:r>
                    <w:rPr>
                      <w:rFonts w:ascii="Cambria Math" w:hAnsi="Cambria Math"/>
                    </w:rPr>
                    <m:t xml:space="preserve">)</m:t>
                  </m:r>
                </m:e>
                <m:e>
                  <m:r>
                    <w:rPr>
                      <w:rFonts w:ascii="Cambria Math" w:hAnsi="Cambria Math"/>
                    </w:rPr>
                    <m:t xml:space="preserve">Ψ</m:t>
                  </m:r>
                  <m:r>
                    <w:rPr>
                      <w:rFonts w:ascii="Cambria Math" w:hAnsi="Cambria Math"/>
                    </w:rPr>
                    <m:t xml:space="preserve">(</m:t>
                  </m:r>
                  <m:sSub>
                    <m:e>
                      <m:r>
                        <w:rPr>
                          <w:rFonts w:ascii="Cambria Math" w:hAnsi="Cambria Math"/>
                        </w:rPr>
                        <m:t xml:space="preserve">s</m:t>
                      </m:r>
                    </m:e>
                    <m:sub>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e>
              </m:mr>
            </m:m>
          </m:e>
        </m:d>
      </m:oMath>
      <w:r>
        <w:rPr/>
        <w:t>,</w:t>
        <w:tab/>
        <w:t>(22)</w:t>
      </w:r>
    </w:p>
    <w:p>
      <w:pPr>
        <w:pStyle w:val="Normal"/>
        <w:rPr/>
      </w:pPr>
      <w:r>
        <w:rPr/>
        <w:t xml:space="preserve">where the sub-scripted number denotes a unique sequence among the candidates. </w:t>
      </w:r>
    </w:p>
    <w:p>
      <w:pPr>
        <w:pStyle w:val="Normal"/>
        <w:rPr/>
      </w:pPr>
      <w:r>
        <w:rPr/>
        <w:t>The cost matrices when comparing sequences of different modulation, with adjacent channel interference or when comparing against legacy sequences are</w:t>
      </w:r>
    </w:p>
    <w:p>
      <w:pPr>
        <w:pStyle w:val="EQ"/>
        <w:rPr/>
      </w:pPr>
      <w:r>
        <w:rPr/>
      </w:r>
      <m:oMath xmlns:m="http://schemas.openxmlformats.org/officeDocument/2006/math">
        <m:r>
          <w:rPr>
            <w:rFonts w:ascii="Cambria Math" w:hAnsi="Cambria Math"/>
          </w:rPr>
          <m:t xml:space="preserve">F</m:t>
        </m:r>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m:t>
        </m:r>
        <m:d>
          <m:dPr>
            <m:begChr m:val="["/>
            <m:endChr m:val="]"/>
          </m:dPr>
          <m:e>
            <m:m>
              <m:mr>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e>
                  <m:r>
                    <w:rPr>
                      <w:rFonts w:ascii="Cambria Math" w:hAnsi="Cambria Math"/>
                    </w:rPr>
                    <m:t xml:space="preserve">⋯</m:t>
                  </m:r>
                </m:e>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mr>
              <m:mr>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e/>
                <m:e>
                  <m:r>
                    <w:rPr>
                      <w:rFonts w:ascii="Cambria Math" w:hAnsi="Cambria Math"/>
                    </w:rPr>
                    <m:t xml:space="preserve">⋮</m:t>
                  </m:r>
                </m:e>
              </m:mr>
              <m:mr>
                <m:e>
                  <m:r>
                    <w:rPr>
                      <w:rFonts w:ascii="Cambria Math" w:hAnsi="Cambria Math"/>
                    </w:rPr>
                    <m:t xml:space="preserve">⋮</m:t>
                  </m:r>
                </m:e>
                <m:e/>
                <m:e>
                  <m:r>
                    <w:rPr>
                      <w:rFonts w:ascii="Cambria Math" w:hAnsi="Cambria Math"/>
                    </w:rPr>
                    <m:t xml:space="preserve">⋱</m:t>
                  </m:r>
                </m:e>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mr>
              <m:mr>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e>
                  <m:r>
                    <w:rPr>
                      <w:rFonts w:ascii="Cambria Math" w:hAnsi="Cambria Math"/>
                    </w:rPr>
                    <m:t xml:space="preserve">⋯</m:t>
                  </m:r>
                </m:e>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e>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sSubSup>
                  <m:r>
                    <w:rPr>
                      <w:rFonts w:ascii="Cambria Math" w:hAnsi="Cambria Math"/>
                    </w:rPr>
                    <m:t xml:space="preserve">)</m:t>
                  </m:r>
                </m:e>
              </m:mr>
            </m:m>
          </m:e>
        </m:d>
      </m:oMath>
      <w:r>
        <w:rPr/>
        <w:t>,</w:t>
        <w:tab/>
        <w:t>(23)</w:t>
      </w:r>
    </w:p>
    <w:p>
      <w:pPr>
        <w:pStyle w:val="Normal"/>
        <w:rPr/>
      </w:pPr>
      <w:r>
        <w:rPr/>
        <w:t xml:space="preserve">where k and p denote two different sets of sequences and the super-scripted number denotes unique sequences in those sets. Each element in F is calculated as the maximum value of </w:t>
      </w:r>
      <w:r>
        <w:rPr/>
      </w:r>
      <m:oMath xmlns:m="http://schemas.openxmlformats.org/officeDocument/2006/math">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oMath>
      <w:r>
        <w:rPr/>
        <w:t xml:space="preserve"> and </w:t>
      </w:r>
      <w:r>
        <w:rPr/>
      </w:r>
      <m:oMath xmlns:m="http://schemas.openxmlformats.org/officeDocument/2006/math">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oMath>
      <w:r>
        <w:rPr/>
        <w:t>,</w:t>
      </w:r>
    </w:p>
    <w:p>
      <w:pPr>
        <w:pStyle w:val="EQ"/>
        <w:jc w:val="center"/>
        <w:rPr/>
      </w:pPr>
      <w:r>
        <w:rPr/>
      </w:r>
      <m:oMath xmlns:m="http://schemas.openxmlformats.org/officeDocument/2006/math">
        <m:acc>
          <m:accPr>
            <m:chr m:val="~"/>
          </m:accPr>
          <m:e>
            <m:r>
              <w:rPr>
                <w:rFonts w:ascii="Cambria Math" w:hAnsi="Cambria Math"/>
              </w:rPr>
              <m:t xml:space="preserve">Δ</m:t>
            </m:r>
          </m:e>
        </m:acc>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m:t>
            </m:r>
            <m:r>
              <w:rPr>
                <w:rFonts w:ascii="Cambria Math" w:hAnsi="Cambria Math"/>
              </w:rPr>
              <m:t xml:space="preserve">Δ</m:t>
            </m:r>
            <m:r>
              <w:rPr>
                <w:rFonts w:ascii="Cambria Math" w:hAnsi="Cambria Math"/>
              </w:rPr>
              <m:t xml:space="preserve">(</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e>
        </m:d>
      </m:oMath>
      <w:r>
        <w:rPr/>
        <w:t>.</w:t>
        <w:tab/>
        <w:t>(24)</w:t>
      </w:r>
    </w:p>
    <w:p>
      <w:pPr>
        <w:pStyle w:val="Normal"/>
        <w:rPr/>
      </w:pPr>
      <w:r>
        <w:rPr/>
        <w:t>The cost function for co-channel interference becomes (including sensitivity)</w:t>
      </w:r>
    </w:p>
    <w:p>
      <w:pPr>
        <w:pStyle w:val="EQ"/>
        <w:rPr/>
      </w:pPr>
      <w:r>
        <w:rPr/>
      </w:r>
      <m:oMath xmlns:m="http://schemas.openxmlformats.org/officeDocument/2006/math">
        <m:eqArr>
          <m:e>
            <m:sSub>
              <m:e>
                <m:r>
                  <m:rPr>
                    <m:lit/>
                    <m:nor/>
                  </m:rPr>
                  <w:rPr>
                    <w:rFonts w:ascii="Cambria Math" w:hAnsi="Cambria Math"/>
                  </w:rPr>
                  <m:t xml:space="preserve">Cost</m:t>
                </m:r>
              </m:e>
              <m:sub>
                <m:r>
                  <m:rPr>
                    <m:lit/>
                    <m:nor/>
                  </m:rPr>
                  <w:rPr>
                    <w:rFonts w:ascii="Cambria Math" w:hAnsi="Cambria Math"/>
                  </w:rPr>
                  <m:t xml:space="preserve">co</m:t>
                </m:r>
                <m:r>
                  <w:rPr>
                    <w:rFonts w:ascii="Cambria Math" w:hAnsi="Cambria Math"/>
                  </w:rPr>
                  <m:t xml:space="preserve">−</m:t>
                </m:r>
                <m:r>
                  <m:rPr>
                    <m:lit/>
                    <m:nor/>
                  </m:rPr>
                  <w:rPr>
                    <w:rFonts w:ascii="Cambria Math" w:hAnsi="Cambria Math"/>
                  </w:rPr>
                  <m:t xml:space="preserve">channel</m:t>
                </m:r>
              </m:sub>
            </m:sSub>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1</m:t>
                    </m:r>
                  </m:e>
                  <m:sup>
                    <m:r>
                      <w:rPr>
                        <w:rFonts w:ascii="Cambria Math" w:hAnsi="Cambria Math"/>
                      </w:rPr>
                      <m:t xml:space="preserve">H</m:t>
                    </m:r>
                  </m:sup>
                </m:sSup>
              </m:sub>
            </m:sSub>
            <m:r>
              <w:rPr>
                <w:rFonts w:ascii="Cambria Math" w:hAnsi="Cambria Math"/>
              </w:rPr>
              <m:t xml:space="preserve">D</m:t>
            </m:r>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1</m:t>
                    </m:r>
                  </m:sub>
                  <m:sup>
                    <m:r>
                      <w:rPr>
                        <w:rFonts w:ascii="Cambria Math" w:hAnsi="Cambria Math"/>
                      </w:rPr>
                      <m:t xml:space="preserve">'</m:t>
                    </m:r>
                  </m:sup>
                </m:sSubSup>
              </m:e>
            </m:d>
            <m:sSub>
              <m:e>
                <m:r>
                  <w:rPr>
                    <w:rFonts w:ascii="Cambria Math" w:hAnsi="Cambria Math"/>
                  </w:rPr>
                  <m:t xml:space="preserve">a</m:t>
                </m:r>
              </m:e>
              <m:sub>
                <m:r>
                  <m:rPr>
                    <m:lit/>
                    <m:nor/>
                  </m:rPr>
                  <w:rPr>
                    <w:rFonts w:ascii="Cambria Math" w:hAnsi="Cambria Math"/>
                  </w:rPr>
                  <m:t xml:space="preserve">Mod</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2</m:t>
                    </m:r>
                  </m:e>
                  <m:sup>
                    <m:r>
                      <w:rPr>
                        <w:rFonts w:ascii="Cambria Math" w:hAnsi="Cambria Math"/>
                      </w:rPr>
                      <m:t xml:space="preserve">H</m:t>
                    </m:r>
                  </m:sup>
                </m:sSup>
              </m:sub>
            </m:sSub>
            <m:r>
              <w:rPr>
                <w:rFonts w:ascii="Cambria Math" w:hAnsi="Cambria Math"/>
              </w:rPr>
              <m:t xml:space="preserve">D</m:t>
            </m:r>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2</m:t>
                    </m:r>
                  </m:sub>
                  <m:sup>
                    <m:r>
                      <w:rPr>
                        <w:rFonts w:ascii="Cambria Math" w:hAnsi="Cambria Math"/>
                      </w:rPr>
                      <m:t xml:space="preserve">'</m:t>
                    </m:r>
                  </m:sup>
                </m:sSubSup>
              </m:e>
            </m:d>
            <m:sSub>
              <m:e>
                <m:r>
                  <w:rPr>
                    <w:rFonts w:ascii="Cambria Math" w:hAnsi="Cambria Math"/>
                  </w:rPr>
                  <m:t xml:space="preserve">a</m:t>
                </m:r>
              </m:e>
              <m:sub>
                <m:r>
                  <m:rPr>
                    <m:lit/>
                    <m:nor/>
                  </m:rPr>
                  <w:rPr>
                    <w:rFonts w:ascii="Cambria Math" w:hAnsi="Cambria Math"/>
                  </w:rPr>
                  <m:t xml:space="preserve">Mod</m:t>
                </m:r>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1</m:t>
                    </m:r>
                  </m:e>
                  <m:sup>
                    <m:r>
                      <w:rPr>
                        <w:rFonts w:ascii="Cambria Math" w:hAnsi="Cambria Math"/>
                      </w:rPr>
                      <m:t xml:space="preserve">H</m:t>
                    </m:r>
                  </m:sup>
                </m:sSup>
              </m:sub>
            </m:sSub>
            <m:r>
              <w:rPr>
                <w:rFonts w:ascii="Cambria Math" w:hAnsi="Cambria Math"/>
              </w:rPr>
              <m:t xml:space="preserve">F</m:t>
            </m:r>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2</m:t>
                    </m:r>
                  </m:sub>
                  <m:sup>
                    <m:r>
                      <w:rPr>
                        <w:rFonts w:ascii="Cambria Math" w:hAnsi="Cambria Math"/>
                      </w:rPr>
                      <m:t xml:space="preserve">'</m:t>
                    </m:r>
                  </m:sup>
                </m:sSubSup>
              </m:e>
            </m:d>
            <m:sSub>
              <m:e>
                <m:r>
                  <w:rPr>
                    <w:rFonts w:ascii="Cambria Math" w:hAnsi="Cambria Math"/>
                  </w:rPr>
                  <m:t xml:space="preserve">a</m:t>
                </m:r>
              </m:e>
              <m:sub>
                <m:r>
                  <m:rPr>
                    <m:lit/>
                    <m:nor/>
                  </m:rPr>
                  <w:rPr>
                    <w:rFonts w:ascii="Cambria Math" w:hAnsi="Cambria Math"/>
                  </w:rPr>
                  <m:t xml:space="preserve">Mod</m:t>
                </m:r>
                <m:r>
                  <w:rPr>
                    <w:rFonts w:ascii="Cambria Math" w:hAnsi="Cambria Math"/>
                  </w:rPr>
                  <m:t xml:space="preserve">2</m:t>
                </m:r>
              </m:sub>
            </m:sSub>
            <m:r>
              <w:rPr>
                <w:rFonts w:ascii="Cambria Math" w:hAnsi="Cambria Math"/>
              </w:rPr>
              <m:t xml:space="preserve">+</m:t>
            </m:r>
          </m:e>
          <m:e>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1</m:t>
                    </m:r>
                  </m:e>
                  <m:sup>
                    <m:r>
                      <w:rPr>
                        <w:rFonts w:ascii="Cambria Math" w:hAnsi="Cambria Math"/>
                      </w:rPr>
                      <m:t xml:space="preserve">H</m:t>
                    </m:r>
                  </m:sup>
                </m:sSup>
              </m:sub>
            </m:sSub>
            <m:r>
              <w:rPr>
                <w:rFonts w:ascii="Cambria Math" w:hAnsi="Cambria Math"/>
              </w:rPr>
              <m:t xml:space="preserve">F</m:t>
            </m:r>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Legacy</m:t>
                </m:r>
              </m:e>
            </m:d>
            <m:r>
              <w:rPr>
                <w:rFonts w:ascii="Cambria Math" w:hAnsi="Cambria Math"/>
              </w:rPr>
              <m:t xml:space="preserve">1</m:t>
            </m:r>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2</m:t>
                    </m:r>
                  </m:e>
                  <m:sup>
                    <m:r>
                      <w:rPr>
                        <w:rFonts w:ascii="Cambria Math" w:hAnsi="Cambria Math"/>
                      </w:rPr>
                      <m:t xml:space="preserve">H</m:t>
                    </m:r>
                  </m:sup>
                </m:sSup>
              </m:sub>
            </m:sSub>
            <m:r>
              <w:rPr>
                <w:rFonts w:ascii="Cambria Math" w:hAnsi="Cambria Math"/>
              </w:rPr>
              <m:t xml:space="preserve">F</m:t>
            </m:r>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2</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Legacy</m:t>
                </m:r>
              </m:e>
            </m:d>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e>
        </m:eqArr>
      </m:oMath>
      <w:r>
        <w:rPr/>
        <w:tab/>
        <w:t>(25)</w:t>
      </w:r>
    </w:p>
    <w:p>
      <w:pPr>
        <w:pStyle w:val="Normal"/>
        <w:rPr/>
      </w:pPr>
      <w:r>
        <w:rPr/>
        <w:t>for the relevant modulations (here only two are shown). "Legacy" includes the legacy sequences rotated for each modulation (including set 2 for GMSK) and the GMSK dummy burst. The cost functions for adjacent channel interference becomes</w:t>
      </w:r>
    </w:p>
    <w:p>
      <w:pPr>
        <w:pStyle w:val="EQ"/>
        <w:rPr/>
      </w:pPr>
      <w:r>
        <w:rPr/>
      </w:r>
      <m:oMath xmlns:m="http://schemas.openxmlformats.org/officeDocument/2006/math">
        <m:eqArr>
          <m:e>
            <m:sSub>
              <m:e>
                <m:r>
                  <m:rPr>
                    <m:lit/>
                    <m:nor/>
                  </m:rPr>
                  <w:rPr>
                    <w:rFonts w:ascii="Cambria Math" w:hAnsi="Cambria Math"/>
                  </w:rPr>
                  <m:t xml:space="preserve">Cost</m:t>
                </m:r>
              </m:e>
              <m:sub>
                <m:r>
                  <m:rPr>
                    <m:lit/>
                    <m:nor/>
                  </m:rPr>
                  <w:rPr>
                    <w:rFonts w:ascii="Cambria Math" w:hAnsi="Cambria Math"/>
                  </w:rPr>
                  <m:t xml:space="preserve">adj</m:t>
                </m:r>
                <m:r>
                  <w:rPr>
                    <w:rFonts w:ascii="Cambria Math" w:hAnsi="Cambria Math"/>
                  </w:rPr>
                  <m:t xml:space="preserve">−</m:t>
                </m:r>
                <m:r>
                  <m:rPr>
                    <m:lit/>
                    <m:nor/>
                  </m:rPr>
                  <w:rPr>
                    <w:rFonts w:ascii="Cambria Math" w:hAnsi="Cambria Math"/>
                  </w:rPr>
                  <m:t xml:space="preserve">channel</m:t>
                </m:r>
              </m:sub>
            </m:sSub>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1</m:t>
                    </m:r>
                  </m:e>
                  <m:sup>
                    <m:r>
                      <w:rPr>
                        <w:rFonts w:ascii="Cambria Math" w:hAnsi="Cambria Math"/>
                      </w:rPr>
                      <m:t xml:space="preserve">H</m:t>
                    </m:r>
                  </m:sup>
                </m:sSup>
              </m:sub>
            </m:sSub>
            <m:sSub>
              <m:e>
                <m:r>
                  <w:rPr>
                    <w:rFonts w:ascii="Cambria Math" w:hAnsi="Cambria Math"/>
                  </w:rPr>
                  <m:t xml:space="preserve">F</m:t>
                </m:r>
              </m:e>
              <m:sub>
                <m:r>
                  <m:rPr>
                    <m:lit/>
                    <m:nor/>
                  </m:rPr>
                  <w:rPr>
                    <w:rFonts w:ascii="Cambria Math" w:hAnsi="Cambria Math"/>
                  </w:rPr>
                  <m:t xml:space="preserve">ADJ</m:t>
                </m:r>
              </m:sub>
            </m:sSub>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1</m:t>
                    </m:r>
                  </m:sub>
                  <m:sup>
                    <m:r>
                      <w:rPr>
                        <w:rFonts w:ascii="Cambria Math" w:hAnsi="Cambria Math"/>
                      </w:rPr>
                      <m:t xml:space="preserve">'</m:t>
                    </m:r>
                  </m:sup>
                </m:sSubSup>
              </m:e>
            </m:d>
            <m:sSub>
              <m:e>
                <m:r>
                  <w:rPr>
                    <w:rFonts w:ascii="Cambria Math" w:hAnsi="Cambria Math"/>
                  </w:rPr>
                  <m:t xml:space="preserve">a</m:t>
                </m:r>
              </m:e>
              <m:sub>
                <m:r>
                  <m:rPr>
                    <m:lit/>
                    <m:nor/>
                  </m:rPr>
                  <w:rPr>
                    <w:rFonts w:ascii="Cambria Math" w:hAnsi="Cambria Math"/>
                  </w:rPr>
                  <m:t xml:space="preserve">Mod</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2</m:t>
                    </m:r>
                  </m:e>
                  <m:sup>
                    <m:r>
                      <w:rPr>
                        <w:rFonts w:ascii="Cambria Math" w:hAnsi="Cambria Math"/>
                      </w:rPr>
                      <m:t xml:space="preserve">H</m:t>
                    </m:r>
                  </m:sup>
                </m:sSup>
              </m:sub>
            </m:sSub>
            <m:sSub>
              <m:e>
                <m:r>
                  <w:rPr>
                    <w:rFonts w:ascii="Cambria Math" w:hAnsi="Cambria Math"/>
                  </w:rPr>
                  <m:t xml:space="preserve">F</m:t>
                </m:r>
              </m:e>
              <m:sub>
                <m:r>
                  <m:rPr>
                    <m:lit/>
                    <m:nor/>
                  </m:rPr>
                  <w:rPr>
                    <w:rFonts w:ascii="Cambria Math" w:hAnsi="Cambria Math"/>
                  </w:rPr>
                  <m:t xml:space="preserve">ADJ</m:t>
                </m:r>
              </m:sub>
            </m:sSub>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2</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2</m:t>
                    </m:r>
                  </m:sub>
                  <m:sup>
                    <m:r>
                      <w:rPr>
                        <w:rFonts w:ascii="Cambria Math" w:hAnsi="Cambria Math"/>
                      </w:rPr>
                      <m:t xml:space="preserve">'</m:t>
                    </m:r>
                  </m:sup>
                </m:sSubSup>
              </m:e>
            </m:d>
            <m:sSub>
              <m:e>
                <m:r>
                  <w:rPr>
                    <w:rFonts w:ascii="Cambria Math" w:hAnsi="Cambria Math"/>
                  </w:rPr>
                  <m:t xml:space="preserve">a</m:t>
                </m:r>
              </m:e>
              <m:sub>
                <m:r>
                  <m:rPr>
                    <m:lit/>
                    <m:nor/>
                  </m:rPr>
                  <w:rPr>
                    <w:rFonts w:ascii="Cambria Math" w:hAnsi="Cambria Math"/>
                  </w:rPr>
                  <m:t xml:space="preserve">Mod</m:t>
                </m:r>
                <m:r>
                  <w:rPr>
                    <w:rFonts w:ascii="Cambria Math" w:hAnsi="Cambria Math"/>
                  </w:rPr>
                  <m:t xml:space="preserve">2</m:t>
                </m:r>
              </m:sub>
            </m:sSub>
            <m:r>
              <w:rPr>
                <w:rFonts w:ascii="Cambria Math" w:hAnsi="Cambria Math"/>
              </w:rPr>
              <m:t xml:space="preserve">+</m:t>
            </m:r>
          </m:e>
          <m:e>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1</m:t>
                    </m:r>
                  </m:e>
                  <m:sup>
                    <m:r>
                      <w:rPr>
                        <w:rFonts w:ascii="Cambria Math" w:hAnsi="Cambria Math"/>
                      </w:rPr>
                      <m:t xml:space="preserve">H</m:t>
                    </m:r>
                  </m:sup>
                </m:sSup>
              </m:sub>
            </m:sSub>
            <m:sSub>
              <m:e>
                <m:r>
                  <w:rPr>
                    <w:rFonts w:ascii="Cambria Math" w:hAnsi="Cambria Math"/>
                  </w:rPr>
                  <m:t xml:space="preserve">F</m:t>
                </m:r>
              </m:e>
              <m:sub>
                <m:r>
                  <m:rPr>
                    <m:lit/>
                    <m:nor/>
                  </m:rPr>
                  <w:rPr>
                    <w:rFonts w:ascii="Cambria Math" w:hAnsi="Cambria Math"/>
                  </w:rPr>
                  <m:t xml:space="preserve">ADJ</m:t>
                </m:r>
              </m:sub>
            </m:sSub>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2</m:t>
                    </m:r>
                  </m:sub>
                  <m:sup>
                    <m:r>
                      <w:rPr>
                        <w:rFonts w:ascii="Cambria Math" w:hAnsi="Cambria Math"/>
                      </w:rPr>
                      <m:t xml:space="preserve">'</m:t>
                    </m:r>
                  </m:sup>
                </m:sSubSup>
              </m:e>
            </m:d>
            <m:sSub>
              <m:e>
                <m:r>
                  <w:rPr>
                    <w:rFonts w:ascii="Cambria Math" w:hAnsi="Cambria Math"/>
                  </w:rPr>
                  <m:t xml:space="preserve">a</m:t>
                </m:r>
              </m:e>
              <m:sub>
                <m:r>
                  <m:rPr>
                    <m:lit/>
                    <m:nor/>
                  </m:rPr>
                  <w:rPr>
                    <w:rFonts w:ascii="Cambria Math" w:hAnsi="Cambria Math"/>
                  </w:rPr>
                  <m:t xml:space="preserve">Mod</m:t>
                </m:r>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1</m:t>
                    </m:r>
                  </m:e>
                  <m:sup>
                    <m:r>
                      <w:rPr>
                        <w:rFonts w:ascii="Cambria Math" w:hAnsi="Cambria Math"/>
                      </w:rPr>
                      <m:t xml:space="preserve">H</m:t>
                    </m:r>
                  </m:sup>
                </m:sSup>
              </m:sub>
            </m:sSub>
            <m:sSub>
              <m:e>
                <m:r>
                  <w:rPr>
                    <w:rFonts w:ascii="Cambria Math" w:hAnsi="Cambria Math"/>
                  </w:rPr>
                  <m:t xml:space="preserve">F</m:t>
                </m:r>
              </m:e>
              <m:sub>
                <m:r>
                  <m:rPr>
                    <m:lit/>
                    <m:nor/>
                  </m:rPr>
                  <w:rPr>
                    <w:rFonts w:ascii="Cambria Math" w:hAnsi="Cambria Math"/>
                  </w:rPr>
                  <m:t xml:space="preserve">ADJ</m:t>
                </m:r>
              </m:sub>
            </m:sSub>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1</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Legacy</m:t>
                </m:r>
              </m:e>
            </m:d>
            <m:r>
              <w:rPr>
                <w:rFonts w:ascii="Cambria Math" w:hAnsi="Cambria Math"/>
              </w:rPr>
              <m:t xml:space="preserve">1</m:t>
            </m:r>
            <m:r>
              <w:rPr>
                <w:rFonts w:ascii="Cambria Math" w:hAnsi="Cambria Math"/>
              </w:rPr>
              <m:t xml:space="preserve">+</m:t>
            </m:r>
            <m:sSub>
              <m:e>
                <m:r>
                  <w:rPr>
                    <w:rFonts w:ascii="Cambria Math" w:hAnsi="Cambria Math"/>
                  </w:rPr>
                  <m:t xml:space="preserve">a</m:t>
                </m:r>
              </m:e>
              <m:sub>
                <m:sSup>
                  <m:e>
                    <m:r>
                      <m:rPr>
                        <m:lit/>
                        <m:nor/>
                      </m:rPr>
                      <w:rPr>
                        <w:rFonts w:ascii="Cambria Math" w:hAnsi="Cambria Math"/>
                      </w:rPr>
                      <m:t xml:space="preserve">Mod</m:t>
                    </m:r>
                    <m:r>
                      <w:rPr>
                        <w:rFonts w:ascii="Cambria Math" w:hAnsi="Cambria Math"/>
                      </w:rPr>
                      <m:t xml:space="preserve">2</m:t>
                    </m:r>
                  </m:e>
                  <m:sup>
                    <m:r>
                      <w:rPr>
                        <w:rFonts w:ascii="Cambria Math" w:hAnsi="Cambria Math"/>
                      </w:rPr>
                      <m:t xml:space="preserve">H</m:t>
                    </m:r>
                  </m:sup>
                </m:sSup>
              </m:sub>
            </m:sSub>
            <m:sSub>
              <m:e>
                <m:r>
                  <w:rPr>
                    <w:rFonts w:ascii="Cambria Math" w:hAnsi="Cambria Math"/>
                  </w:rPr>
                  <m:t xml:space="preserve">F</m:t>
                </m:r>
              </m:e>
              <m:sub>
                <m:r>
                  <m:rPr>
                    <m:lit/>
                    <m:nor/>
                  </m:rPr>
                  <w:rPr>
                    <w:rFonts w:ascii="Cambria Math" w:hAnsi="Cambria Math"/>
                  </w:rPr>
                  <m:t xml:space="preserve">ADJ</m:t>
                </m:r>
              </m:sub>
            </m:sSub>
            <m:d>
              <m:dPr>
                <m:begChr m:val="("/>
                <m:endChr m:val=")"/>
              </m:dPr>
              <m:e>
                <m:sSubSup>
                  <m:e>
                    <m:r>
                      <w:rPr>
                        <w:rFonts w:ascii="Cambria Math" w:hAnsi="Cambria Math"/>
                      </w:rPr>
                      <m:t xml:space="preserve">s</m:t>
                    </m:r>
                  </m:e>
                  <m:sub>
                    <m:r>
                      <m:rPr>
                        <m:lit/>
                        <m:nor/>
                      </m:rPr>
                      <w:rPr>
                        <w:rFonts w:ascii="Cambria Math" w:hAnsi="Cambria Math"/>
                      </w:rPr>
                      <m:t xml:space="preserve">Mod</m:t>
                    </m:r>
                    <m:r>
                      <w:rPr>
                        <w:rFonts w:ascii="Cambria Math" w:hAnsi="Cambria Math"/>
                      </w:rPr>
                      <m:t xml:space="preserve">2</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Legacy</m:t>
                </m:r>
              </m:e>
            </m:d>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e>
        </m:eqArr>
      </m:oMath>
      <w:r>
        <w:rPr/>
        <w:tab/>
        <w:t>(26)</w:t>
      </w:r>
    </w:p>
    <w:p>
      <w:pPr>
        <w:pStyle w:val="Normal"/>
        <w:rPr/>
      </w:pPr>
      <w:r>
        <w:rPr/>
        <w:t xml:space="preserve">where "ADJ" indicates that </w:t>
      </w: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0</m:t>
        </m:r>
      </m:oMath>
      <w:r>
        <w:rPr/>
        <w:t xml:space="preserve"> when calculating </w:t>
      </w:r>
      <w:r>
        <w:rPr/>
      </w:r>
      <m:oMath xmlns:m="http://schemas.openxmlformats.org/officeDocument/2006/math">
        <m:r>
          <w:rPr>
            <w:rFonts w:ascii="Cambria Math" w:hAnsi="Cambria Math"/>
          </w:rPr>
          <m:t xml:space="preserve">Δ</m:t>
        </m:r>
        <m: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m:t>
        </m:r>
        <m:r>
          <w:rPr>
            <w:rFonts w:ascii="Cambria Math" w:hAnsi="Cambria Math"/>
          </w:rPr>
          <m:t xml:space="preserve">)</m:t>
        </m:r>
      </m:oMath>
      <w:r>
        <w:rPr/>
        <w:t>.</w:t>
      </w:r>
    </w:p>
    <w:p>
      <w:pPr>
        <w:pStyle w:val="Normal"/>
        <w:rPr/>
      </w:pPr>
      <w:r>
        <w:rPr/>
        <w:t>The total cost function is</w:t>
      </w:r>
    </w:p>
    <w:p>
      <w:pPr>
        <w:pStyle w:val="EQ"/>
        <w:rPr/>
      </w:pPr>
      <w:r>
        <w:rPr/>
      </w:r>
      <m:oMath xmlns:m="http://schemas.openxmlformats.org/officeDocument/2006/math">
        <m:acc>
          <m:accPr>
            <m:chr m:val="~"/>
          </m:accPr>
          <m:e>
            <m:r>
              <w:rPr>
                <w:rFonts w:ascii="Cambria Math" w:hAnsi="Cambria Math"/>
              </w:rPr>
              <m:t xml:space="preserve">a</m:t>
            </m:r>
          </m:e>
        </m:acc>
        <m:r>
          <w:rPr>
            <w:rFonts w:ascii="Cambria Math" w:hAnsi="Cambria Math"/>
          </w:rPr>
          <m:t xml:space="preserve">=</m:t>
        </m:r>
        <m:limLow>
          <m:e>
            <m:r>
              <m:rPr>
                <m:lit/>
                <m:nor/>
              </m:rPr>
              <w:rPr>
                <w:rFonts w:ascii="Cambria Math" w:hAnsi="Cambria Math"/>
              </w:rPr>
              <m:t xml:space="preserve">argmin</m:t>
            </m:r>
          </m:e>
          <m:lim>
            <m:d>
              <m:dPr>
                <m:begChr m:val="{"/>
                <m:endChr m:val=""/>
              </m:dPr>
              <m:e>
                <m:m>
                  <m:mr>
                    <m:e>
                      <m:r>
                        <w:rPr>
                          <w:rFonts w:ascii="Cambria Math" w:hAnsi="Cambria Math"/>
                        </w:rPr>
                        <m:t xml:space="preserve">a</m:t>
                      </m:r>
                      <m:r>
                        <w:rPr>
                          <w:rFonts w:ascii="Cambria Math" w:hAnsi="Cambria Math"/>
                        </w:rPr>
                        <m:t xml:space="preserve">:</m:t>
                      </m:r>
                      <m:r>
                        <m:t xml:space="preserve"> </m:t>
                      </m:r>
                      <m:nary>
                        <m:naryPr>
                          <m:chr m:val="∑"/>
                          <m:supHide m:val="1"/>
                        </m:naryPr>
                        <m:sub>
                          <m:r>
                            <w:rPr>
                              <w:rFonts w:ascii="Cambria Math" w:hAnsi="Cambria Math"/>
                            </w:rPr>
                            <m:t xml:space="preserve">i</m:t>
                          </m:r>
                        </m:sub>
                        <m:sup/>
                        <m:e>
                          <m:sSub>
                            <m:e>
                              <m:r>
                                <w:rPr>
                                  <w:rFonts w:ascii="Cambria Math" w:hAnsi="Cambria Math"/>
                                </w:rPr>
                                <m:t xml:space="preserve">a</m:t>
                              </m:r>
                            </m:e>
                            <m:sub>
                              <m:r>
                                <w:rPr>
                                  <w:rFonts w:ascii="Cambria Math" w:hAnsi="Cambria Math"/>
                                </w:rPr>
                                <m:t xml:space="preserve">n</m:t>
                              </m:r>
                            </m:sub>
                          </m:sSub>
                          <m:d>
                            <m:dPr>
                              <m:begChr m:val="("/>
                              <m:endChr m:val=")"/>
                            </m:dPr>
                            <m:e>
                              <m:r>
                                <w:rPr>
                                  <w:rFonts w:ascii="Cambria Math" w:hAnsi="Cambria Math"/>
                                </w:rPr>
                                <m:t xml:space="preserve">i</m:t>
                              </m:r>
                            </m:e>
                          </m:d>
                        </m:e>
                      </m:nary>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0,1</m:t>
                          </m:r>
                        </m:e>
                      </m:d>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1</m:t>
                      </m:r>
                    </m:e>
                  </m:mr>
                </m:m>
              </m:e>
            </m:d>
          </m:lim>
        </m:limLow>
        <m:d>
          <m:dPr>
            <m:begChr m:val="{"/>
            <m:endChr m:val="}"/>
          </m:dPr>
          <m:e>
            <m:sSub>
              <m:e>
                <m:r>
                  <w:rPr>
                    <w:rFonts w:ascii="Cambria Math" w:hAnsi="Cambria Math"/>
                  </w:rPr>
                  <m:t xml:space="preserve">w</m:t>
                </m:r>
              </m:e>
              <m:sub>
                <m:r>
                  <m:rPr>
                    <m:lit/>
                    <m:nor/>
                  </m:rPr>
                  <w:rPr>
                    <w:rFonts w:ascii="Cambria Math" w:hAnsi="Cambria Math"/>
                  </w:rPr>
                  <m:t xml:space="preserve">co</m:t>
                </m:r>
              </m:sub>
            </m:sSub>
            <m:sSub>
              <m:e>
                <m:r>
                  <m:rPr>
                    <m:lit/>
                    <m:nor/>
                  </m:rPr>
                  <w:rPr>
                    <w:rFonts w:ascii="Cambria Math" w:hAnsi="Cambria Math"/>
                  </w:rPr>
                  <m:t xml:space="preserve">Cost</m:t>
                </m:r>
              </m:e>
              <m:sub>
                <m:r>
                  <m:rPr>
                    <m:lit/>
                    <m:nor/>
                  </m:rPr>
                  <w:rPr>
                    <w:rFonts w:ascii="Cambria Math" w:hAnsi="Cambria Math"/>
                  </w:rPr>
                  <m:t xml:space="preserve">co</m:t>
                </m:r>
                <m:r>
                  <w:rPr>
                    <w:rFonts w:ascii="Cambria Math" w:hAnsi="Cambria Math"/>
                  </w:rPr>
                  <m:t xml:space="preserve">−</m:t>
                </m:r>
                <m:r>
                  <m:rPr>
                    <m:lit/>
                    <m:nor/>
                  </m:rPr>
                  <w:rPr>
                    <w:rFonts w:ascii="Cambria Math" w:hAnsi="Cambria Math"/>
                  </w:rPr>
                  <m:t xml:space="preserve">channel</m:t>
                </m:r>
              </m:sub>
            </m:sSub>
            <m:r>
              <w:rPr>
                <w:rFonts w:ascii="Cambria Math" w:hAnsi="Cambria Math"/>
              </w:rPr>
              <m:t xml:space="preserve">+</m:t>
            </m:r>
            <m:sSub>
              <m:e>
                <m:r>
                  <w:rPr>
                    <w:rFonts w:ascii="Cambria Math" w:hAnsi="Cambria Math"/>
                  </w:rPr>
                  <m:t xml:space="preserve">w</m:t>
                </m:r>
              </m:e>
              <m:sub>
                <m:r>
                  <m:rPr>
                    <m:lit/>
                    <m:nor/>
                  </m:rPr>
                  <w:rPr>
                    <w:rFonts w:ascii="Cambria Math" w:hAnsi="Cambria Math"/>
                  </w:rPr>
                  <m:t xml:space="preserve">adj</m:t>
                </m:r>
                <m:r>
                  <w:rPr>
                    <w:rFonts w:ascii="Cambria Math" w:hAnsi="Cambria Math"/>
                  </w:rPr>
                  <m:t xml:space="preserve">+</m:t>
                </m:r>
              </m:sub>
            </m:sSub>
            <m:sSubSup>
              <m:e>
                <m:r>
                  <m:rPr>
                    <m:lit/>
                    <m:nor/>
                  </m:rPr>
                  <w:rPr>
                    <w:rFonts w:ascii="Cambria Math" w:hAnsi="Cambria Math"/>
                  </w:rPr>
                  <m:t xml:space="preserve">Cost</m:t>
                </m:r>
              </m:e>
              <m:sub>
                <m:r>
                  <m:rPr>
                    <m:lit/>
                    <m:nor/>
                  </m:rPr>
                  <w:rPr>
                    <w:rFonts w:ascii="Cambria Math" w:hAnsi="Cambria Math"/>
                  </w:rPr>
                  <m:t xml:space="preserve">adj</m:t>
                </m:r>
                <m:r>
                  <w:rPr>
                    <w:rFonts w:ascii="Cambria Math" w:hAnsi="Cambria Math"/>
                  </w:rPr>
                  <m:t xml:space="preserve">−</m:t>
                </m:r>
                <m:r>
                  <m:rPr>
                    <m:lit/>
                    <m:nor/>
                  </m:rPr>
                  <w:rPr>
                    <w:rFonts w:ascii="Cambria Math" w:hAnsi="Cambria Math"/>
                  </w:rPr>
                  <m:t xml:space="preserve">channel</m:t>
                </m:r>
              </m:sub>
              <m:sup>
                <m:r>
                  <w:rPr>
                    <w:rFonts w:ascii="Cambria Math" w:hAnsi="Cambria Math"/>
                  </w:rPr>
                  <m:t xml:space="preserve">+</m:t>
                </m:r>
              </m:sup>
            </m:sSubSup>
            <m:r>
              <w:rPr>
                <w:rFonts w:ascii="Cambria Math" w:hAnsi="Cambria Math"/>
              </w:rPr>
              <m:t xml:space="preserve">+</m:t>
            </m:r>
            <m:sSub>
              <m:e>
                <m:r>
                  <w:rPr>
                    <w:rFonts w:ascii="Cambria Math" w:hAnsi="Cambria Math"/>
                  </w:rPr>
                  <m:t xml:space="preserve">w</m:t>
                </m:r>
              </m:e>
              <m:sub>
                <m:r>
                  <m:rPr>
                    <m:lit/>
                    <m:nor/>
                  </m:rPr>
                  <w:rPr>
                    <w:rFonts w:ascii="Cambria Math" w:hAnsi="Cambria Math"/>
                  </w:rPr>
                  <m:t xml:space="preserve">adj</m:t>
                </m:r>
                <m:r>
                  <w:rPr>
                    <w:rFonts w:ascii="Cambria Math" w:hAnsi="Cambria Math"/>
                  </w:rPr>
                  <m:t xml:space="preserve">−</m:t>
                </m:r>
              </m:sub>
            </m:sSub>
            <m:sSubSup>
              <m:e>
                <m:r>
                  <m:rPr>
                    <m:lit/>
                    <m:nor/>
                  </m:rPr>
                  <w:rPr>
                    <w:rFonts w:ascii="Cambria Math" w:hAnsi="Cambria Math"/>
                  </w:rPr>
                  <m:t xml:space="preserve">Cost</m:t>
                </m:r>
              </m:e>
              <m:sub>
                <m:r>
                  <m:rPr>
                    <m:lit/>
                    <m:nor/>
                  </m:rPr>
                  <w:rPr>
                    <w:rFonts w:ascii="Cambria Math" w:hAnsi="Cambria Math"/>
                  </w:rPr>
                  <m:t xml:space="preserve">adj</m:t>
                </m:r>
                <m:r>
                  <w:rPr>
                    <w:rFonts w:ascii="Cambria Math" w:hAnsi="Cambria Math"/>
                  </w:rPr>
                  <m:t xml:space="preserve">−</m:t>
                </m:r>
                <m:r>
                  <m:rPr>
                    <m:lit/>
                    <m:nor/>
                  </m:rPr>
                  <w:rPr>
                    <w:rFonts w:ascii="Cambria Math" w:hAnsi="Cambria Math"/>
                  </w:rPr>
                  <m:t xml:space="preserve">channel</m:t>
                </m:r>
              </m:sub>
              <m:sup>
                <m:r>
                  <w:rPr>
                    <w:rFonts w:ascii="Cambria Math" w:hAnsi="Cambria Math"/>
                  </w:rPr>
                  <m:t xml:space="preserve">−</m:t>
                </m:r>
              </m:sup>
            </m:sSubSup>
          </m:e>
        </m:d>
      </m:oMath>
      <w:r>
        <w:rPr/>
        <w:t>,</w:t>
        <w:tab/>
        <w:t>(27)</w:t>
      </w:r>
    </w:p>
    <w:p>
      <w:pPr>
        <w:pStyle w:val="Normal"/>
        <w:rPr/>
      </w:pPr>
      <w:r>
        <w:rPr/>
        <w:t>where b</w:t>
      </w:r>
      <w:r>
        <w:rPr>
          <w:vertAlign w:val="subscript"/>
        </w:rPr>
        <w:t>n</w:t>
      </w:r>
      <w:r>
        <w:rPr/>
        <w:t xml:space="preserve"> is the number of desired sequences for NewToN set n and </w:t>
      </w:r>
      <w:r>
        <w:rPr/>
      </w:r>
      <m:oMath xmlns:m="http://schemas.openxmlformats.org/officeDocument/2006/math">
        <m:sSub>
          <m:e>
            <m:r>
              <w:rPr>
                <w:rFonts w:ascii="Cambria Math" w:hAnsi="Cambria Math"/>
              </w:rPr>
              <m:t xml:space="preserve">w</m:t>
            </m:r>
          </m:e>
          <m:sub>
            <m:r>
              <w:rPr>
                <w:rFonts w:ascii="Cambria Math" w:hAnsi="Cambria Math"/>
              </w:rPr>
              <m:t xml:space="preserve">x</m:t>
            </m:r>
          </m:sub>
        </m:sSub>
      </m:oMath>
      <w:r>
        <w:rPr/>
        <w:t xml:space="preserve"> are weights.</w:t>
      </w:r>
    </w:p>
    <w:p>
      <w:pPr>
        <w:pStyle w:val="Normal"/>
        <w:rPr/>
      </w:pPr>
      <w:r>
        <w:rPr/>
        <w:t>The NewToN sequences are found by minimizing the cost function. The solution was found using a combination of the steepest descent method and a full search approach.</w:t>
      </w:r>
    </w:p>
    <w:p>
      <w:pPr>
        <w:pStyle w:val="Heading3"/>
        <w:rPr/>
      </w:pPr>
      <w:bookmarkStart w:id="923" w:name="__RefHeading___Toc518036249"/>
      <w:bookmarkEnd w:id="923"/>
      <w:r>
        <w:rPr/>
        <w:t>ZE.1.2.3</w:t>
        <w:tab/>
        <w:t>Performing the search</w:t>
      </w:r>
    </w:p>
    <w:p>
      <w:pPr>
        <w:pStyle w:val="Normal"/>
        <w:rPr/>
      </w:pPr>
      <w:r>
        <w:rPr/>
        <w:t xml:space="preserve">The search can be performed either by searching for all sequences at once or by searching in multiple iterations - one iteration for each new NewToN subset. The first iteration decides the NewToN GMSK sequences. The second iteration decides the 8PSK sequences, and so on. The decided sequences from the previous iterations are considered both in the initial search and in the resulting cost function. When calculating </w:t>
      </w: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s</m:t>
        </m:r>
        <m:r>
          <w:rPr>
            <w:rFonts w:ascii="Cambria Math" w:hAnsi="Cambria Math"/>
          </w:rPr>
          <m:t xml:space="preserve">)</m:t>
        </m:r>
      </m:oMath>
      <w:r>
        <w:rPr/>
        <w:t xml:space="preserve"> during the initial search only the legacy sequences up to the currently considered modulation is considered. For example when searching for a GMSK set, only legacy GMSK is considered and when searching for an 8PSK set, the legacy GMSK sets the new GMSK sets and the legacy 8PSK set are considered.</w:t>
      </w:r>
    </w:p>
    <w:p>
      <w:pPr>
        <w:pStyle w:val="Normal"/>
        <w:rPr/>
      </w:pPr>
      <w:r>
        <w:rPr/>
        <w:t>To optimize performance for VAMOS the resulting NewToN GMSK sequences are sorted to maximize the paired performance between set 3 and set 4 for GMSK. Also the best sequence in each pair is assigned to set 3 to maximize non-VAMOS GMSK performance.</w:t>
      </w:r>
    </w:p>
    <w:p>
      <w:pPr>
        <w:pStyle w:val="Heading2"/>
        <w:rPr/>
      </w:pPr>
      <w:bookmarkStart w:id="924" w:name="__RefHeading___Toc518036250"/>
      <w:bookmarkStart w:id="925" w:name="_Ref162252335"/>
      <w:bookmarkEnd w:id="924"/>
      <w:r>
        <w:rPr/>
        <w:t>ZE.1.3</w:t>
        <w:tab/>
        <w:t>Proposed Training Sequence</w:t>
      </w:r>
      <w:bookmarkEnd w:id="925"/>
      <w:r>
        <w:rPr/>
        <w:t xml:space="preserve"> Code Set</w:t>
      </w:r>
    </w:p>
    <w:p>
      <w:pPr>
        <w:pStyle w:val="Normal"/>
        <w:spacing w:before="0" w:after="0"/>
        <w:rPr/>
      </w:pPr>
      <w:r>
        <w:rPr/>
        <w:t>The training sequence symbols used in the extended training sequence sets are captured in Table 2 to Table 6.</w:t>
      </w:r>
    </w:p>
    <w:p>
      <w:pPr>
        <w:pStyle w:val="Normal"/>
        <w:rPr/>
      </w:pPr>
      <w:r>
        <w:rPr/>
        <w:t>Antipodal constellation points from each modulation scheme are used to construct the training sequence in the burst mapping. The mapping of training sequence symbols to bit sequences follow the mapping used for the legacy TSC sets and is captured in Table 1.</w:t>
      </w:r>
    </w:p>
    <w:p>
      <w:pPr>
        <w:pStyle w:val="TH"/>
        <w:rPr/>
      </w:pPr>
      <w:r>
        <w:rPr/>
        <w:t>Table 1. Mapping between training sequence symbols and modulating bits</w:t>
      </w:r>
    </w:p>
    <w:tbl>
      <w:tblPr>
        <w:tblW w:w="6299" w:type="dxa"/>
        <w:jc w:val="center"/>
        <w:tblInd w:w="0" w:type="dxa"/>
        <w:tblLayout w:type="fixed"/>
        <w:tblCellMar>
          <w:top w:w="0" w:type="dxa"/>
          <w:left w:w="108" w:type="dxa"/>
          <w:bottom w:w="0" w:type="dxa"/>
          <w:right w:w="108" w:type="dxa"/>
        </w:tblCellMar>
      </w:tblPr>
      <w:tblGrid>
        <w:gridCol w:w="1276"/>
        <w:gridCol w:w="2587"/>
        <w:gridCol w:w="2436"/>
      </w:tblGrid>
      <w:tr>
        <w:trPr/>
        <w:tc>
          <w:tcPr>
            <w:tcW w:w="1276"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Modulation</w:t>
            </w:r>
          </w:p>
        </w:tc>
        <w:tc>
          <w:tcPr>
            <w:tcW w:w="2587"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 sequence symbol in Table 2 – Table 6</w:t>
            </w:r>
          </w:p>
        </w:tc>
        <w:tc>
          <w:tcPr>
            <w:tcW w:w="2436"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Modulating bits</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GMSK</w:t>
            </w:r>
          </w:p>
        </w:tc>
        <w:tc>
          <w:tcPr>
            <w:tcW w:w="258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24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GMSK</w:t>
            </w:r>
          </w:p>
        </w:tc>
        <w:tc>
          <w:tcPr>
            <w:tcW w:w="258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24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8PSK</w:t>
            </w:r>
          </w:p>
        </w:tc>
        <w:tc>
          <w:tcPr>
            <w:tcW w:w="258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24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111</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8PSK</w:t>
            </w:r>
          </w:p>
        </w:tc>
        <w:tc>
          <w:tcPr>
            <w:tcW w:w="258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24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001</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16QAM</w:t>
            </w:r>
          </w:p>
        </w:tc>
        <w:tc>
          <w:tcPr>
            <w:tcW w:w="258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24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1111</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16QAM</w:t>
            </w:r>
          </w:p>
        </w:tc>
        <w:tc>
          <w:tcPr>
            <w:tcW w:w="258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24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0011</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32QAM</w:t>
            </w:r>
          </w:p>
        </w:tc>
        <w:tc>
          <w:tcPr>
            <w:tcW w:w="258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24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00000</w:t>
            </w:r>
          </w:p>
        </w:tc>
      </w:tr>
      <w:tr>
        <w:trPr/>
        <w:tc>
          <w:tcPr>
            <w:tcW w:w="127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32QAM</w:t>
            </w:r>
          </w:p>
        </w:tc>
        <w:tc>
          <w:tcPr>
            <w:tcW w:w="258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2436" w:type="dxa"/>
            <w:tcBorders>
              <w:top w:val="single" w:sz="4" w:space="0" w:color="000000"/>
              <w:left w:val="single" w:sz="4" w:space="0" w:color="000000"/>
              <w:bottom w:val="single" w:sz="4" w:space="0" w:color="000000"/>
              <w:right w:val="single" w:sz="4" w:space="0" w:color="000000"/>
            </w:tcBorders>
          </w:tcPr>
          <w:p>
            <w:pPr>
              <w:pStyle w:val="TAC"/>
              <w:rPr/>
            </w:pPr>
            <w:r>
              <w:rPr>
                <w:rFonts w:cs="Times New Roman" w:ascii="Times New Roman" w:hAnsi="Times New Roman"/>
                <w:lang w:val="en-GB"/>
              </w:rPr>
              <w:t>10010</w:t>
            </w:r>
          </w:p>
        </w:tc>
      </w:tr>
    </w:tbl>
    <w:p>
      <w:pPr>
        <w:pStyle w:val="FP"/>
        <w:rPr/>
      </w:pPr>
      <w:r>
        <w:rPr/>
      </w:r>
    </w:p>
    <w:p>
      <w:pPr>
        <w:pStyle w:val="TH"/>
        <w:rPr>
          <w:color w:val="C0504D"/>
        </w:rPr>
      </w:pPr>
      <w:r>
        <w:rPr>
          <w:color w:val="C0504D"/>
        </w:rPr>
        <w:t>Table 2. GMSK - TSC set 3</w:t>
      </w:r>
    </w:p>
    <w:tbl>
      <w:tblPr>
        <w:tblW w:w="6307" w:type="dxa"/>
        <w:jc w:val="center"/>
        <w:tblInd w:w="0" w:type="dxa"/>
        <w:tblLayout w:type="fixed"/>
        <w:tblCellMar>
          <w:top w:w="0" w:type="dxa"/>
          <w:left w:w="28" w:type="dxa"/>
          <w:bottom w:w="0" w:type="dxa"/>
          <w:right w:w="28" w:type="dxa"/>
        </w:tblCellMar>
      </w:tblPr>
      <w:tblGrid>
        <w:gridCol w:w="1310"/>
        <w:gridCol w:w="4997"/>
      </w:tblGrid>
      <w:tr>
        <w:trPr/>
        <w:tc>
          <w:tcPr>
            <w:tcW w:w="1310"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w:t>
            </w:r>
          </w:p>
          <w:p>
            <w:pPr>
              <w:pStyle w:val="TAH"/>
              <w:rPr>
                <w:rFonts w:ascii="Times New Roman" w:hAnsi="Times New Roman" w:cs="Times New Roman"/>
                <w:lang w:val="fr-FR" w:eastAsia="en-US"/>
              </w:rPr>
            </w:pPr>
            <w:r>
              <w:rPr>
                <w:rFonts w:cs="Times New Roman" w:ascii="Times New Roman" w:hAnsi="Times New Roman"/>
                <w:lang w:val="fr-FR" w:eastAsia="en-US"/>
              </w:rPr>
              <w:t>Sequence</w:t>
            </w:r>
          </w:p>
          <w:p>
            <w:pPr>
              <w:pStyle w:val="TAH"/>
              <w:rPr>
                <w:rFonts w:ascii="Times New Roman" w:hAnsi="Times New Roman" w:cs="Times New Roman"/>
                <w:lang w:eastAsia="en-US"/>
              </w:rPr>
            </w:pPr>
            <w:r>
              <w:rPr>
                <w:rFonts w:cs="Times New Roman" w:ascii="Times New Roman" w:hAnsi="Times New Roman"/>
                <w:lang w:val="fr-FR" w:eastAsia="en-US"/>
              </w:rPr>
              <w:t>Code (TSC)</w:t>
            </w:r>
          </w:p>
        </w:tc>
        <w:tc>
          <w:tcPr>
            <w:tcW w:w="4997"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 sequence symbols</w:t>
            </w:r>
          </w:p>
        </w:tc>
      </w:tr>
      <w:tr>
        <w:trPr/>
        <w:tc>
          <w:tcPr>
            <w:tcW w:w="131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499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1,1,0,0,0,0,1,0,0,1,0,0,0,1,1,1,1,0,1,0,1,0,0,0,1,0</w:t>
            </w:r>
          </w:p>
        </w:tc>
      </w:tr>
      <w:tr>
        <w:trPr/>
        <w:tc>
          <w:tcPr>
            <w:tcW w:w="131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499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0,0,1,0,1,1,1,1,1,0,0,0,1,0,0,1,0,1,0,0,0,0,1,0,0,0</w:t>
            </w:r>
          </w:p>
        </w:tc>
      </w:tr>
      <w:tr>
        <w:trPr/>
        <w:tc>
          <w:tcPr>
            <w:tcW w:w="131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w:t>
            </w:r>
          </w:p>
        </w:tc>
        <w:tc>
          <w:tcPr>
            <w:tcW w:w="499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1,1,0,0,1,0,0,0,1,1,1,1,1,0,1,1,1,0,1,0,1,1,0,1,1,0</w:t>
            </w:r>
          </w:p>
        </w:tc>
      </w:tr>
      <w:tr>
        <w:trPr/>
        <w:tc>
          <w:tcPr>
            <w:tcW w:w="131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w:t>
            </w:r>
          </w:p>
        </w:tc>
        <w:tc>
          <w:tcPr>
            <w:tcW w:w="4997" w:type="dxa"/>
            <w:tcBorders>
              <w:top w:val="single" w:sz="4" w:space="0" w:color="000000"/>
              <w:left w:val="single" w:sz="4" w:space="0" w:color="000000"/>
              <w:bottom w:val="single" w:sz="4" w:space="0" w:color="000000"/>
              <w:right w:val="single" w:sz="4" w:space="0" w:color="000000"/>
            </w:tcBorders>
          </w:tcPr>
          <w:p>
            <w:pPr>
              <w:pStyle w:val="TAC"/>
              <w:rPr/>
            </w:pPr>
            <w:r>
              <w:rPr>
                <w:rFonts w:cs="Times New Roman" w:ascii="Times New Roman" w:hAnsi="Times New Roman"/>
                <w:lang w:val="en-GB"/>
              </w:rPr>
              <w:t>0,0,1,1,0,0,0,0,1,0,1,0,0,1,1,0,0,0,0,0,1,0,1,1,0,0</w:t>
            </w:r>
          </w:p>
        </w:tc>
      </w:tr>
      <w:tr>
        <w:trPr/>
        <w:tc>
          <w:tcPr>
            <w:tcW w:w="131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w:t>
            </w:r>
          </w:p>
        </w:tc>
        <w:tc>
          <w:tcPr>
            <w:tcW w:w="499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0,0,0,1,1,1,1,0,1,0,1,1,1,0,1,0,0,0,0,1,0,0,0,1,1,0</w:t>
            </w:r>
          </w:p>
        </w:tc>
      </w:tr>
      <w:tr>
        <w:trPr/>
        <w:tc>
          <w:tcPr>
            <w:tcW w:w="131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w:t>
            </w:r>
          </w:p>
        </w:tc>
        <w:tc>
          <w:tcPr>
            <w:tcW w:w="499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1,1,0,0,1,1,1,1,0,1,0,1,0,1,1,1,1,0,0,1,0,0,0,0,0,0</w:t>
            </w:r>
          </w:p>
        </w:tc>
      </w:tr>
      <w:tr>
        <w:trPr/>
        <w:tc>
          <w:tcPr>
            <w:tcW w:w="131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w:t>
            </w:r>
          </w:p>
        </w:tc>
        <w:tc>
          <w:tcPr>
            <w:tcW w:w="4997"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1,0,1,1,1,0,0,1,1,0,1,0,1,1,1,1,1,1,0,0,0,1,0,0,0,0</w:t>
            </w:r>
          </w:p>
        </w:tc>
      </w:tr>
      <w:tr>
        <w:trPr/>
        <w:tc>
          <w:tcPr>
            <w:tcW w:w="131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7</w:t>
            </w:r>
          </w:p>
        </w:tc>
        <w:tc>
          <w:tcPr>
            <w:tcW w:w="4997" w:type="dxa"/>
            <w:tcBorders>
              <w:top w:val="single" w:sz="4" w:space="0" w:color="000000"/>
              <w:left w:val="single" w:sz="4" w:space="0" w:color="000000"/>
              <w:bottom w:val="single" w:sz="4" w:space="0" w:color="000000"/>
              <w:right w:val="single" w:sz="4" w:space="0" w:color="000000"/>
            </w:tcBorders>
          </w:tcPr>
          <w:p>
            <w:pPr>
              <w:pStyle w:val="TAC"/>
              <w:rPr/>
            </w:pPr>
            <w:r>
              <w:rPr>
                <w:rFonts w:cs="Times New Roman" w:ascii="Times New Roman" w:hAnsi="Times New Roman"/>
                <w:lang w:val="en-GB"/>
              </w:rPr>
              <w:t>1,1,1,0,0,1,0,1,1,1,1,0,1,1,1,0,0,0,0,0,1,0,0,1,0,0</w:t>
            </w:r>
          </w:p>
        </w:tc>
      </w:tr>
    </w:tbl>
    <w:p>
      <w:pPr>
        <w:pStyle w:val="FP"/>
        <w:rPr/>
      </w:pPr>
      <w:r>
        <w:rPr/>
      </w:r>
    </w:p>
    <w:p>
      <w:pPr>
        <w:pStyle w:val="TH"/>
        <w:rPr/>
      </w:pPr>
      <w:r>
        <w:rPr/>
        <w:t>Table 3. GMSK – TSC set 4</w:t>
      </w:r>
    </w:p>
    <w:tbl>
      <w:tblPr>
        <w:tblW w:w="6095" w:type="dxa"/>
        <w:jc w:val="center"/>
        <w:tblInd w:w="0" w:type="dxa"/>
        <w:tblLayout w:type="fixed"/>
        <w:tblCellMar>
          <w:top w:w="0" w:type="dxa"/>
          <w:left w:w="28" w:type="dxa"/>
          <w:bottom w:w="0" w:type="dxa"/>
          <w:right w:w="28" w:type="dxa"/>
        </w:tblCellMar>
      </w:tblPr>
      <w:tblGrid>
        <w:gridCol w:w="1133"/>
        <w:gridCol w:w="4962"/>
      </w:tblGrid>
      <w:tr>
        <w:trPr/>
        <w:tc>
          <w:tcPr>
            <w:tcW w:w="1133"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w:t>
            </w:r>
          </w:p>
          <w:p>
            <w:pPr>
              <w:pStyle w:val="TAH"/>
              <w:rPr>
                <w:rFonts w:ascii="Times New Roman" w:hAnsi="Times New Roman" w:cs="Times New Roman"/>
                <w:lang w:val="fr-FR" w:eastAsia="en-US"/>
              </w:rPr>
            </w:pPr>
            <w:r>
              <w:rPr>
                <w:rFonts w:cs="Times New Roman" w:ascii="Times New Roman" w:hAnsi="Times New Roman"/>
                <w:lang w:val="fr-FR" w:eastAsia="en-US"/>
              </w:rPr>
              <w:t>Sequence</w:t>
            </w:r>
          </w:p>
          <w:p>
            <w:pPr>
              <w:pStyle w:val="TAH"/>
              <w:rPr>
                <w:rFonts w:ascii="Times New Roman" w:hAnsi="Times New Roman" w:cs="Times New Roman"/>
                <w:lang w:eastAsia="en-US"/>
              </w:rPr>
            </w:pPr>
            <w:r>
              <w:rPr>
                <w:rFonts w:cs="Times New Roman" w:ascii="Times New Roman" w:hAnsi="Times New Roman"/>
                <w:lang w:val="fr-FR" w:eastAsia="en-US"/>
              </w:rPr>
              <w:t>Code (TSC)</w:t>
            </w:r>
          </w:p>
        </w:tc>
        <w:tc>
          <w:tcPr>
            <w:tcW w:w="4962"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 sequence symbols</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4962"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1,1,0,0,1,1,1,0,1,0,0,0,0,0,1,0,0,0,1,1,0,1,0,0,0,0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0,1,1,0,0,0,1,0,0,0,0,1,0,1,0,0,0,1,0,1,1,1,0,0,0,0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1,1,1,0,0,1,0,0,0,0,0,1,0,1,0,1,0,0,1,1,1,0,0,0,0,0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0,1,1,0,1,1,0,0,1,1,1,1,1,0,1,0,1,0,0,0,0,1,1,0,0,0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1,1,0,1,1,0,0,0,0,1,0,0,0,0,1,0,0,0,1,0,1,1,0,0,0,0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1,1,0,1,0,0,1,1,1,1,1,1,1,0,1,0,0,0,1,1,0,1,0,1,1,0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0,0,1,0,0,1,1,1,1,1,1,1,0,0,1,0,1,0,1,0,1,1,0,0,0,0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7</w:t>
            </w:r>
          </w:p>
        </w:tc>
        <w:tc>
          <w:tcPr>
            <w:tcW w:w="4962"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sz w:val="18"/>
                <w:szCs w:val="18"/>
              </w:rPr>
            </w:pPr>
            <w:r>
              <w:rPr>
                <w:sz w:val="18"/>
                <w:szCs w:val="18"/>
              </w:rPr>
              <w:t>0,1,0,1,1,1,0,0,0,0,0,0,1,0,1,0,0,1,1,0,0,0,1,1,1,0</w:t>
            </w:r>
          </w:p>
        </w:tc>
      </w:tr>
    </w:tbl>
    <w:p>
      <w:pPr>
        <w:pStyle w:val="FP"/>
        <w:rPr/>
      </w:pPr>
      <w:r>
        <w:rPr/>
      </w:r>
    </w:p>
    <w:p>
      <w:pPr>
        <w:pStyle w:val="TH"/>
        <w:rPr/>
      </w:pPr>
      <w:r>
        <w:rPr/>
        <w:t>Table 4. 8PSK</w:t>
      </w:r>
    </w:p>
    <w:tbl>
      <w:tblPr>
        <w:tblW w:w="6095" w:type="dxa"/>
        <w:jc w:val="center"/>
        <w:tblInd w:w="0" w:type="dxa"/>
        <w:tblLayout w:type="fixed"/>
        <w:tblCellMar>
          <w:top w:w="0" w:type="dxa"/>
          <w:left w:w="28" w:type="dxa"/>
          <w:bottom w:w="0" w:type="dxa"/>
          <w:right w:w="28" w:type="dxa"/>
        </w:tblCellMar>
      </w:tblPr>
      <w:tblGrid>
        <w:gridCol w:w="1133"/>
        <w:gridCol w:w="4962"/>
      </w:tblGrid>
      <w:tr>
        <w:trPr/>
        <w:tc>
          <w:tcPr>
            <w:tcW w:w="1133"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w:t>
            </w:r>
          </w:p>
          <w:p>
            <w:pPr>
              <w:pStyle w:val="TAH"/>
              <w:rPr>
                <w:rFonts w:ascii="Times New Roman" w:hAnsi="Times New Roman" w:cs="Times New Roman"/>
                <w:lang w:val="fr-FR" w:eastAsia="en-US"/>
              </w:rPr>
            </w:pPr>
            <w:r>
              <w:rPr>
                <w:rFonts w:cs="Times New Roman" w:ascii="Times New Roman" w:hAnsi="Times New Roman"/>
                <w:lang w:val="fr-FR" w:eastAsia="en-US"/>
              </w:rPr>
              <w:t>Sequence</w:t>
            </w:r>
          </w:p>
          <w:p>
            <w:pPr>
              <w:pStyle w:val="TAH"/>
              <w:rPr>
                <w:rFonts w:ascii="Times New Roman" w:hAnsi="Times New Roman" w:cs="Times New Roman"/>
                <w:lang w:eastAsia="en-US"/>
              </w:rPr>
            </w:pPr>
            <w:r>
              <w:rPr>
                <w:rFonts w:cs="Times New Roman" w:ascii="Times New Roman" w:hAnsi="Times New Roman"/>
                <w:lang w:val="fr-FR" w:eastAsia="en-US"/>
              </w:rPr>
              <w:t>Code (TSC)</w:t>
            </w:r>
          </w:p>
        </w:tc>
        <w:tc>
          <w:tcPr>
            <w:tcW w:w="4962"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 sequence symbols</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0,0,0,0,0,1,0,1,1,0,0,0,0,1,0,1,0,0,1,1,1,0,1,1,1,0;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0,1,1,1,1,0,1,1,0,1,0,1,1,1,1,1,0,0,1,1,0,1,1,0,0,0;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pPr>
            <w:r>
              <w:rPr>
                <w:sz w:val="18"/>
                <w:szCs w:val="18"/>
                <w:lang w:eastAsia="en-US"/>
              </w:rPr>
              <w:t>1,0,1,0,0,1,1,1,0,1,0,1,1,1,1,1,0,1,0,1,0,0,1,1,0,0;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0,0,1,0,1,1,1,0,1,1,1,1,0,1,1,1,1,0,0,1,0,1,1,1,0,0;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0,1,1,1,1,0,1,0,0,1,1,0,0,0,0,0,1,0,1,1,0,0,0,1,0,0;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0,1,0,1,1,1,1,0,1,0,1,1,1,0,1,1,0,0,0,0,1,0,0,1,0,0;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1,1,1,1,1,0,1,0,1,1,0,1,0,0,0,1,1,1,0,1,1,1,0,1,0,0;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7</w:t>
            </w:r>
          </w:p>
        </w:tc>
        <w:tc>
          <w:tcPr>
            <w:tcW w:w="4962"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18"/>
                <w:szCs w:val="18"/>
              </w:rPr>
              <w:t>1,1,1,1,1,1,1,0,0,1,0,1,0,1,1,0,0,1,0,0,0,0,0,1,1,0</w:t>
            </w:r>
          </w:p>
        </w:tc>
      </w:tr>
    </w:tbl>
    <w:p>
      <w:pPr>
        <w:pStyle w:val="FP"/>
        <w:rPr/>
      </w:pPr>
      <w:r>
        <w:rPr/>
      </w:r>
    </w:p>
    <w:p>
      <w:pPr>
        <w:pStyle w:val="TH"/>
        <w:rPr/>
      </w:pPr>
      <w:r>
        <w:rPr/>
        <w:t>Table 5. 16QAM</w:t>
      </w:r>
    </w:p>
    <w:tbl>
      <w:tblPr>
        <w:tblW w:w="6095" w:type="dxa"/>
        <w:jc w:val="center"/>
        <w:tblInd w:w="0" w:type="dxa"/>
        <w:tblLayout w:type="fixed"/>
        <w:tblCellMar>
          <w:top w:w="0" w:type="dxa"/>
          <w:left w:w="28" w:type="dxa"/>
          <w:bottom w:w="0" w:type="dxa"/>
          <w:right w:w="28" w:type="dxa"/>
        </w:tblCellMar>
      </w:tblPr>
      <w:tblGrid>
        <w:gridCol w:w="1133"/>
        <w:gridCol w:w="4962"/>
      </w:tblGrid>
      <w:tr>
        <w:trPr/>
        <w:tc>
          <w:tcPr>
            <w:tcW w:w="1133"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w:t>
            </w:r>
          </w:p>
          <w:p>
            <w:pPr>
              <w:pStyle w:val="TAH"/>
              <w:rPr>
                <w:rFonts w:ascii="Times New Roman" w:hAnsi="Times New Roman" w:cs="Times New Roman"/>
                <w:lang w:val="fr-FR" w:eastAsia="en-US"/>
              </w:rPr>
            </w:pPr>
            <w:r>
              <w:rPr>
                <w:rFonts w:cs="Times New Roman" w:ascii="Times New Roman" w:hAnsi="Times New Roman"/>
                <w:lang w:val="fr-FR" w:eastAsia="en-US"/>
              </w:rPr>
              <w:t>Sequence</w:t>
            </w:r>
          </w:p>
          <w:p>
            <w:pPr>
              <w:pStyle w:val="TAH"/>
              <w:rPr>
                <w:rFonts w:ascii="Times New Roman" w:hAnsi="Times New Roman" w:cs="Times New Roman"/>
                <w:lang w:eastAsia="en-US"/>
              </w:rPr>
            </w:pPr>
            <w:r>
              <w:rPr>
                <w:rFonts w:cs="Times New Roman" w:ascii="Times New Roman" w:hAnsi="Times New Roman"/>
                <w:lang w:val="fr-FR" w:eastAsia="en-US"/>
              </w:rPr>
              <w:t>Code (TSC)</w:t>
            </w:r>
          </w:p>
        </w:tc>
        <w:tc>
          <w:tcPr>
            <w:tcW w:w="4962"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 sequence symbols</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1,0,0,0,1,0,1,1,1,0,1,1,1,1,0,0,1,0,1,0,1,1,0,0,0,0;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1,1,1,0,0,0,1,1,1,1,0,1,1,0,0,1,0,0,0,0,1,0,1,0,0,0;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pPr>
            <w:r>
              <w:rPr>
                <w:sz w:val="18"/>
                <w:szCs w:val="18"/>
                <w:lang w:eastAsia="en-US"/>
              </w:rPr>
              <w:t>1,0,0,1,1,1,0,1,1,0,1,0,1,1,0,0,1,1,1,1,1,0,1,0,1,0;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0,0,1,1,1,0,1,1,1,0,1,1,0,1,0,1,1,1,1,0,0,0,0,1,0,0;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1,0,1,0,0,1,0,1,1,1,1,0,0,1,1,0,1,0,1,1,1,0,1,1,0,0;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0,0,0,1,1,0,1,0,1,1,0,0,1,1,1,1,1,1,0,1,0,1,0,1,1,0;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0,0,0,0,1,1,0,1,0,0,0,0,1,0,1,0,0,0,1,1,0,0,1,1,1,0;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7</w:t>
            </w:r>
          </w:p>
        </w:tc>
        <w:tc>
          <w:tcPr>
            <w:tcW w:w="4962"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18"/>
                <w:szCs w:val="18"/>
              </w:rPr>
              <w:t>0,1,0,1,1,0,0,0,0,0,1,0,0,0,1,0,1,0,1,1,0,0,1,1,1,0</w:t>
            </w:r>
          </w:p>
        </w:tc>
      </w:tr>
    </w:tbl>
    <w:p>
      <w:pPr>
        <w:pStyle w:val="FP"/>
        <w:rPr/>
      </w:pPr>
      <w:r>
        <w:rPr/>
      </w:r>
    </w:p>
    <w:p>
      <w:pPr>
        <w:pStyle w:val="TH"/>
        <w:rPr/>
      </w:pPr>
      <w:r>
        <w:rPr/>
        <w:t>Table 6. 32QAM</w:t>
      </w:r>
    </w:p>
    <w:tbl>
      <w:tblPr>
        <w:tblW w:w="6095" w:type="dxa"/>
        <w:jc w:val="center"/>
        <w:tblInd w:w="0" w:type="dxa"/>
        <w:tblLayout w:type="fixed"/>
        <w:tblCellMar>
          <w:top w:w="0" w:type="dxa"/>
          <w:left w:w="28" w:type="dxa"/>
          <w:bottom w:w="0" w:type="dxa"/>
          <w:right w:w="28" w:type="dxa"/>
        </w:tblCellMar>
      </w:tblPr>
      <w:tblGrid>
        <w:gridCol w:w="1133"/>
        <w:gridCol w:w="4962"/>
      </w:tblGrid>
      <w:tr>
        <w:trPr/>
        <w:tc>
          <w:tcPr>
            <w:tcW w:w="1133"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w:t>
            </w:r>
          </w:p>
          <w:p>
            <w:pPr>
              <w:pStyle w:val="TAH"/>
              <w:rPr>
                <w:rFonts w:ascii="Times New Roman" w:hAnsi="Times New Roman" w:cs="Times New Roman"/>
                <w:lang w:val="fr-FR" w:eastAsia="en-US"/>
              </w:rPr>
            </w:pPr>
            <w:r>
              <w:rPr>
                <w:rFonts w:cs="Times New Roman" w:ascii="Times New Roman" w:hAnsi="Times New Roman"/>
                <w:lang w:val="fr-FR" w:eastAsia="en-US"/>
              </w:rPr>
              <w:t>Sequence</w:t>
            </w:r>
          </w:p>
          <w:p>
            <w:pPr>
              <w:pStyle w:val="TAH"/>
              <w:rPr>
                <w:rFonts w:ascii="Times New Roman" w:hAnsi="Times New Roman" w:cs="Times New Roman"/>
                <w:lang w:eastAsia="en-US"/>
              </w:rPr>
            </w:pPr>
            <w:r>
              <w:rPr>
                <w:rFonts w:cs="Times New Roman" w:ascii="Times New Roman" w:hAnsi="Times New Roman"/>
                <w:lang w:val="fr-FR" w:eastAsia="en-US"/>
              </w:rPr>
              <w:t>Code (TSC)</w:t>
            </w:r>
          </w:p>
        </w:tc>
        <w:tc>
          <w:tcPr>
            <w:tcW w:w="4962"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Training sequence symbols</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1,0,1,0,1,0,1,0,0,0,0,0,1,1,0,1,0,0,1,1,1,0,0,1,0,0;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0,0,1,1,0,1,0,0,1,1,1,0,1,0,1,0,0,0,0,1,1,0,1,0,0,0;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pPr>
            <w:r>
              <w:rPr>
                <w:sz w:val="18"/>
                <w:szCs w:val="18"/>
                <w:lang w:eastAsia="en-US"/>
              </w:rPr>
              <w:t>1,0,0,1,1,0,0,0,0,1,0,1,0,0,1,0,0,1,1,1,1,0,0,0,1,0;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0,0,0,1,1,1,0,1,0,1,1,1,0,0,1,1,0,1,1,1,1,0,1,0,0,0;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0,0,1,0,1,0,0,1,1,1,1,0,1,0,0,0,1,0,0,1,1,0,0,0,0,0;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1,0,0,0,0,1,1,1,0,1,0,0,1,1,0,1,1,1,1,0,1,1,0,0,0,0;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w:t>
            </w:r>
          </w:p>
        </w:tc>
        <w:tc>
          <w:tcPr>
            <w:tcW w:w="4962" w:type="dxa"/>
            <w:tcBorders>
              <w:top w:val="single" w:sz="4" w:space="0" w:color="000000"/>
              <w:left w:val="single" w:sz="4" w:space="0" w:color="000000"/>
              <w:bottom w:val="single" w:sz="4" w:space="0" w:color="000000"/>
              <w:right w:val="single" w:sz="4" w:space="0" w:color="000000"/>
            </w:tcBorders>
          </w:tcPr>
          <w:p>
            <w:pPr>
              <w:pStyle w:val="TextBody"/>
              <w:spacing w:before="0" w:after="0"/>
              <w:jc w:val="center"/>
              <w:rPr>
                <w:sz w:val="18"/>
                <w:szCs w:val="18"/>
                <w:lang w:eastAsia="en-US"/>
              </w:rPr>
            </w:pPr>
            <w:r>
              <w:rPr>
                <w:sz w:val="18"/>
                <w:szCs w:val="18"/>
                <w:lang w:eastAsia="en-US"/>
              </w:rPr>
              <w:t>1,1,1,1,0,0,1,0,1,0,1,1,0,1,1,0,0,0,0,1,1,0,0,0,0,0;</w:t>
            </w:r>
          </w:p>
        </w:tc>
      </w:tr>
      <w:tr>
        <w:trPr/>
        <w:tc>
          <w:tcPr>
            <w:tcW w:w="1133"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7</w:t>
            </w:r>
          </w:p>
        </w:tc>
        <w:tc>
          <w:tcPr>
            <w:tcW w:w="4962"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sz w:val="18"/>
                <w:szCs w:val="18"/>
              </w:rPr>
              <w:t>1,1,0,1,1,1,0,0,1,1,1,1,1,0,1,0,0,1,0,0,1,0,1,0,0,0</w:t>
            </w:r>
          </w:p>
        </w:tc>
      </w:tr>
    </w:tbl>
    <w:p>
      <w:pPr>
        <w:pStyle w:val="FP"/>
        <w:rPr/>
      </w:pPr>
      <w:r>
        <w:rPr/>
      </w:r>
      <w:bookmarkStart w:id="926" w:name="_Ref164666983"/>
      <w:bookmarkStart w:id="927" w:name="_Ref164666983"/>
      <w:bookmarkEnd w:id="927"/>
    </w:p>
    <w:p>
      <w:pPr>
        <w:pStyle w:val="Heading2"/>
        <w:rPr/>
      </w:pPr>
      <w:bookmarkStart w:id="928" w:name="__RefHeading___Toc518036251"/>
      <w:bookmarkEnd w:id="928"/>
      <w:r>
        <w:rPr/>
        <w:t>ZE.1.4</w:t>
        <w:tab/>
        <w:t>Equivalence of rotational approaches</w:t>
      </w:r>
    </w:p>
    <w:p>
      <w:pPr>
        <w:pStyle w:val="Normal"/>
        <w:rPr/>
      </w:pPr>
      <w:r>
        <w:rPr/>
        <w:t>The most straight-forward way to model cross correlations between sequences of different modulation (or same modulation) is to:</w:t>
      </w:r>
    </w:p>
    <w:p>
      <w:pPr>
        <w:pStyle w:val="B1"/>
        <w:rPr/>
      </w:pPr>
      <w:r>
        <w:rPr/>
        <w:t>a) Rotate carrier according to carrier modulation and interferer according to interfering modulation and de-rotate the received signal according to the carrier modulation. Use least squares with un-rotated sequences.</w:t>
      </w:r>
    </w:p>
    <w:p>
      <w:pPr>
        <w:pStyle w:val="Normal"/>
        <w:rPr/>
      </w:pPr>
      <w:r>
        <w:rPr/>
        <w:t>For simplicity in this case it is more convenient to:</w:t>
      </w:r>
    </w:p>
    <w:p>
      <w:pPr>
        <w:pStyle w:val="B1"/>
        <w:rPr/>
      </w:pPr>
      <w:r>
        <w:rPr/>
        <w:t>b)  Rotate carrier according to carrier modulation and interferer according to interfering modulation, do not de-rotate. Use least squares with sequences rotated according to carrier modulation.</w:t>
      </w:r>
    </w:p>
    <w:p>
      <w:pPr>
        <w:pStyle w:val="Normal"/>
        <w:rPr/>
      </w:pPr>
      <w:r>
        <w:rPr/>
        <w:t xml:space="preserve">For the purpose of calculating </w:t>
      </w:r>
      <w:r>
        <w:rPr/>
      </w:r>
      <m:oMath xmlns:m="http://schemas.openxmlformats.org/officeDocument/2006/math">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oMath>
      <w:r>
        <w:rPr/>
        <w:t xml:space="preserve"> a) and b) are equivalent, this is shown below.</w:t>
      </w:r>
    </w:p>
    <w:p>
      <w:pPr>
        <w:pStyle w:val="Normal"/>
        <w:rPr/>
      </w:pPr>
      <w:r>
        <w:rPr/>
        <w:t xml:space="preserve">Let </w:t>
      </w:r>
      <w:r>
        <w:rPr/>
      </w:r>
      <m:oMath xmlns:m="http://schemas.openxmlformats.org/officeDocument/2006/math">
        <m:r>
          <w:rPr>
            <w:rFonts w:ascii="Cambria Math" w:hAnsi="Cambria Math"/>
          </w:rPr>
          <m:t xml:space="preserve">φ</m:t>
        </m:r>
      </m:oMath>
      <w:r>
        <w:rPr/>
        <w:t xml:space="preserve"> be the carrier modulation rotation and </w:t>
      </w:r>
      <w:r>
        <w:rPr/>
      </w:r>
      <m:oMath xmlns:m="http://schemas.openxmlformats.org/officeDocument/2006/math">
        <m:r>
          <w:rPr>
            <w:rFonts w:ascii="Cambria Math" w:hAnsi="Cambria Math"/>
          </w:rPr>
          <m:t xml:space="preserve">ϕ</m:t>
        </m:r>
      </m:oMath>
      <w:r>
        <w:rPr/>
        <w:t xml:space="preserve"> be the interferer modulation rotation.</w:t>
      </w:r>
    </w:p>
    <w:p>
      <w:pPr>
        <w:pStyle w:val="Normal"/>
        <w:rPr/>
      </w:pPr>
      <w:r>
        <w:rPr/>
        <w:t>The rotated carrier can be expressed as:</w:t>
      </w:r>
    </w:p>
    <w:p>
      <w:pPr>
        <w:pStyle w:val="EQ"/>
        <w:jc w:val="center"/>
        <w:rPr/>
      </w:pPr>
      <w:r>
        <w:rPr/>
      </w:r>
      <m:oMathPara xmlns:m="http://schemas.openxmlformats.org/officeDocument/2006/math">
        <m:oMathParaPr>
          <m:jc m:val="center"/>
        </m:oMathParaPr>
        <m:oMath>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k</m:t>
              </m:r>
            </m:sub>
          </m:sSub>
          <m:sSup>
            <m:e>
              <m:r>
                <w:rPr>
                  <w:rFonts w:ascii="Cambria Math" w:hAnsi="Cambria Math"/>
                </w:rPr>
                <m:t xml:space="preserve">e</m:t>
              </m:r>
            </m:e>
            <m:sup>
              <m:r>
                <w:rPr>
                  <w:rFonts w:ascii="Cambria Math" w:hAnsi="Cambria Math"/>
                </w:rPr>
                <m:t xml:space="preserve">jφn</m:t>
              </m:r>
            </m:sup>
          </m:sSup>
          <m:r>
            <m:t xml:space="preserve"> </m:t>
          </m:r>
          <m:r>
            <w:rPr>
              <w:rFonts w:ascii="Cambria Math" w:hAnsi="Cambria Math"/>
            </w:rPr>
            <m:t xml:space="preserve">⇔</m:t>
          </m:r>
          <m:r>
            <m:t xml:space="preserve"> </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sSub>
            <m:e>
              <m:r>
                <w:rPr>
                  <w:rFonts w:ascii="Cambria Math" w:hAnsi="Cambria Math"/>
                </w:rPr>
                <m:t xml:space="preserve">φ</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k</m:t>
              </m:r>
            </m:sub>
          </m:sSub>
          <m:sSub>
            <m:e>
              <m:r>
                <w:rPr>
                  <w:rFonts w:ascii="Cambria Math" w:hAnsi="Cambria Math"/>
                </w:rPr>
                <m:t xml:space="preserve">φ</m:t>
              </m:r>
            </m:e>
            <m:sub>
              <m:r>
                <w:rPr>
                  <w:rFonts w:ascii="Cambria Math" w:hAnsi="Cambria Math"/>
                </w:rPr>
                <m:t xml:space="preserve">−</m:t>
              </m:r>
            </m:sub>
          </m:sSub>
        </m:oMath>
      </m:oMathPara>
    </w:p>
    <w:p>
      <w:pPr>
        <w:pStyle w:val="EQ"/>
        <w:jc w:val="center"/>
        <w:rPr/>
      </w:pPr>
      <w:r>
        <w:rPr/>
      </w:r>
      <m:oMathPara xmlns:m="http://schemas.openxmlformats.org/officeDocument/2006/math">
        <m:oMathParaPr>
          <m:jc m:val="center"/>
        </m:oMathParaPr>
        <m:oMath>
          <m:sSub>
            <m:e>
              <m:r>
                <w:rPr>
                  <w:rFonts w:ascii="Cambria Math" w:hAnsi="Cambria Math"/>
                </w:rPr>
                <m:t xml:space="preserve">φ</m:t>
              </m:r>
            </m:e>
            <m:sub>
              <m:r>
                <w:rPr>
                  <w:rFonts w:ascii="Cambria Math" w:hAnsi="Cambria Math"/>
                </w:rPr>
                <m:t xml:space="preserve">+</m:t>
              </m:r>
            </m:sub>
          </m:sSub>
          <m:r>
            <w:rPr>
              <w:rFonts w:ascii="Cambria Math" w:hAnsi="Cambria Math"/>
            </w:rPr>
            <m:t xml:space="preserve">=</m:t>
          </m:r>
          <m:d>
            <m:dPr>
              <m:begChr m:val="["/>
              <m:endChr m:val="]"/>
            </m:dPr>
            <m:e>
              <m:m>
                <m:mr>
                  <m:e>
                    <m:sSup>
                      <m:e>
                        <m:r>
                          <w:rPr>
                            <w:rFonts w:ascii="Cambria Math" w:hAnsi="Cambria Math"/>
                          </w:rPr>
                          <m:t xml:space="preserve">e</m:t>
                        </m:r>
                      </m:e>
                      <m:sup>
                        <m:r>
                          <w:rPr>
                            <w:rFonts w:ascii="Cambria Math" w:hAnsi="Cambria Math"/>
                          </w:rPr>
                          <m:t xml:space="preserve">jφ</m:t>
                        </m:r>
                        <m:r>
                          <w:rPr>
                            <w:rFonts w:ascii="Cambria Math" w:hAnsi="Cambria Math"/>
                          </w:rPr>
                          <m:t xml:space="preserve">0</m:t>
                        </m:r>
                      </m:sup>
                    </m:sSup>
                  </m:e>
                  <m:e>
                    <m:r>
                      <w:rPr>
                        <w:rFonts w:ascii="Cambria Math" w:hAnsi="Cambria Math"/>
                      </w:rPr>
                      <m:t xml:space="preserve">0</m:t>
                    </m:r>
                  </m:e>
                  <m:e>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sSup>
                      <m:e>
                        <m:r>
                          <w:rPr>
                            <w:rFonts w:ascii="Cambria Math" w:hAnsi="Cambria Math"/>
                          </w:rPr>
                          <m:t xml:space="preserve">e</m:t>
                        </m:r>
                      </m:e>
                      <m:sup>
                        <m:r>
                          <w:rPr>
                            <w:rFonts w:ascii="Cambria Math" w:hAnsi="Cambria Math"/>
                          </w:rPr>
                          <m:t xml:space="preserve">jφ</m:t>
                        </m:r>
                        <m:r>
                          <w:rPr>
                            <w:rFonts w:ascii="Cambria Math" w:hAnsi="Cambria Math"/>
                          </w:rPr>
                          <m:t xml:space="preserve">1</m:t>
                        </m:r>
                      </m:sup>
                    </m:sSup>
                  </m:e>
                  <m:e>
                    <m:r>
                      <w:rPr>
                        <w:rFonts w:ascii="Cambria Math" w:hAnsi="Cambria Math"/>
                      </w:rPr>
                      <m:t xml:space="preserve">⋱</m:t>
                    </m:r>
                  </m:e>
                  <m:e>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sSup>
                      <m:e>
                        <m:r>
                          <w:rPr>
                            <w:rFonts w:ascii="Cambria Math" w:hAnsi="Cambria Math"/>
                          </w:rPr>
                          <m:t xml:space="preserve">e</m:t>
                        </m:r>
                      </m:e>
                      <m:sup>
                        <m:r>
                          <w:rPr>
                            <w:rFonts w:ascii="Cambria Math" w:hAnsi="Cambria Math"/>
                          </w:rPr>
                          <m:t xml:space="preserve">jφ</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m:t>
                        </m:r>
                        <m:r>
                          <w:rPr>
                            <w:rFonts w:ascii="Cambria Math" w:hAnsi="Cambria Math"/>
                          </w:rPr>
                          <m:t xml:space="preserve">)</m:t>
                        </m:r>
                      </m:sup>
                    </m:sSup>
                  </m:e>
                </m:mr>
              </m:m>
            </m:e>
          </m:d>
          <m:r>
            <w:rPr>
              <w:rFonts w:ascii="Cambria Math" w:hAnsi="Cambria Math"/>
            </w:rPr>
            <m:t xml:space="preserve">,</m:t>
          </m:r>
          <m:r>
            <m:t xml:space="preserve"> </m:t>
          </m:r>
          <m:sSub>
            <m:e>
              <m:r>
                <w:rPr>
                  <w:rFonts w:ascii="Cambria Math" w:hAnsi="Cambria Math"/>
                </w:rPr>
                <m:t xml:space="preserve">φ</m:t>
              </m:r>
            </m:e>
            <m:sub>
              <m:r>
                <w:rPr>
                  <w:rFonts w:ascii="Cambria Math" w:hAnsi="Cambria Math"/>
                </w:rPr>
                <m:t xml:space="preserve">−</m:t>
              </m:r>
            </m:sub>
          </m:sSub>
          <m:r>
            <w:rPr>
              <w:rFonts w:ascii="Cambria Math" w:hAnsi="Cambria Math"/>
            </w:rPr>
            <m:t xml:space="preserve">=</m:t>
          </m:r>
          <m:d>
            <m:dPr>
              <m:begChr m:val="["/>
              <m:endChr m:val="]"/>
            </m:dPr>
            <m:e>
              <m:m>
                <m:mr>
                  <m:e>
                    <m:sSup>
                      <m:e>
                        <m:r>
                          <w:rPr>
                            <w:rFonts w:ascii="Cambria Math" w:hAnsi="Cambria Math"/>
                          </w:rPr>
                          <m:t xml:space="preserve">e</m:t>
                        </m:r>
                      </m:e>
                      <m:sup>
                        <m:r>
                          <w:rPr>
                            <w:rFonts w:ascii="Cambria Math" w:hAnsi="Cambria Math"/>
                          </w:rPr>
                          <m:t xml:space="preserve">jφ</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sup>
                    </m:sSup>
                  </m:e>
                  <m:e>
                    <m:r>
                      <w:rPr>
                        <w:rFonts w:ascii="Cambria Math" w:hAnsi="Cambria Math"/>
                      </w:rPr>
                      <m:t xml:space="preserve">0</m:t>
                    </m:r>
                  </m:e>
                  <m:e>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sSup>
                      <m:e>
                        <m:r>
                          <w:rPr>
                            <w:rFonts w:ascii="Cambria Math" w:hAnsi="Cambria Math"/>
                          </w:rPr>
                          <m:t xml:space="preserve">e</m:t>
                        </m:r>
                      </m:e>
                      <m:sup>
                        <m:r>
                          <w:rPr>
                            <w:rFonts w:ascii="Cambria Math" w:hAnsi="Cambria Math"/>
                          </w:rPr>
                          <m:t xml:space="preserve">jφ</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sup>
                    </m:sSup>
                  </m:e>
                  <m:e>
                    <m:r>
                      <w:rPr>
                        <w:rFonts w:ascii="Cambria Math" w:hAnsi="Cambria Math"/>
                      </w:rPr>
                      <m:t xml:space="preserve">⋱</m:t>
                    </m:r>
                  </m:e>
                  <m:e>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sSup>
                      <m:e>
                        <m:r>
                          <w:rPr>
                            <w:rFonts w:ascii="Cambria Math" w:hAnsi="Cambria Math"/>
                          </w:rPr>
                          <m:t xml:space="preserve">e</m:t>
                        </m:r>
                      </m:e>
                      <m:sup>
                        <m:r>
                          <w:rPr>
                            <w:rFonts w:ascii="Cambria Math" w:hAnsi="Cambria Math"/>
                          </w:rPr>
                          <m:t xml:space="preserve">jφ</m:t>
                        </m:r>
                        <m:r>
                          <w:rPr>
                            <w:rFonts w:ascii="Cambria Math" w:hAnsi="Cambria Math"/>
                          </w:rPr>
                          <m:t xml:space="preserve">0</m:t>
                        </m:r>
                      </m:sup>
                    </m:sSup>
                  </m:e>
                </m:mr>
              </m:m>
            </m:e>
          </m:d>
        </m:oMath>
      </m:oMathPara>
    </w:p>
    <w:p>
      <w:pPr>
        <w:pStyle w:val="Normal"/>
        <w:rPr/>
      </w:pPr>
      <w:r>
        <w:rPr/>
        <w:t>Similarly the rotated interferer can be expressed as:</w:t>
      </w:r>
    </w:p>
    <w:p>
      <w:pPr>
        <w:pStyle w:val="EQ"/>
        <w:jc w:val="center"/>
        <w:rPr/>
      </w:pPr>
      <w:r>
        <w:rPr/>
      </w:r>
      <m:oMathPara xmlns:m="http://schemas.openxmlformats.org/officeDocument/2006/math">
        <m:oMathParaPr>
          <m:jc m:val="center"/>
        </m:oMathParaPr>
        <m:oMath>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p</m:t>
              </m:r>
            </m:sub>
          </m:sSub>
          <m:sSup>
            <m:e>
              <m:r>
                <w:rPr>
                  <w:rFonts w:ascii="Cambria Math" w:hAnsi="Cambria Math"/>
                </w:rPr>
                <m:t xml:space="preserve">e</m:t>
              </m:r>
            </m:e>
            <m:sup>
              <m:r>
                <w:rPr>
                  <w:rFonts w:ascii="Cambria Math" w:hAnsi="Cambria Math"/>
                </w:rPr>
                <m:t xml:space="preserve">jϕn</m:t>
              </m:r>
            </m:sup>
          </m:sSup>
          <m:r>
            <m:t xml:space="preserve"> </m:t>
          </m:r>
          <m:r>
            <w:rPr>
              <w:rFonts w:ascii="Cambria Math" w:hAnsi="Cambria Math"/>
            </w:rPr>
            <m:t xml:space="preserve">⇔</m:t>
          </m:r>
          <m:r>
            <m:t xml:space="preserve"> </m:t>
          </m:r>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m:t>
          </m:r>
          <m:sSub>
            <m:e>
              <m:r>
                <w:rPr>
                  <w:rFonts w:ascii="Cambria Math" w:hAnsi="Cambria Math"/>
                </w:rPr>
                <m:t xml:space="preserve">ϕ</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ϕ</m:t>
              </m:r>
            </m:e>
            <m:sub>
              <m:r>
                <w:rPr>
                  <w:rFonts w:ascii="Cambria Math" w:hAnsi="Cambria Math"/>
                </w:rPr>
                <m:t xml:space="preserve">−</m:t>
              </m:r>
            </m:sub>
          </m:sSub>
        </m:oMath>
      </m:oMathPara>
    </w:p>
    <w:p>
      <w:pPr>
        <w:pStyle w:val="Normal"/>
        <w:rPr/>
      </w:pPr>
      <w:r>
        <w:rPr/>
        <w:t xml:space="preserve">Some useful identities (valid both for </w:t>
      </w:r>
      <w:r>
        <w:rPr/>
      </w:r>
      <m:oMath xmlns:m="http://schemas.openxmlformats.org/officeDocument/2006/math">
        <m:r>
          <w:rPr>
            <w:rFonts w:ascii="Cambria Math" w:hAnsi="Cambria Math"/>
          </w:rPr>
          <m:t xml:space="preserve">φ</m:t>
        </m:r>
      </m:oMath>
      <w:r>
        <w:rPr/>
        <w:t xml:space="preserve"> and </w:t>
      </w:r>
      <w:r>
        <w:rPr/>
      </w:r>
      <m:oMath xmlns:m="http://schemas.openxmlformats.org/officeDocument/2006/math">
        <m:r>
          <w:rPr>
            <w:rFonts w:ascii="Cambria Math" w:hAnsi="Cambria Math"/>
          </w:rPr>
          <m:t xml:space="preserve">ϕ</m:t>
        </m:r>
      </m:oMath>
      <w:r>
        <w:rPr/>
        <w:t>):</w:t>
      </w:r>
    </w:p>
    <w:p>
      <w:pPr>
        <w:pStyle w:val="EQ"/>
        <w:jc w:val="center"/>
        <w:rPr/>
      </w:pPr>
      <w:r>
        <w:rPr/>
      </w:r>
      <m:oMathPara xmlns:m="http://schemas.openxmlformats.org/officeDocument/2006/math">
        <m:oMathParaPr>
          <m:jc m:val="center"/>
        </m:oMathParaPr>
        <m:oMath>
          <m:sSubSup>
            <m:e>
              <m:r>
                <w:rPr>
                  <w:rFonts w:ascii="Cambria Math" w:hAnsi="Cambria Math"/>
                </w:rPr>
                <m:t xml:space="preserve">φ</m:t>
              </m:r>
            </m:e>
            <m:sub>
              <m:r>
                <w:rPr>
                  <w:rFonts w:ascii="Cambria Math" w:hAnsi="Cambria Math"/>
                </w:rPr>
                <m:t xml:space="preserve">+</m:t>
              </m:r>
            </m:sub>
            <m:sup>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r>
            <m:t xml:space="preserve"> </m:t>
          </m:r>
          <m:r>
            <w:rPr>
              <w:rFonts w:ascii="Cambria Math" w:hAnsi="Cambria Math"/>
            </w:rPr>
            <m:t xml:space="preserve">,</m:t>
          </m:r>
          <m:r>
            <m:t xml:space="preserve"> </m:t>
          </m:r>
          <m:sSubSup>
            <m:e>
              <m:r>
                <w:rPr>
                  <w:rFonts w:ascii="Cambria Math" w:hAnsi="Cambria Math"/>
                </w:rPr>
                <m:t xml:space="preserve">φ</m:t>
              </m:r>
            </m:e>
            <m:sub>
              <m:r>
                <w:rPr>
                  <w:rFonts w:ascii="Cambria Math" w:hAnsi="Cambria Math"/>
                </w:rPr>
                <m:t xml:space="preserve">−</m:t>
              </m:r>
            </m:sub>
            <m:sup>
              <m:r>
                <w:rPr>
                  <w:rFonts w:ascii="Cambria Math" w:hAnsi="Cambria Math"/>
                </w:rPr>
                <m:t xml:space="preserve">−</m:t>
              </m:r>
              <m:r>
                <w:rPr>
                  <w:rFonts w:ascii="Cambria Math" w:hAnsi="Cambria Math"/>
                </w:rPr>
                <m:t xml:space="preserve">1</m:t>
              </m:r>
            </m:sup>
          </m:sSubSup>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oMath>
      </m:oMathPara>
    </w:p>
    <w:p>
      <w:pPr>
        <w:pStyle w:val="EQ"/>
        <w:jc w:val="center"/>
        <w:rPr/>
      </w:pPr>
      <w:r>
        <w:rPr/>
      </w:r>
      <m:oMathPara xmlns:m="http://schemas.openxmlformats.org/officeDocument/2006/math">
        <m:oMathParaPr>
          <m:jc m:val="center"/>
        </m:oMathParaPr>
        <m:oMath>
          <m:sSup>
            <m:e>
              <m:r>
                <w:rPr>
                  <w:rFonts w:ascii="Cambria Math" w:hAnsi="Cambria Math"/>
                </w:rPr>
                <m:t xml:space="preserve">S</m:t>
              </m:r>
            </m:e>
            <m:sup/>
          </m:sSup>
          <m:r>
            <w:rPr>
              <w:rFonts w:ascii="Cambria Math" w:hAnsi="Cambria Math"/>
            </w:rPr>
            <m:t xml:space="preserve">=</m:t>
          </m:r>
          <m:sSup>
            <m:e>
              <m:d>
                <m:dPr>
                  <m:begChr m:val="("/>
                  <m:endChr m:val=")"/>
                </m:dPr>
                <m:e>
                  <m:sSub>
                    <m:e>
                      <m:r>
                        <w:rPr>
                          <w:rFonts w:ascii="Cambria Math" w:hAnsi="Cambria Math"/>
                        </w:rPr>
                        <m:t xml:space="preserve">φ</m:t>
                      </m:r>
                    </m:e>
                    <m:sub>
                      <m:r>
                        <w:rPr>
                          <w:rFonts w:ascii="Cambria Math" w:hAnsi="Cambria Math"/>
                        </w:rPr>
                        <m:t xml:space="preserve">+</m:t>
                      </m:r>
                    </m:sub>
                  </m:sSub>
                  <m:sSub>
                    <m:e>
                      <m:r>
                        <w:rPr>
                          <w:rFonts w:ascii="Cambria Math" w:hAnsi="Cambria Math"/>
                        </w:rPr>
                        <m:t xml:space="preserve">Sφ</m:t>
                      </m:r>
                    </m:e>
                    <m:sub>
                      <m:r>
                        <w:rPr>
                          <w:rFonts w:ascii="Cambria Math" w:hAnsi="Cambria Math"/>
                        </w:rPr>
                        <m:t xml:space="preserve">−</m:t>
                      </m:r>
                    </m:sub>
                  </m:sSub>
                </m:e>
              </m:d>
            </m:e>
            <m:sup>
              <m:r>
                <w:rPr>
                  <w:rFonts w:ascii="Cambria Math" w:hAnsi="Cambria Math"/>
                </w:rPr>
                <m:t xml:space="preserve">H</m:t>
              </m:r>
            </m:sup>
          </m:sSup>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sSup>
            <m:e>
              <m:r>
                <w:rPr>
                  <w:rFonts w:ascii="Cambria Math" w:hAnsi="Cambria Math"/>
                </w:rPr>
                <m:t xml:space="preserve">S</m:t>
              </m:r>
            </m:e>
            <m:sup>
              <m:r>
                <w:rPr>
                  <w:rFonts w:ascii="Cambria Math" w:hAnsi="Cambria Math"/>
                </w:rPr>
                <m:t xml:space="preserve">H</m:t>
              </m:r>
            </m:sup>
          </m:sSup>
          <m:sSubSup>
            <m:e>
              <m:r>
                <w:rPr>
                  <w:rFonts w:ascii="Cambria Math" w:hAnsi="Cambria Math"/>
                </w:rPr>
                <m:t xml:space="preserve">φ</m:t>
              </m:r>
            </m:e>
            <m:sub>
              <m:r>
                <w:rPr>
                  <w:rFonts w:ascii="Cambria Math" w:hAnsi="Cambria Math"/>
                </w:rPr>
                <m:t xml:space="preserve">+</m:t>
              </m:r>
            </m:sub>
            <m:sup/>
          </m:sSubSup>
        </m:oMath>
      </m:oMathPara>
    </w:p>
    <w:p>
      <w:pPr>
        <w:pStyle w:val="EQ"/>
        <w:jc w:val="center"/>
        <w:rPr/>
      </w:pPr>
      <w:r>
        <w:rPr/>
      </w:r>
      <m:oMathPara xmlns:m="http://schemas.openxmlformats.org/officeDocument/2006/math">
        <m:oMathParaPr>
          <m:jc m:val="center"/>
        </m:oMathParaPr>
        <m:oMath>
          <m:sSup>
            <m:e>
              <m:d>
                <m:dPr>
                  <m:begChr m:val="("/>
                  <m:endChr m:val=")"/>
                </m:dPr>
                <m:e>
                  <m:sSup>
                    <m:e>
                      <m:r>
                        <w:rPr>
                          <w:rFonts w:ascii="Cambria Math" w:hAnsi="Cambria Math"/>
                        </w:rPr>
                        <m:t xml:space="preserve">S</m:t>
                      </m:r>
                    </m:e>
                    <m:sup/>
                  </m:sSup>
                  <m:sSup>
                    <m:e>
                      <m:r>
                        <w:rPr>
                          <w:rFonts w:ascii="Cambria Math" w:hAnsi="Cambria Math"/>
                        </w:rPr>
                        <m:t xml:space="preserve">S</m:t>
                      </m:r>
                    </m:e>
                    <m:sup>
                      <m:r>
                        <w:rPr>
                          <w:rFonts w:ascii="Cambria Math" w:hAnsi="Cambria Math"/>
                        </w:rPr>
                        <m:t xml:space="preserve">'</m:t>
                      </m:r>
                    </m:sup>
                  </m:sSup>
                </m:e>
              </m:d>
            </m:e>
            <m:sup>
              <m:r>
                <w:rPr>
                  <w:rFonts w:ascii="Cambria Math" w:hAnsi="Cambria Math"/>
                </w:rPr>
                <m:t xml:space="preserve">−</m:t>
              </m:r>
              <m:r>
                <w:rPr>
                  <w:rFonts w:ascii="Cambria Math" w:hAnsi="Cambria Math"/>
                </w:rPr>
                <m:t xml:space="preserve">1</m:t>
              </m:r>
            </m:sup>
          </m:sSup>
          <m:r>
            <w:rPr>
              <w:rFonts w:ascii="Cambria Math" w:hAnsi="Cambria Math"/>
            </w:rPr>
            <m:t xml:space="preserve">=</m:t>
          </m:r>
          <m:sSup>
            <m:e>
              <m:r>
                <w:rPr>
                  <w:rFonts w:ascii="Cambria Math" w:hAnsi="Cambria Math"/>
                </w:rPr>
                <m:t xml:space="preserve">S</m:t>
              </m:r>
            </m:e>
            <m:sup/>
          </m:sSup>
          <m:sSup>
            <m:e>
              <m:r>
                <w:rPr>
                  <w:rFonts w:ascii="Cambria Math" w:hAnsi="Cambria Math"/>
                </w:rPr>
                <m:t xml:space="preserve">S</m:t>
              </m:r>
            </m:e>
            <m:sup/>
          </m:sSup>
          <m:r>
            <w:rPr>
              <w:rFonts w:ascii="Cambria Math" w:hAnsi="Cambria Math"/>
            </w:rPr>
            <m:t xml:space="preserve">=</m:t>
          </m:r>
          <m:sSup>
            <m:e>
              <m:d>
                <m:dPr>
                  <m:begChr m:val="("/>
                  <m:endChr m:val=")"/>
                </m:dPr>
                <m:e>
                  <m:sSub>
                    <m:e>
                      <m:r>
                        <w:rPr>
                          <w:rFonts w:ascii="Cambria Math" w:hAnsi="Cambria Math"/>
                        </w:rPr>
                        <m:t xml:space="preserve">φ</m:t>
                      </m:r>
                    </m:e>
                    <m:sub>
                      <m:r>
                        <w:rPr>
                          <w:rFonts w:ascii="Cambria Math" w:hAnsi="Cambria Math"/>
                        </w:rPr>
                        <m:t xml:space="preserve">+</m:t>
                      </m:r>
                    </m:sub>
                  </m:sSub>
                  <m:sSub>
                    <m:e>
                      <m:r>
                        <w:rPr>
                          <w:rFonts w:ascii="Cambria Math" w:hAnsi="Cambria Math"/>
                        </w:rPr>
                        <m:t xml:space="preserve">Sφ</m:t>
                      </m:r>
                    </m:e>
                    <m:sub>
                      <m:r>
                        <w:rPr>
                          <w:rFonts w:ascii="Cambria Math" w:hAnsi="Cambria Math"/>
                        </w:rPr>
                        <m:t xml:space="preserve">−</m:t>
                      </m:r>
                    </m:sub>
                  </m:sSub>
                </m:e>
              </m:d>
            </m:e>
            <m:sup>
              <m:r>
                <w:rPr>
                  <w:rFonts w:ascii="Cambria Math" w:hAnsi="Cambria Math"/>
                </w:rPr>
                <m:t xml:space="preserve">−</m:t>
              </m:r>
              <m:r>
                <w:rPr>
                  <w:rFonts w:ascii="Cambria Math" w:hAnsi="Cambria Math"/>
                </w:rPr>
                <m:t xml:space="preserve">1</m:t>
              </m:r>
            </m:sup>
          </m:sSup>
          <m:sSup>
            <m:e>
              <m:d>
                <m:dPr>
                  <m:begChr m:val="("/>
                  <m:endChr m:val=")"/>
                </m:dPr>
                <m:e>
                  <m:sSubSup>
                    <m:e>
                      <m:r>
                        <w:rPr>
                          <w:rFonts w:ascii="Cambria Math" w:hAnsi="Cambria Math"/>
                        </w:rPr>
                        <m:t xml:space="preserve">φ</m:t>
                      </m:r>
                    </m:e>
                    <m:sub>
                      <m:r>
                        <w:rPr>
                          <w:rFonts w:ascii="Cambria Math" w:hAnsi="Cambria Math"/>
                        </w:rPr>
                        <m:t xml:space="preserve">−</m:t>
                      </m:r>
                    </m:sub>
                    <m:sup/>
                  </m:sSubSup>
                  <m:sSup>
                    <m:e>
                      <m:r>
                        <w:rPr>
                          <w:rFonts w:ascii="Cambria Math" w:hAnsi="Cambria Math"/>
                        </w:rPr>
                        <m:t xml:space="preserve">S</m:t>
                      </m:r>
                    </m:e>
                    <m:sup>
                      <m:r>
                        <w:rPr>
                          <w:rFonts w:ascii="Cambria Math" w:hAnsi="Cambria Math"/>
                        </w:rPr>
                        <m:t xml:space="preserve">H</m:t>
                      </m:r>
                    </m:sup>
                  </m:sSup>
                  <m:sSubSup>
                    <m:e>
                      <m:r>
                        <w:rPr>
                          <w:rFonts w:ascii="Cambria Math" w:hAnsi="Cambria Math"/>
                        </w:rPr>
                        <m:t xml:space="preserve">φ</m:t>
                      </m:r>
                    </m:e>
                    <m:sub>
                      <m:r>
                        <w:rPr>
                          <w:rFonts w:ascii="Cambria Math" w:hAnsi="Cambria Math"/>
                        </w:rPr>
                        <m:t xml:space="preserve">+</m:t>
                      </m:r>
                    </m:sub>
                    <m:sup/>
                  </m:sSubSup>
                </m:e>
              </m:d>
            </m:e>
            <m:sup>
              <m:r>
                <w:rPr>
                  <w:rFonts w:ascii="Cambria Math" w:hAnsi="Cambria Math"/>
                </w:rPr>
                <m:t xml:space="preserve">−</m:t>
              </m:r>
              <m:r>
                <w:rPr>
                  <w:rFonts w:ascii="Cambria Math" w:hAnsi="Cambria Math"/>
                </w:rPr>
                <m:t xml:space="preserve">1</m:t>
              </m:r>
            </m:sup>
          </m:sSup>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sSup>
            <m:e>
              <m:r>
                <w:rPr>
                  <w:rFonts w:ascii="Cambria Math" w:hAnsi="Cambria Math"/>
                </w:rPr>
                <m:t xml:space="preserve">S</m:t>
              </m:r>
            </m:e>
            <m:sup>
              <m:r>
                <w:rPr>
                  <w:rFonts w:ascii="Cambria Math" w:hAnsi="Cambria Math"/>
                </w:rPr>
                <m:t xml:space="preserve">−</m:t>
              </m:r>
              <m:r>
                <w:rPr>
                  <w:rFonts w:ascii="Cambria Math" w:hAnsi="Cambria Math"/>
                </w:rPr>
                <m:t xml:space="preserve">1</m:t>
              </m:r>
            </m:sup>
          </m:sSup>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φ</m:t>
              </m:r>
            </m:e>
            <m:sub>
              <m:r>
                <w:rPr>
                  <w:rFonts w:ascii="Cambria Math" w:hAnsi="Cambria Math"/>
                </w:rPr>
                <m:t xml:space="preserve">+</m:t>
              </m:r>
            </m:sub>
          </m:sSub>
          <m:sSup>
            <m:e>
              <m:r>
                <w:rPr>
                  <w:rFonts w:ascii="Cambria Math" w:hAnsi="Cambria Math"/>
                </w:rPr>
                <m:t xml:space="preserve">S</m:t>
              </m:r>
            </m:e>
            <m:sup>
              <m:r>
                <w:rPr>
                  <w:rFonts w:ascii="Cambria Math" w:hAnsi="Cambria Math"/>
                </w:rPr>
                <m:t xml:space="preserve">−</m:t>
              </m:r>
              <m:r>
                <w:rPr>
                  <w:rFonts w:ascii="Cambria Math" w:hAnsi="Cambria Math"/>
                </w:rPr>
                <m:t xml:space="preserve">H</m:t>
              </m:r>
            </m:sup>
          </m:sSup>
          <m:sSub>
            <m:e>
              <m:r>
                <w:rPr>
                  <w:rFonts w:ascii="Cambria Math" w:hAnsi="Cambria Math"/>
                </w:rPr>
                <m:t xml:space="preserve">φ</m:t>
              </m:r>
            </m:e>
            <m:sub>
              <m:r>
                <w:rPr>
                  <w:rFonts w:ascii="Cambria Math" w:hAnsi="Cambria Math"/>
                </w:rPr>
                <m:t xml:space="preserve">−</m:t>
              </m:r>
            </m:sub>
          </m:sSub>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sSup>
            <m:e>
              <m:d>
                <m:dPr>
                  <m:begChr m:val="("/>
                  <m:endChr m:val=")"/>
                </m:dPr>
                <m:e>
                  <m:sSup>
                    <m:e>
                      <m:r>
                        <w:rPr>
                          <w:rFonts w:ascii="Cambria Math" w:hAnsi="Cambria Math"/>
                        </w:rPr>
                        <m:t xml:space="preserve">S</m:t>
                      </m:r>
                    </m:e>
                    <m:sup>
                      <m:r>
                        <w:rPr>
                          <w:rFonts w:ascii="Cambria Math" w:hAnsi="Cambria Math"/>
                        </w:rPr>
                        <m:t xml:space="preserve">H</m:t>
                      </m:r>
                    </m:sup>
                  </m:sSup>
                  <m:r>
                    <w:rPr>
                      <w:rFonts w:ascii="Cambria Math" w:hAnsi="Cambria Math"/>
                    </w:rPr>
                    <m:t xml:space="preserve">S</m:t>
                  </m:r>
                </m:e>
              </m:d>
            </m:e>
            <m:sup>
              <m:r>
                <w:rPr>
                  <w:rFonts w:ascii="Cambria Math" w:hAnsi="Cambria Math"/>
                </w:rPr>
                <m:t xml:space="preserve">−</m:t>
              </m:r>
              <m:r>
                <w:rPr>
                  <w:rFonts w:ascii="Cambria Math" w:hAnsi="Cambria Math"/>
                </w:rPr>
                <m:t xml:space="preserve">1</m:t>
              </m:r>
            </m:sup>
          </m:sSup>
          <m:sSub>
            <m:e>
              <m:r>
                <w:rPr>
                  <w:rFonts w:ascii="Cambria Math" w:hAnsi="Cambria Math"/>
                </w:rPr>
                <m:t xml:space="preserve">φ</m:t>
              </m:r>
            </m:e>
            <m:sub>
              <m:r>
                <w:rPr>
                  <w:rFonts w:ascii="Cambria Math" w:hAnsi="Cambria Math"/>
                </w:rPr>
                <m:t xml:space="preserve">−</m:t>
              </m:r>
            </m:sub>
          </m:sSub>
        </m:oMath>
      </m:oMathPara>
    </w:p>
    <w:p>
      <w:pPr>
        <w:pStyle w:val="Normal"/>
        <w:rPr/>
      </w:pPr>
      <w:r>
        <w:rPr/>
        <w:t xml:space="preserve">The model for b) is </w:t>
      </w:r>
    </w:p>
    <w:p>
      <w:pPr>
        <w:pStyle w:val="EQ"/>
        <w:jc w:val="center"/>
        <w:rPr/>
      </w:pP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R</m:t>
                  </m:r>
                  <m:r>
                    <w:rPr>
                      <w:rFonts w:ascii="Cambria Math" w:hAnsi="Cambria Math"/>
                    </w:rPr>
                    <m:t xml:space="preserve">=</m:t>
                  </m:r>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m:t>
                      </m:r>
                    </m:sub>
                  </m:sSub>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m:rPr>
                      <m:lit/>
                      <m:nor/>
                    </m:rPr>
                    <w:rPr>
                      <w:rFonts w:ascii="Cambria Math" w:hAnsi="Cambria Math"/>
                    </w:rPr>
                    <m:t xml:space="preserve">Yz</m:t>
                  </m:r>
                  <m:r>
                    <w:rPr>
                      <w:rFonts w:ascii="Cambria Math" w:hAnsi="Cambria Math"/>
                    </w:rPr>
                    <m:t xml:space="preserve">+</m:t>
                  </m:r>
                  <m:r>
                    <m:rPr>
                      <m:lit/>
                      <m:nor/>
                    </m:rPr>
                    <w:rPr>
                      <w:rFonts w:ascii="Cambria Math" w:hAnsi="Cambria Math"/>
                    </w:rPr>
                    <m:t xml:space="preserve">noise</m:t>
                  </m:r>
                </m:e>
              </m:mr>
              <m:mr>
                <m:e>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r>
                    <w:rPr>
                      <w:rFonts w:ascii="Cambria Math" w:hAnsi="Cambria Math"/>
                    </w:rPr>
                    <m:t xml:space="preserve">=</m:t>
                  </m:r>
                  <m:limLow>
                    <m:e>
                      <m:groupChr>
                        <m:groupChrPr>
                          <m:chr m:val="⏟"/>
                          <m:pos m:val="bot"/>
                          <m:vertJc m:val="top"/>
                        </m:groupChrPr>
                        <m:e>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sSubSup>
                        </m:e>
                      </m:groupChr>
                    </m:e>
                    <m:lim>
                      <m:r>
                        <m:rPr>
                          <m:lit/>
                          <m:nor/>
                        </m:rPr>
                        <w:rPr>
                          <w:rFonts w:ascii="Cambria Math" w:hAnsi="Cambria Math"/>
                        </w:rPr>
                        <m:t xml:space="preserve">rotated</m:t>
                      </m:r>
                      <m:r>
                        <m:t xml:space="preserve"> </m:t>
                      </m:r>
                      <m:r>
                        <m:rPr>
                          <m:lit/>
                          <m:nor/>
                        </m:rPr>
                        <w:rPr>
                          <w:rFonts w:ascii="Cambria Math" w:hAnsi="Cambria Math"/>
                        </w:rPr>
                        <m:t xml:space="preserve">LS</m:t>
                      </m:r>
                      <m:r>
                        <m:t xml:space="preserve"> </m:t>
                      </m:r>
                      <m:r>
                        <m:rPr>
                          <m:lit/>
                          <m:nor/>
                        </m:rPr>
                        <w:rPr>
                          <w:rFonts w:ascii="Cambria Math" w:hAnsi="Cambria Math"/>
                        </w:rPr>
                        <m:t xml:space="preserve">sequences</m:t>
                      </m:r>
                    </m:lim>
                  </m:limLow>
                  <m:sSub>
                    <m:e>
                      <m:r>
                        <w:rPr>
                          <w:rFonts w:ascii="Cambria Math" w:hAnsi="Cambria Math"/>
                        </w:rPr>
                        <m:t xml:space="preserve">e</m:t>
                      </m:r>
                    </m:e>
                    <m:sub>
                      <m:r>
                        <w:rPr>
                          <w:rFonts w:ascii="Cambria Math" w:hAnsi="Cambria Math"/>
                        </w:rPr>
                        <m:t xml:space="preserve">+</m:t>
                      </m:r>
                    </m:sub>
                  </m:sSub>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m:rPr>
                      <m:lit/>
                      <m:nor/>
                    </m:rPr>
                    <w:rPr>
                      <w:rFonts w:ascii="Cambria Math" w:hAnsi="Cambria Math"/>
                    </w:rPr>
                    <m:t xml:space="preserve">Yz</m:t>
                  </m:r>
                </m:e>
              </m:mr>
            </m:m>
          </m:e>
        </m:d>
      </m:oMath>
      <w:r>
        <w:rPr/>
        <w:t>,</w:t>
      </w:r>
    </w:p>
    <w:p>
      <w:pPr>
        <w:pStyle w:val="Normal"/>
        <w:rPr/>
      </w:pPr>
      <w:r>
        <w:rPr/>
        <w:t xml:space="preserve">where </w:t>
      </w:r>
      <w:r>
        <w:rPr/>
      </w:r>
      <m:oMath xmlns:m="http://schemas.openxmlformats.org/officeDocument/2006/math">
        <m:r>
          <w:rPr>
            <w:rFonts w:ascii="Cambria Math" w:hAnsi="Cambria Math"/>
          </w:rPr>
          <m:t xml:space="preserve">z</m:t>
        </m:r>
      </m:oMath>
      <w:r>
        <w:rPr/>
        <w:t xml:space="preserve"> is the combined channel and Rx-filter which is assumed unknown and </w:t>
      </w:r>
      <w:r>
        <w:rPr/>
      </w:r>
      <m:oMath xmlns:m="http://schemas.openxmlformats.org/officeDocument/2006/math">
        <m:sSub>
          <m:e>
            <m:r>
              <w:rPr>
                <w:rFonts w:ascii="Cambria Math" w:hAnsi="Cambria Math"/>
              </w:rPr>
              <m:t xml:space="preserve">e</m:t>
            </m:r>
          </m:e>
          <m:sub>
            <m:r>
              <w:rPr>
                <w:rFonts w:ascii="Cambria Math" w:hAnsi="Cambria Math"/>
              </w:rPr>
              <m:t xml:space="preserve">−</m:t>
            </m:r>
          </m:sub>
        </m:sSub>
      </m:oMath>
      <w:r>
        <w:rPr/>
        <w:t xml:space="preserve"> is omitted based on results in Subclause ZE.1.2.2.2.2.</w:t>
      </w:r>
    </w:p>
    <w:p>
      <w:pPr>
        <w:pStyle w:val="Normal"/>
        <w:rPr/>
      </w:pPr>
      <w:r>
        <w:rPr/>
        <w:t>Similarly as in Subclause ZE.1.2.2.2.1</w:t>
      </w:r>
    </w:p>
    <w:p>
      <w:pPr>
        <w:pStyle w:val="EQ"/>
        <w:jc w:val="center"/>
        <w:rPr/>
      </w:pPr>
      <w:r>
        <w:rPr/>
      </w:r>
      <m:oMath xmlns:m="http://schemas.openxmlformats.org/officeDocument/2006/math">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r>
          <w:rPr>
            <w:rFonts w:ascii="Cambria Math" w:hAnsi="Cambria Math"/>
          </w:rPr>
          <m:t xml:space="preserve">=</m:t>
        </m:r>
        <m:r>
          <m:rPr>
            <m:lit/>
            <m:nor/>
          </m:rPr>
          <w:rPr>
            <w:rFonts w:ascii="Cambria Math" w:hAnsi="Cambria Math"/>
          </w:rPr>
          <m:t xml:space="preserve">tr</m:t>
        </m:r>
        <m:d>
          <m:dPr>
            <m:begChr m:val="{"/>
            <m:endChr m:val="}"/>
          </m:dPr>
          <m:e>
            <m:r>
              <m:t xml:space="preserve"> </m:t>
            </m:r>
            <m:sSup>
              <m:e>
                <m:r>
                  <w:rPr>
                    <w:rFonts w:ascii="Cambria Math" w:hAnsi="Cambria Math"/>
                  </w:rPr>
                  <m:t xml:space="preserve">Y</m:t>
                </m:r>
              </m:e>
              <m:sup>
                <m:r>
                  <w:rPr>
                    <w:rFonts w:ascii="Cambria Math" w:hAnsi="Cambria Math"/>
                  </w:rPr>
                  <m:t xml:space="preserve">H</m:t>
                </m:r>
              </m:sup>
            </m:sSup>
            <m:sSubSup>
              <m:e>
                <m:r>
                  <w:rPr>
                    <w:rFonts w:ascii="Cambria Math" w:hAnsi="Cambria Math"/>
                  </w:rPr>
                  <m:t xml:space="preserve">S</m:t>
                </m:r>
              </m:e>
              <m:sub>
                <m:r>
                  <w:rPr>
                    <w:rFonts w:ascii="Cambria Math" w:hAnsi="Cambria Math"/>
                  </w:rPr>
                  <m:t xml:space="preserve">p</m:t>
                </m:r>
              </m:sub>
              <m:sup/>
            </m:sSubSup>
            <m:sSubSup>
              <m:e>
                <m:r>
                  <w:rPr>
                    <w:rFonts w:ascii="Cambria Math" w:hAnsi="Cambria Math"/>
                  </w:rPr>
                  <m:t xml:space="preserve">e</m:t>
                </m:r>
              </m:e>
              <m:sub>
                <m:r>
                  <w:rPr>
                    <w:rFonts w:ascii="Cambria Math" w:hAnsi="Cambria Math"/>
                  </w:rPr>
                  <m:t xml:space="preserve">+</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p>
              <m:e>
                <m:d>
                  <m:dPr>
                    <m:begChr m:val="("/>
                    <m:endChr m:val=")"/>
                  </m:dPr>
                  <m:e>
                    <m:sSubSup>
                      <m:e>
                        <m:r>
                          <w:rPr>
                            <w:rFonts w:ascii="Cambria Math" w:hAnsi="Cambria Math"/>
                          </w:rPr>
                          <m:t xml:space="preserve">S</m:t>
                        </m:r>
                      </m:e>
                      <m:sub>
                        <m:r>
                          <w:rPr>
                            <w:rFonts w:ascii="Cambria Math" w:hAnsi="Cambria Math"/>
                          </w:rPr>
                          <m:t xml:space="preserve">k</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m:t>
                        </m:r>
                      </m:sup>
                    </m:sSubSup>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sSubSup>
            <m:sSub>
              <m:e>
                <m:r>
                  <w:rPr>
                    <w:rFonts w:ascii="Cambria Math" w:hAnsi="Cambria Math"/>
                  </w:rPr>
                  <m:t xml:space="preserve">e</m:t>
                </m:r>
              </m:e>
              <m:sub>
                <m:r>
                  <w:rPr>
                    <w:rFonts w:ascii="Cambria Math" w:hAnsi="Cambria Math"/>
                  </w:rPr>
                  <m:t xml:space="preserve">+</m:t>
                </m:r>
              </m:sub>
            </m:sSub>
            <m:sSubSup>
              <m:e>
                <m:r>
                  <w:rPr>
                    <w:rFonts w:ascii="Cambria Math" w:hAnsi="Cambria Math"/>
                  </w:rPr>
                  <m:t xml:space="preserve">S</m:t>
                </m:r>
              </m:e>
              <m:sub>
                <m:r>
                  <w:rPr>
                    <w:rFonts w:ascii="Cambria Math" w:hAnsi="Cambria Math"/>
                  </w:rPr>
                  <m:t xml:space="preserve">p</m:t>
                </m:r>
              </m:sub>
              <m:sup>
                <m:r>
                  <w:rPr>
                    <w:rFonts w:ascii="Cambria Math" w:hAnsi="Cambria Math"/>
                  </w:rPr>
                  <m:t xml:space="preserve">'</m:t>
                </m:r>
              </m:sup>
            </m:sSubSup>
            <m:r>
              <w:rPr>
                <w:rFonts w:ascii="Cambria Math" w:hAnsi="Cambria Math"/>
              </w:rPr>
              <m:t xml:space="preserve">Y</m:t>
            </m:r>
          </m:e>
        </m:d>
      </m:oMath>
      <w:r>
        <w:rPr/>
        <w:t>.</w:t>
      </w:r>
    </w:p>
    <w:p>
      <w:pPr>
        <w:pStyle w:val="Normal"/>
        <w:rPr/>
      </w:pPr>
      <w:r>
        <w:rPr/>
        <w:t>Using the identities shown above yields</w:t>
      </w:r>
    </w:p>
    <w:p>
      <w:pPr>
        <w:pStyle w:val="EQ"/>
        <w:jc w:val="center"/>
        <w:rPr/>
      </w:pPr>
      <w:r>
        <w:rPr/>
      </w:r>
      <m:oMathPara xmlns:m="http://schemas.openxmlformats.org/officeDocument/2006/math">
        <m:oMathParaPr>
          <m:jc m:val="center"/>
        </m:oMathParaPr>
        <m:oMath>
          <m:eqArr>
            <m:e>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r>
                <w:rPr>
                  <w:rFonts w:ascii="Cambria Math" w:hAnsi="Cambria Math"/>
                </w:rPr>
                <m:t xml:space="preserve">=</m:t>
              </m:r>
              <m:r>
                <m:rPr>
                  <m:lit/>
                  <m:nor/>
                </m:rPr>
                <w:rPr>
                  <w:rFonts w:ascii="Cambria Math" w:hAnsi="Cambria Math"/>
                </w:rPr>
                <m:t xml:space="preserve">tr</m:t>
              </m:r>
              <m:d>
                <m:dPr>
                  <m:begChr m:val="{"/>
                  <m:endChr m:val="}"/>
                </m:dPr>
                <m:e>
                  <m:r>
                    <m:t xml:space="preserve"> </m:t>
                  </m:r>
                  <m:sSup>
                    <m:e>
                      <m:r>
                        <w:rPr>
                          <w:rFonts w:ascii="Cambria Math" w:hAnsi="Cambria Math"/>
                        </w:rPr>
                        <m:t xml:space="preserve">Y</m:t>
                      </m:r>
                    </m:e>
                    <m:sup>
                      <m:r>
                        <w:rPr>
                          <w:rFonts w:ascii="Cambria Math" w:hAnsi="Cambria Math"/>
                        </w:rPr>
                        <m:t xml:space="preserve">H</m:t>
                      </m:r>
                    </m:sup>
                  </m:sSup>
                  <m:sSubSup>
                    <m:e>
                      <m:r>
                        <w:rPr>
                          <w:rFonts w:ascii="Cambria Math" w:hAnsi="Cambria Math"/>
                        </w:rPr>
                        <m:t xml:space="preserve">ϕ</m:t>
                      </m:r>
                    </m:e>
                    <m:sub>
                      <m:r>
                        <w:rPr>
                          <w:rFonts w:ascii="Cambria Math" w:hAnsi="Cambria Math"/>
                        </w:rPr>
                        <m:t xml:space="preserve">−</m:t>
                      </m:r>
                    </m:sub>
                    <m:sup/>
                  </m:sSubSup>
                  <m:sSubSup>
                    <m:e>
                      <m:r>
                        <w:rPr>
                          <w:rFonts w:ascii="Cambria Math" w:hAnsi="Cambria Math"/>
                        </w:rPr>
                        <m:t xml:space="preserve">S</m:t>
                      </m:r>
                    </m:e>
                    <m:sub>
                      <m:r>
                        <w:rPr>
                          <w:rFonts w:ascii="Cambria Math" w:hAnsi="Cambria Math"/>
                        </w:rPr>
                        <m:t xml:space="preserve">p</m:t>
                      </m:r>
                    </m:sub>
                    <m:sup>
                      <m:r>
                        <w:rPr>
                          <w:rFonts w:ascii="Cambria Math" w:hAnsi="Cambria Math"/>
                        </w:rPr>
                        <m:t xml:space="preserve">H</m:t>
                      </m:r>
                    </m:sup>
                  </m:sSubSup>
                  <m:sSubSup>
                    <m:e>
                      <m:r>
                        <w:rPr>
                          <w:rFonts w:ascii="Cambria Math" w:hAnsi="Cambria Math"/>
                        </w:rPr>
                        <m:t xml:space="preserve">ϕ</m:t>
                      </m:r>
                    </m:e>
                    <m:sub>
                      <m:r>
                        <w:rPr>
                          <w:rFonts w:ascii="Cambria Math" w:hAnsi="Cambria Math"/>
                        </w:rPr>
                        <m:t xml:space="preserve">+</m:t>
                      </m:r>
                    </m:sub>
                    <m:sup/>
                  </m:sSubSup>
                  <m:sSubSup>
                    <m:e>
                      <m:r>
                        <w:rPr>
                          <w:rFonts w:ascii="Cambria Math" w:hAnsi="Cambria Math"/>
                        </w:rPr>
                        <m:t xml:space="preserve">e</m:t>
                      </m:r>
                    </m:e>
                    <m:sub>
                      <m:r>
                        <w:rPr>
                          <w:rFonts w:ascii="Cambria Math" w:hAnsi="Cambria Math"/>
                        </w:rPr>
                        <m:t xml:space="preserve">+</m:t>
                      </m:r>
                    </m:sub>
                    <m:sup/>
                  </m:sSubSup>
                  <m:sSub>
                    <m:e>
                      <m:r>
                        <w:rPr>
                          <w:rFonts w:ascii="Cambria Math" w:hAnsi="Cambria Math"/>
                        </w:rPr>
                        <m:t xml:space="preserve">φ</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k</m:t>
                      </m:r>
                    </m:sub>
                  </m:sSub>
                  <m:sSub>
                    <m:e>
                      <m:r>
                        <w:rPr>
                          <w:rFonts w:ascii="Cambria Math" w:hAnsi="Cambria Math"/>
                        </w:rPr>
                        <m:t xml:space="preserve">φ</m:t>
                      </m:r>
                    </m:e>
                    <m:sub>
                      <m:r>
                        <w:rPr>
                          <w:rFonts w:ascii="Cambria Math" w:hAnsi="Cambria Math"/>
                        </w:rPr>
                        <m:t xml:space="preserve">−</m:t>
                      </m:r>
                    </m:sub>
                  </m:sSub>
                  <m:sSubSup>
                    <m:e>
                      <m:r>
                        <w:rPr>
                          <w:rFonts w:ascii="Cambria Math" w:hAnsi="Cambria Math"/>
                        </w:rPr>
                        <m:t xml:space="preserve">φ</m:t>
                      </m:r>
                    </m:e>
                    <m:sub>
                      <m:r>
                        <w:rPr>
                          <w:rFonts w:ascii="Cambria Math" w:hAnsi="Cambria Math"/>
                        </w:rPr>
                        <m:t xml:space="preserve">−</m:t>
                      </m:r>
                    </m:sub>
                    <m:sup/>
                  </m:sSubSup>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b>
                    <m:e>
                      <m:r>
                        <w:rPr>
                          <w:rFonts w:ascii="Cambria Math" w:hAnsi="Cambria Math"/>
                        </w:rPr>
                        <m:t xml:space="preserve">φ</m:t>
                      </m:r>
                    </m:e>
                    <m:sub>
                      <m:r>
                        <w:rPr>
                          <w:rFonts w:ascii="Cambria Math" w:hAnsi="Cambria Math"/>
                        </w:rPr>
                        <m:t xml:space="preserve">−</m:t>
                      </m:r>
                    </m:sub>
                  </m:sSub>
                  <m:sSubSup>
                    <m:e>
                      <m:r>
                        <w:rPr>
                          <w:rFonts w:ascii="Cambria Math" w:hAnsi="Cambria Math"/>
                        </w:rPr>
                        <m:t xml:space="preserve">φ</m:t>
                      </m:r>
                    </m:e>
                    <m:sub>
                      <m:r>
                        <w:rPr>
                          <w:rFonts w:ascii="Cambria Math" w:hAnsi="Cambria Math"/>
                        </w:rPr>
                        <m:t xml:space="preserve">−</m:t>
                      </m:r>
                    </m:sub>
                    <m:sup/>
                  </m:sSubSup>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b>
                    <m:e>
                      <m:r>
                        <w:rPr>
                          <w:rFonts w:ascii="Cambria Math" w:hAnsi="Cambria Math"/>
                        </w:rPr>
                        <m:t xml:space="preserve">φ</m:t>
                      </m:r>
                    </m:e>
                    <m:sub>
                      <m:r>
                        <w:rPr>
                          <w:rFonts w:ascii="Cambria Math" w:hAnsi="Cambria Math"/>
                        </w:rPr>
                        <m:t xml:space="preserve">−</m:t>
                      </m:r>
                    </m:sub>
                  </m:sSub>
                  <m:sSubSup>
                    <m:e>
                      <m:r>
                        <w:rPr>
                          <w:rFonts w:ascii="Cambria Math" w:hAnsi="Cambria Math"/>
                        </w:rPr>
                        <m:t xml:space="preserve">φ</m:t>
                      </m:r>
                    </m:e>
                    <m:sub>
                      <m:r>
                        <w:rPr>
                          <w:rFonts w:ascii="Cambria Math" w:hAnsi="Cambria Math"/>
                        </w:rPr>
                        <m:t xml:space="preserve">−</m:t>
                      </m:r>
                    </m:sub>
                    <m:sup/>
                  </m:sSub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e</m:t>
                      </m:r>
                    </m:e>
                    <m:sub>
                      <m:r>
                        <w:rPr>
                          <w:rFonts w:ascii="Cambria Math" w:hAnsi="Cambria Math"/>
                        </w:rPr>
                        <m:t xml:space="preserve">+</m:t>
                      </m:r>
                    </m:sub>
                  </m:sSub>
                  <m:sSub>
                    <m:e>
                      <m:r>
                        <w:rPr>
                          <w:rFonts w:ascii="Cambria Math" w:hAnsi="Cambria Math"/>
                        </w:rPr>
                        <m:t xml:space="preserve">ϕ</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ϕ</m:t>
                      </m:r>
                    </m:e>
                    <m:sub>
                      <m:r>
                        <w:rPr>
                          <w:rFonts w:ascii="Cambria Math" w:hAnsi="Cambria Math"/>
                        </w:rPr>
                        <m:t xml:space="preserve">−</m:t>
                      </m:r>
                    </m:sub>
                  </m:sSub>
                  <m:r>
                    <w:rPr>
                      <w:rFonts w:ascii="Cambria Math" w:hAnsi="Cambria Math"/>
                    </w:rPr>
                    <m:t xml:space="preserve">Y</m:t>
                  </m:r>
                </m:e>
              </m:d>
              <m:r>
                <w:rPr>
                  <w:rFonts w:ascii="Cambria Math" w:hAnsi="Cambria Math"/>
                </w:rPr>
                <m:t xml:space="preserve">=</m:t>
              </m:r>
            </m:e>
            <m:e>
              <m:r>
                <m:rPr>
                  <m:lit/>
                  <m:nor/>
                </m:rPr>
                <w:rPr>
                  <w:rFonts w:ascii="Cambria Math" w:hAnsi="Cambria Math"/>
                </w:rPr>
                <m:t xml:space="preserve">tr</m:t>
              </m:r>
              <m:d>
                <m:dPr>
                  <m:begChr m:val="{"/>
                  <m:endChr m:val="}"/>
                </m:dPr>
                <m:e>
                  <m:r>
                    <m:t xml:space="preserve"> </m:t>
                  </m:r>
                  <m:sSup>
                    <m:e>
                      <m:r>
                        <w:rPr>
                          <w:rFonts w:ascii="Cambria Math" w:hAnsi="Cambria Math"/>
                        </w:rPr>
                        <m:t xml:space="preserve">Y</m:t>
                      </m:r>
                    </m:e>
                    <m:sup>
                      <m:r>
                        <w:rPr>
                          <w:rFonts w:ascii="Cambria Math" w:hAnsi="Cambria Math"/>
                        </w:rPr>
                        <m:t xml:space="preserve">H</m:t>
                      </m:r>
                    </m:sup>
                  </m:sSup>
                  <m:sSubSup>
                    <m:e>
                      <m:r>
                        <w:rPr>
                          <w:rFonts w:ascii="Cambria Math" w:hAnsi="Cambria Math"/>
                        </w:rPr>
                        <m:t xml:space="preserve">ϕ</m:t>
                      </m:r>
                    </m:e>
                    <m:sub>
                      <m:r>
                        <w:rPr>
                          <w:rFonts w:ascii="Cambria Math" w:hAnsi="Cambria Math"/>
                        </w:rPr>
                        <m:t xml:space="preserve">−</m:t>
                      </m:r>
                    </m:sub>
                    <m:sup/>
                  </m:sSubSup>
                  <m:sSubSup>
                    <m:e>
                      <m:r>
                        <w:rPr>
                          <w:rFonts w:ascii="Cambria Math" w:hAnsi="Cambria Math"/>
                        </w:rPr>
                        <m:t xml:space="preserve">S</m:t>
                      </m:r>
                    </m:e>
                    <m:sub>
                      <m:r>
                        <w:rPr>
                          <w:rFonts w:ascii="Cambria Math" w:hAnsi="Cambria Math"/>
                        </w:rPr>
                        <m:t xml:space="preserve">p</m:t>
                      </m:r>
                    </m:sub>
                    <m:sup>
                      <m:r>
                        <w:rPr>
                          <w:rFonts w:ascii="Cambria Math" w:hAnsi="Cambria Math"/>
                        </w:rPr>
                        <m:t xml:space="preserve">H</m:t>
                      </m:r>
                    </m:sup>
                  </m:sSubSup>
                  <m:sSubSup>
                    <m:e>
                      <m:r>
                        <w:rPr>
                          <w:rFonts w:ascii="Cambria Math" w:hAnsi="Cambria Math"/>
                        </w:rPr>
                        <m:t xml:space="preserve">ϕ</m:t>
                      </m:r>
                    </m:e>
                    <m:sub>
                      <m:r>
                        <w:rPr>
                          <w:rFonts w:ascii="Cambria Math" w:hAnsi="Cambria Math"/>
                        </w:rPr>
                        <m:t xml:space="preserve">+</m:t>
                      </m:r>
                    </m:sub>
                    <m:sup/>
                  </m:sSubSup>
                  <m:sSubSup>
                    <m:e>
                      <m:r>
                        <w:rPr>
                          <w:rFonts w:ascii="Cambria Math" w:hAnsi="Cambria Math"/>
                        </w:rPr>
                        <m:t xml:space="preserve">e</m:t>
                      </m:r>
                    </m:e>
                    <m:sub>
                      <m:r>
                        <w:rPr>
                          <w:rFonts w:ascii="Cambria Math" w:hAnsi="Cambria Math"/>
                        </w:rPr>
                        <m:t xml:space="preserve">+</m:t>
                      </m:r>
                    </m:sub>
                    <m:sup/>
                  </m:sSubSup>
                  <m:sSub>
                    <m:e>
                      <m:r>
                        <w:rPr>
                          <w:rFonts w:ascii="Cambria Math" w:hAnsi="Cambria Math"/>
                        </w:rPr>
                        <m:t xml:space="preserve">φ</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k</m:t>
                      </m:r>
                    </m:sub>
                  </m:sSub>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e</m:t>
                      </m:r>
                    </m:e>
                    <m:sub>
                      <m:r>
                        <w:rPr>
                          <w:rFonts w:ascii="Cambria Math" w:hAnsi="Cambria Math"/>
                        </w:rPr>
                        <m:t xml:space="preserve">+</m:t>
                      </m:r>
                    </m:sub>
                  </m:sSub>
                  <m:sSub>
                    <m:e>
                      <m:r>
                        <w:rPr>
                          <w:rFonts w:ascii="Cambria Math" w:hAnsi="Cambria Math"/>
                        </w:rPr>
                        <m:t xml:space="preserve">ϕ</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ϕ</m:t>
                      </m:r>
                    </m:e>
                    <m:sub>
                      <m:r>
                        <w:rPr>
                          <w:rFonts w:ascii="Cambria Math" w:hAnsi="Cambria Math"/>
                        </w:rPr>
                        <m:t xml:space="preserve">−</m:t>
                      </m:r>
                    </m:sub>
                  </m:sSub>
                  <m:r>
                    <w:rPr>
                      <w:rFonts w:ascii="Cambria Math" w:hAnsi="Cambria Math"/>
                    </w:rPr>
                    <m:t xml:space="preserve">Y</m:t>
                  </m:r>
                </m:e>
              </m:d>
              <m:r>
                <w:rPr>
                  <w:rFonts w:ascii="Cambria Math" w:hAnsi="Cambria Math"/>
                </w:rPr>
                <m:t xml:space="preserve">,</m:t>
              </m:r>
            </m:e>
          </m:eqArr>
        </m:oMath>
      </m:oMathPara>
    </w:p>
    <w:p>
      <w:pPr>
        <w:pStyle w:val="Normal"/>
        <w:rPr/>
      </w:pPr>
      <w:r>
        <w:rPr/>
        <w:t>which corresponds to</w:t>
      </w:r>
    </w:p>
    <w:p>
      <w:pPr>
        <w:pStyle w:val="EQ"/>
        <w:jc w:val="center"/>
        <w:rPr/>
      </w:pPr>
      <w:r>
        <w:rPr/>
      </w:r>
      <m:oMathPara xmlns:m="http://schemas.openxmlformats.org/officeDocument/2006/math">
        <m:oMathParaPr>
          <m:jc m:val="center"/>
        </m:oMathParaPr>
        <m:oMath>
          <m:sSub>
            <m:e>
              <m:acc>
                <m:accPr>
                  <m:chr m:val="~"/>
                </m:accPr>
                <m:e>
                  <m:r>
                    <w:rPr>
                      <w:rFonts w:ascii="Cambria Math" w:hAnsi="Cambria Math"/>
                    </w:rPr>
                    <m:t xml:space="preserve">h</m:t>
                  </m:r>
                </m:e>
              </m:acc>
            </m:e>
            <m:sub>
              <m:r>
                <w:rPr>
                  <w:rFonts w:ascii="Cambria Math" w:hAnsi="Cambria Math"/>
                </w:rPr>
                <m:t xml:space="preserve">p</m:t>
              </m:r>
              <m:r>
                <w:rPr>
                  <w:rFonts w:ascii="Cambria Math" w:hAnsi="Cambria Math"/>
                </w:rPr>
                <m:t xml:space="preserve">,</m:t>
              </m:r>
              <m:r>
                <w:rPr>
                  <w:rFonts w:ascii="Cambria Math" w:hAnsi="Cambria Math"/>
                </w:rPr>
                <m:t xml:space="preserve">k</m:t>
              </m:r>
            </m:sub>
          </m:sSub>
          <m:r>
            <w:rPr>
              <w:rFonts w:ascii="Cambria Math" w:hAnsi="Cambria Math"/>
            </w:rPr>
            <m:t xml:space="preserve">=</m:t>
          </m:r>
          <m:limLow>
            <m:e>
              <m:groupChr>
                <m:groupChrPr>
                  <m:chr m:val="⏟"/>
                  <m:pos m:val="bot"/>
                  <m:vertJc m:val="top"/>
                </m:groupChrPr>
                <m:e>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e>
              </m:groupChr>
            </m:e>
            <m:lim>
              <m:r>
                <m:rPr>
                  <m:lit/>
                  <m:nor/>
                </m:rPr>
                <w:rPr>
                  <w:rFonts w:ascii="Cambria Math" w:hAnsi="Cambria Math"/>
                </w:rPr>
                <m:t xml:space="preserve">un</m:t>
              </m:r>
              <m:r>
                <w:rPr>
                  <w:rFonts w:ascii="Cambria Math" w:hAnsi="Cambria Math"/>
                </w:rPr>
                <m:t xml:space="preserve">−</m:t>
              </m:r>
              <m:r>
                <m:rPr>
                  <m:lit/>
                  <m:nor/>
                </m:rPr>
                <w:rPr>
                  <w:rFonts w:ascii="Cambria Math" w:hAnsi="Cambria Math"/>
                </w:rPr>
                <m:t xml:space="preserve">rot</m:t>
              </m:r>
              <m:r>
                <m:rPr>
                  <m:lit/>
                  <m:nor/>
                </m:rPr>
                <w:rPr>
                  <w:rFonts w:ascii="Cambria Math" w:hAnsi="Cambria Math"/>
                </w:rPr>
                <m:t xml:space="preserve">.</m:t>
              </m:r>
              <m:r>
                <m:t xml:space="preserve"> </m:t>
              </m:r>
              <m:r>
                <m:rPr>
                  <m:lit/>
                  <m:nor/>
                </m:rPr>
                <w:rPr>
                  <w:rFonts w:ascii="Cambria Math" w:hAnsi="Cambria Math"/>
                </w:rPr>
                <m:t xml:space="preserve">LS</m:t>
              </m:r>
              <m:r>
                <m:t xml:space="preserve"> </m:t>
              </m:r>
              <m:r>
                <m:rPr>
                  <m:lit/>
                  <m:nor/>
                </m:rPr>
                <w:rPr>
                  <w:rFonts w:ascii="Cambria Math" w:hAnsi="Cambria Math"/>
                </w:rPr>
                <m:t xml:space="preserve">sequences</m:t>
              </m:r>
            </m:lim>
          </m:limLow>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e</m:t>
              </m:r>
            </m:e>
            <m:sub>
              <m:r>
                <w:rPr>
                  <w:rFonts w:ascii="Cambria Math" w:hAnsi="Cambria Math"/>
                </w:rPr>
                <m:t xml:space="preserve">+</m:t>
              </m:r>
            </m:sub>
          </m:sSub>
          <m:sSub>
            <m:e>
              <m:r>
                <w:rPr>
                  <w:rFonts w:ascii="Cambria Math" w:hAnsi="Cambria Math"/>
                </w:rPr>
                <m:t xml:space="preserve">ϕ</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ϕ</m:t>
              </m:r>
            </m:e>
            <m:sub>
              <m:r>
                <w:rPr>
                  <w:rFonts w:ascii="Cambria Math" w:hAnsi="Cambria Math"/>
                </w:rPr>
                <m:t xml:space="preserve">−</m:t>
              </m:r>
            </m:sub>
          </m:sSub>
          <m:r>
            <m:rPr>
              <m:lit/>
              <m:nor/>
            </m:rPr>
            <w:rPr>
              <w:rFonts w:ascii="Cambria Math" w:hAnsi="Cambria Math"/>
            </w:rPr>
            <m:t xml:space="preserve">Yz</m:t>
          </m:r>
        </m:oMath>
      </m:oMathPara>
    </w:p>
    <w:p>
      <w:pPr>
        <w:pStyle w:val="Normal"/>
        <w:rPr/>
      </w:pPr>
      <w:r>
        <w:rPr/>
        <w:t>and the received signal</w:t>
      </w:r>
    </w:p>
    <w:p>
      <w:pPr>
        <w:pStyle w:val="EQ"/>
        <w:jc w:val="center"/>
        <w:rPr/>
      </w:pPr>
      <w:r>
        <w:rPr/>
      </w:r>
      <m:oMath xmlns:m="http://schemas.openxmlformats.org/officeDocument/2006/math">
        <m:eqArr>
          <m:e>
            <m:acc>
              <m:accPr>
                <m:chr m:val="~"/>
              </m:accPr>
              <m:e>
                <m:r>
                  <w:rPr>
                    <w:rFonts w:ascii="Cambria Math" w:hAnsi="Cambria Math"/>
                  </w:rPr>
                  <m:t xml:space="preserve">R</m:t>
                </m:r>
              </m:e>
            </m:acc>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φ</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k</m:t>
                </m:r>
              </m:sub>
            </m:sSub>
            <m:limLow>
              <m:e>
                <m:groupChr>
                  <m:groupChrPr>
                    <m:chr m:val="⏟"/>
                    <m:pos m:val="bot"/>
                    <m:vertJc m:val="top"/>
                  </m:groupChrPr>
                  <m:e>
                    <m:sSub>
                      <m:e>
                        <m:r>
                          <w:rPr>
                            <w:rFonts w:ascii="Cambria Math" w:hAnsi="Cambria Math"/>
                          </w:rPr>
                          <m:t xml:space="preserve">φ</m:t>
                        </m:r>
                      </m:e>
                      <m:sub>
                        <m:r>
                          <w:rPr>
                            <w:rFonts w:ascii="Cambria Math" w:hAnsi="Cambria Math"/>
                          </w:rPr>
                          <m:t xml:space="preserve">−</m:t>
                        </m:r>
                      </m:sub>
                    </m:sSub>
                    <m:sSub>
                      <m:e>
                        <m:r>
                          <w:rPr>
                            <w:rFonts w:ascii="Cambria Math" w:hAnsi="Cambria Math"/>
                          </w:rPr>
                          <m:t xml:space="preserve">h</m:t>
                        </m:r>
                      </m:e>
                      <m:sub>
                        <m:r>
                          <w:rPr>
                            <w:rFonts w:ascii="Cambria Math" w:hAnsi="Cambria Math"/>
                          </w:rPr>
                          <m:t xml:space="preserve">k</m:t>
                        </m:r>
                      </m:sub>
                    </m:sSub>
                  </m:e>
                </m:groupChr>
              </m:e>
              <m:lim>
                <m:sSub>
                  <m:e>
                    <m:acc>
                      <m:accPr>
                        <m:chr m:val="~"/>
                      </m:accPr>
                      <m:e>
                        <m:r>
                          <w:rPr>
                            <w:rFonts w:ascii="Cambria Math" w:hAnsi="Cambria Math"/>
                          </w:rPr>
                          <m:t xml:space="preserve">h</m:t>
                        </m:r>
                      </m:e>
                    </m:acc>
                  </m:e>
                  <m:sub>
                    <m:r>
                      <w:rPr>
                        <w:rFonts w:ascii="Cambria Math" w:hAnsi="Cambria Math"/>
                      </w:rPr>
                      <m:t xml:space="preserve">k</m:t>
                    </m:r>
                  </m:sub>
                </m:sSub>
              </m:lim>
            </m:limLow>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e</m:t>
                </m:r>
              </m:e>
              <m:sub>
                <m:r>
                  <w:rPr>
                    <w:rFonts w:ascii="Cambria Math" w:hAnsi="Cambria Math"/>
                  </w:rPr>
                  <m:t xml:space="preserve">+</m:t>
                </m:r>
              </m:sub>
            </m:sSub>
            <m:sSub>
              <m:e>
                <m:r>
                  <w:rPr>
                    <w:rFonts w:ascii="Cambria Math" w:hAnsi="Cambria Math"/>
                  </w:rPr>
                  <m:t xml:space="preserve">ϕ</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ϕ</m:t>
                </m:r>
              </m:e>
              <m:sub>
                <m:r>
                  <w:rPr>
                    <w:rFonts w:ascii="Cambria Math" w:hAnsi="Cambria Math"/>
                  </w:rPr>
                  <m:t xml:space="preserve">−</m:t>
                </m:r>
              </m:sub>
            </m:sSub>
            <m:r>
              <m:rPr>
                <m:lit/>
                <m:nor/>
              </m:rPr>
              <w:rPr>
                <w:rFonts w:ascii="Cambria Math" w:hAnsi="Cambria Math"/>
              </w:rPr>
              <m:t xml:space="preserve">Yz</m:t>
            </m:r>
            <m:r>
              <w:rPr>
                <w:rFonts w:ascii="Cambria Math" w:hAnsi="Cambria Math"/>
              </w:rPr>
              <m:t xml:space="preserve">+</m:t>
            </m:r>
            <m:r>
              <m:rPr>
                <m:lit/>
                <m:nor/>
              </m:rPr>
              <w:rPr>
                <w:rFonts w:ascii="Cambria Math" w:hAnsi="Cambria Math"/>
              </w:rPr>
              <m:t xml:space="preserve">noise</m:t>
            </m:r>
            <m:r>
              <w:rPr>
                <w:rFonts w:ascii="Cambria Math" w:hAnsi="Cambria Math"/>
              </w:rPr>
              <m:t xml:space="preserve">=</m:t>
            </m:r>
          </m:e>
          <m:e>
            <m:sSub>
              <m:e>
                <m:r>
                  <w:rPr>
                    <w:rFonts w:ascii="Cambria Math" w:hAnsi="Cambria Math"/>
                  </w:rPr>
                  <m:t xml:space="preserve">S</m:t>
                </m:r>
              </m:e>
              <m:sub>
                <m:r>
                  <w:rPr>
                    <w:rFonts w:ascii="Cambria Math" w:hAnsi="Cambria Math"/>
                  </w:rPr>
                  <m:t xml:space="preserve">k</m:t>
                </m:r>
              </m:sub>
            </m:sSub>
            <m:sSub>
              <m:e>
                <m:acc>
                  <m:accPr>
                    <m:chr m:val="~"/>
                  </m:accPr>
                  <m:e>
                    <m:r>
                      <w:rPr>
                        <w:rFonts w:ascii="Cambria Math" w:hAnsi="Cambria Math"/>
                      </w:rPr>
                      <m:t xml:space="preserve">h</m:t>
                    </m:r>
                  </m:e>
                </m:acc>
              </m:e>
              <m:sub>
                <m:r>
                  <w:rPr>
                    <w:rFonts w:ascii="Cambria Math" w:hAnsi="Cambria Math"/>
                  </w:rPr>
                  <m:t xml:space="preserve">k</m:t>
                </m:r>
              </m:sub>
            </m:sSub>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e</m:t>
                </m:r>
              </m:e>
              <m:sub>
                <m:r>
                  <w:rPr>
                    <w:rFonts w:ascii="Cambria Math" w:hAnsi="Cambria Math"/>
                  </w:rPr>
                  <m:t xml:space="preserve">+</m:t>
                </m:r>
              </m:sub>
            </m:sSub>
            <m:limLow>
              <m:e>
                <m:groupChr>
                  <m:groupChrPr>
                    <m:chr m:val="⏟"/>
                    <m:pos m:val="bot"/>
                    <m:vertJc m:val="top"/>
                  </m:groupChrPr>
                  <m:e>
                    <m:sSub>
                      <m:e>
                        <m:r>
                          <w:rPr>
                            <w:rFonts w:ascii="Cambria Math" w:hAnsi="Cambria Math"/>
                          </w:rPr>
                          <m:t xml:space="preserve">ϕ</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ϕ</m:t>
                        </m:r>
                      </m:e>
                      <m:sub>
                        <m:r>
                          <w:rPr>
                            <w:rFonts w:ascii="Cambria Math" w:hAnsi="Cambria Math"/>
                          </w:rPr>
                          <m:t xml:space="preserve">−</m:t>
                        </m:r>
                      </m:sub>
                    </m:sSub>
                  </m:e>
                </m:groupChr>
              </m:e>
              <m:lim>
                <m:r>
                  <m:rPr>
                    <m:lit/>
                    <m:nor/>
                  </m:rPr>
                  <w:rPr>
                    <w:rFonts w:ascii="Cambria Math" w:hAnsi="Cambria Math"/>
                  </w:rPr>
                  <m:t xml:space="preserve">rot</m:t>
                </m:r>
                <m:r>
                  <m:rPr>
                    <m:lit/>
                    <m:nor/>
                  </m:rPr>
                  <w:rPr>
                    <w:rFonts w:ascii="Cambria Math" w:hAnsi="Cambria Math"/>
                  </w:rPr>
                  <m:t xml:space="preserve">.</m:t>
                </m:r>
                <m:r>
                  <m:t xml:space="preserve"> </m:t>
                </m:r>
                <m:r>
                  <m:rPr>
                    <m:lit/>
                    <m:nor/>
                  </m:rPr>
                  <w:rPr>
                    <w:rFonts w:ascii="Cambria Math" w:hAnsi="Cambria Math"/>
                  </w:rPr>
                  <m:t xml:space="preserve">in</m:t>
                </m:r>
                <m:r>
                  <m:rPr>
                    <m:lit/>
                    <m:nor/>
                  </m:rPr>
                  <w:rPr>
                    <w:rFonts w:ascii="Cambria Math" w:hAnsi="Cambria Math"/>
                  </w:rPr>
                  <m:t xml:space="preserve">terf</m:t>
                </m:r>
                <m:r>
                  <m:rPr>
                    <m:lit/>
                    <m:nor/>
                  </m:rPr>
                  <w:rPr>
                    <w:rFonts w:ascii="Cambria Math" w:hAnsi="Cambria Math"/>
                  </w:rPr>
                  <m:t xml:space="preserve">.</m:t>
                </m:r>
              </m:lim>
            </m:limLow>
            <m:r>
              <m:rPr>
                <m:lit/>
                <m:nor/>
              </m:rPr>
              <w:rPr>
                <w:rFonts w:ascii="Cambria Math" w:hAnsi="Cambria Math"/>
              </w:rPr>
              <m:t xml:space="preserve">Yz</m:t>
            </m:r>
            <m:r>
              <w:rPr>
                <w:rFonts w:ascii="Cambria Math" w:hAnsi="Cambria Math"/>
              </w:rPr>
              <m:t xml:space="preserve">+</m:t>
            </m:r>
            <m:r>
              <m:rPr>
                <m:lit/>
                <m:nor/>
              </m:rPr>
              <w:rPr>
                <w:rFonts w:ascii="Cambria Math" w:hAnsi="Cambria Math"/>
              </w:rPr>
              <m:t xml:space="preserve">noise</m:t>
            </m:r>
          </m:e>
        </m:eqArr>
      </m:oMath>
      <w:r>
        <w:rPr/>
      </w:r>
      <m:oMath xmlns:m="http://schemas.openxmlformats.org/officeDocument/2006/math"/>
      <w:r>
        <w:rPr/>
        <w:t>.</w:t>
      </w:r>
    </w:p>
    <w:p>
      <w:pPr>
        <w:pStyle w:val="Normal"/>
        <w:rPr/>
      </w:pPr>
      <w:r>
        <w:rPr/>
        <w:t xml:space="preserve">The term </w:t>
      </w:r>
      <w:r>
        <w:rPr/>
      </w:r>
      <m:oMath xmlns:m="http://schemas.openxmlformats.org/officeDocument/2006/math">
        <m:sSubSup>
          <m:e>
            <m:r>
              <w:rPr>
                <w:rFonts w:ascii="Cambria Math" w:hAnsi="Cambria Math"/>
              </w:rPr>
              <m:t xml:space="preserve">φ</m:t>
            </m:r>
          </m:e>
          <m:sub>
            <m:r>
              <w:rPr>
                <w:rFonts w:ascii="Cambria Math" w:hAnsi="Cambria Math"/>
              </w:rPr>
              <m:t xml:space="preserve">+</m:t>
            </m:r>
          </m:sub>
          <m:sup/>
        </m:sSubSup>
      </m:oMath>
      <w:r>
        <w:rPr/>
        <w:t xml:space="preserve"> is the de-rotation with the rotation of the carrier, hence the model above is a).</w:t>
      </w:r>
    </w:p>
    <w:p>
      <w:pPr>
        <w:pStyle w:val="EQ"/>
        <w:jc w:val="center"/>
        <w:rPr/>
      </w:pPr>
      <w:r>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r>
            <w:rPr>
              <w:rFonts w:ascii="Cambria Math" w:hAnsi="Cambria Math"/>
            </w:rPr>
            <m:t xml:space="preserve">:</m:t>
          </m:r>
          <m:d>
            <m:dPr>
              <m:begChr m:val="{"/>
              <m:endChr m:val=""/>
            </m:dPr>
            <m:e>
              <m:m>
                <m:mr>
                  <m:e>
                    <m:acc>
                      <m:accPr>
                        <m:chr m:val="~"/>
                      </m:accPr>
                      <m:e>
                        <m:r>
                          <w:rPr>
                            <w:rFonts w:ascii="Cambria Math" w:hAnsi="Cambria Math"/>
                          </w:rPr>
                          <m:t xml:space="preserve">R</m:t>
                        </m:r>
                      </m:e>
                    </m:acc>
                    <m:r>
                      <w:rPr>
                        <w:rFonts w:ascii="Cambria Math" w:hAnsi="Cambria Math"/>
                      </w:rPr>
                      <m:t xml:space="preserve">=</m:t>
                    </m:r>
                    <m:sSub>
                      <m:e>
                        <m:r>
                          <w:rPr>
                            <w:rFonts w:ascii="Cambria Math" w:hAnsi="Cambria Math"/>
                          </w:rPr>
                          <m:t xml:space="preserve">S</m:t>
                        </m:r>
                      </m:e>
                      <m:sub>
                        <m:r>
                          <w:rPr>
                            <w:rFonts w:ascii="Cambria Math" w:hAnsi="Cambria Math"/>
                          </w:rPr>
                          <m:t xml:space="preserve">k</m:t>
                        </m:r>
                      </m:sub>
                    </m:sSub>
                    <m:sSub>
                      <m:e>
                        <m:acc>
                          <m:accPr>
                            <m:chr m:val="~"/>
                          </m:accPr>
                          <m:e>
                            <m:r>
                              <w:rPr>
                                <w:rFonts w:ascii="Cambria Math" w:hAnsi="Cambria Math"/>
                              </w:rPr>
                              <m:t xml:space="preserve">h</m:t>
                            </m:r>
                          </m:e>
                        </m:acc>
                      </m:e>
                      <m:sub>
                        <m:r>
                          <w:rPr>
                            <w:rFonts w:ascii="Cambria Math" w:hAnsi="Cambria Math"/>
                          </w:rPr>
                          <m:t xml:space="preserve">k</m:t>
                        </m:r>
                      </m:sub>
                    </m:sSub>
                    <m:r>
                      <w:rPr>
                        <w:rFonts w:ascii="Cambria Math" w:hAnsi="Cambria Math"/>
                      </w:rPr>
                      <m:t xml:space="preserve">+</m:t>
                    </m:r>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e</m:t>
                        </m:r>
                      </m:e>
                      <m:sub>
                        <m:r>
                          <w:rPr>
                            <w:rFonts w:ascii="Cambria Math" w:hAnsi="Cambria Math"/>
                          </w:rPr>
                          <m:t xml:space="preserve">+</m:t>
                        </m:r>
                      </m:sub>
                    </m:sSub>
                    <m:sSub>
                      <m:e>
                        <m:r>
                          <w:rPr>
                            <w:rFonts w:ascii="Cambria Math" w:hAnsi="Cambria Math"/>
                          </w:rPr>
                          <m:t xml:space="preserve">ϕ</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ϕ</m:t>
                        </m:r>
                      </m:e>
                      <m:sub>
                        <m:r>
                          <w:rPr>
                            <w:rFonts w:ascii="Cambria Math" w:hAnsi="Cambria Math"/>
                          </w:rPr>
                          <m:t xml:space="preserve">−</m:t>
                        </m:r>
                      </m:sub>
                    </m:sSub>
                    <m:r>
                      <m:rPr>
                        <m:lit/>
                        <m:nor/>
                      </m:rPr>
                      <w:rPr>
                        <w:rFonts w:ascii="Cambria Math" w:hAnsi="Cambria Math"/>
                      </w:rPr>
                      <m:t xml:space="preserve">Yz</m:t>
                    </m:r>
                    <m:r>
                      <w:rPr>
                        <w:rFonts w:ascii="Cambria Math" w:hAnsi="Cambria Math"/>
                      </w:rPr>
                      <m:t xml:space="preserve">+</m:t>
                    </m:r>
                    <m:r>
                      <m:rPr>
                        <m:lit/>
                        <m:nor/>
                      </m:rPr>
                      <w:rPr>
                        <w:rFonts w:ascii="Cambria Math" w:hAnsi="Cambria Math"/>
                      </w:rPr>
                      <m:t xml:space="preserve">noise</m:t>
                    </m:r>
                  </m:e>
                </m:mr>
                <m:mr>
                  <m:e>
                    <m:sSub>
                      <m:e>
                        <m:acc>
                          <m:accPr>
                            <m:chr m:val="~"/>
                          </m:accPr>
                          <m:e>
                            <m:r>
                              <w:rPr>
                                <w:rFonts w:ascii="Cambria Math" w:hAnsi="Cambria Math"/>
                              </w:rPr>
                              <m:t xml:space="preserve">h</m:t>
                            </m:r>
                          </m:e>
                        </m:acc>
                      </m:e>
                      <m:sub>
                        <m:r>
                          <w:rPr>
                            <w:rFonts w:ascii="Cambria Math" w:hAnsi="Cambria Math"/>
                          </w:rPr>
                          <m:t xml:space="preserve">p</m:t>
                        </m:r>
                        <m:r>
                          <w:rPr>
                            <w:rFonts w:ascii="Cambria Math" w:hAnsi="Cambria Math"/>
                          </w:rPr>
                          <m:t xml:space="preserve">,</m:t>
                        </m:r>
                        <m:r>
                          <w:rPr>
                            <w:rFonts w:ascii="Cambria Math" w:hAnsi="Cambria Math"/>
                          </w:rPr>
                          <m:t xml:space="preserve">k</m:t>
                        </m:r>
                      </m:sub>
                    </m:sSub>
                    <m:r>
                      <w:rPr>
                        <w:rFonts w:ascii="Cambria Math" w:hAnsi="Cambria Math"/>
                      </w:rPr>
                      <m:t xml:space="preserve">=</m:t>
                    </m:r>
                    <m:sSup>
                      <m:e>
                        <m:d>
                          <m:dPr>
                            <m:begChr m:val="("/>
                            <m:endChr m:val=")"/>
                          </m:dPr>
                          <m:e>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
                              <m:e>
                                <m:r>
                                  <w:rPr>
                                    <w:rFonts w:ascii="Cambria Math" w:hAnsi="Cambria Math"/>
                                  </w:rPr>
                                  <m:t xml:space="preserve">S</m:t>
                                </m:r>
                              </m:e>
                              <m:sub>
                                <m:r>
                                  <w:rPr>
                                    <w:rFonts w:ascii="Cambria Math" w:hAnsi="Cambria Math"/>
                                  </w:rPr>
                                  <m:t xml:space="preserve">k</m:t>
                                </m:r>
                              </m:sub>
                            </m:sSub>
                          </m:e>
                        </m:d>
                      </m:e>
                      <m:sup>
                        <m:r>
                          <w:rPr>
                            <w:rFonts w:ascii="Cambria Math" w:hAnsi="Cambria Math"/>
                          </w:rPr>
                          <m:t xml:space="preserve">−</m:t>
                        </m:r>
                        <m:r>
                          <w:rPr>
                            <w:rFonts w:ascii="Cambria Math" w:hAnsi="Cambria Math"/>
                          </w:rPr>
                          <m:t xml:space="preserve">1</m:t>
                        </m:r>
                      </m:sup>
                    </m:sSup>
                    <m:sSubSup>
                      <m:e>
                        <m:r>
                          <w:rPr>
                            <w:rFonts w:ascii="Cambria Math" w:hAnsi="Cambria Math"/>
                          </w:rPr>
                          <m:t xml:space="preserve">S</m:t>
                        </m:r>
                      </m:e>
                      <m:sub>
                        <m:r>
                          <w:rPr>
                            <w:rFonts w:ascii="Cambria Math" w:hAnsi="Cambria Math"/>
                          </w:rPr>
                          <m:t xml:space="preserve">k</m:t>
                        </m:r>
                      </m:sub>
                      <m:sup>
                        <m:r>
                          <w:rPr>
                            <w:rFonts w:ascii="Cambria Math" w:hAnsi="Cambria Math"/>
                          </w:rPr>
                          <m:t xml:space="preserve">H</m:t>
                        </m:r>
                      </m:sup>
                    </m:sSubSup>
                    <m:sSubSup>
                      <m:e>
                        <m:r>
                          <w:rPr>
                            <w:rFonts w:ascii="Cambria Math" w:hAnsi="Cambria Math"/>
                          </w:rPr>
                          <m:t xml:space="preserve">φ</m:t>
                        </m:r>
                      </m:e>
                      <m:sub>
                        <m:r>
                          <w:rPr>
                            <w:rFonts w:ascii="Cambria Math" w:hAnsi="Cambria Math"/>
                          </w:rPr>
                          <m:t xml:space="preserve">+</m:t>
                        </m:r>
                      </m:sub>
                      <m:sup/>
                    </m:sSubSup>
                    <m:sSub>
                      <m:e>
                        <m:r>
                          <w:rPr>
                            <w:rFonts w:ascii="Cambria Math" w:hAnsi="Cambria Math"/>
                          </w:rPr>
                          <m:t xml:space="preserve">e</m:t>
                        </m:r>
                      </m:e>
                      <m:sub>
                        <m:r>
                          <w:rPr>
                            <w:rFonts w:ascii="Cambria Math" w:hAnsi="Cambria Math"/>
                          </w:rPr>
                          <m:t xml:space="preserve">+</m:t>
                        </m:r>
                      </m:sub>
                    </m:sSub>
                    <m:sSub>
                      <m:e>
                        <m:r>
                          <w:rPr>
                            <w:rFonts w:ascii="Cambria Math" w:hAnsi="Cambria Math"/>
                          </w:rPr>
                          <m:t xml:space="preserve">ϕ</m:t>
                        </m:r>
                      </m:e>
                      <m:sub>
                        <m:r>
                          <w:rPr>
                            <w:rFonts w:ascii="Cambria Math" w:hAnsi="Cambria Math"/>
                          </w:rPr>
                          <m:t xml:space="preserve">+</m:t>
                        </m:r>
                      </m:sub>
                    </m:sSub>
                    <m:sSub>
                      <m:e>
                        <m:r>
                          <w:rPr>
                            <w:rFonts w:ascii="Cambria Math" w:hAnsi="Cambria Math"/>
                          </w:rPr>
                          <m:t xml:space="preserve">S</m:t>
                        </m:r>
                      </m:e>
                      <m:sub>
                        <m:r>
                          <w:rPr>
                            <w:rFonts w:ascii="Cambria Math" w:hAnsi="Cambria Math"/>
                          </w:rPr>
                          <m:t xml:space="preserve">p</m:t>
                        </m:r>
                      </m:sub>
                    </m:sSub>
                    <m:sSub>
                      <m:e>
                        <m:r>
                          <w:rPr>
                            <w:rFonts w:ascii="Cambria Math" w:hAnsi="Cambria Math"/>
                          </w:rPr>
                          <m:t xml:space="preserve">ϕ</m:t>
                        </m:r>
                      </m:e>
                      <m:sub>
                        <m:r>
                          <w:rPr>
                            <w:rFonts w:ascii="Cambria Math" w:hAnsi="Cambria Math"/>
                          </w:rPr>
                          <m:t xml:space="preserve">−</m:t>
                        </m:r>
                      </m:sub>
                    </m:sSub>
                    <m:r>
                      <m:rPr>
                        <m:lit/>
                        <m:nor/>
                      </m:rPr>
                      <w:rPr>
                        <w:rFonts w:ascii="Cambria Math" w:hAnsi="Cambria Math"/>
                      </w:rPr>
                      <m:t xml:space="preserve">Yz</m:t>
                    </m:r>
                  </m:e>
                </m:mr>
              </m:m>
            </m:e>
          </m:d>
        </m:oMath>
      </m:oMathPara>
    </w:p>
    <w:p>
      <w:pPr>
        <w:pStyle w:val="Normal"/>
        <w:rPr/>
      </w:pPr>
      <w:r>
        <w:rPr/>
        <w:t xml:space="preserve">Which proves that when calculating </w:t>
      </w:r>
      <w:r>
        <w:rPr/>
      </w:r>
      <m:oMath xmlns:m="http://schemas.openxmlformats.org/officeDocument/2006/math">
        <m:r>
          <w:rPr>
            <w:rFonts w:ascii="Cambria Math" w:hAnsi="Cambria Math"/>
          </w:rPr>
          <m:t xml:space="preserve">E</m:t>
        </m:r>
        <m:d>
          <m:dPr>
            <m:begChr m:val="["/>
            <m:endChr m:val="]"/>
          </m:dPr>
          <m:e>
            <m:sSubSup>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up/>
            </m:sSubSup>
            <m:sSub>
              <m:e>
                <m:r>
                  <w:rPr>
                    <w:rFonts w:ascii="Cambria Math" w:hAnsi="Cambria Math"/>
                  </w:rPr>
                  <m:t xml:space="preserve">h</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e>
        </m:d>
      </m:oMath>
      <w:r>
        <w:rPr/>
        <w:t xml:space="preserve"> a) and b) are equivalent.</w:t>
      </w:r>
    </w:p>
    <w:p>
      <w:pPr>
        <w:pStyle w:val="Heading1"/>
        <w:ind w:left="1134" w:hanging="1134"/>
        <w:rPr/>
      </w:pPr>
      <w:bookmarkStart w:id="929" w:name="__RefHeading___Toc518036252"/>
      <w:bookmarkEnd w:id="929"/>
      <w:r>
        <w:rPr/>
        <w:t>ZE.2</w:t>
        <w:tab/>
        <w:t>Performance</w:t>
      </w:r>
      <w:r>
        <w:rPr>
          <w:lang w:eastAsia="zh-CN"/>
        </w:rPr>
        <w:t xml:space="preserve"> framework for design of </w:t>
      </w:r>
      <w:r>
        <w:rPr/>
        <w:t>Extended TSC Sets</w:t>
      </w:r>
    </w:p>
    <w:p>
      <w:pPr>
        <w:pStyle w:val="Normal"/>
        <w:rPr>
          <w:lang w:val="en-US"/>
        </w:rPr>
      </w:pPr>
      <w:r>
        <w:rPr>
          <w:lang w:val="en-US"/>
        </w:rPr>
        <w:t>3GPP TSG GERAN #61</w:t>
      </w:r>
    </w:p>
    <w:p>
      <w:pPr>
        <w:pStyle w:val="Normal"/>
        <w:rPr>
          <w:lang w:val="en-US"/>
        </w:rPr>
      </w:pPr>
      <w:r>
        <w:rPr>
          <w:lang w:val="en-US"/>
        </w:rPr>
        <w:t>GP-140107</w:t>
      </w:r>
    </w:p>
    <w:p>
      <w:pPr>
        <w:pStyle w:val="Normal"/>
        <w:rPr>
          <w:lang w:val="en-US"/>
        </w:rPr>
      </w:pPr>
      <w:r>
        <w:rPr>
          <w:lang w:val="en-US"/>
        </w:rPr>
        <w:t>Sophia Antipolis, France,</w:t>
        <w:tab/>
        <w:t>Agenda item 11.1</w:t>
      </w:r>
    </w:p>
    <w:p>
      <w:pPr>
        <w:pStyle w:val="Normal"/>
        <w:rPr/>
      </w:pPr>
      <w:r>
        <w:rPr/>
        <w:t>24 - 28 February 2014</w:t>
      </w:r>
    </w:p>
    <w:p>
      <w:pPr>
        <w:pStyle w:val="Normal"/>
        <w:rPr/>
      </w:pPr>
      <w:r>
        <w:rPr/>
        <w:t>Source: Ericsson</w:t>
      </w:r>
    </w:p>
    <w:p>
      <w:pPr>
        <w:pStyle w:val="Normal"/>
        <w:rPr/>
      </w:pPr>
      <w:r>
        <w:rPr>
          <w:b/>
        </w:rPr>
        <w:t xml:space="preserve">Title: </w:t>
      </w:r>
      <w:r>
        <w:rPr>
          <w:b/>
          <w:color w:val="000000"/>
          <w:lang w:eastAsia="fr-FR"/>
        </w:rPr>
        <w:t>NewToN – Working Assumptions</w:t>
      </w:r>
    </w:p>
    <w:p>
      <w:pPr>
        <w:pStyle w:val="FP"/>
        <w:rPr/>
      </w:pPr>
      <w:r>
        <w:rPr/>
      </w:r>
    </w:p>
    <w:p>
      <w:pPr>
        <w:pStyle w:val="Heading2"/>
        <w:rPr/>
      </w:pPr>
      <w:bookmarkStart w:id="930" w:name="__RefHeading___Toc518036253"/>
      <w:bookmarkEnd w:id="930"/>
      <w:r>
        <w:rPr/>
        <w:t>ZE.2.1</w:t>
        <w:tab/>
        <w:t>Working Assumptions for performance framework</w:t>
      </w:r>
    </w:p>
    <w:p>
      <w:pPr>
        <w:pStyle w:val="TH"/>
        <w:rPr/>
      </w:pPr>
      <w:r>
        <w:rPr/>
      </w:r>
    </w:p>
    <w:tbl>
      <w:tblPr>
        <w:tblW w:w="9072" w:type="dxa"/>
        <w:jc w:val="left"/>
        <w:tblInd w:w="137" w:type="dxa"/>
        <w:tblLayout w:type="fixed"/>
        <w:tblCellMar>
          <w:top w:w="0" w:type="dxa"/>
          <w:left w:w="108" w:type="dxa"/>
          <w:bottom w:w="0" w:type="dxa"/>
          <w:right w:w="108" w:type="dxa"/>
        </w:tblCellMar>
      </w:tblPr>
      <w:tblGrid>
        <w:gridCol w:w="425"/>
        <w:gridCol w:w="7088"/>
        <w:gridCol w:w="1559"/>
      </w:tblGrid>
      <w:tr>
        <w:trPr>
          <w:trHeight w:val="230" w:hRule="atLeast"/>
        </w:trPr>
        <w:tc>
          <w:tcPr>
            <w:tcW w:w="425" w:type="dxa"/>
            <w:vMerge w:val="restart"/>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val="sv-SE" w:eastAsia="en-US"/>
              </w:rPr>
            </w:pPr>
            <w:r>
              <w:rPr>
                <w:rFonts w:cs="Times New Roman" w:ascii="Times New Roman" w:hAnsi="Times New Roman"/>
                <w:lang w:val="sv-SE" w:eastAsia="en-US"/>
              </w:rPr>
              <w:t>#</w:t>
            </w:r>
          </w:p>
        </w:tc>
        <w:tc>
          <w:tcPr>
            <w:tcW w:w="7088" w:type="dxa"/>
            <w:vMerge w:val="restart"/>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val="sv-SE" w:eastAsia="en-US"/>
              </w:rPr>
            </w:pPr>
            <w:r>
              <w:rPr>
                <w:rFonts w:cs="Times New Roman" w:ascii="Times New Roman" w:hAnsi="Times New Roman"/>
                <w:lang w:val="sv-SE" w:eastAsia="en-US"/>
              </w:rPr>
              <w:t>Working Assumption</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Reference</w:t>
              <w:br/>
              <w:t>paper</w:t>
            </w:r>
          </w:p>
        </w:tc>
      </w:tr>
      <w:tr>
        <w:trPr>
          <w:trHeight w:val="230" w:hRule="atLeast"/>
        </w:trPr>
        <w:tc>
          <w:tcPr>
            <w:tcW w:w="42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Times New Roman" w:hAnsi="Times New Roman" w:cs="Times New Roman"/>
                <w:b/>
                <w:b/>
                <w:szCs w:val="18"/>
                <w:lang w:eastAsia="en-US"/>
              </w:rPr>
            </w:pPr>
            <w:r>
              <w:rPr>
                <w:rFonts w:cs="Times New Roman"/>
                <w:b/>
                <w:szCs w:val="18"/>
                <w:lang w:eastAsia="en-US"/>
              </w:rPr>
            </w:r>
          </w:p>
        </w:tc>
        <w:tc>
          <w:tcPr>
            <w:tcW w:w="708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szCs w:val="18"/>
              </w:rPr>
            </w:pPr>
            <w:r>
              <w:rPr>
                <w:szCs w:val="18"/>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szCs w:val="18"/>
              </w:rPr>
            </w:pPr>
            <w:r>
              <w:rPr>
                <w:szCs w:val="18"/>
              </w:rPr>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The final performance evaluation shall only be based on simulations using a commonly agreed framework</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If a TSC set is proposed by a contributing company, performance evaluation is required for the proposed TSC set, and all other TSC sets proposed by other companies.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No more than one complete TSC set shall be proposed by each contributing company</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Each company evaluating performance shall evaluate the performance using at least one receiver implementation expected in real network operation (which BTS and/or MS receiver architectures to use are not commonly agreed but up to each company performing the evaluation). Only one representative set of performance figures shall be derived from the receiver(s) simulated.</w:t>
            </w:r>
          </w:p>
          <w:p>
            <w:pPr>
              <w:pStyle w:val="TAL"/>
              <w:rPr>
                <w:rFonts w:ascii="Times New Roman" w:hAnsi="Times New Roman" w:cs="Times New Roman"/>
                <w:lang w:val="en-GB"/>
              </w:rPr>
            </w:pPr>
            <w:r>
              <w:rPr>
                <w:rFonts w:cs="Times New Roman" w:ascii="Times New Roman" w:hAnsi="Times New Roman"/>
                <w:lang w:val="en-GB"/>
              </w:rPr>
              <w:t>Note: A chosen receiver implementation shall be used to evaluate all proposed TSC sets.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Each company evaluating performance shall evaluate the performance in at least one of: CS+EGPRS, or, CS+EGPRS+EGPRS2-A.</w:t>
            </w:r>
          </w:p>
          <w:p>
            <w:pPr>
              <w:pStyle w:val="TAL"/>
              <w:rPr>
                <w:rFonts w:ascii="Times New Roman" w:hAnsi="Times New Roman" w:cs="Times New Roman"/>
                <w:lang w:val="en-GB"/>
              </w:rPr>
            </w:pPr>
            <w:r>
              <w:rPr>
                <w:rFonts w:cs="Times New Roman" w:ascii="Times New Roman" w:hAnsi="Times New Roman"/>
                <w:lang w:val="en-GB"/>
              </w:rPr>
              <w:t>Note: If only CS+EGPRS services are evaluated, the interfering modulation need not include rotated 16QAM(UL/DL) and 32QAM(DL) with a TSC included.</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If the final performance figure (considering all evaluations from all companies) of the best TSC set (a complete TSC design from one company) is less than (&lt;) 0.1 dB better than the second best TSC set, a TSC set is randomly chosen (by blind draw by the GERAN WG1 secretary) from all TSC sets whose final performance figure is less than 0.1 dB worse than the best TSC set.</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7</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The performance shall only be evaluated in the 900 MHz frequency band.</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8</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The different interferer/noise scenarios shall be investigated in propagation conditions TU50nFH (sensitivity and interference) and HT100nFH (sensitivity)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9</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The performance shall be evaluated in:</w:t>
            </w:r>
          </w:p>
          <w:p>
            <w:pPr>
              <w:pStyle w:val="TAL"/>
              <w:rPr>
                <w:rFonts w:ascii="Times New Roman" w:hAnsi="Times New Roman" w:cs="Times New Roman"/>
                <w:lang w:val="en-GB"/>
              </w:rPr>
            </w:pPr>
            <w:r>
              <w:rPr>
                <w:rFonts w:cs="Times New Roman" w:ascii="Times New Roman" w:hAnsi="Times New Roman"/>
                <w:lang w:val="en-GB"/>
              </w:rPr>
              <w:t>•</w:t>
            </w:r>
            <w:r>
              <w:rPr>
                <w:rFonts w:cs="Times New Roman" w:ascii="Times New Roman" w:hAnsi="Times New Roman"/>
                <w:lang w:val="en-GB"/>
              </w:rPr>
              <w:tab/>
              <w:t>Sensitivity (Auto correlation)</w:t>
            </w:r>
          </w:p>
          <w:p>
            <w:pPr>
              <w:pStyle w:val="TAL"/>
              <w:rPr>
                <w:rFonts w:ascii="Times New Roman" w:hAnsi="Times New Roman" w:cs="Times New Roman"/>
                <w:lang w:val="en-GB"/>
              </w:rPr>
            </w:pPr>
            <w:r>
              <w:rPr>
                <w:rFonts w:cs="Times New Roman" w:ascii="Times New Roman" w:hAnsi="Times New Roman"/>
                <w:lang w:val="en-GB"/>
              </w:rPr>
              <w:t>•</w:t>
            </w:r>
            <w:r>
              <w:rPr>
                <w:rFonts w:cs="Times New Roman" w:ascii="Times New Roman" w:hAnsi="Times New Roman"/>
                <w:lang w:val="en-GB"/>
              </w:rPr>
              <w:tab/>
              <w:t>CCI (Cross correlation)</w:t>
            </w:r>
          </w:p>
          <w:p>
            <w:pPr>
              <w:pStyle w:val="TAL"/>
              <w:rPr>
                <w:rFonts w:ascii="Times New Roman" w:hAnsi="Times New Roman" w:cs="Times New Roman"/>
                <w:lang w:val="en-GB"/>
              </w:rPr>
            </w:pPr>
            <w:r>
              <w:rPr>
                <w:rFonts w:cs="Times New Roman" w:ascii="Times New Roman" w:hAnsi="Times New Roman"/>
                <w:lang w:val="en-GB"/>
              </w:rPr>
              <w:t>•</w:t>
            </w:r>
            <w:r>
              <w:rPr>
                <w:rFonts w:cs="Times New Roman" w:ascii="Times New Roman" w:hAnsi="Times New Roman"/>
                <w:lang w:val="en-GB"/>
              </w:rPr>
              <w:tab/>
              <w:t>ACI at +200 kHz (Cross correlation)</w:t>
            </w:r>
          </w:p>
          <w:p>
            <w:pPr>
              <w:pStyle w:val="TAL"/>
              <w:rPr/>
            </w:pPr>
            <w:r>
              <w:rPr>
                <w:rFonts w:cs="Times New Roman" w:ascii="Times New Roman" w:hAnsi="Times New Roman"/>
                <w:lang w:val="en-GB"/>
              </w:rPr>
              <w:t>•</w:t>
            </w:r>
            <w:r>
              <w:rPr>
                <w:rFonts w:cs="Times New Roman" w:ascii="Times New Roman" w:hAnsi="Times New Roman"/>
                <w:lang w:val="en-GB"/>
              </w:rPr>
              <w:tab/>
              <w:t>ACI at -200 kHz (Cross correlation)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The non-ideal time synchronization model used for VAMOS UL shall apply only for the wanted signals in VAMOS UL simulations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11</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The time shift models (separate models for CCI and ACI) as proposed in Table 1 shall be used in the performance evaluation with the delay applied independently per burst.</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12</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 xml:space="preserve">Wanted signal: </w:t>
            </w:r>
          </w:p>
          <w:p>
            <w:pPr>
              <w:pStyle w:val="TAL"/>
              <w:rPr>
                <w:rFonts w:ascii="Times New Roman" w:hAnsi="Times New Roman" w:cs="Times New Roman"/>
                <w:lang w:val="en-GB"/>
              </w:rPr>
            </w:pPr>
            <w:r>
              <w:rPr>
                <w:rFonts w:cs="Times New Roman" w:ascii="Times New Roman" w:hAnsi="Times New Roman"/>
                <w:lang w:val="en-GB"/>
              </w:rPr>
              <w:t xml:space="preserve">Sensitivity: Performance is evaluated with the new TSC set assigned </w:t>
            </w:r>
          </w:p>
          <w:p>
            <w:pPr>
              <w:pStyle w:val="TAL"/>
              <w:rPr/>
            </w:pPr>
            <w:r>
              <w:rPr>
                <w:rFonts w:cs="Times New Roman" w:ascii="Times New Roman" w:hAnsi="Times New Roman"/>
                <w:lang w:val="en-GB"/>
              </w:rPr>
              <w:t>Interference: Performance is evaluated with the new TSC set assigned (both legacy TSC and new TSCs interfering) and with legacy TSC set assigned (only new TSCs interfering).</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13</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 xml:space="preserve">Interfering signal: All TSCs (CCI: All TSCs except the one assigned the wanted signal, ACI: All TSCs) are assumed to interfere each assigned wanted signal (including both legacy TSC set and new TSC sets for different modulations). </w:t>
            </w:r>
          </w:p>
          <w:p>
            <w:pPr>
              <w:pStyle w:val="TAL"/>
              <w:rPr>
                <w:rFonts w:ascii="Times New Roman" w:hAnsi="Times New Roman" w:cs="Times New Roman"/>
                <w:lang w:val="en-GB"/>
              </w:rPr>
            </w:pPr>
            <w:r>
              <w:rPr>
                <w:rFonts w:cs="Times New Roman" w:ascii="Times New Roman" w:hAnsi="Times New Roman"/>
                <w:lang w:val="en-GB"/>
              </w:rPr>
            </w:r>
          </w:p>
          <w:p>
            <w:pPr>
              <w:pStyle w:val="TAL"/>
              <w:rPr/>
            </w:pPr>
            <w:r>
              <w:rPr>
                <w:rFonts w:cs="Times New Roman" w:ascii="Times New Roman" w:hAnsi="Times New Roman"/>
                <w:lang w:val="en-GB"/>
              </w:rPr>
              <w:t>Note: All legacy TSCs in this regard includes the normal burst TSCs defined in 3GPP TS 45.002 for NSR, as well as the dummy burst as defined in subclause 5.2.6.</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14</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All TSC combinations shall be evaluated at a raw BER level of 5% except for 16QAM and 32QAM where 1 % shall be used</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15</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The distance between two simulation points used for interpolation shall not be more than 2 dB</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16</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Each simulation point shall be simulated using at least 4000 bursts.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17</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For a given TSC proposal, for each company evaluation: For each simulated carrier modulation, and, in case of interference simulations, interference type and interferer modulation, all intersection points (dB) are converted to linear values and averaged to arrive at a performance metric (dB).</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18</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For all TSC proposals, for each company evaluation: The dB-deviation of each proposed TSC set from the averaged performance of all TSC proposals is recorded for each carrier modulation and scenario simulated (see WA 17).</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19</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For a given TSC proposal, for each company evaluation: All carrier modulations (see WA 5) shall be evaluated in sensitivity. All carrier modulations (see WA5) excluding AQPSK, shall be evaluated in interference.</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20</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 xml:space="preserve">For a given TSC proposal, for each company evaluation: The carrier evaluation for VAMOS shall be simulated for </w:t>
            </w:r>
          </w:p>
          <w:p>
            <w:pPr>
              <w:pStyle w:val="TAL"/>
              <w:rPr>
                <w:rFonts w:ascii="Times New Roman" w:hAnsi="Times New Roman" w:cs="Times New Roman"/>
                <w:lang w:val="en-GB"/>
              </w:rPr>
            </w:pPr>
            <w:r>
              <w:rPr>
                <w:rFonts w:cs="Times New Roman" w:ascii="Times New Roman" w:hAnsi="Times New Roman"/>
                <w:lang w:val="en-GB"/>
              </w:rPr>
              <w:t>- SCPIR=0 and -10 dB in case of VAMOS UL</w:t>
            </w:r>
          </w:p>
          <w:p>
            <w:pPr>
              <w:pStyle w:val="TAL"/>
              <w:rPr/>
            </w:pPr>
            <w:r>
              <w:rPr>
                <w:rFonts w:cs="Times New Roman" w:ascii="Times New Roman" w:hAnsi="Times New Roman"/>
                <w:lang w:val="en-GB"/>
              </w:rPr>
              <w:t>- SCPIR=0,-4 dB in case of VAMOS I MS on the DL</w:t>
            </w:r>
          </w:p>
          <w:p>
            <w:pPr>
              <w:pStyle w:val="TAL"/>
              <w:rPr>
                <w:rFonts w:ascii="Times New Roman" w:hAnsi="Times New Roman" w:cs="Times New Roman"/>
                <w:lang w:val="en-GB"/>
              </w:rPr>
            </w:pPr>
            <w:r>
              <w:rPr>
                <w:rFonts w:cs="Times New Roman" w:ascii="Times New Roman" w:hAnsi="Times New Roman"/>
                <w:lang w:val="en-GB"/>
              </w:rPr>
              <w:t xml:space="preserve">- SCPIR=0,-4,-10 dB in case of VAMOS II or VAMOS III MS on the DL </w:t>
            </w:r>
          </w:p>
          <w:p>
            <w:pPr>
              <w:pStyle w:val="TAL"/>
              <w:rPr>
                <w:rFonts w:ascii="Times New Roman" w:hAnsi="Times New Roman" w:cs="Times New Roman"/>
                <w:lang w:val="en-GB"/>
              </w:rPr>
            </w:pPr>
            <w:r>
              <w:rPr>
                <w:rFonts w:cs="Times New Roman" w:ascii="Times New Roman" w:hAnsi="Times New Roman"/>
                <w:lang w:val="en-GB"/>
              </w:rPr>
            </w:r>
          </w:p>
          <w:p>
            <w:pPr>
              <w:pStyle w:val="TAL"/>
              <w:rPr>
                <w:rFonts w:ascii="Times New Roman" w:hAnsi="Times New Roman" w:cs="Times New Roman"/>
                <w:lang w:val="en-GB"/>
              </w:rPr>
            </w:pPr>
            <w:r>
              <w:rPr>
                <w:rFonts w:cs="Times New Roman" w:ascii="Times New Roman" w:hAnsi="Times New Roman"/>
                <w:lang w:val="en-GB"/>
              </w:rPr>
              <w:t>The performance need only be evaluated for one of the VAMOS sub-channels in case of SCPIR=0 dB and the weak sub-channel in case of negative SCPIR.</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21</w:t>
            </w:r>
          </w:p>
        </w:tc>
        <w:tc>
          <w:tcPr>
            <w:tcW w:w="7088"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For a given TSC proposal, for each company evaluation: AQPSK shall not be simulated as an interfering modulation.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22</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For all TSC proposals, across different company evaluations: The derived performance figure for each carrier and interfering modulation, interference scenario (see WA 17 and WA 19) and TSC proposal from each contributing company shall be averaged (dB).</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23</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 xml:space="preserve">For all TSC proposals, across different company evaluations, interference simulations: The performance figures for all TSC proposals (see WA 22) shall be weighted depending on carrier modulation with: </w:t>
            </w:r>
          </w:p>
          <w:p>
            <w:pPr>
              <w:pStyle w:val="TAL"/>
              <w:rPr>
                <w:rFonts w:ascii="Times New Roman" w:hAnsi="Times New Roman" w:cs="Times New Roman"/>
                <w:lang w:val="en-GB"/>
              </w:rPr>
            </w:pPr>
            <w:r>
              <w:rPr>
                <w:rFonts w:cs="Times New Roman" w:ascii="Times New Roman" w:hAnsi="Times New Roman"/>
                <w:lang w:val="en-GB"/>
              </w:rPr>
              <w:t>GMSK: 70%; 8PSK: 20%; 16QAM: 5%; 32QAM: 5%.</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24</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 xml:space="preserve">For all TSC proposals, across different company evaluations, interference simulations: The performance figures for all TSC proposals (see WA 22) for each carrier modulation shall be weighted across interfering modulations according to: </w:t>
            </w:r>
          </w:p>
          <w:p>
            <w:pPr>
              <w:pStyle w:val="TAL"/>
              <w:rPr>
                <w:rFonts w:ascii="Times New Roman" w:hAnsi="Times New Roman" w:cs="Times New Roman"/>
                <w:lang w:val="en-GB"/>
              </w:rPr>
            </w:pPr>
            <w:r>
              <w:rPr>
                <w:rFonts w:cs="Times New Roman" w:ascii="Times New Roman" w:hAnsi="Times New Roman"/>
                <w:lang w:val="en-GB"/>
              </w:rPr>
              <w:t>GMSK: 70%; 8PSK: 20%; 16QAM: 5%; 32QAM: 5%.</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25</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 xml:space="preserve">For all TSC proposals, across different company evaluations, sensitivity simulations: The performance figures for all TSC proposals (see WA 22) shall be weighted depending on carrier modulation with: </w:t>
            </w:r>
          </w:p>
          <w:p>
            <w:pPr>
              <w:pStyle w:val="TAL"/>
              <w:rPr>
                <w:rFonts w:ascii="Times New Roman" w:hAnsi="Times New Roman" w:cs="Times New Roman"/>
                <w:lang w:val="en-GB"/>
              </w:rPr>
            </w:pPr>
            <w:r>
              <w:rPr>
                <w:rFonts w:cs="Times New Roman" w:ascii="Times New Roman" w:hAnsi="Times New Roman"/>
                <w:lang w:val="en-GB"/>
              </w:rPr>
              <w:t>GMSK: 50%; VAMOS (DL: AQPSK, UL: paired GMSK): 20% 8PSK: 20%; 16QAM: 5%; 32QAM: 5%.</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r>
        <w:trPr/>
        <w:tc>
          <w:tcPr>
            <w:tcW w:w="42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26</w:t>
            </w:r>
          </w:p>
        </w:tc>
        <w:tc>
          <w:tcPr>
            <w:tcW w:w="7088"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For all TSC proposals, across different company evaluations: The different propagation profiles and scenarios shall be weighted according to: Sensitivity: 25%; CCI: 60%; ACI-: 7.5%, ACI+: 7.5%.</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GP-140192</w:t>
            </w:r>
          </w:p>
        </w:tc>
      </w:tr>
    </w:tbl>
    <w:p>
      <w:pPr>
        <w:pStyle w:val="FP"/>
        <w:rPr>
          <w:lang w:val="en-US"/>
        </w:rPr>
      </w:pPr>
      <w:r>
        <w:rPr>
          <w:lang w:val="en-US"/>
        </w:rPr>
      </w:r>
    </w:p>
    <w:p>
      <w:pPr>
        <w:pStyle w:val="Heading1"/>
        <w:ind w:left="1134" w:hanging="1134"/>
        <w:rPr>
          <w:lang w:val="en-US"/>
        </w:rPr>
      </w:pPr>
      <w:bookmarkStart w:id="931" w:name="__RefHeading___Toc518036254"/>
      <w:bookmarkEnd w:id="931"/>
      <w:r>
        <w:rPr>
          <w:lang w:val="en-US"/>
        </w:rPr>
        <w:t>ZE.3</w:t>
        <w:tab/>
      </w:r>
      <w:r>
        <w:rPr/>
        <w:t>Delay</w:t>
      </w:r>
      <w:r>
        <w:rPr>
          <w:lang w:eastAsia="zh-CN"/>
        </w:rPr>
        <w:t xml:space="preserve"> statistics for design of </w:t>
      </w:r>
      <w:r>
        <w:rPr/>
        <w:t>Extended TSC Sets</w:t>
      </w:r>
    </w:p>
    <w:p>
      <w:pPr>
        <w:pStyle w:val="Normal"/>
        <w:rPr/>
      </w:pPr>
      <w:r>
        <w:rPr>
          <w:lang w:val="sv-SE"/>
        </w:rPr>
        <w:t>3GPP TSG GERAN WG1 #61</w:t>
      </w:r>
    </w:p>
    <w:p>
      <w:pPr>
        <w:pStyle w:val="Normal"/>
        <w:rPr>
          <w:lang w:val="sv-SE"/>
        </w:rPr>
      </w:pPr>
      <w:r>
        <w:rPr>
          <w:lang w:val="sv-SE"/>
        </w:rPr>
        <w:t>GP-140140</w:t>
      </w:r>
    </w:p>
    <w:p>
      <w:pPr>
        <w:pStyle w:val="Normal"/>
        <w:rPr>
          <w:lang w:val="en-US"/>
        </w:rPr>
      </w:pPr>
      <w:r>
        <w:rPr>
          <w:lang w:val="en-US"/>
        </w:rPr>
        <w:t>Sophia Antipolis, France,</w:t>
        <w:tab/>
        <w:t>Agenda item 7.1.5.2.4</w:t>
      </w:r>
    </w:p>
    <w:p>
      <w:pPr>
        <w:pStyle w:val="Normal"/>
        <w:rPr/>
      </w:pPr>
      <w:r>
        <w:rPr/>
        <w:t>24 - 28 February 2014</w:t>
      </w:r>
    </w:p>
    <w:p>
      <w:pPr>
        <w:pStyle w:val="Normal"/>
        <w:rPr/>
      </w:pPr>
      <w:r>
        <w:rPr/>
        <w:t>Source: Ericsson</w:t>
      </w:r>
    </w:p>
    <w:p>
      <w:pPr>
        <w:pStyle w:val="Normal"/>
        <w:rPr/>
      </w:pPr>
      <w:r>
        <w:rPr>
          <w:b/>
        </w:rPr>
        <w:t xml:space="preserve">Title: </w:t>
      </w:r>
      <w:r>
        <w:rPr>
          <w:b/>
          <w:color w:val="000000"/>
          <w:lang w:eastAsia="fr-FR"/>
        </w:rPr>
        <w:t>NewToN – Delay statistics from system level simulations</w:t>
      </w:r>
    </w:p>
    <w:p>
      <w:pPr>
        <w:pStyle w:val="Heading2"/>
        <w:rPr/>
      </w:pPr>
      <w:bookmarkStart w:id="932" w:name="__RefHeading___Toc518036255"/>
      <w:bookmarkEnd w:id="932"/>
      <w:r>
        <w:rPr/>
        <w:t>ZE.3.1</w:t>
        <w:tab/>
        <w:t>Background</w:t>
      </w:r>
    </w:p>
    <w:p>
      <w:pPr>
        <w:pStyle w:val="Normal"/>
        <w:rPr/>
      </w:pPr>
      <w:r>
        <w:rPr/>
        <w:t xml:space="preserve">A synchronized radio network is usually referring to a network with the same absolute time reference in all sites and with the frame structure on the radio interface aligned between the different sites. </w:t>
      </w:r>
    </w:p>
    <w:p>
      <w:pPr>
        <w:pStyle w:val="Normal"/>
        <w:rPr/>
      </w:pPr>
      <w:r>
        <w:rPr/>
        <w:t>In such a network there will still be "asynchronous behavior" in the sense that propagation delay will cause external interference to be offset compared to the wanted signal at the receiver reference point. Propagation delay here excludes multi-path effects which will be added on top of this asynchronous behavior during the link level simulations.</w:t>
      </w:r>
    </w:p>
    <w:p>
      <w:pPr>
        <w:pStyle w:val="Normal"/>
        <w:rPr/>
      </w:pPr>
      <w:r>
        <w:rPr/>
        <w:t>The propagation delay is roughly 1 GSM symbol duration per kilometer (3e8*48/13e6).</w:t>
      </w:r>
    </w:p>
    <w:p>
      <w:pPr>
        <w:pStyle w:val="Normal"/>
        <w:rPr/>
      </w:pPr>
      <w:r>
        <w:rPr/>
        <w:t xml:space="preserve">The maximum propagation offset experienced in the network will be mainly dependent on the output power of the transmitter, the propagation loss and the receiver sensitivity. </w:t>
      </w:r>
    </w:p>
    <w:p>
      <w:pPr>
        <w:pStyle w:val="Normal"/>
        <w:rPr/>
      </w:pPr>
      <w:r>
        <w:rPr/>
        <w:t>The minimum propagation offset need not be limited by a zero offset. Negative offsets can be expected in a network when the serving base station is the most suitable base station in terms of minimizing path loss, but at the same time not the base station geographically closest to the MS. Other effects resulting in a negative delay can be non-ideal mobility and/or non-ideal synchronization of the network (the absolute time reference is not the same in all base stations in the network).</w:t>
      </w:r>
    </w:p>
    <w:p>
      <w:pPr>
        <w:pStyle w:val="Normal"/>
        <w:rPr/>
      </w:pPr>
      <w:r>
        <w:rPr/>
        <w:t>Apart from the maximum and minimum delay experienced, the delay distribution between these two extremes will vary depending on frequency re-use, cell size, system load etc.</w:t>
      </w:r>
    </w:p>
    <w:p>
      <w:pPr>
        <w:pStyle w:val="Heading2"/>
        <w:rPr/>
      </w:pPr>
      <w:bookmarkStart w:id="933" w:name="__RefHeading___Toc518036256"/>
      <w:bookmarkEnd w:id="933"/>
      <w:r>
        <w:rPr/>
        <w:t>ZE.3.2</w:t>
        <w:tab/>
        <w:t>Simulations</w:t>
      </w:r>
    </w:p>
    <w:p>
      <w:pPr>
        <w:pStyle w:val="Heading3"/>
        <w:rPr/>
      </w:pPr>
      <w:bookmarkStart w:id="934" w:name="__RefHeading___Toc518036257"/>
      <w:bookmarkStart w:id="935" w:name="_Ref376429203"/>
      <w:bookmarkEnd w:id="934"/>
      <w:r>
        <w:rPr/>
        <w:t>ZE.3.2.1</w:t>
        <w:tab/>
        <w:t>Simulation assumptions</w:t>
      </w:r>
      <w:bookmarkEnd w:id="935"/>
    </w:p>
    <w:p>
      <w:pPr>
        <w:pStyle w:val="Normal"/>
        <w:rPr/>
      </w:pPr>
      <w:r>
        <w:rPr/>
        <w:t>Simulations have been carried out in different scenarios to estimate the delay expected in synchronous networks. The simulation assumptions used in the evaluations are listed in Table 1.</w:t>
      </w:r>
    </w:p>
    <w:p>
      <w:pPr>
        <w:pStyle w:val="TH"/>
        <w:rPr/>
      </w:pPr>
      <w:r>
        <w:rPr/>
        <w:t>Table 1. Simulation assumptions</w:t>
      </w:r>
    </w:p>
    <w:tbl>
      <w:tblPr>
        <w:tblW w:w="9621" w:type="dxa"/>
        <w:jc w:val="left"/>
        <w:tblInd w:w="-113" w:type="dxa"/>
        <w:tblLayout w:type="fixed"/>
        <w:tblCellMar>
          <w:top w:w="0" w:type="dxa"/>
          <w:left w:w="108" w:type="dxa"/>
          <w:bottom w:w="0" w:type="dxa"/>
          <w:right w:w="108" w:type="dxa"/>
        </w:tblCellMar>
      </w:tblPr>
      <w:tblGrid>
        <w:gridCol w:w="3285"/>
        <w:gridCol w:w="3051"/>
        <w:gridCol w:w="3285"/>
      </w:tblGrid>
      <w:tr>
        <w:trPr/>
        <w:tc>
          <w:tcPr>
            <w:tcW w:w="3285"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Parameter</w:t>
            </w:r>
          </w:p>
        </w:tc>
        <w:tc>
          <w:tcPr>
            <w:tcW w:w="3051"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szCs w:val="18"/>
                <w:lang w:eastAsia="en-US"/>
              </w:rPr>
              <w:t>MUROS-1</w:t>
            </w:r>
          </w:p>
        </w:tc>
        <w:tc>
          <w:tcPr>
            <w:tcW w:w="3285"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szCs w:val="18"/>
                <w:lang w:eastAsia="en-US"/>
              </w:rPr>
              <w:t>MUROS-2</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Frequency band (MHz)</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900</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900</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Cell radius / ISD</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500 m / 1500m</w:t>
            </w:r>
          </w:p>
          <w:p>
            <w:pPr>
              <w:pStyle w:val="TAL"/>
              <w:jc w:val="center"/>
              <w:rPr>
                <w:rFonts w:ascii="Times New Roman" w:hAnsi="Times New Roman" w:cs="Times New Roman"/>
                <w:lang w:val="en-GB"/>
              </w:rPr>
            </w:pPr>
            <w:r>
              <w:rPr>
                <w:rFonts w:cs="Times New Roman" w:ascii="Times New Roman" w:hAnsi="Times New Roman"/>
                <w:lang w:val="en-GB"/>
              </w:rPr>
              <w:t>250 m / 750 m</w:t>
            </w:r>
            <w:r>
              <w:rPr>
                <w:rFonts w:cs="Times New Roman" w:ascii="Times New Roman" w:hAnsi="Times New Roman"/>
                <w:vertAlign w:val="superscript"/>
                <w:lang w:val="en-GB"/>
              </w:rPr>
              <w:t>(1)</w:t>
            </w:r>
          </w:p>
          <w:p>
            <w:pPr>
              <w:pStyle w:val="TAL"/>
              <w:jc w:val="center"/>
              <w:rPr/>
            </w:pPr>
            <w:r>
              <w:rPr>
                <w:rFonts w:cs="Times New Roman" w:ascii="Times New Roman" w:hAnsi="Times New Roman"/>
                <w:lang w:val="en-GB"/>
              </w:rPr>
              <w:t>166 m / 500 m</w:t>
            </w:r>
            <w:r>
              <w:rPr>
                <w:rFonts w:cs="Times New Roman" w:ascii="Times New Roman" w:hAnsi="Times New Roman"/>
                <w:vertAlign w:val="superscript"/>
                <w:lang w:val="en-GB"/>
              </w:rPr>
              <w:t>(1)</w:t>
            </w:r>
          </w:p>
          <w:p>
            <w:pPr>
              <w:pStyle w:val="TAL"/>
              <w:jc w:val="center"/>
              <w:rPr>
                <w:rFonts w:ascii="Times New Roman" w:hAnsi="Times New Roman" w:cs="Times New Roman"/>
                <w:lang w:val="en-GB"/>
              </w:rPr>
            </w:pPr>
            <w:r>
              <w:rPr>
                <w:rFonts w:cs="Times New Roman" w:ascii="Times New Roman" w:hAnsi="Times New Roman"/>
                <w:lang w:val="en-GB"/>
              </w:rPr>
              <w:t>100 m / 300 m</w:t>
            </w:r>
            <w:r>
              <w:rPr>
                <w:rFonts w:cs="Times New Roman" w:ascii="Times New Roman" w:hAnsi="Times New Roman"/>
                <w:vertAlign w:val="superscript"/>
                <w:lang w:val="en-GB"/>
              </w:rPr>
              <w:t>(1)</w:t>
            </w:r>
          </w:p>
        </w:tc>
        <w:tc>
          <w:tcPr>
            <w:tcW w:w="3285" w:type="dxa"/>
            <w:tcBorders>
              <w:top w:val="single" w:sz="4" w:space="0" w:color="000000"/>
              <w:left w:val="single" w:sz="4" w:space="0" w:color="000000"/>
              <w:bottom w:val="single" w:sz="4" w:space="0" w:color="000000"/>
              <w:right w:val="single" w:sz="4" w:space="0" w:color="000000"/>
            </w:tcBorders>
          </w:tcPr>
          <w:p>
            <w:pPr>
              <w:pStyle w:val="TableStyle"/>
              <w:jc w:val="center"/>
              <w:rPr>
                <w:rFonts w:ascii="Times New Roman" w:hAnsi="Times New Roman" w:cs="Times New Roman"/>
                <w:sz w:val="18"/>
                <w:szCs w:val="18"/>
              </w:rPr>
            </w:pPr>
            <w:r>
              <w:rPr>
                <w:rFonts w:cs="Times New Roman" w:ascii="Times New Roman" w:hAnsi="Times New Roman"/>
                <w:sz w:val="18"/>
                <w:szCs w:val="18"/>
              </w:rPr>
              <w:t>500 m / 1500 m</w:t>
            </w:r>
          </w:p>
          <w:p>
            <w:pPr>
              <w:pStyle w:val="TableStyle"/>
              <w:jc w:val="center"/>
              <w:rPr>
                <w:rFonts w:ascii="Times New Roman" w:hAnsi="Times New Roman" w:cs="Times New Roman"/>
                <w:sz w:val="18"/>
                <w:szCs w:val="18"/>
              </w:rPr>
            </w:pPr>
            <w:r>
              <w:rPr>
                <w:rFonts w:cs="Times New Roman" w:ascii="Times New Roman" w:hAnsi="Times New Roman"/>
                <w:sz w:val="18"/>
                <w:szCs w:val="18"/>
              </w:rPr>
              <w:t>250 m / 750 m</w:t>
            </w:r>
            <w:r>
              <w:rPr>
                <w:rFonts w:cs="Times New Roman" w:ascii="Times New Roman" w:hAnsi="Times New Roman"/>
                <w:sz w:val="18"/>
                <w:szCs w:val="18"/>
                <w:vertAlign w:val="superscript"/>
              </w:rPr>
              <w:t>(1)</w:t>
            </w:r>
          </w:p>
          <w:p>
            <w:pPr>
              <w:pStyle w:val="TableStyle"/>
              <w:jc w:val="center"/>
              <w:rPr/>
            </w:pPr>
            <w:r>
              <w:rPr>
                <w:rFonts w:cs="Times New Roman" w:ascii="Times New Roman" w:hAnsi="Times New Roman"/>
                <w:sz w:val="18"/>
                <w:szCs w:val="18"/>
              </w:rPr>
              <w:t>166 m / 500 m</w:t>
            </w:r>
            <w:r>
              <w:rPr>
                <w:rFonts w:cs="Times New Roman" w:ascii="Times New Roman" w:hAnsi="Times New Roman"/>
                <w:sz w:val="18"/>
                <w:szCs w:val="18"/>
                <w:vertAlign w:val="superscript"/>
              </w:rPr>
              <w:t>(1)</w:t>
            </w:r>
          </w:p>
          <w:p>
            <w:pPr>
              <w:pStyle w:val="TAC"/>
              <w:rPr>
                <w:rFonts w:ascii="Times New Roman" w:hAnsi="Times New Roman" w:cs="Times New Roman"/>
                <w:szCs w:val="18"/>
                <w:lang w:val="en-GB"/>
              </w:rPr>
            </w:pPr>
            <w:r>
              <w:rPr>
                <w:rFonts w:cs="Times New Roman" w:ascii="Times New Roman" w:hAnsi="Times New Roman"/>
                <w:szCs w:val="18"/>
                <w:lang w:val="en-GB"/>
              </w:rPr>
              <w:t>100 m / 300 m</w:t>
            </w:r>
            <w:r>
              <w:rPr>
                <w:rFonts w:cs="Times New Roman" w:ascii="Times New Roman" w:hAnsi="Times New Roman"/>
                <w:szCs w:val="18"/>
                <w:vertAlign w:val="superscript"/>
                <w:lang w:val="en-GB"/>
              </w:rPr>
              <w:t>(1)</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Bandwidth</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4.4 MHz</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11.6 MHz</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Guard band</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0.2 MHz</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0.2 MHz</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 channels excluding guard band</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21</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57</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 TRX</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4</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6</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BCCH frequency re-use</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4/12</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4/12</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TCH frequency re-use</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1/1</w:t>
            </w:r>
          </w:p>
          <w:p>
            <w:pPr>
              <w:pStyle w:val="TAL"/>
              <w:jc w:val="center"/>
              <w:rPr>
                <w:rFonts w:ascii="Times New Roman" w:hAnsi="Times New Roman" w:cs="Times New Roman"/>
                <w:lang w:val="en-GB"/>
              </w:rPr>
            </w:pPr>
            <w:r>
              <w:rPr>
                <w:rFonts w:cs="Times New Roman" w:ascii="Times New Roman" w:hAnsi="Times New Roman"/>
                <w:lang w:val="en-GB"/>
              </w:rPr>
              <w:t>1/3</w:t>
            </w:r>
            <w:r>
              <w:rPr>
                <w:rFonts w:cs="Times New Roman" w:ascii="Times New Roman" w:hAnsi="Times New Roman"/>
                <w:vertAlign w:val="superscript"/>
                <w:lang w:val="en-GB"/>
              </w:rPr>
              <w:t>1</w:t>
            </w:r>
          </w:p>
        </w:tc>
        <w:tc>
          <w:tcPr>
            <w:tcW w:w="3285" w:type="dxa"/>
            <w:tcBorders>
              <w:top w:val="single" w:sz="4" w:space="0" w:color="000000"/>
              <w:left w:val="single" w:sz="4" w:space="0" w:color="000000"/>
              <w:bottom w:val="single" w:sz="4" w:space="0" w:color="000000"/>
              <w:right w:val="single" w:sz="4" w:space="0" w:color="000000"/>
            </w:tcBorders>
          </w:tcPr>
          <w:p>
            <w:pPr>
              <w:pStyle w:val="TableStyle"/>
              <w:jc w:val="center"/>
              <w:rPr>
                <w:rFonts w:ascii="Times New Roman" w:hAnsi="Times New Roman" w:cs="Times New Roman"/>
                <w:sz w:val="18"/>
                <w:szCs w:val="18"/>
              </w:rPr>
            </w:pPr>
            <w:r>
              <w:rPr>
                <w:rFonts w:cs="Times New Roman" w:ascii="Times New Roman" w:hAnsi="Times New Roman"/>
                <w:sz w:val="18"/>
                <w:szCs w:val="18"/>
              </w:rPr>
              <w:t>3/9</w:t>
            </w:r>
          </w:p>
          <w:p>
            <w:pPr>
              <w:pStyle w:val="TAC"/>
              <w:rPr>
                <w:rFonts w:ascii="Times New Roman" w:hAnsi="Times New Roman" w:cs="Times New Roman"/>
                <w:sz w:val="18"/>
                <w:szCs w:val="18"/>
                <w:lang w:val="en-GB"/>
              </w:rPr>
            </w:pPr>
            <w:r>
              <w:rPr>
                <w:rFonts w:cs="Times New Roman" w:ascii="Times New Roman" w:hAnsi="Times New Roman"/>
                <w:sz w:val="18"/>
                <w:szCs w:val="18"/>
                <w:lang w:val="en-GB"/>
              </w:rPr>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Frequency Hopping</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Synthesized</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Baseband</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Length of MA (# FH frequencies)</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9</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5</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Fast fading type</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TU</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TU</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BCCH or TCH under interest</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Both</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Both</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MS speed</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50 km/h</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50 km/h</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MS noise figure</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6 dB</w:t>
            </w:r>
            <w:r>
              <w:rPr>
                <w:rFonts w:cs="Times New Roman" w:ascii="Times New Roman" w:hAnsi="Times New Roman"/>
                <w:vertAlign w:val="superscript"/>
                <w:lang w:val="en-GB"/>
              </w:rPr>
              <w:t>(1)</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6 dB</w:t>
            </w:r>
            <w:r>
              <w:rPr>
                <w:rFonts w:cs="Times New Roman" w:ascii="Times New Roman" w:hAnsi="Times New Roman"/>
                <w:szCs w:val="18"/>
                <w:vertAlign w:val="superscript"/>
                <w:lang w:val="en-GB"/>
              </w:rPr>
              <w:t>(1)</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BTS noise figure</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4 dB</w:t>
            </w:r>
            <w:r>
              <w:rPr>
                <w:rFonts w:cs="Times New Roman" w:ascii="Times New Roman" w:hAnsi="Times New Roman"/>
                <w:vertAlign w:val="superscript"/>
                <w:lang w:val="en-GB"/>
              </w:rPr>
              <w:t>(1)</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4 dB</w:t>
            </w:r>
            <w:r>
              <w:rPr>
                <w:rFonts w:cs="Times New Roman" w:ascii="Times New Roman" w:hAnsi="Times New Roman"/>
                <w:szCs w:val="18"/>
                <w:vertAlign w:val="superscript"/>
                <w:lang w:val="en-GB"/>
              </w:rPr>
              <w:t>(1)</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lang w:val="en-GB"/>
              </w:rPr>
              <w:t>MS output power</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33 dBm</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33 dBm</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BS output power</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43 dBm</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43 dBm</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Power control</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On/Off</w:t>
            </w:r>
            <w:r>
              <w:rPr>
                <w:rFonts w:cs="Times New Roman" w:ascii="Times New Roman" w:hAnsi="Times New Roman"/>
                <w:vertAlign w:val="superscript"/>
                <w:lang w:val="en-GB"/>
              </w:rPr>
              <w:t>(1)</w:t>
            </w:r>
          </w:p>
        </w:tc>
        <w:tc>
          <w:tcPr>
            <w:tcW w:w="328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szCs w:val="18"/>
                <w:lang w:val="en-GB"/>
              </w:rPr>
            </w:pPr>
            <w:r>
              <w:rPr>
                <w:rFonts w:cs="Times New Roman" w:ascii="Times New Roman" w:hAnsi="Times New Roman"/>
                <w:szCs w:val="18"/>
                <w:lang w:val="en-GB"/>
              </w:rPr>
              <w:t>On/Off</w:t>
            </w:r>
            <w:r>
              <w:rPr>
                <w:rFonts w:cs="Times New Roman" w:ascii="Times New Roman" w:hAnsi="Times New Roman"/>
                <w:szCs w:val="18"/>
                <w:vertAlign w:val="superscript"/>
                <w:lang w:val="en-GB"/>
              </w:rPr>
              <w:t>(1)</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lang w:val="en-GB"/>
              </w:rPr>
            </w:pPr>
            <w:r>
              <w:rPr>
                <w:rFonts w:cs="Times New Roman" w:ascii="Times New Roman" w:hAnsi="Times New Roman"/>
                <w:lang w:val="en-GB"/>
              </w:rPr>
              <w:t>Network load</w:t>
            </w:r>
          </w:p>
        </w:tc>
        <w:tc>
          <w:tcPr>
            <w:tcW w:w="3051" w:type="dxa"/>
            <w:tcBorders>
              <w:top w:val="single" w:sz="4" w:space="0" w:color="000000"/>
              <w:left w:val="single" w:sz="4" w:space="0" w:color="000000"/>
              <w:bottom w:val="single" w:sz="4" w:space="0" w:color="000000"/>
              <w:right w:val="single" w:sz="4" w:space="0" w:color="000000"/>
            </w:tcBorders>
          </w:tcPr>
          <w:p>
            <w:pPr>
              <w:pStyle w:val="TAL"/>
              <w:jc w:val="center"/>
              <w:rPr>
                <w:rFonts w:ascii="Times New Roman" w:hAnsi="Times New Roman" w:cs="Times New Roman"/>
                <w:lang w:val="en-GB"/>
              </w:rPr>
            </w:pPr>
            <w:r>
              <w:rPr>
                <w:rFonts w:cs="Times New Roman" w:ascii="Times New Roman" w:hAnsi="Times New Roman"/>
                <w:lang w:val="en-GB"/>
              </w:rPr>
              <w:t>2 % blocking</w:t>
            </w:r>
          </w:p>
          <w:p>
            <w:pPr>
              <w:pStyle w:val="TAL"/>
              <w:jc w:val="center"/>
              <w:rPr>
                <w:rFonts w:ascii="Times New Roman" w:hAnsi="Times New Roman" w:cs="Times New Roman"/>
                <w:lang w:val="en-GB"/>
              </w:rPr>
            </w:pPr>
            <w:r>
              <w:rPr>
                <w:rFonts w:cs="Times New Roman" w:ascii="Times New Roman" w:hAnsi="Times New Roman"/>
                <w:lang w:val="en-GB"/>
              </w:rPr>
              <w:t>50 % of the load at 2% blocking</w:t>
            </w:r>
            <w:r>
              <w:rPr>
                <w:rFonts w:cs="Times New Roman" w:ascii="Times New Roman" w:hAnsi="Times New Roman"/>
                <w:vertAlign w:val="superscript"/>
                <w:lang w:val="en-GB"/>
              </w:rPr>
              <w:t>(1)</w:t>
            </w:r>
          </w:p>
        </w:tc>
        <w:tc>
          <w:tcPr>
            <w:tcW w:w="3285" w:type="dxa"/>
            <w:tcBorders>
              <w:top w:val="single" w:sz="4" w:space="0" w:color="000000"/>
              <w:left w:val="single" w:sz="4" w:space="0" w:color="000000"/>
              <w:bottom w:val="single" w:sz="4" w:space="0" w:color="000000"/>
              <w:right w:val="single" w:sz="4" w:space="0" w:color="000000"/>
            </w:tcBorders>
          </w:tcPr>
          <w:p>
            <w:pPr>
              <w:pStyle w:val="TableStyle"/>
              <w:jc w:val="center"/>
              <w:rPr>
                <w:rFonts w:ascii="Times New Roman" w:hAnsi="Times New Roman" w:cs="Times New Roman"/>
                <w:sz w:val="18"/>
                <w:szCs w:val="18"/>
              </w:rPr>
            </w:pPr>
            <w:r>
              <w:rPr>
                <w:rFonts w:cs="Times New Roman" w:ascii="Times New Roman" w:hAnsi="Times New Roman"/>
                <w:sz w:val="18"/>
                <w:szCs w:val="18"/>
              </w:rPr>
              <w:t>2 % blocking</w:t>
            </w:r>
          </w:p>
          <w:p>
            <w:pPr>
              <w:pStyle w:val="TAC"/>
              <w:rPr>
                <w:rFonts w:ascii="Times New Roman" w:hAnsi="Times New Roman" w:cs="Times New Roman"/>
                <w:szCs w:val="18"/>
                <w:lang w:val="en-GB"/>
              </w:rPr>
            </w:pPr>
            <w:r>
              <w:rPr>
                <w:rFonts w:cs="Times New Roman" w:ascii="Times New Roman" w:hAnsi="Times New Roman"/>
                <w:szCs w:val="18"/>
                <w:lang w:val="en-GB"/>
              </w:rPr>
              <w:t>50 % of the load at 2% blocking</w:t>
            </w:r>
            <w:r>
              <w:rPr>
                <w:rFonts w:cs="Times New Roman" w:ascii="Times New Roman" w:hAnsi="Times New Roman"/>
                <w:szCs w:val="18"/>
                <w:vertAlign w:val="superscript"/>
                <w:lang w:val="en-GB"/>
              </w:rPr>
              <w:t>(1)</w:t>
            </w:r>
          </w:p>
        </w:tc>
      </w:tr>
      <w:tr>
        <w:trPr/>
        <w:tc>
          <w:tcPr>
            <w:tcW w:w="9621" w:type="dxa"/>
            <w:gridSpan w:val="3"/>
            <w:tcBorders>
              <w:top w:val="single" w:sz="4" w:space="0" w:color="000000"/>
              <w:left w:val="single" w:sz="4" w:space="0" w:color="000000"/>
              <w:bottom w:val="single" w:sz="4" w:space="0" w:color="000000"/>
              <w:right w:val="single" w:sz="4" w:space="0" w:color="000000"/>
            </w:tcBorders>
          </w:tcPr>
          <w:p>
            <w:pPr>
              <w:pStyle w:val="NO"/>
              <w:keepLines/>
              <w:spacing w:before="0" w:after="180"/>
              <w:ind w:left="1135" w:hanging="851"/>
              <w:rPr/>
            </w:pPr>
            <w:r>
              <w:rPr>
                <w:sz w:val="18"/>
                <w:szCs w:val="18"/>
              </w:rPr>
              <w:t>NOTE1: Additional simulations compared to MUROS baseline. Settings are only used if explicitly mentioned.</w:t>
            </w:r>
          </w:p>
        </w:tc>
      </w:tr>
    </w:tbl>
    <w:p>
      <w:pPr>
        <w:pStyle w:val="FP"/>
        <w:rPr/>
      </w:pPr>
      <w:r>
        <w:rPr/>
      </w:r>
    </w:p>
    <w:p>
      <w:pPr>
        <w:pStyle w:val="Normal"/>
        <w:rPr/>
      </w:pPr>
      <w:r>
        <w:rPr/>
        <w:t>The relation between cell radius and ISD is a factor x3, i.e. the ISDs simulated are 1500m (baseline MUROS assumption), 750 m, 500 m and 300 m, since a hexagonal cell structure is used.</w:t>
      </w:r>
    </w:p>
    <w:p>
      <w:pPr>
        <w:pStyle w:val="Normal"/>
        <w:rPr/>
      </w:pPr>
      <w:r>
        <w:rPr/>
        <w:t>Each network simulated is evaluated at 2 % blocking without activation of the VAMOS feature.</w:t>
      </w:r>
    </w:p>
    <w:p>
      <w:pPr>
        <w:pStyle w:val="Normal"/>
        <w:rPr/>
      </w:pPr>
      <w:r>
        <w:rPr/>
        <w:t>Delay statistics are collected separately for UL/DL and separately for CCI (Co Channel Interference) and ACI (Adjacent Channel Interference).</w:t>
      </w:r>
    </w:p>
    <w:p>
      <w:pPr>
        <w:pStyle w:val="Normal"/>
        <w:rPr/>
      </w:pPr>
      <w:r>
        <w:rPr/>
        <w:t>An interfering burst is only logged if the signal level is above the thermal noise level at the receiver reference point.</w:t>
      </w:r>
    </w:p>
    <w:p>
      <w:pPr>
        <w:pStyle w:val="Heading3"/>
        <w:rPr/>
      </w:pPr>
      <w:bookmarkStart w:id="936" w:name="__RefHeading___Toc518036258"/>
      <w:bookmarkStart w:id="937" w:name="_Ref376436722"/>
      <w:bookmarkEnd w:id="936"/>
      <w:r>
        <w:rPr/>
        <w:t>ZE.3.2.2</w:t>
        <w:tab/>
        <w:t>Non-ideal network synchronization</w:t>
      </w:r>
      <w:bookmarkEnd w:id="937"/>
    </w:p>
    <w:p>
      <w:pPr>
        <w:pStyle w:val="Normal"/>
        <w:rPr/>
      </w:pPr>
      <w:r>
        <w:rPr/>
        <w:t xml:space="preserve">Network synchronization in GSM is typically done using either GPS based synchronization or a software based synchronization. </w:t>
      </w:r>
    </w:p>
    <w:p>
      <w:pPr>
        <w:pStyle w:val="Normal"/>
        <w:rPr/>
      </w:pPr>
      <w:r>
        <w:rPr/>
        <w:t>A non-ideal factor of network synchronization has been used as described in Table 3.</w:t>
      </w:r>
    </w:p>
    <w:p>
      <w:pPr>
        <w:pStyle w:val="TH"/>
        <w:rPr/>
      </w:pPr>
      <w:bookmarkStart w:id="938" w:name="_Ref376422254"/>
      <w:r>
        <w:rPr/>
        <w:t>Table</w:t>
      </w:r>
      <w:bookmarkEnd w:id="938"/>
      <w:r>
        <w:rPr/>
        <w:t xml:space="preserve"> 3. VAMOS time offset model.</w:t>
      </w:r>
    </w:p>
    <w:tbl>
      <w:tblPr>
        <w:tblW w:w="3597" w:type="dxa"/>
        <w:jc w:val="center"/>
        <w:tblInd w:w="0" w:type="dxa"/>
        <w:tblLayout w:type="fixed"/>
        <w:tblCellMar>
          <w:top w:w="0" w:type="dxa"/>
          <w:left w:w="108" w:type="dxa"/>
          <w:bottom w:w="0" w:type="dxa"/>
          <w:right w:w="108" w:type="dxa"/>
        </w:tblCellMar>
      </w:tblPr>
      <w:tblGrid>
        <w:gridCol w:w="2061"/>
        <w:gridCol w:w="1536"/>
      </w:tblGrid>
      <w:tr>
        <w:trPr/>
        <w:tc>
          <w:tcPr>
            <w:tcW w:w="2061"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Time offset [symbol]</w:t>
            </w:r>
          </w:p>
        </w:tc>
        <w:tc>
          <w:tcPr>
            <w:tcW w:w="1536"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Probability [%]</w:t>
            </w:r>
          </w:p>
        </w:tc>
      </w:tr>
      <w:tr>
        <w:trPr/>
        <w:tc>
          <w:tcPr>
            <w:tcW w:w="206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15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25%</w:t>
            </w:r>
          </w:p>
        </w:tc>
      </w:tr>
      <w:tr>
        <w:trPr/>
        <w:tc>
          <w:tcPr>
            <w:tcW w:w="206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w:t>
            </w:r>
          </w:p>
        </w:tc>
        <w:tc>
          <w:tcPr>
            <w:tcW w:w="15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50%</w:t>
            </w:r>
          </w:p>
        </w:tc>
      </w:tr>
      <w:tr>
        <w:trPr/>
        <w:tc>
          <w:tcPr>
            <w:tcW w:w="206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w:t>
            </w:r>
          </w:p>
        </w:tc>
        <w:tc>
          <w:tcPr>
            <w:tcW w:w="153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25%</w:t>
            </w:r>
          </w:p>
        </w:tc>
      </w:tr>
    </w:tbl>
    <w:p>
      <w:pPr>
        <w:pStyle w:val="FP"/>
        <w:rPr/>
      </w:pPr>
      <w:r>
        <w:rPr/>
      </w:r>
      <w:bookmarkStart w:id="939" w:name="_Ref376437230"/>
      <w:bookmarkStart w:id="940" w:name="_Ref376437230"/>
    </w:p>
    <w:p>
      <w:pPr>
        <w:pStyle w:val="Heading3"/>
        <w:rPr/>
      </w:pPr>
      <w:bookmarkStart w:id="941" w:name="_Ref376437230"/>
      <w:bookmarkStart w:id="942" w:name="__RefHeading___Toc518036259"/>
      <w:bookmarkEnd w:id="942"/>
      <w:r>
        <w:rPr/>
        <w:t>ZE.3.2.3</w:t>
        <w:tab/>
        <w:t>Collection of results</w:t>
      </w:r>
      <w:bookmarkEnd w:id="941"/>
    </w:p>
    <w:p>
      <w:pPr>
        <w:pStyle w:val="Normal"/>
        <w:rPr/>
      </w:pPr>
      <w:r>
        <w:rPr/>
        <w:t xml:space="preserve">The results are analyzed for each frequency re-use pattern, ISD, use of power control, network load and split between UL/DL. The interference is separated on CCI and ACI, and for each interference type the distribution of the three strongest interferers is collected. </w:t>
      </w:r>
    </w:p>
    <w:p>
      <w:pPr>
        <w:pStyle w:val="Normal"/>
        <w:rPr/>
      </w:pPr>
      <w:r>
        <w:rPr/>
        <w:t>It has been assumed that any variation of parameter not having significant impact on the final distribution will not be separated. For example, if no significant difference is seen between the DL and UL distribution, the same distribution (an average of the UL and DL distribution) is proposed to be used for both UL and DL simulations.</w:t>
      </w:r>
    </w:p>
    <w:p>
      <w:pPr>
        <w:pStyle w:val="Normal"/>
        <w:rPr/>
      </w:pPr>
      <w:r>
        <w:rPr/>
        <w:t>The different scenarios simulated have been weighted based on input from operators. Equal weights have been used except for different frequency re-use patterns where the weighting factors are captured in Table 4.</w:t>
      </w:r>
    </w:p>
    <w:p>
      <w:pPr>
        <w:pStyle w:val="TH"/>
        <w:rPr/>
      </w:pPr>
      <w:r>
        <w:rPr>
          <w:rFonts w:cs="Times New Roman" w:ascii="Times New Roman" w:hAnsi="Times New Roman"/>
        </w:rPr>
        <w:t>Table</w:t>
      </w:r>
      <w:r>
        <w:rPr/>
        <w:t xml:space="preserve"> 4. Weighting factors for different frequency re-use patterns.</w:t>
      </w:r>
    </w:p>
    <w:tbl>
      <w:tblPr>
        <w:tblW w:w="2727" w:type="dxa"/>
        <w:jc w:val="center"/>
        <w:tblInd w:w="0" w:type="dxa"/>
        <w:tblLayout w:type="fixed"/>
        <w:tblCellMar>
          <w:top w:w="0" w:type="dxa"/>
          <w:left w:w="108" w:type="dxa"/>
          <w:bottom w:w="0" w:type="dxa"/>
          <w:right w:w="108" w:type="dxa"/>
        </w:tblCellMar>
      </w:tblPr>
      <w:tblGrid>
        <w:gridCol w:w="1821"/>
        <w:gridCol w:w="906"/>
      </w:tblGrid>
      <w:tr>
        <w:trPr/>
        <w:tc>
          <w:tcPr>
            <w:tcW w:w="1821"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Frequency re-use</w:t>
            </w:r>
          </w:p>
        </w:tc>
        <w:tc>
          <w:tcPr>
            <w:tcW w:w="906"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Weight</w:t>
            </w:r>
          </w:p>
        </w:tc>
      </w:tr>
      <w:tr>
        <w:trPr/>
        <w:tc>
          <w:tcPr>
            <w:tcW w:w="182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1/1</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10 %</w:t>
            </w:r>
          </w:p>
        </w:tc>
      </w:tr>
      <w:tr>
        <w:trPr/>
        <w:tc>
          <w:tcPr>
            <w:tcW w:w="182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1/3</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20 %</w:t>
            </w:r>
          </w:p>
        </w:tc>
      </w:tr>
      <w:tr>
        <w:trPr/>
        <w:tc>
          <w:tcPr>
            <w:tcW w:w="182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3/9</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35 %</w:t>
            </w:r>
          </w:p>
        </w:tc>
      </w:tr>
      <w:tr>
        <w:trPr/>
        <w:tc>
          <w:tcPr>
            <w:tcW w:w="182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4/12</w:t>
            </w:r>
          </w:p>
        </w:tc>
        <w:tc>
          <w:tcPr>
            <w:tcW w:w="90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35 %</w:t>
            </w:r>
          </w:p>
        </w:tc>
      </w:tr>
    </w:tbl>
    <w:p>
      <w:pPr>
        <w:pStyle w:val="FP"/>
        <w:rPr/>
      </w:pPr>
      <w:r>
        <w:rPr/>
      </w:r>
    </w:p>
    <w:p>
      <w:pPr>
        <w:pStyle w:val="Normal"/>
        <w:rPr/>
      </w:pPr>
      <w:r>
        <w:rPr/>
        <w:t>Apart from using a 0.5 symbol delay resolution, the distribution is limited to 0.5 resolution of percentage figures.</w:t>
      </w:r>
    </w:p>
    <w:p>
      <w:pPr>
        <w:pStyle w:val="Heading3"/>
        <w:rPr/>
      </w:pPr>
      <w:bookmarkStart w:id="943" w:name="__RefHeading___Toc518036260"/>
      <w:bookmarkEnd w:id="943"/>
      <w:r>
        <w:rPr/>
        <w:t>ZE.3.2.4</w:t>
        <w:tab/>
        <w:t>Delay distribution</w:t>
      </w:r>
    </w:p>
    <w:p>
      <w:pPr>
        <w:pStyle w:val="Normal"/>
        <w:rPr/>
      </w:pPr>
      <w:r>
        <w:rPr/>
        <w:t>The final distribution for CCI and ACI is shown in Table 5.</w:t>
      </w:r>
    </w:p>
    <w:p>
      <w:pPr>
        <w:pStyle w:val="TH"/>
        <w:rPr/>
      </w:pPr>
      <w:r>
        <w:rPr/>
        <w:t xml:space="preserve">Table 5. Finally proposed probability distribution. </w:t>
      </w:r>
    </w:p>
    <w:tbl>
      <w:tblPr>
        <w:tblW w:w="3222" w:type="dxa"/>
        <w:jc w:val="center"/>
        <w:tblInd w:w="0" w:type="dxa"/>
        <w:tblLayout w:type="fixed"/>
        <w:tblCellMar>
          <w:top w:w="0" w:type="dxa"/>
          <w:left w:w="108" w:type="dxa"/>
          <w:bottom w:w="0" w:type="dxa"/>
          <w:right w:w="108" w:type="dxa"/>
        </w:tblCellMar>
      </w:tblPr>
      <w:tblGrid>
        <w:gridCol w:w="1686"/>
        <w:gridCol w:w="681"/>
        <w:gridCol w:w="855"/>
      </w:tblGrid>
      <w:tr>
        <w:trPr/>
        <w:tc>
          <w:tcPr>
            <w:tcW w:w="1686" w:type="dxa"/>
            <w:vMerge w:val="restart"/>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Delay [symbols]</w:t>
            </w:r>
          </w:p>
        </w:tc>
        <w:tc>
          <w:tcPr>
            <w:tcW w:w="1536" w:type="dxa"/>
            <w:gridSpan w:val="2"/>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Probability [%]</w:t>
            </w:r>
          </w:p>
        </w:tc>
      </w:tr>
      <w:tr>
        <w:trPr/>
        <w:tc>
          <w:tcPr>
            <w:tcW w:w="16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Times New Roman" w:hAnsi="Times New Roman" w:cs="Times New Roman"/>
                <w:lang w:eastAsia="en-US"/>
              </w:rPr>
            </w:pPr>
            <w:r>
              <w:rPr>
                <w:rFonts w:cs="Times New Roman" w:ascii="Times New Roman" w:hAnsi="Times New Roman"/>
                <w:lang w:eastAsia="en-US"/>
              </w:rPr>
            </w:r>
          </w:p>
        </w:tc>
        <w:tc>
          <w:tcPr>
            <w:tcW w:w="681"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CCI</w:t>
            </w:r>
          </w:p>
        </w:tc>
        <w:tc>
          <w:tcPr>
            <w:tcW w:w="855"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rFonts w:cs="Times New Roman" w:ascii="Times New Roman" w:hAnsi="Times New Roman"/>
                <w:lang w:eastAsia="en-US"/>
              </w:rPr>
              <w:t>ACI</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8.0</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8.0</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9.5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0.0</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10.0</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19.5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18.0</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18.5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15.5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16.0</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15.5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12.5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2.0</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6.0</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7.5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3.0</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2.0</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3.5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4.0</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4.5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5.0</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1.0</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5.5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6.0</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0.0</w:t>
            </w:r>
          </w:p>
        </w:tc>
      </w:tr>
      <w:tr>
        <w:trPr/>
        <w:tc>
          <w:tcPr>
            <w:tcW w:w="1686"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6.5</w:t>
            </w:r>
          </w:p>
        </w:tc>
        <w:tc>
          <w:tcPr>
            <w:tcW w:w="68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0.5</w:t>
            </w:r>
          </w:p>
        </w:tc>
        <w:tc>
          <w:tcPr>
            <w:tcW w:w="855"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lang w:val="en-GB"/>
              </w:rPr>
            </w:pPr>
            <w:r>
              <w:rPr>
                <w:rFonts w:cs="Times New Roman" w:ascii="Times New Roman" w:hAnsi="Times New Roman"/>
                <w:lang w:val="en-GB"/>
              </w:rPr>
              <w:t>0.0</w:t>
            </w:r>
          </w:p>
        </w:tc>
      </w:tr>
    </w:tbl>
    <w:p>
      <w:pPr>
        <w:pStyle w:val="FP"/>
        <w:rPr>
          <w:lang w:val="sv-SE"/>
        </w:rPr>
      </w:pPr>
      <w:r>
        <w:rPr>
          <w:lang w:val="sv-SE"/>
        </w:rPr>
      </w:r>
    </w:p>
    <w:p>
      <w:pPr>
        <w:pStyle w:val="Heading1"/>
        <w:ind w:left="1134" w:hanging="1134"/>
        <w:rPr>
          <w:lang w:val="sv-SE"/>
        </w:rPr>
      </w:pPr>
      <w:bookmarkStart w:id="944" w:name="__RefHeading___Toc518036261"/>
      <w:bookmarkEnd w:id="944"/>
      <w:r>
        <w:rPr>
          <w:lang w:val="sv-SE"/>
        </w:rPr>
        <w:t>ZE.4</w:t>
        <w:tab/>
      </w:r>
      <w:r>
        <w:rPr>
          <w:lang w:eastAsia="zh-CN"/>
        </w:rPr>
        <w:t>NewToN – Performance evaluation</w:t>
      </w:r>
    </w:p>
    <w:p>
      <w:pPr>
        <w:pStyle w:val="Normal"/>
        <w:rPr>
          <w:lang w:val="sv-SE"/>
        </w:rPr>
      </w:pPr>
      <w:r>
        <w:rPr>
          <w:lang w:val="sv-SE"/>
        </w:rPr>
        <w:t>3GPP TSG GERAN WG1 #64</w:t>
      </w:r>
    </w:p>
    <w:p>
      <w:pPr>
        <w:pStyle w:val="Normal"/>
        <w:rPr>
          <w:lang w:val="sv-SE"/>
        </w:rPr>
      </w:pPr>
      <w:r>
        <w:rPr>
          <w:lang w:val="sv-SE"/>
        </w:rPr>
        <w:t>GP-140873</w:t>
      </w:r>
    </w:p>
    <w:p>
      <w:pPr>
        <w:pStyle w:val="Normal"/>
        <w:rPr/>
      </w:pPr>
      <w:r>
        <w:rPr>
          <w:lang w:val="en-US"/>
        </w:rPr>
        <w:t>San Francisco, USA, Agenda item 7.1.5.1.2</w:t>
      </w:r>
    </w:p>
    <w:p>
      <w:pPr>
        <w:pStyle w:val="Normal"/>
        <w:rPr/>
      </w:pPr>
      <w:r>
        <w:rPr/>
        <w:t>17 - 21 November 2014</w:t>
      </w:r>
    </w:p>
    <w:p>
      <w:pPr>
        <w:pStyle w:val="Normal"/>
        <w:rPr/>
      </w:pPr>
      <w:r>
        <w:rPr/>
        <w:t>Source: Ericsson</w:t>
      </w:r>
    </w:p>
    <w:p>
      <w:pPr>
        <w:pStyle w:val="Normal"/>
        <w:rPr/>
      </w:pPr>
      <w:r>
        <w:rPr>
          <w:b/>
        </w:rPr>
        <w:t xml:space="preserve">Title: </w:t>
      </w:r>
      <w:r>
        <w:rPr>
          <w:b/>
          <w:color w:val="000000"/>
          <w:lang w:eastAsia="fr-FR"/>
        </w:rPr>
        <w:t>NewToN – Performance evaluation</w:t>
      </w:r>
    </w:p>
    <w:p>
      <w:pPr>
        <w:pStyle w:val="Heading2"/>
        <w:rPr/>
      </w:pPr>
      <w:bookmarkStart w:id="945" w:name="__RefHeading___Toc518036262"/>
      <w:bookmarkEnd w:id="945"/>
      <w:r>
        <w:rPr/>
        <w:t>ZE.4.1</w:t>
        <w:tab/>
        <w:t>Introduction</w:t>
      </w:r>
    </w:p>
    <w:p>
      <w:pPr>
        <w:pStyle w:val="Normal"/>
        <w:rPr/>
      </w:pPr>
      <w:r>
        <w:rPr/>
        <w:t xml:space="preserve">A new work item on </w:t>
      </w:r>
      <w:r>
        <w:rPr>
          <w:b/>
        </w:rPr>
        <w:t>New</w:t>
      </w:r>
      <w:r>
        <w:rPr/>
        <w:t xml:space="preserve"> </w:t>
      </w:r>
      <w:r>
        <w:rPr>
          <w:b/>
        </w:rPr>
        <w:t>T</w:t>
      </w:r>
      <w:r>
        <w:rPr/>
        <w:t>raining Sequences f</w:t>
      </w:r>
      <w:r>
        <w:rPr>
          <w:b/>
        </w:rPr>
        <w:t>o</w:t>
      </w:r>
      <w:r>
        <w:rPr/>
        <w:t>r GERA</w:t>
      </w:r>
      <w:r>
        <w:rPr>
          <w:b/>
        </w:rPr>
        <w:t>N</w:t>
      </w:r>
      <w:r>
        <w:rPr/>
        <w:t>, acronym NewToN, was approved at GERAN#60.</w:t>
      </w:r>
    </w:p>
    <w:p>
      <w:pPr>
        <w:pStyle w:val="Normal"/>
        <w:rPr/>
      </w:pPr>
      <w:r>
        <w:rPr/>
        <w:t>The work consists of defining new training sequences for both CS and PS services in GERAN with the aim to reduce the cross correlation between TSCs to primarily allow for a more spectral efficient implementation of synchronized GSM networks.</w:t>
      </w:r>
    </w:p>
    <w:p>
      <w:pPr>
        <w:pStyle w:val="Normal"/>
        <w:rPr/>
      </w:pPr>
      <w:r>
        <w:rPr/>
        <w:t>The new TSC sets are referred to as Set 3 and Set 4 for GMSK modulation (two sets introduced double the TSC sets in the CS domain), while for other modulations referred to as Set 2.</w:t>
      </w:r>
    </w:p>
    <w:p>
      <w:pPr>
        <w:pStyle w:val="Normal"/>
        <w:rPr/>
      </w:pPr>
      <w:r>
        <w:rPr/>
        <w:t>A performance evaluation framework has been agreed to be able to select among different TSC proposals. Currently, there is only one TSC proposal available, but the framework can also be used to compare a TSC proposal to the legacy TSC sets. In Annex A, a relative performance comparison according to the framework is shown. The final metric (basically a weighted average of the performance with all possible combinations of TSCs for carrier and interferer in various scenarios) for the new TSC set is found to be 0.7 dB better than legacy when including TSC set 2 for GMSK, and 1.5 dB if only TSC set 1 from all modulations are considered.</w:t>
      </w:r>
    </w:p>
    <w:p>
      <w:pPr>
        <w:pStyle w:val="Normal"/>
        <w:rPr/>
      </w:pPr>
      <w:r>
        <w:rPr/>
        <w:t>Whereas this is an attractive improvement, it may not fully reflect the expected gains of NewToN. One important aspect of extending the set of training sequences is that it increases the possibilities of TSC planning so that under-performing TSC combinations can more easily be avoided.</w:t>
      </w:r>
    </w:p>
    <w:p>
      <w:pPr>
        <w:pStyle w:val="Normal"/>
        <w:rPr/>
      </w:pPr>
      <w:r>
        <w:rPr/>
        <w:t>In this contribution, the following aspects of using an extended TSC set are investigated:</w:t>
      </w:r>
    </w:p>
    <w:p>
      <w:pPr>
        <w:pStyle w:val="B1"/>
        <w:rPr/>
      </w:pPr>
      <w:r>
        <w:rPr/>
        <w:t>-</w:t>
        <w:tab/>
        <w:t>The benefits of extended TSC sets for TSC planning are investigated:</w:t>
      </w:r>
    </w:p>
    <w:p>
      <w:pPr>
        <w:pStyle w:val="B1"/>
        <w:rPr/>
      </w:pPr>
      <w:r>
        <w:rPr/>
        <w:t>-</w:t>
        <w:tab/>
        <w:t>In Section ZE.4.2, the impact of co-TSC interference – interference from an interferer with the same TSC as the wanted signal – is studied on link level based on system level statistics.</w:t>
      </w:r>
    </w:p>
    <w:p>
      <w:pPr>
        <w:pStyle w:val="B1"/>
        <w:rPr/>
      </w:pPr>
      <w:r>
        <w:rPr/>
        <w:t>-</w:t>
        <w:tab/>
        <w:t>In Section ZE.4.3 system level simulations using TSC planning with current and existing TSC sets are evaluated both in a non-VAMOS and VAMOS network scenario.</w:t>
      </w:r>
    </w:p>
    <w:p>
      <w:pPr>
        <w:pStyle w:val="B1"/>
        <w:rPr/>
      </w:pPr>
      <w:r>
        <w:rPr/>
        <w:t>-</w:t>
        <w:tab/>
        <w:t>The benefit of extended TSCs sets according to the agreed performance framework is presented in Section ZE.4.4.</w:t>
      </w:r>
    </w:p>
    <w:p>
      <w:pPr>
        <w:pStyle w:val="Heading2"/>
        <w:rPr/>
      </w:pPr>
      <w:bookmarkStart w:id="946" w:name="__RefHeading___Toc518036263"/>
      <w:bookmarkStart w:id="947" w:name="_Ref396765482"/>
      <w:bookmarkEnd w:id="946"/>
      <w:r>
        <w:rPr/>
        <w:t>ZE.4.2</w:t>
        <w:tab/>
        <w:t>Impact of co-TSC interference</w:t>
      </w:r>
      <w:bookmarkEnd w:id="947"/>
    </w:p>
    <w:p>
      <w:pPr>
        <w:pStyle w:val="Heading3"/>
        <w:rPr/>
      </w:pPr>
      <w:bookmarkStart w:id="948" w:name="__RefHeading___Toc518036264"/>
      <w:bookmarkEnd w:id="948"/>
      <w:r>
        <w:rPr/>
        <w:t>ZE.4.2.1</w:t>
        <w:tab/>
        <w:t>Introduction</w:t>
      </w:r>
    </w:p>
    <w:p>
      <w:pPr>
        <w:pStyle w:val="Normal"/>
        <w:rPr/>
      </w:pPr>
      <w:r>
        <w:rPr/>
        <w:t>Figure 1 illustrates an extreme example of the impact of co-TSC interference. An IRC receiver interfered by a single co-channel interferer has been simulated. The interferer is synchronized to the carrier but has a propagation delay according to the agreed propagation delay model for NewToN.</w:t>
      </w:r>
    </w:p>
    <w:p>
      <w:pPr>
        <w:pStyle w:val="Normal"/>
        <w:rPr/>
      </w:pPr>
      <w:r>
        <w:rPr/>
        <w:t>In the "Co-TSC" case, the interferer always has the same TSC as the carrier, whereas in the "Other TSC" case, the interferer TSC is randomly chosen from the other seven TSCs in GMSK set 1.</w:t>
      </w:r>
    </w:p>
    <w:p>
      <w:pPr>
        <w:pStyle w:val="Normal"/>
        <w:rPr/>
      </w:pPr>
      <w:r>
        <w:rPr/>
        <w:t>At 1% FER, the difference between the two curves is about 18 dB. Even though this is in an extreme scenario, it is obvious that co-TSC interference is very detrimental to IRC. Similar results (not shown here) have been noticed for a SAIC receiver.</w:t>
      </w:r>
    </w:p>
    <w:p>
      <w:pPr>
        <w:pStyle w:val="TH"/>
        <w:rPr>
          <w:lang w:val="en-US" w:eastAsia="en-US"/>
        </w:rPr>
      </w:pPr>
      <w:r>
        <w:rPr>
          <w:lang w:val="en-US" w:eastAsia="en-US"/>
        </w:rPr>
        <w:drawing>
          <wp:inline distT="0" distB="0" distL="0" distR="0">
            <wp:extent cx="4088130" cy="3073400"/>
            <wp:effectExtent l="0" t="0" r="0" b="0"/>
            <wp:docPr id="28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2" descr=""/>
                    <pic:cNvPicPr>
                      <a:picLocks noChangeAspect="1" noChangeArrowheads="1"/>
                    </pic:cNvPicPr>
                  </pic:nvPicPr>
                  <pic:blipFill>
                    <a:blip r:embed="rId296"/>
                    <a:srcRect l="-5" t="-7" r="-5" b="-7"/>
                    <a:stretch>
                      <a:fillRect/>
                    </a:stretch>
                  </pic:blipFill>
                  <pic:spPr bwMode="auto">
                    <a:xfrm>
                      <a:off x="0" y="0"/>
                      <a:ext cx="4088130" cy="3073400"/>
                    </a:xfrm>
                    <a:prstGeom prst="rect">
                      <a:avLst/>
                    </a:prstGeom>
                  </pic:spPr>
                </pic:pic>
              </a:graphicData>
            </a:graphic>
          </wp:inline>
        </w:drawing>
      </w:r>
    </w:p>
    <w:p>
      <w:pPr>
        <w:pStyle w:val="TF"/>
        <w:rPr/>
      </w:pPr>
      <w:bookmarkStart w:id="949" w:name="_Ref396319352"/>
      <w:r>
        <w:rPr/>
        <w:t>Figure</w:t>
      </w:r>
      <w:bookmarkEnd w:id="949"/>
      <w:r>
        <w:rPr/>
        <w:t xml:space="preserve"> 1: FER vs C/I with single CCI.</w:t>
      </w:r>
    </w:p>
    <w:p>
      <w:pPr>
        <w:pStyle w:val="FP"/>
        <w:rPr/>
      </w:pPr>
      <w:r>
        <w:rPr/>
      </w:r>
    </w:p>
    <w:p>
      <w:pPr>
        <w:pStyle w:val="Heading3"/>
        <w:rPr/>
      </w:pPr>
      <w:bookmarkStart w:id="950" w:name="__RefHeading___Toc518036265"/>
      <w:bookmarkStart w:id="951" w:name="_Ref396332541"/>
      <w:bookmarkEnd w:id="950"/>
      <w:r>
        <w:rPr/>
        <w:t>ZE.4.2.2</w:t>
        <w:tab/>
        <w:t>System model of co-TSC interference</w:t>
      </w:r>
      <w:bookmarkEnd w:id="951"/>
    </w:p>
    <w:p>
      <w:pPr>
        <w:pStyle w:val="Normal"/>
        <w:rPr/>
      </w:pPr>
      <w:r>
        <w:rPr/>
        <w:t>To assess the impact of TSC planning to reduce co-TSC interference in real networks, the following approach has been taken:</w:t>
      </w:r>
    </w:p>
    <w:p>
      <w:pPr>
        <w:pStyle w:val="B1"/>
        <w:rPr/>
      </w:pPr>
      <w:r>
        <w:rPr/>
        <w:t>1)</w:t>
        <w:tab/>
        <w:t>For a given network, TSC planning is performed seeking to avoid strong co-TSC interference. Two different TSC plans were derived using eight TSCs (corresponding to the legacy case without VAMOS) and 16 TSCs (corresponding e.g. to the case of extended TSC sets), respectively. The TSC planning algorithm is proprietary but should be seen to reflect a realistic TSC planning in the field.</w:t>
      </w:r>
    </w:p>
    <w:p>
      <w:pPr>
        <w:pStyle w:val="B1"/>
        <w:rPr/>
      </w:pPr>
      <w:r>
        <w:rPr/>
        <w:t>2)</w:t>
        <w:tab/>
        <w:t>System simulations are run using the derived TSC plans to get statistics of interference levels and co-TSC probabilities.</w:t>
      </w:r>
    </w:p>
    <w:p>
      <w:pPr>
        <w:pStyle w:val="B1"/>
        <w:rPr/>
      </w:pPr>
      <w:r>
        <w:rPr/>
        <w:t>3)</w:t>
        <w:tab/>
        <w:t>The statistics are used to build an interference model that is used in a link simulator to derive link performance impacts.</w:t>
      </w:r>
    </w:p>
    <w:p>
      <w:pPr>
        <w:pStyle w:val="FP"/>
        <w:rPr/>
      </w:pPr>
      <w:r>
        <w:rPr/>
      </w:r>
    </w:p>
    <w:p>
      <w:pPr>
        <w:pStyle w:val="Heading4"/>
        <w:ind w:left="1418" w:hanging="1418"/>
        <w:rPr/>
      </w:pPr>
      <w:bookmarkStart w:id="952" w:name="__RefHeading___Toc518036266"/>
      <w:bookmarkEnd w:id="952"/>
      <w:r>
        <w:rPr/>
        <w:t>ZE.4.2.2.1 Network configuration</w:t>
      </w:r>
    </w:p>
    <w:p>
      <w:pPr>
        <w:pStyle w:val="Normal"/>
        <w:rPr/>
      </w:pPr>
      <w:r>
        <w:rPr/>
        <w:t xml:space="preserve">The considered network is a tight reuse network with 100% speech users and with the network load placed at around 2% hard blocking. The configuration is summarized in Table </w:t>
      </w:r>
      <w:r>
        <w:rPr>
          <w:lang w:val="en-US" w:eastAsia="en-US"/>
        </w:rPr>
        <w:t>1</w:t>
      </w:r>
      <w:r>
        <w:rPr/>
        <w:t>.</w:t>
      </w:r>
    </w:p>
    <w:p>
      <w:pPr>
        <w:pStyle w:val="TH"/>
        <w:rPr/>
      </w:pPr>
      <w:bookmarkStart w:id="953" w:name="_Ref396323603"/>
      <w:r>
        <w:rPr/>
        <w:t xml:space="preserve">Table </w:t>
      </w:r>
      <w:r>
        <w:rPr>
          <w:lang w:val="en-US" w:eastAsia="en-US"/>
        </w:rPr>
        <w:t>1</w:t>
      </w:r>
      <w:bookmarkEnd w:id="953"/>
      <w:r>
        <w:rPr/>
        <w:t>: Parameters for the system simulations.</w:t>
      </w:r>
    </w:p>
    <w:tbl>
      <w:tblPr>
        <w:tblW w:w="4528" w:type="dxa"/>
        <w:jc w:val="center"/>
        <w:tblInd w:w="0" w:type="dxa"/>
        <w:tblLayout w:type="fixed"/>
        <w:tblCellMar>
          <w:top w:w="0" w:type="dxa"/>
          <w:left w:w="108" w:type="dxa"/>
          <w:bottom w:w="0" w:type="dxa"/>
          <w:right w:w="108" w:type="dxa"/>
        </w:tblCellMar>
      </w:tblPr>
      <w:tblGrid>
        <w:gridCol w:w="2260"/>
        <w:gridCol w:w="2268"/>
      </w:tblGrid>
      <w:tr>
        <w:trPr/>
        <w:tc>
          <w:tcPr>
            <w:tcW w:w="2260" w:type="dxa"/>
            <w:tcBorders>
              <w:top w:val="single" w:sz="8" w:space="0" w:color="000000"/>
              <w:left w:val="single" w:sz="8" w:space="0" w:color="000000"/>
              <w:bottom w:val="single" w:sz="8" w:space="0" w:color="000000"/>
              <w:right w:val="single" w:sz="8" w:space="0" w:color="000000"/>
            </w:tcBorders>
            <w:vAlign w:val="center"/>
          </w:tcPr>
          <w:p>
            <w:pPr>
              <w:pStyle w:val="TAH"/>
              <w:rPr>
                <w:rFonts w:ascii="Times New Roman" w:hAnsi="Times New Roman" w:cs="Times New Roman"/>
                <w:lang w:eastAsia="en-US"/>
              </w:rPr>
            </w:pPr>
            <w:r>
              <w:rPr>
                <w:lang w:eastAsia="en-US"/>
              </w:rPr>
              <w:t>Parameter</w:t>
            </w:r>
          </w:p>
        </w:tc>
        <w:tc>
          <w:tcPr>
            <w:tcW w:w="2268" w:type="dxa"/>
            <w:tcBorders>
              <w:top w:val="single" w:sz="8" w:space="0" w:color="000000"/>
              <w:bottom w:val="single" w:sz="8" w:space="0" w:color="000000"/>
              <w:right w:val="single" w:sz="8" w:space="0" w:color="000000"/>
            </w:tcBorders>
            <w:vAlign w:val="center"/>
          </w:tcPr>
          <w:p>
            <w:pPr>
              <w:pStyle w:val="TAH"/>
              <w:rPr>
                <w:rFonts w:ascii="Times New Roman" w:hAnsi="Times New Roman" w:cs="Times New Roman"/>
                <w:lang w:eastAsia="en-US"/>
              </w:rPr>
            </w:pPr>
            <w:r>
              <w:rPr>
                <w:lang w:eastAsia="en-US"/>
              </w:rPr>
              <w:t>Value</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Cell radius</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300m</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Frequency re-use</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1/1</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#TRX</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3</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#Frequencies</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rFonts w:cs="Times New Roman" w:ascii="Times New Roman" w:hAnsi="Times New Roman"/>
                <w:lang w:val="en-GB"/>
              </w:rPr>
              <w:t>9</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Erlang per cell</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14.3</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Power control</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ON</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Speech codec</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AFS5.90</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DTX</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ON</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Speech activity factor</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0.6</w:t>
            </w:r>
          </w:p>
        </w:tc>
      </w:tr>
      <w:tr>
        <w:trPr/>
        <w:tc>
          <w:tcPr>
            <w:tcW w:w="2260" w:type="dxa"/>
            <w:tcBorders>
              <w:left w:val="single" w:sz="8" w:space="0" w:color="000000"/>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#cells in system</w:t>
            </w:r>
          </w:p>
        </w:tc>
        <w:tc>
          <w:tcPr>
            <w:tcW w:w="2268" w:type="dxa"/>
            <w:tcBorders>
              <w:bottom w:val="single" w:sz="8" w:space="0" w:color="000000"/>
              <w:right w:val="single" w:sz="8" w:space="0" w:color="000000"/>
            </w:tcBorders>
            <w:vAlign w:val="center"/>
          </w:tcPr>
          <w:p>
            <w:pPr>
              <w:pStyle w:val="TAL"/>
              <w:rPr>
                <w:rFonts w:ascii="Times New Roman" w:hAnsi="Times New Roman" w:cs="Times New Roman"/>
                <w:lang w:val="en-GB"/>
              </w:rPr>
            </w:pPr>
            <w:r>
              <w:rPr>
                <w:lang w:val="en-GB"/>
              </w:rPr>
              <w:t>147</w:t>
            </w:r>
          </w:p>
        </w:tc>
      </w:tr>
      <w:tr>
        <w:trPr/>
        <w:tc>
          <w:tcPr>
            <w:tcW w:w="2260" w:type="dxa"/>
            <w:tcBorders>
              <w:top w:val="single" w:sz="8" w:space="0" w:color="000000"/>
              <w:left w:val="single" w:sz="8" w:space="0" w:color="000000"/>
              <w:bottom w:val="single" w:sz="8" w:space="0" w:color="000000"/>
              <w:right w:val="single" w:sz="8" w:space="0" w:color="000000"/>
            </w:tcBorders>
            <w:vAlign w:val="center"/>
          </w:tcPr>
          <w:p>
            <w:pPr>
              <w:pStyle w:val="TAL"/>
              <w:rPr>
                <w:lang w:val="en-GB"/>
              </w:rPr>
            </w:pPr>
            <w:r>
              <w:rPr>
                <w:lang w:val="en-GB"/>
              </w:rPr>
              <w:t>Pathloss model</w:t>
            </w:r>
          </w:p>
        </w:tc>
        <w:tc>
          <w:tcPr>
            <w:tcW w:w="2268" w:type="dxa"/>
            <w:tcBorders>
              <w:top w:val="single" w:sz="8" w:space="0" w:color="000000"/>
              <w:bottom w:val="single" w:sz="8" w:space="0" w:color="000000"/>
              <w:right w:val="single" w:sz="8" w:space="0" w:color="000000"/>
            </w:tcBorders>
            <w:vAlign w:val="center"/>
          </w:tcPr>
          <w:p>
            <w:pPr>
              <w:pStyle w:val="TAL"/>
              <w:rPr>
                <w:lang w:val="en-GB"/>
              </w:rPr>
            </w:pPr>
            <w:r>
              <w:rPr>
                <w:lang w:val="en-GB"/>
              </w:rPr>
              <w:t>Okumura-Hata</w:t>
            </w:r>
          </w:p>
        </w:tc>
      </w:tr>
      <w:tr>
        <w:trPr/>
        <w:tc>
          <w:tcPr>
            <w:tcW w:w="2260" w:type="dxa"/>
            <w:tcBorders>
              <w:top w:val="single" w:sz="8" w:space="0" w:color="000000"/>
              <w:left w:val="single" w:sz="8" w:space="0" w:color="000000"/>
              <w:bottom w:val="single" w:sz="8" w:space="0" w:color="000000"/>
              <w:right w:val="single" w:sz="8" w:space="0" w:color="000000"/>
            </w:tcBorders>
            <w:vAlign w:val="center"/>
          </w:tcPr>
          <w:p>
            <w:pPr>
              <w:pStyle w:val="TAL"/>
              <w:rPr>
                <w:lang w:val="en-GB"/>
              </w:rPr>
            </w:pPr>
            <w:r>
              <w:rPr>
                <w:lang w:val="en-GB"/>
              </w:rPr>
              <w:t>Shadow fading</w:t>
            </w:r>
          </w:p>
        </w:tc>
        <w:tc>
          <w:tcPr>
            <w:tcW w:w="2268" w:type="dxa"/>
            <w:tcBorders>
              <w:top w:val="single" w:sz="8" w:space="0" w:color="000000"/>
              <w:bottom w:val="single" w:sz="8" w:space="0" w:color="000000"/>
              <w:right w:val="single" w:sz="8" w:space="0" w:color="000000"/>
            </w:tcBorders>
            <w:vAlign w:val="center"/>
          </w:tcPr>
          <w:p>
            <w:pPr>
              <w:pStyle w:val="TAL"/>
              <w:rPr/>
            </w:pPr>
            <w:r>
              <w:rPr>
                <w:lang w:val="sv-SE"/>
              </w:rPr>
              <w:t>Log-normal, standard deviation = 8 dB</w:t>
            </w:r>
          </w:p>
        </w:tc>
      </w:tr>
    </w:tbl>
    <w:p>
      <w:pPr>
        <w:pStyle w:val="FP"/>
        <w:rPr/>
      </w:pPr>
      <w:r>
        <w:rPr/>
      </w:r>
    </w:p>
    <w:p>
      <w:pPr>
        <w:pStyle w:val="Heading4"/>
        <w:ind w:left="1418" w:hanging="1418"/>
        <w:rPr/>
      </w:pPr>
      <w:bookmarkStart w:id="954" w:name="__RefHeading___Toc518036267"/>
      <w:bookmarkEnd w:id="954"/>
      <w:r>
        <w:rPr/>
        <w:t>ZE.4.2.2.2 Interferer strength</w:t>
      </w:r>
    </w:p>
    <w:p>
      <w:pPr>
        <w:pStyle w:val="Normal"/>
        <w:rPr/>
      </w:pPr>
      <w:r>
        <w:rPr/>
        <w:t>The strength of the carrier and the two strongest CCI interferers, the two strongest ACI+ interferers and the two strongest ACI- interferers are logged for each transmitted burst in the system. The statistics are binned based on the C/I</w:t>
      </w:r>
      <w:r>
        <w:rPr>
          <w:vertAlign w:val="subscript"/>
        </w:rPr>
        <w:t xml:space="preserve">tot  </w:t>
      </w:r>
      <w:r>
        <w:rPr/>
        <w:t>(where I</w:t>
      </w:r>
      <w:r>
        <w:rPr>
          <w:vertAlign w:val="subscript"/>
        </w:rPr>
        <w:t>tot</w:t>
      </w:r>
      <w:r>
        <w:rPr/>
        <w:t xml:space="preserve"> is the total interferer energy) before fast fading. For a given C/I</w:t>
      </w:r>
      <w:r>
        <w:rPr>
          <w:vertAlign w:val="subscript"/>
        </w:rPr>
        <w:t>tot</w:t>
      </w:r>
      <w:r>
        <w:rPr/>
        <w:t>, the median strength of each of the interferers is stored. This way, a C/I-dependent interferer strength profile is derived.</w:t>
      </w:r>
    </w:p>
    <w:p>
      <w:pPr>
        <w:pStyle w:val="Normal"/>
        <w:rPr/>
      </w:pPr>
      <w:r>
        <w:rPr/>
        <w:t>The results are shown in Figure 2 and Figure 3 for the uplink and for the downlink, respectively. The individual interferer strengths as well as I</w:t>
      </w:r>
      <w:r>
        <w:rPr>
          <w:vertAlign w:val="subscript"/>
        </w:rPr>
        <w:t>tot</w:t>
      </w:r>
      <w:r>
        <w:rPr/>
        <w:t xml:space="preserve"> are defined after the RX filter assuming and an ACP of 18 dB.</w:t>
      </w:r>
    </w:p>
    <w:p>
      <w:pPr>
        <w:pStyle w:val="Normal"/>
        <w:rPr/>
      </w:pPr>
      <w:r>
        <w:rPr/>
        <w:t>An interesting observation is that at low C/I levels, the interference is dominated by the strongest CCI (especially for downlink), whereas at higher C/I, the second strongest CCI and the ACIs become increasingly prominent (i.e., closer in strength to the strongest CCI).</w:t>
      </w:r>
    </w:p>
    <w:p>
      <w:pPr>
        <w:pStyle w:val="TH"/>
        <w:rPr>
          <w:lang w:eastAsia="ko-KR"/>
        </w:rPr>
      </w:pPr>
      <w:r>
        <w:rPr>
          <w:lang w:val="en-US" w:eastAsia="en-US"/>
        </w:rPr>
        <w:drawing>
          <wp:inline distT="0" distB="0" distL="0" distR="0">
            <wp:extent cx="4257040" cy="3093085"/>
            <wp:effectExtent l="0" t="0" r="0" b="0"/>
            <wp:docPr id="28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7" descr=""/>
                    <pic:cNvPicPr>
                      <a:picLocks noChangeAspect="1" noChangeArrowheads="1"/>
                    </pic:cNvPicPr>
                  </pic:nvPicPr>
                  <pic:blipFill>
                    <a:blip r:embed="rId297"/>
                    <a:srcRect l="-5" t="-7" r="-5" b="-7"/>
                    <a:stretch>
                      <a:fillRect/>
                    </a:stretch>
                  </pic:blipFill>
                  <pic:spPr bwMode="auto">
                    <a:xfrm>
                      <a:off x="0" y="0"/>
                      <a:ext cx="4257040" cy="3093085"/>
                    </a:xfrm>
                    <a:prstGeom prst="rect">
                      <a:avLst/>
                    </a:prstGeom>
                  </pic:spPr>
                </pic:pic>
              </a:graphicData>
            </a:graphic>
          </wp:inline>
        </w:drawing>
      </w:r>
    </w:p>
    <w:p>
      <w:pPr>
        <w:pStyle w:val="TF"/>
        <w:rPr/>
      </w:pPr>
      <w:bookmarkStart w:id="955" w:name="_Ref396324807"/>
      <w:r>
        <w:rPr/>
        <w:t>Figure 2</w:t>
      </w:r>
      <w:bookmarkEnd w:id="955"/>
      <w:r>
        <w:rPr/>
        <w:t>: Interferer strengths for uplink scenarios.</w:t>
      </w:r>
    </w:p>
    <w:p>
      <w:pPr>
        <w:pStyle w:val="FP"/>
        <w:rPr>
          <w:lang w:eastAsia="ko-KR"/>
        </w:rPr>
      </w:pPr>
      <w:r>
        <w:rPr>
          <w:lang w:eastAsia="ko-KR"/>
        </w:rPr>
      </w:r>
    </w:p>
    <w:p>
      <w:pPr>
        <w:pStyle w:val="TH"/>
        <w:rPr>
          <w:lang w:eastAsia="ko-KR"/>
        </w:rPr>
      </w:pPr>
      <w:r>
        <w:rPr>
          <w:lang w:val="en-US" w:eastAsia="en-US"/>
        </w:rPr>
        <w:drawing>
          <wp:inline distT="0" distB="0" distL="0" distR="0">
            <wp:extent cx="4257040" cy="3093085"/>
            <wp:effectExtent l="0" t="0" r="0" b="0"/>
            <wp:docPr id="28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8" descr=""/>
                    <pic:cNvPicPr>
                      <a:picLocks noChangeAspect="1" noChangeArrowheads="1"/>
                    </pic:cNvPicPr>
                  </pic:nvPicPr>
                  <pic:blipFill>
                    <a:blip r:embed="rId298"/>
                    <a:srcRect l="-5" t="-7" r="-5" b="-7"/>
                    <a:stretch>
                      <a:fillRect/>
                    </a:stretch>
                  </pic:blipFill>
                  <pic:spPr bwMode="auto">
                    <a:xfrm>
                      <a:off x="0" y="0"/>
                      <a:ext cx="4257040" cy="3093085"/>
                    </a:xfrm>
                    <a:prstGeom prst="rect">
                      <a:avLst/>
                    </a:prstGeom>
                  </pic:spPr>
                </pic:pic>
              </a:graphicData>
            </a:graphic>
          </wp:inline>
        </w:drawing>
      </w:r>
    </w:p>
    <w:p>
      <w:pPr>
        <w:pStyle w:val="TF"/>
        <w:rPr>
          <w:lang w:eastAsia="ko-KR"/>
        </w:rPr>
      </w:pPr>
      <w:bookmarkStart w:id="956" w:name="_Ref396324809"/>
      <w:r>
        <w:rPr/>
        <w:t>Figure 3</w:t>
      </w:r>
      <w:bookmarkEnd w:id="956"/>
      <w:r>
        <w:rPr/>
        <w:t>: Interferer strengths for downlink scenarios.</w:t>
      </w:r>
    </w:p>
    <w:p>
      <w:pPr>
        <w:pStyle w:val="FP"/>
        <w:rPr>
          <w:lang w:eastAsia="ko-KR"/>
        </w:rPr>
      </w:pPr>
      <w:r>
        <w:rPr>
          <w:lang w:eastAsia="ko-KR"/>
        </w:rPr>
      </w:r>
    </w:p>
    <w:p>
      <w:pPr>
        <w:pStyle w:val="Heading4"/>
        <w:ind w:left="1418" w:hanging="1418"/>
        <w:rPr/>
      </w:pPr>
      <w:bookmarkStart w:id="957" w:name="__RefHeading___Toc518036268"/>
      <w:bookmarkEnd w:id="957"/>
      <w:r>
        <w:rPr/>
        <w:t>ZE.4.2.2.3 Co-TSC probability</w:t>
      </w:r>
    </w:p>
    <w:p>
      <w:pPr>
        <w:pStyle w:val="Normal"/>
        <w:rPr/>
      </w:pPr>
      <w:r>
        <w:rPr/>
        <w:t xml:space="preserve">The co-TSC probabilities for the two strongest CCIs are also derived from the system simulation statistics. The probabilities are calculated per cell. CDFs over all cells are shown in Figure 4 and Figure 5 for uplink and downlink, respectively. </w:t>
      </w:r>
    </w:p>
    <w:p>
      <w:pPr>
        <w:pStyle w:val="TH"/>
        <w:rPr>
          <w:lang w:val="en-US" w:eastAsia="en-US"/>
        </w:rPr>
      </w:pPr>
      <w:r>
        <w:rPr>
          <w:lang w:val="en-US" w:eastAsia="en-US"/>
        </w:rPr>
        <w:drawing>
          <wp:inline distT="0" distB="0" distL="0" distR="0">
            <wp:extent cx="4258310" cy="3111500"/>
            <wp:effectExtent l="0" t="0" r="0" b="0"/>
            <wp:docPr id="28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0" descr=""/>
                    <pic:cNvPicPr>
                      <a:picLocks noChangeAspect="1" noChangeArrowheads="1"/>
                    </pic:cNvPicPr>
                  </pic:nvPicPr>
                  <pic:blipFill>
                    <a:blip r:embed="rId299"/>
                    <a:srcRect l="-5" t="-7" r="-5" b="-7"/>
                    <a:stretch>
                      <a:fillRect/>
                    </a:stretch>
                  </pic:blipFill>
                  <pic:spPr bwMode="auto">
                    <a:xfrm>
                      <a:off x="0" y="0"/>
                      <a:ext cx="4258310" cy="3111500"/>
                    </a:xfrm>
                    <a:prstGeom prst="rect">
                      <a:avLst/>
                    </a:prstGeom>
                  </pic:spPr>
                </pic:pic>
              </a:graphicData>
            </a:graphic>
          </wp:inline>
        </w:drawing>
      </w:r>
    </w:p>
    <w:p>
      <w:pPr>
        <w:pStyle w:val="TF"/>
        <w:rPr/>
      </w:pPr>
      <w:bookmarkStart w:id="958" w:name="_Ref396331729"/>
      <w:r>
        <w:rPr/>
        <w:t>Figure 4</w:t>
      </w:r>
      <w:bookmarkEnd w:id="958"/>
      <w:r>
        <w:rPr/>
        <w:t>: CDFs of co-TSC probability in uplink scenarios.</w:t>
      </w:r>
    </w:p>
    <w:p>
      <w:pPr>
        <w:pStyle w:val="FP"/>
        <w:rPr/>
      </w:pPr>
      <w:r>
        <w:rPr/>
      </w:r>
    </w:p>
    <w:p>
      <w:pPr>
        <w:pStyle w:val="TH"/>
        <w:rPr>
          <w:lang w:eastAsia="ko-KR"/>
        </w:rPr>
      </w:pPr>
      <w:r>
        <w:rPr>
          <w:lang w:val="en-US" w:eastAsia="en-US"/>
        </w:rPr>
        <w:drawing>
          <wp:inline distT="0" distB="0" distL="0" distR="0">
            <wp:extent cx="4218940" cy="2997200"/>
            <wp:effectExtent l="0" t="0" r="0" b="0"/>
            <wp:docPr id="28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31" descr=""/>
                    <pic:cNvPicPr>
                      <a:picLocks noChangeAspect="1" noChangeArrowheads="1"/>
                    </pic:cNvPicPr>
                  </pic:nvPicPr>
                  <pic:blipFill>
                    <a:blip r:embed="rId300"/>
                    <a:srcRect l="-5" t="-7" r="-5" b="-7"/>
                    <a:stretch>
                      <a:fillRect/>
                    </a:stretch>
                  </pic:blipFill>
                  <pic:spPr bwMode="auto">
                    <a:xfrm>
                      <a:off x="0" y="0"/>
                      <a:ext cx="4218940" cy="2997200"/>
                    </a:xfrm>
                    <a:prstGeom prst="rect">
                      <a:avLst/>
                    </a:prstGeom>
                  </pic:spPr>
                </pic:pic>
              </a:graphicData>
            </a:graphic>
          </wp:inline>
        </w:drawing>
      </w:r>
    </w:p>
    <w:p>
      <w:pPr>
        <w:pStyle w:val="TF"/>
        <w:rPr/>
      </w:pPr>
      <w:bookmarkStart w:id="959" w:name="_Ref396331731"/>
      <w:r>
        <w:rPr/>
        <w:t>Figure 5</w:t>
      </w:r>
      <w:bookmarkEnd w:id="959"/>
      <w:r>
        <w:rPr/>
        <w:t>: CDFs of co-TSC probability in downlink scenarios.</w:t>
      </w:r>
    </w:p>
    <w:p>
      <w:pPr>
        <w:pStyle w:val="FP"/>
        <w:rPr/>
      </w:pPr>
      <w:r>
        <w:rPr/>
      </w:r>
    </w:p>
    <w:p>
      <w:pPr>
        <w:pStyle w:val="Normal"/>
        <w:rPr/>
      </w:pPr>
      <w:r>
        <w:rPr/>
        <w:t>To cover a wide range of situations in the network, three different scenarios are considered when deriving the likelihood of co-TSC in the interferer models: the 10</w:t>
      </w:r>
      <w:r>
        <w:rPr>
          <w:vertAlign w:val="superscript"/>
        </w:rPr>
        <w:t>th</w:t>
      </w:r>
      <w:r>
        <w:rPr/>
        <w:t xml:space="preserve"> percentile (corresponding to a good cell from a TSC planning perspective), the median (corresponding to a median cell) and the 90</w:t>
      </w:r>
      <w:r>
        <w:rPr>
          <w:vertAlign w:val="superscript"/>
        </w:rPr>
        <w:t>th</w:t>
      </w:r>
      <w:r>
        <w:rPr/>
        <w:t xml:space="preserve"> percentile (bad cell). The probabilities are summarized in Table 2. </w:t>
      </w:r>
    </w:p>
    <w:p>
      <w:pPr>
        <w:pStyle w:val="TH"/>
        <w:rPr/>
      </w:pPr>
      <w:r>
        <w:rPr/>
        <w:t>Table 2: Probabilities of co-TSC.</w:t>
      </w:r>
    </w:p>
    <w:tbl>
      <w:tblPr>
        <w:tblW w:w="8299" w:type="dxa"/>
        <w:jc w:val="left"/>
        <w:tblInd w:w="0" w:type="dxa"/>
        <w:tblLayout w:type="fixed"/>
        <w:tblCellMar>
          <w:top w:w="0" w:type="dxa"/>
          <w:left w:w="108" w:type="dxa"/>
          <w:bottom w:w="0" w:type="dxa"/>
          <w:right w:w="108" w:type="dxa"/>
        </w:tblCellMar>
      </w:tblPr>
      <w:tblGrid>
        <w:gridCol w:w="1253"/>
        <w:gridCol w:w="1253"/>
        <w:gridCol w:w="924"/>
        <w:gridCol w:w="1623"/>
        <w:gridCol w:w="1623"/>
        <w:gridCol w:w="1623"/>
      </w:tblGrid>
      <w:tr>
        <w:trPr/>
        <w:tc>
          <w:tcPr>
            <w:tcW w:w="3430" w:type="dxa"/>
            <w:gridSpan w:val="3"/>
            <w:tcBorders>
              <w:bottom w:val="single" w:sz="4" w:space="0" w:color="000000"/>
              <w:right w:val="single" w:sz="4" w:space="0" w:color="000000"/>
            </w:tcBorders>
          </w:tcPr>
          <w:p>
            <w:pPr>
              <w:pStyle w:val="Normal"/>
              <w:keepNext w:val="true"/>
              <w:widowControl w:val="false"/>
              <w:snapToGrid w:val="false"/>
              <w:spacing w:before="0" w:after="0"/>
              <w:jc w:val="center"/>
              <w:rPr/>
            </w:pPr>
            <w:r>
              <w:rPr/>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10</w:t>
            </w:r>
            <w:r>
              <w:rPr>
                <w:vertAlign w:val="superscript"/>
                <w:lang w:eastAsia="en-US"/>
              </w:rPr>
              <w:t>th</w:t>
            </w:r>
            <w:r>
              <w:rPr>
                <w:lang w:eastAsia="en-US"/>
              </w:rPr>
              <w:t xml:space="preserve"> percentile</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50</w:t>
            </w:r>
            <w:r>
              <w:rPr>
                <w:vertAlign w:val="superscript"/>
                <w:lang w:eastAsia="en-US"/>
              </w:rPr>
              <w:t>th</w:t>
            </w:r>
            <w:r>
              <w:rPr>
                <w:lang w:eastAsia="en-US"/>
              </w:rPr>
              <w:t xml:space="preserve"> percentile</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90</w:t>
            </w:r>
            <w:r>
              <w:rPr>
                <w:vertAlign w:val="superscript"/>
                <w:lang w:eastAsia="en-US"/>
              </w:rPr>
              <w:t>th</w:t>
            </w:r>
            <w:r>
              <w:rPr>
                <w:lang w:eastAsia="en-US"/>
              </w:rPr>
              <w:t xml:space="preserve"> percentile</w:t>
            </w:r>
          </w:p>
        </w:tc>
      </w:tr>
      <w:tr>
        <w:trPr/>
        <w:tc>
          <w:tcPr>
            <w:tcW w:w="125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Uplink</w:t>
            </w:r>
          </w:p>
        </w:tc>
        <w:tc>
          <w:tcPr>
            <w:tcW w:w="125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8 TSC plan</w:t>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1</w:t>
            </w:r>
            <w:r>
              <w:rPr>
                <w:vertAlign w:val="superscript"/>
                <w:lang w:eastAsia="en-US"/>
              </w:rPr>
              <w:t>st</w:t>
            </w:r>
            <w:r>
              <w:rPr>
                <w:lang w:eastAsia="en-US"/>
              </w:rPr>
              <w:t xml:space="preserve"> CCI</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3.5%</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6.5%</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11%</w:t>
            </w:r>
          </w:p>
        </w:tc>
      </w:tr>
      <w:tr>
        <w:trPr/>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eastAsia="en-US"/>
              </w:rPr>
            </w:pPr>
            <w:r>
              <w:rPr>
                <w:lang w:val="en-GB" w:eastAsia="en-US"/>
              </w:rPr>
            </w:r>
          </w:p>
        </w:tc>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en-US"/>
              </w:rPr>
            </w:pPr>
            <w:r>
              <w:rPr>
                <w:lang w:eastAsia="en-US"/>
              </w:rPr>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2</w:t>
            </w:r>
            <w:r>
              <w:rPr>
                <w:vertAlign w:val="superscript"/>
                <w:lang w:eastAsia="en-US"/>
              </w:rPr>
              <w:t>nd</w:t>
            </w:r>
            <w:r>
              <w:rPr>
                <w:lang w:eastAsia="en-US"/>
              </w:rPr>
              <w:t xml:space="preserve"> CCI</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6.9%</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9.8%</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13%</w:t>
            </w:r>
          </w:p>
        </w:tc>
      </w:tr>
      <w:tr>
        <w:trPr/>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eastAsia="en-US"/>
              </w:rPr>
            </w:pPr>
            <w:r>
              <w:rPr>
                <w:lang w:val="en-GB" w:eastAsia="en-US"/>
              </w:rPr>
            </w:r>
          </w:p>
        </w:tc>
        <w:tc>
          <w:tcPr>
            <w:tcW w:w="125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16 TSC plan</w:t>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1</w:t>
            </w:r>
            <w:r>
              <w:rPr>
                <w:vertAlign w:val="superscript"/>
                <w:lang w:eastAsia="en-US"/>
              </w:rPr>
              <w:t>st</w:t>
            </w:r>
            <w:r>
              <w:rPr>
                <w:lang w:eastAsia="en-US"/>
              </w:rPr>
              <w:t xml:space="preserve"> CCI</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0.64%</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1.6%</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3.2%</w:t>
            </w:r>
          </w:p>
        </w:tc>
      </w:tr>
      <w:tr>
        <w:trPr/>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eastAsia="en-US"/>
              </w:rPr>
            </w:pPr>
            <w:r>
              <w:rPr>
                <w:lang w:val="en-GB" w:eastAsia="en-US"/>
              </w:rPr>
            </w:r>
          </w:p>
        </w:tc>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en-US"/>
              </w:rPr>
            </w:pPr>
            <w:r>
              <w:rPr>
                <w:lang w:eastAsia="en-US"/>
              </w:rPr>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2</w:t>
            </w:r>
            <w:r>
              <w:rPr>
                <w:vertAlign w:val="superscript"/>
                <w:lang w:eastAsia="en-US"/>
              </w:rPr>
              <w:t>nd</w:t>
            </w:r>
            <w:r>
              <w:rPr>
                <w:lang w:eastAsia="en-US"/>
              </w:rPr>
              <w:t xml:space="preserve"> CCI</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1.7%</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3.2%</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5.7%</w:t>
            </w:r>
          </w:p>
        </w:tc>
      </w:tr>
      <w:tr>
        <w:trPr/>
        <w:tc>
          <w:tcPr>
            <w:tcW w:w="125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Downlink</w:t>
            </w:r>
          </w:p>
        </w:tc>
        <w:tc>
          <w:tcPr>
            <w:tcW w:w="125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8 TSC plan</w:t>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1</w:t>
            </w:r>
            <w:r>
              <w:rPr>
                <w:vertAlign w:val="superscript"/>
                <w:lang w:eastAsia="en-US"/>
              </w:rPr>
              <w:t>st</w:t>
            </w:r>
            <w:r>
              <w:rPr>
                <w:lang w:eastAsia="en-US"/>
              </w:rPr>
              <w:t xml:space="preserve"> CCI</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1.8%</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5.5%</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13%</w:t>
            </w:r>
          </w:p>
        </w:tc>
      </w:tr>
      <w:tr>
        <w:trPr/>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eastAsia="en-US"/>
              </w:rPr>
            </w:pPr>
            <w:r>
              <w:rPr>
                <w:lang w:val="en-GB" w:eastAsia="en-US"/>
              </w:rPr>
            </w:r>
          </w:p>
        </w:tc>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en-US"/>
              </w:rPr>
            </w:pPr>
            <w:r>
              <w:rPr>
                <w:lang w:eastAsia="en-US"/>
              </w:rPr>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2</w:t>
            </w:r>
            <w:r>
              <w:rPr>
                <w:vertAlign w:val="superscript"/>
                <w:lang w:eastAsia="en-US"/>
              </w:rPr>
              <w:t>nd</w:t>
            </w:r>
            <w:r>
              <w:rPr>
                <w:lang w:eastAsia="en-US"/>
              </w:rPr>
              <w:t xml:space="preserve"> CCI</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4.4%</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9.9%</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16%</w:t>
            </w:r>
          </w:p>
        </w:tc>
      </w:tr>
      <w:tr>
        <w:trPr/>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eastAsia="en-US"/>
              </w:rPr>
            </w:pPr>
            <w:r>
              <w:rPr>
                <w:lang w:val="en-GB" w:eastAsia="en-US"/>
              </w:rPr>
            </w:r>
          </w:p>
        </w:tc>
        <w:tc>
          <w:tcPr>
            <w:tcW w:w="125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16 TSC plan</w:t>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1</w:t>
            </w:r>
            <w:r>
              <w:rPr>
                <w:vertAlign w:val="superscript"/>
                <w:lang w:eastAsia="en-US"/>
              </w:rPr>
              <w:t>st</w:t>
            </w:r>
            <w:r>
              <w:rPr>
                <w:lang w:eastAsia="en-US"/>
              </w:rPr>
              <w:t xml:space="preserve"> CCI</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0.19%</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1.1%</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4.7%</w:t>
            </w:r>
          </w:p>
        </w:tc>
      </w:tr>
      <w:tr>
        <w:trPr/>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val="en-GB" w:eastAsia="en-US"/>
              </w:rPr>
            </w:pPr>
            <w:r>
              <w:rPr>
                <w:lang w:val="en-GB" w:eastAsia="en-US"/>
              </w:rPr>
            </w:r>
          </w:p>
        </w:tc>
        <w:tc>
          <w:tcPr>
            <w:tcW w:w="125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en-US"/>
              </w:rPr>
            </w:pPr>
            <w:r>
              <w:rPr>
                <w:lang w:eastAsia="en-US"/>
              </w:rPr>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2</w:t>
            </w:r>
            <w:r>
              <w:rPr>
                <w:vertAlign w:val="superscript"/>
                <w:lang w:eastAsia="en-US"/>
              </w:rPr>
              <w:t>nd</w:t>
            </w:r>
            <w:r>
              <w:rPr>
                <w:lang w:eastAsia="en-US"/>
              </w:rPr>
              <w:t xml:space="preserve"> CCI</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0.80%</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3.0%</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lang w:val="en-GB"/>
              </w:rPr>
              <w:t>6.2%</w:t>
            </w:r>
          </w:p>
        </w:tc>
      </w:tr>
    </w:tbl>
    <w:p>
      <w:pPr>
        <w:pStyle w:val="FP"/>
        <w:rPr/>
      </w:pPr>
      <w:r>
        <w:rPr/>
      </w:r>
    </w:p>
    <w:p>
      <w:pPr>
        <w:pStyle w:val="Heading3"/>
        <w:rPr/>
      </w:pPr>
      <w:bookmarkStart w:id="960" w:name="__RefHeading___Toc518036269"/>
      <w:bookmarkEnd w:id="960"/>
      <w:r>
        <w:rPr/>
        <w:t>ZE.4.2.3</w:t>
        <w:tab/>
        <w:t>Link level simulations</w:t>
      </w:r>
    </w:p>
    <w:p>
      <w:pPr>
        <w:pStyle w:val="Normal"/>
        <w:rPr/>
      </w:pPr>
      <w:r>
        <w:rPr/>
        <w:t>Based on the statistics derived in Section ZE.4.3, an interference model is built and used in link simulations.</w:t>
      </w:r>
    </w:p>
    <w:p>
      <w:pPr>
        <w:pStyle w:val="Heading4"/>
        <w:ind w:left="1418" w:hanging="1418"/>
        <w:rPr/>
      </w:pPr>
      <w:bookmarkStart w:id="961" w:name="__RefHeading___Toc518036270"/>
      <w:bookmarkStart w:id="962" w:name="_Ref396644406"/>
      <w:bookmarkEnd w:id="961"/>
      <w:r>
        <w:rPr/>
        <w:t>ZE.4.2.3.1 Interference model</w:t>
      </w:r>
      <w:bookmarkEnd w:id="962"/>
    </w:p>
    <w:p>
      <w:pPr>
        <w:pStyle w:val="Normal"/>
        <w:rPr/>
      </w:pPr>
      <w:r>
        <w:rPr/>
        <w:t>The interference model consists of two CCI interferers, two ACI+ interferers and two ACI- interferers. Their relative strengths (before fast fading) are set according to Figure 2 (for uplink simulations) and Figure 3 (for downlink simulations) depending on the C/I.</w:t>
      </w:r>
    </w:p>
    <w:p>
      <w:pPr>
        <w:pStyle w:val="Normal"/>
        <w:rPr/>
      </w:pPr>
      <w:r>
        <w:rPr/>
        <w:t>The CCI interferers randomly use the same TSC as the carrier with probabilities given in Table 2 for a given configuration (in total there are 12 configurations in Table 2 – two link directions, two different TSC plans and three different percentiles). When the co-TSC is not chosen, one of the other TSCs (7 or 15 other, depending on the used TSC plan) is chosen randomly with a uniform distribution. The ACI interferers randomly choose a TSC from all available (8 or 16) TSCs. The carrier always uses TSC 0 from legacy set 1.</w:t>
      </w:r>
    </w:p>
    <w:p>
      <w:pPr>
        <w:pStyle w:val="Normal"/>
        <w:rPr/>
      </w:pPr>
      <w:r>
        <w:rPr/>
        <w:t>In the 16 TSC plan case, the GMSK TSC Set 3 is used in addition to the legacy GMSK TSC Set 1.</w:t>
      </w:r>
    </w:p>
    <w:p>
      <w:pPr>
        <w:pStyle w:val="Normal"/>
        <w:rPr/>
      </w:pPr>
      <w:r>
        <w:rPr/>
        <w:t>All interferers are GMSK modulated. The NewToN propagation delay models are used.</w:t>
      </w:r>
    </w:p>
    <w:p>
      <w:pPr>
        <w:pStyle w:val="Heading4"/>
        <w:ind w:left="1418" w:hanging="1418"/>
        <w:rPr/>
      </w:pPr>
      <w:bookmarkStart w:id="963" w:name="__RefHeading___Toc518036271"/>
      <w:bookmarkEnd w:id="963"/>
      <w:r>
        <w:rPr/>
        <w:t>ZE.4.2.3.2 Other simulation parameters</w:t>
      </w:r>
    </w:p>
    <w:p>
      <w:pPr>
        <w:pStyle w:val="Normal"/>
        <w:rPr/>
      </w:pPr>
      <w:r>
        <w:rPr/>
        <w:t>Other simulation parameters are listed in Table 3.</w:t>
      </w:r>
    </w:p>
    <w:p>
      <w:pPr>
        <w:pStyle w:val="TH"/>
        <w:rPr/>
      </w:pPr>
      <w:bookmarkStart w:id="964" w:name="_Ref396333606"/>
      <w:r>
        <w:rPr/>
        <w:t>Table 3</w:t>
      </w:r>
      <w:bookmarkEnd w:id="964"/>
      <w:r>
        <w:rPr/>
        <w:t>: Parameters for the link simulations.</w:t>
      </w:r>
    </w:p>
    <w:tbl>
      <w:tblPr>
        <w:tblW w:w="3544" w:type="dxa"/>
        <w:jc w:val="left"/>
        <w:tblInd w:w="2547" w:type="dxa"/>
        <w:tblLayout w:type="fixed"/>
        <w:tblCellMar>
          <w:top w:w="0" w:type="dxa"/>
          <w:left w:w="108" w:type="dxa"/>
          <w:bottom w:w="0" w:type="dxa"/>
          <w:right w:w="108" w:type="dxa"/>
        </w:tblCellMar>
      </w:tblPr>
      <w:tblGrid>
        <w:gridCol w:w="1701"/>
        <w:gridCol w:w="1843"/>
      </w:tblGrid>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Value</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Channel model</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TU50nFH</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Frequency band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900 MHz</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Channel coding</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AFS4.75</w:t>
            </w:r>
          </w:p>
          <w:p>
            <w:pPr>
              <w:pStyle w:val="TAL"/>
              <w:rPr/>
            </w:pPr>
            <w:r>
              <w:rPr>
                <w:lang w:val="en-GB"/>
              </w:rPr>
              <w:t>AFS5.90</w:t>
              <w:br/>
              <w:t>AFS7.95</w:t>
              <w:br/>
              <w:t>AFS12.2</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Receiver</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DL: SAIC</w:t>
              <w:br/>
              <w:t>UL: IRC</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TX impairments</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Typical</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RX impairments</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Typical</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Number of speech frames</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10000</w:t>
            </w:r>
          </w:p>
        </w:tc>
      </w:tr>
    </w:tbl>
    <w:p>
      <w:pPr>
        <w:pStyle w:val="FP"/>
        <w:rPr/>
      </w:pPr>
      <w:r>
        <w:rPr/>
      </w:r>
    </w:p>
    <w:p>
      <w:pPr>
        <w:pStyle w:val="Heading4"/>
        <w:ind w:left="1418" w:hanging="1418"/>
        <w:rPr/>
      </w:pPr>
      <w:bookmarkStart w:id="965" w:name="__RefHeading___Toc518036272"/>
      <w:bookmarkEnd w:id="965"/>
      <w:r>
        <w:rPr/>
        <w:t>ZE.4.2.3.3 Results and discussion</w:t>
      </w:r>
    </w:p>
    <w:p>
      <w:pPr>
        <w:pStyle w:val="Normal"/>
        <w:rPr/>
      </w:pPr>
      <w:r>
        <w:rPr/>
        <w:t>Plots of class 1A FER versus C/I are shown in sub clause ZE.4.7) for both uplink and downlink. The gains at 1% FER are collected from all scenarios into a CDF in Figure 6.</w:t>
      </w:r>
    </w:p>
    <w:p>
      <w:pPr>
        <w:pStyle w:val="Normal"/>
        <w:rPr/>
      </w:pPr>
      <w:r>
        <w:rPr/>
        <w:t>It is evident that even though the co-TSC probabilities are much smaller than in the 100% co-TSC scenario in Figure 1, they have a significant impact on performance. The average gain seen is roughly 2 dB. This gain is partly due to the reduced co-TSC probability and partly due to the better cross correlation properties of the extended TSC set.</w:t>
      </w:r>
    </w:p>
    <w:p>
      <w:pPr>
        <w:pStyle w:val="TH"/>
        <w:rPr>
          <w:lang w:val="en-US" w:eastAsia="en-US"/>
        </w:rPr>
      </w:pPr>
      <w:r>
        <w:rPr>
          <w:lang w:val="en-US" w:eastAsia="en-US"/>
        </w:rPr>
        <w:drawing>
          <wp:inline distT="0" distB="0" distL="0" distR="0">
            <wp:extent cx="4188460" cy="2793365"/>
            <wp:effectExtent l="0" t="0" r="0" b="0"/>
            <wp:docPr id="29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9" descr=""/>
                    <pic:cNvPicPr>
                      <a:picLocks noChangeAspect="1" noChangeArrowheads="1"/>
                    </pic:cNvPicPr>
                  </pic:nvPicPr>
                  <pic:blipFill>
                    <a:blip r:embed="rId301"/>
                    <a:srcRect l="-5" t="-8" r="-5" b="-8"/>
                    <a:stretch>
                      <a:fillRect/>
                    </a:stretch>
                  </pic:blipFill>
                  <pic:spPr bwMode="auto">
                    <a:xfrm>
                      <a:off x="0" y="0"/>
                      <a:ext cx="4188460" cy="2793365"/>
                    </a:xfrm>
                    <a:prstGeom prst="rect">
                      <a:avLst/>
                    </a:prstGeom>
                  </pic:spPr>
                </pic:pic>
              </a:graphicData>
            </a:graphic>
          </wp:inline>
        </w:drawing>
      </w:r>
    </w:p>
    <w:p>
      <w:pPr>
        <w:pStyle w:val="TF"/>
        <w:rPr/>
      </w:pPr>
      <w:r>
        <w:rPr/>
        <w:t>Figure 6: FER vs C/I in downlink scenarios – AFS4.75, AFS5.90, AFS7.95, AFS12.2.</w:t>
      </w:r>
    </w:p>
    <w:p>
      <w:pPr>
        <w:pStyle w:val="FP"/>
        <w:rPr/>
      </w:pPr>
      <w:r>
        <w:rPr/>
      </w:r>
    </w:p>
    <w:p>
      <w:pPr>
        <w:pStyle w:val="Heading2"/>
        <w:rPr/>
      </w:pPr>
      <w:bookmarkStart w:id="966" w:name="__RefHeading___Toc518036273"/>
      <w:bookmarkEnd w:id="966"/>
      <w:r>
        <w:rPr/>
        <w:t>ZE.4.3</w:t>
        <w:tab/>
        <w:t>System level simulations</w:t>
      </w:r>
    </w:p>
    <w:p>
      <w:pPr>
        <w:pStyle w:val="Heading3"/>
        <w:rPr/>
      </w:pPr>
      <w:bookmarkStart w:id="967" w:name="__RefHeading___Toc518036274"/>
      <w:bookmarkEnd w:id="967"/>
      <w:r>
        <w:rPr/>
        <w:t>ZE.4.3.1</w:t>
        <w:tab/>
        <w:t>Introduction</w:t>
      </w:r>
    </w:p>
    <w:p>
      <w:pPr>
        <w:pStyle w:val="Normal"/>
        <w:rPr/>
      </w:pPr>
      <w:r>
        <w:rPr/>
        <w:t xml:space="preserve">System level simulations have been carried out using a dynamic system simulator where a link simulator object has been integrated in each radio link to model the link level performance of each user. </w:t>
      </w:r>
    </w:p>
    <w:p>
      <w:pPr>
        <w:pStyle w:val="Normal"/>
        <w:rPr/>
      </w:pPr>
      <w:r>
        <w:rPr/>
        <w:t>Hence, instead of using Link-2-System mappings, which is the conventional method to model radio link performance on system level, the link performance is modeled on IQ-level with demodulators called for each user and each burst.</w:t>
      </w:r>
    </w:p>
    <w:p>
      <w:pPr>
        <w:pStyle w:val="Normal"/>
        <w:rPr/>
      </w:pPr>
      <w:r>
        <w:rPr/>
        <w:t>This allows the evaluation of system performance to fully take into account complex aspects such as TSC allocation and their impact on system capacity.</w:t>
      </w:r>
    </w:p>
    <w:p>
      <w:pPr>
        <w:pStyle w:val="Heading3"/>
        <w:rPr/>
      </w:pPr>
      <w:bookmarkStart w:id="968" w:name="__RefHeading___Toc518036275"/>
      <w:bookmarkEnd w:id="968"/>
      <w:r>
        <w:rPr/>
        <w:t>ZE.4.3.2</w:t>
        <w:tab/>
        <w:t>Simulation assumptions</w:t>
      </w:r>
    </w:p>
    <w:p>
      <w:pPr>
        <w:pStyle w:val="Normal"/>
        <w:rPr/>
      </w:pPr>
      <w:r>
        <w:rPr/>
        <w:t>The same system level configuration as presented in Table 1 was used to simulate UL network performance. AFS12.2 was used for the non-VAMOS network performance evaluations and AFS7.95 for the VAMOS network performance evaluations to get a quality limited network below the load of 2 % blocking. I.e. using for example AFS4.75 results in a blocking limited network where system capacity gains due to improved network quality cannot be measured.</w:t>
      </w:r>
    </w:p>
    <w:p>
      <w:pPr>
        <w:pStyle w:val="Normal"/>
        <w:rPr/>
      </w:pPr>
      <w:r>
        <w:rPr/>
        <w:t>The same TSC planning algorithm was used as described in Section ZE.4.2.2. Since this planning principle mainly aims at avoiding co-TSC interference there is a need to map a specific TSC value/index to each specific TSC value in the plan. In other words, the TSC planning algorithm will determine for example that e.g. cells [1,15,27,35,52,89,115,132,145] should have the same TSC in order to avoid co-TSC in the network (and similar cell-vectors exist for all 8 or 16 TSCs). It will however, not map a specific TSC to these cells. In order to estimate the impact on the results from different TSC plans, three different, randomly chosen, mapping vectors were generated and simulated. The result for each simulated scenario is an average of these three mapping alternatives. It can be noted that the TSC planning implies that TSCs from one, or two sets, are used for a basic TSC plan in the network. This implies that legacy TSC set 1 is not used in half of the cells (in case of using a TSC plan of 16).</w:t>
      </w:r>
    </w:p>
    <w:p>
      <w:pPr>
        <w:pStyle w:val="Normal"/>
        <w:rPr/>
      </w:pPr>
      <w:r>
        <w:rPr/>
        <w:t>The two TSC planning scenarios as described in Section ZE.4.2.3.1 was also evaluated on system level. In addition, the TSC plan of 16 available TSCs, only taken from the proposed NewToN set was also simulated. This scenario would represent a system with a high penetration of NewToN MS where the new set could be used as a baseline in the TSC planning, and the legacy set is only used when allocating users in a VAMOS channel.</w:t>
      </w:r>
    </w:p>
    <w:p>
      <w:pPr>
        <w:pStyle w:val="Normal"/>
        <w:rPr/>
      </w:pPr>
      <w:r>
        <w:rPr/>
        <w:t xml:space="preserve">The metric on "Happy users" is taken from the MUROS study where a &lt;2% call FER is classified as a "Happy user" when simulating FR channels.In the non-VAMOS simulations a 100 % MS penetration level of legacy MS, or NewToN MS (when TSC set 3 and TSC set4 is used) has been assumed. </w:t>
      </w:r>
    </w:p>
    <w:p>
      <w:pPr>
        <w:pStyle w:val="Normal"/>
        <w:rPr/>
      </w:pPr>
      <w:r>
        <w:rPr/>
        <w:t>In the VAMOS simulations a 100 % MS penetration level of VAMOS MS, or NewToN VAMOS MS (when TSC set 3 and TSC set4 is used) has been assumed.</w:t>
      </w:r>
    </w:p>
    <w:p>
      <w:pPr>
        <w:pStyle w:val="Heading3"/>
        <w:rPr/>
      </w:pPr>
      <w:bookmarkStart w:id="969" w:name="__RefHeading___Toc518036276"/>
      <w:bookmarkEnd w:id="969"/>
      <w:r>
        <w:rPr/>
        <w:t>ZE.4.3.3</w:t>
        <w:tab/>
        <w:t>Results – non-VAMOS</w:t>
      </w:r>
    </w:p>
    <w:p>
      <w:pPr>
        <w:pStyle w:val="Normal"/>
        <w:rPr/>
      </w:pPr>
      <w:r>
        <w:rPr/>
        <w:t xml:space="preserve">The results are shown in Figure 7. </w:t>
      </w:r>
    </w:p>
    <w:p>
      <w:pPr>
        <w:pStyle w:val="TH"/>
        <w:rPr>
          <w:rFonts w:ascii="Times New Roman" w:hAnsi="Times New Roman" w:cs="Times New Roman"/>
        </w:rPr>
      </w:pPr>
      <w:r>
        <w:rPr>
          <w:lang w:val="en-US" w:eastAsia="en-US"/>
        </w:rPr>
        <w:drawing>
          <wp:inline distT="0" distB="0" distL="0" distR="0">
            <wp:extent cx="5249545" cy="3496310"/>
            <wp:effectExtent l="0" t="0" r="0" b="0"/>
            <wp:docPr id="29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9" descr=""/>
                    <pic:cNvPicPr>
                      <a:picLocks noChangeAspect="1" noChangeArrowheads="1"/>
                    </pic:cNvPicPr>
                  </pic:nvPicPr>
                  <pic:blipFill>
                    <a:blip r:embed="rId302"/>
                    <a:srcRect l="-5" t="-8" r="-5" b="-8"/>
                    <a:stretch>
                      <a:fillRect/>
                    </a:stretch>
                  </pic:blipFill>
                  <pic:spPr bwMode="auto">
                    <a:xfrm>
                      <a:off x="0" y="0"/>
                      <a:ext cx="5249545" cy="3496310"/>
                    </a:xfrm>
                    <a:prstGeom prst="rect">
                      <a:avLst/>
                    </a:prstGeom>
                  </pic:spPr>
                </pic:pic>
              </a:graphicData>
            </a:graphic>
          </wp:inline>
        </w:drawing>
      </w:r>
    </w:p>
    <w:p>
      <w:pPr>
        <w:pStyle w:val="TF"/>
        <w:rPr/>
      </w:pPr>
      <w:bookmarkStart w:id="970" w:name="_Ref396644546"/>
      <w:r>
        <w:rPr/>
        <w:t>Figure</w:t>
      </w:r>
      <w:bookmarkEnd w:id="970"/>
      <w:r>
        <w:rPr/>
        <w:t xml:space="preserve"> 7. System level results with different TSC mapping plans – non VAMOS</w:t>
      </w:r>
    </w:p>
    <w:p>
      <w:pPr>
        <w:pStyle w:val="Normal"/>
        <w:rPr/>
      </w:pPr>
      <w:r>
        <w:rPr/>
        <w:t>It can be seen that the system level capacity gains in reference to the legacy 8 TSC planning are quite substantial both for the case of using legacy set 1 together with NewToN set 3, with further gains when adding a complete TSC plan using the NewToN set.</w:t>
      </w:r>
    </w:p>
    <w:p>
      <w:pPr>
        <w:pStyle w:val="Normal"/>
        <w:rPr/>
      </w:pPr>
      <w:r>
        <w:rPr/>
        <w:t xml:space="preserve">The results in terms of system capacity gains are also summarized in Table </w:t>
      </w:r>
      <w:r>
        <w:rPr>
          <w:lang w:val="en-US" w:eastAsia="en-US"/>
        </w:rPr>
        <w:t>4</w:t>
      </w:r>
      <w:r>
        <w:rPr/>
        <w:t xml:space="preserve"> at the quality limit of 95% Happy users.</w:t>
      </w:r>
    </w:p>
    <w:p>
      <w:pPr>
        <w:pStyle w:val="TH"/>
        <w:rPr/>
      </w:pPr>
      <w:bookmarkStart w:id="971" w:name="_Ref396645168"/>
      <w:r>
        <w:rPr/>
        <w:t xml:space="preserve">Table </w:t>
      </w:r>
      <w:r>
        <w:rPr>
          <w:lang w:val="en-US" w:eastAsia="en-US"/>
        </w:rPr>
        <w:t>4</w:t>
      </w:r>
      <w:bookmarkEnd w:id="971"/>
      <w:r>
        <w:rPr/>
        <w:t>. System capacity gains with NewToN compared to system performance using legacy set 1.</w:t>
      </w:r>
    </w:p>
    <w:tbl>
      <w:tblPr>
        <w:tblW w:w="3487" w:type="dxa"/>
        <w:jc w:val="center"/>
        <w:tblInd w:w="0" w:type="dxa"/>
        <w:tblLayout w:type="fixed"/>
        <w:tblCellMar>
          <w:top w:w="0" w:type="dxa"/>
          <w:left w:w="108" w:type="dxa"/>
          <w:bottom w:w="0" w:type="dxa"/>
          <w:right w:w="108" w:type="dxa"/>
        </w:tblCellMar>
      </w:tblPr>
      <w:tblGrid>
        <w:gridCol w:w="1721"/>
        <w:gridCol w:w="1766"/>
      </w:tblGrid>
      <w:tr>
        <w:trPr/>
        <w:tc>
          <w:tcPr>
            <w:tcW w:w="3487" w:type="dxa"/>
            <w:gridSpan w:val="2"/>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lang w:eastAsia="en-US"/>
              </w:rPr>
              <w:t>System capacity gains [%]</w:t>
            </w:r>
          </w:p>
        </w:tc>
      </w:tr>
      <w:tr>
        <w:trPr/>
        <w:tc>
          <w:tcPr>
            <w:tcW w:w="1721"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lang w:eastAsia="en-US"/>
              </w:rPr>
              <w:t>Legacy set 1 +</w:t>
              <w:br/>
              <w:t>NewToN set 3</w:t>
            </w:r>
          </w:p>
        </w:tc>
        <w:tc>
          <w:tcPr>
            <w:tcW w:w="1766"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lang w:eastAsia="en-US"/>
              </w:rPr>
            </w:pPr>
            <w:r>
              <w:rPr>
                <w:lang w:eastAsia="en-US"/>
              </w:rPr>
              <w:t>NewToN set 3 +</w:t>
              <w:br/>
              <w:t>NewToN set 4</w:t>
            </w:r>
          </w:p>
        </w:tc>
      </w:tr>
      <w:tr>
        <w:trPr/>
        <w:tc>
          <w:tcPr>
            <w:tcW w:w="17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34</w:t>
            </w:r>
          </w:p>
        </w:tc>
        <w:tc>
          <w:tcPr>
            <w:tcW w:w="176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47</w:t>
            </w:r>
          </w:p>
        </w:tc>
      </w:tr>
    </w:tbl>
    <w:p>
      <w:pPr>
        <w:pStyle w:val="FP"/>
        <w:rPr/>
      </w:pPr>
      <w:r>
        <w:rPr/>
      </w:r>
    </w:p>
    <w:p>
      <w:pPr>
        <w:pStyle w:val="Heading3"/>
        <w:rPr/>
      </w:pPr>
      <w:bookmarkStart w:id="972" w:name="__RefHeading___Toc518036277"/>
      <w:bookmarkEnd w:id="972"/>
      <w:r>
        <w:rPr/>
        <w:t>ZE.4.3.4</w:t>
        <w:tab/>
        <w:t>Results – VAMOS</w:t>
      </w:r>
    </w:p>
    <w:p>
      <w:pPr>
        <w:pStyle w:val="Normal"/>
        <w:rPr/>
      </w:pPr>
      <w:r>
        <w:rPr/>
        <w:t>The intention of the NewToN work, by increasing the number of TSCs in the CS domain from 16 to 32 was to realize a two times increase in the number of TSCs used for TSC planning when supporting VAMOS.</w:t>
      </w:r>
    </w:p>
    <w:p>
      <w:pPr>
        <w:pStyle w:val="Normal"/>
        <w:rPr/>
      </w:pPr>
      <w:r>
        <w:rPr/>
        <w:t>In this section VAMOS performance is evaluated assuming different TSC planning strategies with and without NewToN TSCs. The TSC sets used for the TSC plans are represented by 'TSC sets for TSC plan' : 'Paired TSC sets for VAMOS allocation'. For example "Set 1 : Set 2" implies that TSC set 1 is used for the baseline TSC plan (i.e. TSC re-use eight), and that TSC set 2 is used in case of users being in VAMOS mode. The VAMOS principle is followed in that only paired TSCs of the same index are considered. For example, in 'Set 1+3 : Set 2+4' TSCs of set 1 is only paired with TSCs of set 2 using the same TSC index.</w:t>
      </w:r>
    </w:p>
    <w:p>
      <w:pPr>
        <w:pStyle w:val="Normal"/>
        <w:rPr/>
      </w:pPr>
      <w:r>
        <w:rPr/>
        <w:t xml:space="preserve">The simulation assumptions in Section ZE4.3.2 are followed. </w:t>
      </w:r>
    </w:p>
    <w:p>
      <w:pPr>
        <w:pStyle w:val="Normal"/>
        <w:rPr/>
      </w:pPr>
      <w:r>
        <w:rPr/>
        <w:t>The results are shown in Figure 8. The system capacity gains with VAMOS are shown in the legend (i.e. capacity gains compared to the non-VAMOS case when the system is at 2% blocking).</w:t>
      </w:r>
    </w:p>
    <w:p>
      <w:pPr>
        <w:pStyle w:val="TH"/>
        <w:rPr/>
      </w:pPr>
      <w:r>
        <w:rPr/>
        <w:drawing>
          <wp:inline distT="0" distB="0" distL="0" distR="0">
            <wp:extent cx="5783580" cy="3856990"/>
            <wp:effectExtent l="0" t="0" r="0" b="0"/>
            <wp:docPr id="292" name="Image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09" descr=""/>
                    <pic:cNvPicPr>
                      <a:picLocks noChangeAspect="1" noChangeArrowheads="1"/>
                    </pic:cNvPicPr>
                  </pic:nvPicPr>
                  <pic:blipFill>
                    <a:blip r:embed="rId303"/>
                    <a:srcRect l="-5" t="-8" r="-5" b="-8"/>
                    <a:stretch>
                      <a:fillRect/>
                    </a:stretch>
                  </pic:blipFill>
                  <pic:spPr bwMode="auto">
                    <a:xfrm>
                      <a:off x="0" y="0"/>
                      <a:ext cx="5783580" cy="3856990"/>
                    </a:xfrm>
                    <a:prstGeom prst="rect">
                      <a:avLst/>
                    </a:prstGeom>
                  </pic:spPr>
                </pic:pic>
              </a:graphicData>
            </a:graphic>
          </wp:inline>
        </w:drawing>
      </w:r>
    </w:p>
    <w:p>
      <w:pPr>
        <w:pStyle w:val="TF"/>
        <w:rPr/>
      </w:pPr>
      <w:bookmarkStart w:id="973" w:name="_Ref402724942"/>
      <w:r>
        <w:rPr/>
        <w:t>Figure</w:t>
      </w:r>
      <w:bookmarkEnd w:id="973"/>
      <w:r>
        <w:rPr/>
        <w:t xml:space="preserve"> 8. System level results with different TSC mapping plans – VAMOS.</w:t>
      </w:r>
    </w:p>
    <w:p>
      <w:pPr>
        <w:pStyle w:val="FP"/>
        <w:rPr/>
      </w:pPr>
      <w:r>
        <w:rPr/>
      </w:r>
    </w:p>
    <w:p>
      <w:pPr>
        <w:pStyle w:val="Normal"/>
        <w:rPr/>
      </w:pPr>
      <w:r>
        <w:rPr/>
        <w:t>Two different TSC plans without NewToN have been used, either applying an 8 re-use or a 16 re-use. The benefit of using a 16 re-use is that the probability of co-TSC is vastly reduced in case of a low loaded network (not many VAMOS connections), while at high loads the VAMOS connections increase and the plan, in the extreme case of only VAMOS connections, effectively reduces to an 8 TSC re-use. It can be seen from the simulations that the gap between the two curves without NewToN (blue) diminishes with increasing load.</w:t>
      </w:r>
    </w:p>
    <w:p>
      <w:pPr>
        <w:pStyle w:val="Normal"/>
        <w:rPr/>
      </w:pPr>
      <w:r>
        <w:rPr/>
        <w:t>For NewToN both using TSC set 1+3 (16 re-use), and TSC set 2+3 (16 re-use) was simulated. TSC set 2+3 was simulated to see what could be gained at a high loaded network scenario with NewToN MS (i.e. where TSC set 1 is not used for basic TSC planning but only in VAMOS connections).</w:t>
      </w:r>
    </w:p>
    <w:p>
      <w:pPr>
        <w:pStyle w:val="Normal"/>
        <w:rPr/>
      </w:pPr>
      <w:r>
        <w:rPr/>
        <w:t>It can be seen that additional system capacity gains of 12-18 percentage points are brought by using NewToN with the VAMOS feature compared to using a 16 TSC re-use without NewToN.</w:t>
      </w:r>
    </w:p>
    <w:p>
      <w:pPr>
        <w:pStyle w:val="Heading2"/>
        <w:rPr/>
      </w:pPr>
      <w:bookmarkStart w:id="974" w:name="__RefHeading___Toc518036278"/>
      <w:bookmarkStart w:id="975" w:name="_Ref396765598"/>
      <w:bookmarkEnd w:id="974"/>
      <w:r>
        <w:rPr/>
        <w:t>ZE.4.4</w:t>
        <w:tab/>
        <w:t>Performance comparison according to NewToN framework</w:t>
      </w:r>
      <w:bookmarkEnd w:id="975"/>
    </w:p>
    <w:p>
      <w:pPr>
        <w:pStyle w:val="Normal"/>
        <w:rPr/>
      </w:pPr>
      <w:r>
        <w:rPr/>
        <w:t>In Section ZE.4.6, the performance gain of the proposed TSC set according to the performance evaluation framework is shown. The gain is shown compared to two different references. The first reference is the legacy training sequences for all modulations, excluding GMSK TSC Set 2 (except for the VAMOS performance, for which both GMSK TSC sets were used). Compared to this reference, the gain is 1.5 dB, when averaged across all scenarios defined in the framework.</w:t>
      </w:r>
    </w:p>
    <w:p>
      <w:pPr>
        <w:pStyle w:val="Normal"/>
        <w:rPr/>
      </w:pPr>
      <w:r>
        <w:rPr/>
        <w:t>The second reference is using all legacy training sequences, i.e., GMSK TSC Set 2 is included. The gain compared to this reference is 0.7 dB.</w:t>
      </w:r>
    </w:p>
    <w:p>
      <w:pPr>
        <w:pStyle w:val="Normal"/>
        <w:rPr/>
      </w:pPr>
      <w:r>
        <w:rPr/>
        <w:t>It can be seen that gains of up to 4.8 dB is observed in the extreme scenario (32QAM carrier, GMSK interferer) while some performance losses are also observed, mainly in scenarios where low weight is given to the interferer scenario, modulation combination according to the agreed framework. The most extreme loss is observed  in the ACI performance scenario with 32QAM carrier and 8PSK interferer.</w:t>
      </w:r>
    </w:p>
    <w:p>
      <w:pPr>
        <w:pStyle w:val="Normal"/>
        <w:rPr/>
      </w:pPr>
      <w:r>
        <w:rPr/>
        <w:t xml:space="preserve">To illustrate the performance Figure 9 is used, reflecting the difference of the 16 CCI modulation combinations in the Annex. As can be seen, 50% of the combinations are above 3 dB and 2 dB respectively for 'TSC set 1' and 'TSC set 1 and 2' respectively. The losses are at most 1 dB, but most of them </w:t>
      </w:r>
      <w:r>
        <w:rPr>
          <w:rFonts w:cs="Calibri"/>
        </w:rPr>
        <w:t>≤</w:t>
      </w:r>
      <w:r>
        <w:rPr/>
        <w:t xml:space="preserve"> 0.5 dB.</w:t>
      </w:r>
    </w:p>
    <w:p>
      <w:pPr>
        <w:pStyle w:val="TH"/>
        <w:rPr>
          <w:lang w:val="en-US" w:eastAsia="en-US"/>
        </w:rPr>
      </w:pPr>
      <w:r>
        <w:rPr>
          <w:lang w:val="en-US" w:eastAsia="en-US"/>
        </w:rPr>
        <w:drawing>
          <wp:inline distT="0" distB="0" distL="0" distR="0">
            <wp:extent cx="4660900" cy="3102610"/>
            <wp:effectExtent l="0" t="0" r="0" b="0"/>
            <wp:docPr id="29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10" descr=""/>
                    <pic:cNvPicPr>
                      <a:picLocks noChangeAspect="1" noChangeArrowheads="1"/>
                    </pic:cNvPicPr>
                  </pic:nvPicPr>
                  <pic:blipFill>
                    <a:blip r:embed="rId304"/>
                    <a:srcRect l="-6" t="-8" r="-6" b="-8"/>
                    <a:stretch>
                      <a:fillRect/>
                    </a:stretch>
                  </pic:blipFill>
                  <pic:spPr bwMode="auto">
                    <a:xfrm>
                      <a:off x="0" y="0"/>
                      <a:ext cx="4660900" cy="3102610"/>
                    </a:xfrm>
                    <a:prstGeom prst="rect">
                      <a:avLst/>
                    </a:prstGeom>
                  </pic:spPr>
                </pic:pic>
              </a:graphicData>
            </a:graphic>
          </wp:inline>
        </w:drawing>
      </w:r>
    </w:p>
    <w:p>
      <w:pPr>
        <w:pStyle w:val="TF"/>
        <w:rPr/>
      </w:pPr>
      <w:bookmarkStart w:id="976" w:name="_Ref403481830"/>
      <w:r>
        <w:rPr/>
        <w:t xml:space="preserve">Figure </w:t>
      </w:r>
      <w:bookmarkEnd w:id="976"/>
      <w:r>
        <w:rPr/>
        <w:t>9. 'CDF' of NewToN gains compared to performance evaluation framework – CCI.</w:t>
      </w:r>
    </w:p>
    <w:p>
      <w:pPr>
        <w:pStyle w:val="Normal"/>
        <w:rPr/>
      </w:pPr>
      <w:r>
        <w:rPr/>
        <w:t>To further analyze the point where of a loss of 1 dB is observed (C: GMSK, I: 8PSK versus TSC set 1), Figure 10 has been produced that shows the linear average of C/I at 5 % BER for different TSC sets combinations for this specific modulation combination.</w:t>
      </w:r>
    </w:p>
    <w:p>
      <w:pPr>
        <w:pStyle w:val="TH"/>
        <w:rPr>
          <w:lang w:val="en-US" w:eastAsia="en-US"/>
        </w:rPr>
      </w:pPr>
      <w:r>
        <w:rPr>
          <w:lang w:val="en-US" w:eastAsia="en-US"/>
        </w:rPr>
        <w:drawing>
          <wp:inline distT="0" distB="0" distL="0" distR="0">
            <wp:extent cx="5255895" cy="3219450"/>
            <wp:effectExtent l="0" t="0" r="0" b="0"/>
            <wp:docPr id="29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 descr=""/>
                    <pic:cNvPicPr>
                      <a:picLocks noChangeAspect="1" noChangeArrowheads="1"/>
                    </pic:cNvPicPr>
                  </pic:nvPicPr>
                  <pic:blipFill>
                    <a:blip r:embed="rId305"/>
                    <a:srcRect l="-2" t="-4" r="-2" b="-4"/>
                    <a:stretch>
                      <a:fillRect/>
                    </a:stretch>
                  </pic:blipFill>
                  <pic:spPr bwMode="auto">
                    <a:xfrm>
                      <a:off x="0" y="0"/>
                      <a:ext cx="5255895" cy="3219450"/>
                    </a:xfrm>
                    <a:prstGeom prst="rect">
                      <a:avLst/>
                    </a:prstGeom>
                  </pic:spPr>
                </pic:pic>
              </a:graphicData>
            </a:graphic>
          </wp:inline>
        </w:drawing>
      </w:r>
    </w:p>
    <w:p>
      <w:pPr>
        <w:pStyle w:val="TF"/>
        <w:rPr/>
      </w:pPr>
      <w:bookmarkStart w:id="977" w:name="_Ref403482103"/>
      <w:r>
        <w:rPr/>
        <w:t xml:space="preserve">Figure </w:t>
      </w:r>
      <w:bookmarkEnd w:id="977"/>
      <w:r>
        <w:rPr/>
        <w:t>10. Breakdown of CCI case with C: GMSK, I: 8PSK.</w:t>
      </w:r>
    </w:p>
    <w:p>
      <w:pPr>
        <w:pStyle w:val="Normal"/>
        <w:rPr/>
      </w:pPr>
      <w:r>
        <w:rPr/>
        <w:t>It can be observed that:</w:t>
      </w:r>
    </w:p>
    <w:p>
      <w:pPr>
        <w:pStyle w:val="B1"/>
        <w:rPr/>
      </w:pPr>
      <w:r>
        <w:rPr/>
        <w:t>-</w:t>
        <w:tab/>
        <w:t>The legacy case (red color in figure) consist of two parts, "GMSK1 + 8PSK1" and "GMSK2 + 8PSK1". These differ significantly in performance. The average of these, denoted "GMSK1/2 + 8PSK1", constitutes our reference case. Compared to this, there is a gain of 0.3 dB for NewToN, "GMSK1/2/3/4 + 8PSK1/2".</w:t>
      </w:r>
    </w:p>
    <w:p>
      <w:pPr>
        <w:pStyle w:val="B1"/>
        <w:rPr/>
      </w:pPr>
      <w:r>
        <w:rPr/>
        <w:t>-</w:t>
        <w:tab/>
        <w:t xml:space="preserve">If comparing only to legacy set 1 ("GMSK1+8PSK1"), there is a loss of 1 dB. </w:t>
      </w:r>
    </w:p>
    <w:p>
      <w:pPr>
        <w:pStyle w:val="B1"/>
        <w:rPr/>
      </w:pPr>
      <w:r>
        <w:rPr/>
        <w:t>-</w:t>
        <w:tab/>
        <w:t>Looking more into details, one can see:</w:t>
      </w:r>
    </w:p>
    <w:p>
      <w:pPr>
        <w:pStyle w:val="B2"/>
        <w:rPr/>
      </w:pPr>
      <w:r>
        <w:rPr/>
        <w:t>-</w:t>
        <w:tab/>
        <w:t>"GMSK3 + 8PSK1" and "GMSK4 + 8PSK1", i.e. new TSC:s for carrier and legacy TSC:s for interferer, are both better than "GMSK1 + 8PSK1". This is good and should be the most important case for a NewToN MS (using GMSK and being interfered by 8PSK), and is roughly 1.5 dB better than the collected legacy performance of TSC set 1 and 2 ("GMSK1/2 + 8PSK1").</w:t>
      </w:r>
    </w:p>
    <w:p>
      <w:pPr>
        <w:pStyle w:val="B2"/>
        <w:rPr/>
      </w:pPr>
      <w:r>
        <w:rPr/>
        <w:t>-</w:t>
        <w:tab/>
        <w:t>"GMSK1 + 8PSK2" and "GMSK2 + 8PSK2", i.e. how legacy GMSK sets perform when interfered by the new 8PSK set, is in the middle, on each side of the legacy case with difference around 0.3 dB.</w:t>
      </w:r>
    </w:p>
    <w:p>
      <w:pPr>
        <w:pStyle w:val="B2"/>
        <w:rPr/>
      </w:pPr>
      <w:r>
        <w:rPr/>
        <w:t>-</w:t>
        <w:tab/>
        <w:t>"GMSK3 + 8PSK2" and "GMSK4 + 8PSK2" are worse (but still better than the legacy "GMSK2 + 8PSK1" case). This is the least likely case (NewToN MS interfered by other NewToN MS).</w:t>
      </w:r>
    </w:p>
    <w:p>
      <w:pPr>
        <w:pStyle w:val="B1"/>
        <w:rPr/>
      </w:pPr>
      <w:r>
        <w:rPr/>
        <w:t>-</w:t>
        <w:tab/>
        <w:t>The differences seen can be taken into account in network planning, i.e. it is shown that the NewToN sets are superior when interfered by the legacy set, while NewToN GMSK sets interfered by NewToN 8PSK set is inferior. Hence, effectively a network could have more loose relation between cells of new TSCs, and stronger relation between cells using new and legacy sets respectively.</w:t>
      </w:r>
    </w:p>
    <w:p>
      <w:pPr>
        <w:pStyle w:val="FP"/>
        <w:rPr/>
      </w:pPr>
      <w:r>
        <w:rPr/>
      </w:r>
    </w:p>
    <w:p>
      <w:pPr>
        <w:pStyle w:val="Heading2"/>
        <w:rPr/>
      </w:pPr>
      <w:bookmarkStart w:id="978" w:name="__RefHeading___Toc518036279"/>
      <w:bookmarkEnd w:id="978"/>
      <w:r>
        <w:rPr/>
        <w:t>ZE.4.5</w:t>
        <w:tab/>
        <w:t>Conclusions</w:t>
      </w:r>
    </w:p>
    <w:p>
      <w:pPr>
        <w:pStyle w:val="Normal"/>
        <w:rPr/>
      </w:pPr>
      <w:r>
        <w:rPr/>
        <w:t>In this contribution, the impact of co-TSC interference (interference with the same TSC as the wanted signal in a synchronized network) has been investigated. Further, the gains of having a sparser TSC plan (as enabled by e.g. NewToN) have been assessed. It was found that by using 16 TSCs instead of eight in the TSC plan, the probability of strong co-TSC interference can be reduced, resulting in a link level gain of around 2 dB.</w:t>
      </w:r>
    </w:p>
    <w:p>
      <w:pPr>
        <w:pStyle w:val="Normal"/>
        <w:rPr/>
      </w:pPr>
      <w:r>
        <w:rPr/>
        <w:t>The new TSC set has also been investigated on system level using a dynamic system level simulator with an integrated link level simulator object in detail modeling the impact of TSCs allocation for each radio link. System capacity gains in the range of 34 - 47 % were observed compared to a system utilizing TSC set 1 for the TSC plan. When NewToN was used together with VAMOS, additional VAMOS capacity gains of 12 - 18 percentage points were observed.</w:t>
      </w:r>
      <w:r>
        <w:rPr>
          <w:lang w:eastAsia="zh-CN"/>
        </w:rPr>
        <w:t xml:space="preserve"> The simulations does not take into account the most likely deployment scenario where TSC set 1 is planned in all cells, in which case lower system capacity gains are expected. For example, if a 5 % penetration level is assumed, the system capacity gains would be significantly reduced.</w:t>
      </w:r>
    </w:p>
    <w:p>
      <w:pPr>
        <w:pStyle w:val="Normal"/>
        <w:rPr/>
      </w:pPr>
      <w:r>
        <w:rPr/>
        <w:t>Furthermore, the proposed TSC set was evaluated with the agreed framework to provide on average 1.5 dB and 0.7 dB gains respectively when compared with TSC set 1 and TSC set 1 and TSC set 2. The gains were seen to provide rather large variations depending on scenario with maximum gain at 4.8 dB, but also noting some losses mainly in the less prioritized scenarios according to the agreed framework. For one important case a loss of up to 1 dB was observed. More analysis was provided to explain the reason for the performance difference, showing that the new GMSK sets interfered by legacy 8PSK set (sub-set of the total metric) provides a gain of roughly 1.5 dB, which is considered to be the most important sub-set of this metric.</w:t>
      </w:r>
    </w:p>
    <w:p>
      <w:pPr>
        <w:pStyle w:val="Heading2"/>
        <w:rPr/>
      </w:pPr>
      <w:bookmarkStart w:id="979" w:name="__RefHeading___Toc518036280"/>
      <w:bookmarkEnd w:id="979"/>
      <w:r>
        <w:rPr/>
        <w:t>ZE.4.6: Performance comparison according to NewToN performance framework</w:t>
      </w:r>
    </w:p>
    <w:p>
      <w:pPr>
        <w:pStyle w:val="Normal"/>
        <w:rPr/>
      </w:pPr>
      <w:r>
        <w:rPr/>
        <w:t>Figure 10 summarizes the gains of the proposed NewToN TSC sets compared to legacy TSC Sets, according to the performance evaluation framework.</w:t>
      </w:r>
    </w:p>
    <w:p>
      <w:pPr>
        <w:pStyle w:val="Normal"/>
        <w:rPr/>
      </w:pPr>
      <w:r>
        <w:rPr/>
        <w:t>In the left table, GMSK TSC Set 2 was excluded except for the sensitivity performance with VAMOS, for which GMSK TSC Set 2 was included.</w:t>
      </w:r>
    </w:p>
    <w:p>
      <w:pPr>
        <w:pStyle w:val="Normal"/>
        <w:rPr/>
      </w:pPr>
      <w:r>
        <w:rPr/>
        <w:t>In the right table, GMSK TSC Set 2 is included also in the non-VAMOS simulations.</w:t>
      </w:r>
    </w:p>
    <w:p>
      <w:pPr>
        <w:pStyle w:val="TH"/>
        <w:rPr>
          <w:lang w:val="en-US"/>
        </w:rPr>
      </w:pPr>
      <w:r>
        <w:rPr/>
        <w:t>.</w:t>
      </w:r>
    </w:p>
    <w:p>
      <w:pPr>
        <w:pStyle w:val="TH"/>
        <w:rPr>
          <w:lang w:val="en-US" w:eastAsia="en-US"/>
        </w:rPr>
      </w:pPr>
      <w:r>
        <w:rPr>
          <w:lang w:val="en-US" w:eastAsia="en-US"/>
        </w:rPr>
        <w:drawing>
          <wp:inline distT="0" distB="0" distL="0" distR="0">
            <wp:extent cx="4059555" cy="4458970"/>
            <wp:effectExtent l="0" t="0" r="0" b="0"/>
            <wp:docPr id="29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11" descr=""/>
                    <pic:cNvPicPr>
                      <a:picLocks noChangeAspect="1" noChangeArrowheads="1"/>
                    </pic:cNvPicPr>
                  </pic:nvPicPr>
                  <pic:blipFill>
                    <a:blip r:embed="rId306"/>
                    <a:srcRect l="-4" t="-4" r="-4" b="-4"/>
                    <a:stretch>
                      <a:fillRect/>
                    </a:stretch>
                  </pic:blipFill>
                  <pic:spPr bwMode="auto">
                    <a:xfrm>
                      <a:off x="0" y="0"/>
                      <a:ext cx="4059555" cy="4458970"/>
                    </a:xfrm>
                    <a:prstGeom prst="rect">
                      <a:avLst/>
                    </a:prstGeom>
                  </pic:spPr>
                </pic:pic>
              </a:graphicData>
            </a:graphic>
          </wp:inline>
        </w:drawing>
      </w:r>
    </w:p>
    <w:p>
      <w:pPr>
        <w:pStyle w:val="TF"/>
        <w:rPr/>
      </w:pPr>
      <w:r>
        <w:rPr/>
        <w:t>Figure 10: Performance evaluation of TSC proposal according to the framework, compared to legacy training sequences, using a BTS receiver.</w:t>
      </w:r>
    </w:p>
    <w:p>
      <w:pPr>
        <w:pStyle w:val="FP"/>
        <w:rPr/>
      </w:pPr>
      <w:r>
        <w:rPr/>
      </w:r>
    </w:p>
    <w:p>
      <w:pPr>
        <w:pStyle w:val="Heading2"/>
        <w:rPr/>
      </w:pPr>
      <w:bookmarkStart w:id="980" w:name="__RefHeading___Toc518036281"/>
      <w:bookmarkEnd w:id="980"/>
      <w:r>
        <w:rPr/>
        <w:t>ZE.4.7</w:t>
        <w:tab/>
        <w:t>Detailed link level performance</w:t>
      </w:r>
    </w:p>
    <w:p>
      <w:pPr>
        <w:pStyle w:val="Normal"/>
        <w:rPr/>
      </w:pPr>
      <w:r>
        <w:rPr/>
        <w:t>In this Annex contains link level plots of class 1A FER versus C/I based on the methodology in sub clause ZE.4.2 for the different codecs listed in Table 3 (ZE.4.2.3.2).</w:t>
      </w:r>
    </w:p>
    <w:tbl>
      <w:tblPr>
        <w:tblW w:w="8692" w:type="dxa"/>
        <w:jc w:val="left"/>
        <w:tblInd w:w="-113" w:type="dxa"/>
        <w:tblLayout w:type="fixed"/>
        <w:tblCellMar>
          <w:top w:w="0" w:type="dxa"/>
          <w:left w:w="108" w:type="dxa"/>
          <w:bottom w:w="0" w:type="dxa"/>
          <w:right w:w="108" w:type="dxa"/>
        </w:tblCellMar>
      </w:tblPr>
      <w:tblGrid>
        <w:gridCol w:w="4346"/>
        <w:gridCol w:w="4346"/>
      </w:tblGrid>
      <w:tr>
        <w:trPr/>
        <w:tc>
          <w:tcPr>
            <w:tcW w:w="4346" w:type="dxa"/>
            <w:tcBorders>
              <w:top w:val="single" w:sz="4" w:space="0" w:color="000000"/>
              <w:left w:val="single" w:sz="4" w:space="0" w:color="000000"/>
              <w:bottom w:val="single" w:sz="4" w:space="0" w:color="000000"/>
              <w:right w:val="single" w:sz="4" w:space="0" w:color="000000"/>
            </w:tcBorders>
          </w:tcPr>
          <w:p>
            <w:pPr>
              <w:pStyle w:val="TH"/>
              <w:spacing w:before="60" w:after="180"/>
              <w:rPr>
                <w:lang w:eastAsia="en-US"/>
              </w:rPr>
            </w:pPr>
            <w:r>
              <w:rPr>
                <w:lang w:val="en-US" w:eastAsia="en-US"/>
              </w:rPr>
              <w:drawing>
                <wp:inline distT="0" distB="0" distL="0" distR="0">
                  <wp:extent cx="2621915" cy="1750060"/>
                  <wp:effectExtent l="0" t="0" r="0" b="0"/>
                  <wp:docPr id="29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2" descr=""/>
                          <pic:cNvPicPr>
                            <a:picLocks noChangeAspect="1" noChangeArrowheads="1"/>
                          </pic:cNvPicPr>
                        </pic:nvPicPr>
                        <pic:blipFill>
                          <a:blip r:embed="rId307"/>
                          <a:srcRect l="-7" t="-10" r="-7" b="-10"/>
                          <a:stretch>
                            <a:fillRect/>
                          </a:stretch>
                        </pic:blipFill>
                        <pic:spPr bwMode="auto">
                          <a:xfrm>
                            <a:off x="0" y="0"/>
                            <a:ext cx="2621915" cy="1750060"/>
                          </a:xfrm>
                          <a:prstGeom prst="rect">
                            <a:avLst/>
                          </a:prstGeom>
                        </pic:spPr>
                      </pic:pic>
                    </a:graphicData>
                  </a:graphic>
                </wp:inline>
              </w:drawing>
            </w:r>
          </w:p>
        </w:tc>
        <w:tc>
          <w:tcPr>
            <w:tcW w:w="4346" w:type="dxa"/>
            <w:tcBorders>
              <w:top w:val="single" w:sz="4" w:space="0" w:color="000000"/>
              <w:left w:val="single" w:sz="4" w:space="0" w:color="000000"/>
              <w:bottom w:val="single" w:sz="4" w:space="0" w:color="000000"/>
              <w:right w:val="single" w:sz="4" w:space="0" w:color="000000"/>
            </w:tcBorders>
          </w:tcPr>
          <w:p>
            <w:pPr>
              <w:pStyle w:val="TH"/>
              <w:spacing w:before="60" w:after="180"/>
              <w:rPr>
                <w:lang w:eastAsia="en-US"/>
              </w:rPr>
            </w:pPr>
            <w:r>
              <w:rPr>
                <w:lang w:val="en-US" w:eastAsia="en-US"/>
              </w:rPr>
              <w:drawing>
                <wp:inline distT="0" distB="0" distL="0" distR="0">
                  <wp:extent cx="2616200" cy="1746250"/>
                  <wp:effectExtent l="0" t="0" r="0" b="0"/>
                  <wp:docPr id="29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13" descr=""/>
                          <pic:cNvPicPr>
                            <a:picLocks noChangeAspect="1" noChangeArrowheads="1"/>
                          </pic:cNvPicPr>
                        </pic:nvPicPr>
                        <pic:blipFill>
                          <a:blip r:embed="rId308"/>
                          <a:srcRect l="-7" t="-10" r="-7" b="-10"/>
                          <a:stretch>
                            <a:fillRect/>
                          </a:stretch>
                        </pic:blipFill>
                        <pic:spPr bwMode="auto">
                          <a:xfrm>
                            <a:off x="0" y="0"/>
                            <a:ext cx="2616200" cy="1746250"/>
                          </a:xfrm>
                          <a:prstGeom prst="rect">
                            <a:avLst/>
                          </a:prstGeom>
                        </pic:spPr>
                      </pic:pic>
                    </a:graphicData>
                  </a:graphic>
                </wp:inline>
              </w:drawing>
            </w:r>
          </w:p>
        </w:tc>
      </w:tr>
      <w:tr>
        <w:trPr/>
        <w:tc>
          <w:tcPr>
            <w:tcW w:w="4346" w:type="dxa"/>
            <w:tcBorders>
              <w:top w:val="single" w:sz="4" w:space="0" w:color="000000"/>
              <w:left w:val="single" w:sz="4" w:space="0" w:color="000000"/>
              <w:bottom w:val="single" w:sz="4" w:space="0" w:color="000000"/>
              <w:right w:val="single" w:sz="4" w:space="0" w:color="000000"/>
            </w:tcBorders>
          </w:tcPr>
          <w:p>
            <w:pPr>
              <w:pStyle w:val="TH"/>
              <w:spacing w:before="60" w:after="180"/>
              <w:rPr>
                <w:lang w:eastAsia="en-US"/>
              </w:rPr>
            </w:pPr>
            <w:r>
              <w:rPr>
                <w:lang w:val="en-US" w:eastAsia="en-US"/>
              </w:rPr>
              <w:drawing>
                <wp:inline distT="0" distB="0" distL="0" distR="0">
                  <wp:extent cx="2594610" cy="1731645"/>
                  <wp:effectExtent l="0" t="0" r="0" b="0"/>
                  <wp:docPr id="29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4" descr=""/>
                          <pic:cNvPicPr>
                            <a:picLocks noChangeAspect="1" noChangeArrowheads="1"/>
                          </pic:cNvPicPr>
                        </pic:nvPicPr>
                        <pic:blipFill>
                          <a:blip r:embed="rId309"/>
                          <a:srcRect l="-7" t="-10" r="-7" b="-10"/>
                          <a:stretch>
                            <a:fillRect/>
                          </a:stretch>
                        </pic:blipFill>
                        <pic:spPr bwMode="auto">
                          <a:xfrm>
                            <a:off x="0" y="0"/>
                            <a:ext cx="2594610" cy="1731645"/>
                          </a:xfrm>
                          <a:prstGeom prst="rect">
                            <a:avLst/>
                          </a:prstGeom>
                        </pic:spPr>
                      </pic:pic>
                    </a:graphicData>
                  </a:graphic>
                </wp:inline>
              </w:drawing>
            </w:r>
          </w:p>
        </w:tc>
        <w:tc>
          <w:tcPr>
            <w:tcW w:w="4346" w:type="dxa"/>
            <w:tcBorders>
              <w:top w:val="single" w:sz="4" w:space="0" w:color="000000"/>
              <w:left w:val="single" w:sz="4" w:space="0" w:color="000000"/>
              <w:bottom w:val="single" w:sz="4" w:space="0" w:color="000000"/>
              <w:right w:val="single" w:sz="4" w:space="0" w:color="000000"/>
            </w:tcBorders>
          </w:tcPr>
          <w:p>
            <w:pPr>
              <w:pStyle w:val="TH"/>
              <w:spacing w:before="60" w:after="180"/>
              <w:rPr>
                <w:lang w:eastAsia="en-US"/>
              </w:rPr>
            </w:pPr>
            <w:r>
              <w:rPr>
                <w:lang w:val="en-US" w:eastAsia="en-US"/>
              </w:rPr>
              <w:drawing>
                <wp:inline distT="0" distB="0" distL="0" distR="0">
                  <wp:extent cx="2621915" cy="1750060"/>
                  <wp:effectExtent l="0" t="0" r="0" b="0"/>
                  <wp:docPr id="29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4" descr=""/>
                          <pic:cNvPicPr>
                            <a:picLocks noChangeAspect="1" noChangeArrowheads="1"/>
                          </pic:cNvPicPr>
                        </pic:nvPicPr>
                        <pic:blipFill>
                          <a:blip r:embed="rId310"/>
                          <a:srcRect l="-7" t="-10" r="-7" b="-10"/>
                          <a:stretch>
                            <a:fillRect/>
                          </a:stretch>
                        </pic:blipFill>
                        <pic:spPr bwMode="auto">
                          <a:xfrm>
                            <a:off x="0" y="0"/>
                            <a:ext cx="2621915" cy="1750060"/>
                          </a:xfrm>
                          <a:prstGeom prst="rect">
                            <a:avLst/>
                          </a:prstGeom>
                        </pic:spPr>
                      </pic:pic>
                    </a:graphicData>
                  </a:graphic>
                </wp:inline>
              </w:drawing>
            </w:r>
          </w:p>
        </w:tc>
      </w:tr>
    </w:tbl>
    <w:p>
      <w:pPr>
        <w:pStyle w:val="TF"/>
        <w:jc w:val="left"/>
        <w:rPr/>
      </w:pPr>
      <w:r>
        <w:rPr/>
        <w:t>Figure 12. FER vs C/I in uplink scenarios – AFS4.75, AFS5.90, AFS7.95, AFS12.2</w:t>
      </w:r>
    </w:p>
    <w:p>
      <w:pPr>
        <w:pStyle w:val="FP"/>
        <w:rPr/>
      </w:pPr>
      <w:r>
        <w:rPr/>
      </w:r>
    </w:p>
    <w:tbl>
      <w:tblPr>
        <w:tblW w:w="8760" w:type="dxa"/>
        <w:jc w:val="left"/>
        <w:tblInd w:w="-113" w:type="dxa"/>
        <w:tblLayout w:type="fixed"/>
        <w:tblCellMar>
          <w:top w:w="0" w:type="dxa"/>
          <w:left w:w="108" w:type="dxa"/>
          <w:bottom w:w="0" w:type="dxa"/>
          <w:right w:w="108" w:type="dxa"/>
        </w:tblCellMar>
      </w:tblPr>
      <w:tblGrid>
        <w:gridCol w:w="4346"/>
        <w:gridCol w:w="4414"/>
      </w:tblGrid>
      <w:tr>
        <w:trPr/>
        <w:tc>
          <w:tcPr>
            <w:tcW w:w="4346" w:type="dxa"/>
            <w:tcBorders>
              <w:top w:val="single" w:sz="4" w:space="0" w:color="000000"/>
              <w:left w:val="single" w:sz="4" w:space="0" w:color="000000"/>
              <w:bottom w:val="single" w:sz="4" w:space="0" w:color="000000"/>
              <w:right w:val="single" w:sz="4" w:space="0" w:color="000000"/>
            </w:tcBorders>
          </w:tcPr>
          <w:p>
            <w:pPr>
              <w:pStyle w:val="TH"/>
              <w:spacing w:before="60" w:after="180"/>
              <w:rPr>
                <w:lang w:eastAsia="en-US"/>
              </w:rPr>
            </w:pPr>
            <w:r>
              <w:rPr>
                <w:lang w:val="en-US" w:eastAsia="en-US"/>
              </w:rPr>
              <w:drawing>
                <wp:inline distT="0" distB="0" distL="0" distR="0">
                  <wp:extent cx="2594610" cy="1731645"/>
                  <wp:effectExtent l="0" t="0" r="0" b="0"/>
                  <wp:docPr id="30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5" descr=""/>
                          <pic:cNvPicPr>
                            <a:picLocks noChangeAspect="1" noChangeArrowheads="1"/>
                          </pic:cNvPicPr>
                        </pic:nvPicPr>
                        <pic:blipFill>
                          <a:blip r:embed="rId311"/>
                          <a:srcRect l="-7" t="-10" r="-7" b="-10"/>
                          <a:stretch>
                            <a:fillRect/>
                          </a:stretch>
                        </pic:blipFill>
                        <pic:spPr bwMode="auto">
                          <a:xfrm>
                            <a:off x="0" y="0"/>
                            <a:ext cx="2594610" cy="1731645"/>
                          </a:xfrm>
                          <a:prstGeom prst="rect">
                            <a:avLst/>
                          </a:prstGeom>
                        </pic:spPr>
                      </pic:pic>
                    </a:graphicData>
                  </a:graphic>
                </wp:inline>
              </w:drawing>
            </w:r>
          </w:p>
        </w:tc>
        <w:tc>
          <w:tcPr>
            <w:tcW w:w="4414" w:type="dxa"/>
            <w:tcBorders>
              <w:top w:val="single" w:sz="4" w:space="0" w:color="000000"/>
              <w:left w:val="single" w:sz="4" w:space="0" w:color="000000"/>
              <w:bottom w:val="single" w:sz="4" w:space="0" w:color="000000"/>
              <w:right w:val="single" w:sz="4" w:space="0" w:color="000000"/>
            </w:tcBorders>
          </w:tcPr>
          <w:p>
            <w:pPr>
              <w:pStyle w:val="TH"/>
              <w:spacing w:before="60" w:after="180"/>
              <w:rPr>
                <w:lang w:eastAsia="en-US"/>
              </w:rPr>
            </w:pPr>
            <w:r>
              <w:rPr>
                <w:lang w:val="en-US" w:eastAsia="en-US"/>
              </w:rPr>
              <w:drawing>
                <wp:inline distT="0" distB="0" distL="0" distR="0">
                  <wp:extent cx="2643505" cy="1764030"/>
                  <wp:effectExtent l="0" t="0" r="0" b="0"/>
                  <wp:docPr id="30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17" descr=""/>
                          <pic:cNvPicPr>
                            <a:picLocks noChangeAspect="1" noChangeArrowheads="1"/>
                          </pic:cNvPicPr>
                        </pic:nvPicPr>
                        <pic:blipFill>
                          <a:blip r:embed="rId312"/>
                          <a:srcRect l="-7" t="-10" r="-7" b="-10"/>
                          <a:stretch>
                            <a:fillRect/>
                          </a:stretch>
                        </pic:blipFill>
                        <pic:spPr bwMode="auto">
                          <a:xfrm>
                            <a:off x="0" y="0"/>
                            <a:ext cx="2643505" cy="1764030"/>
                          </a:xfrm>
                          <a:prstGeom prst="rect">
                            <a:avLst/>
                          </a:prstGeom>
                        </pic:spPr>
                      </pic:pic>
                    </a:graphicData>
                  </a:graphic>
                </wp:inline>
              </w:drawing>
            </w:r>
          </w:p>
        </w:tc>
      </w:tr>
      <w:tr>
        <w:trPr/>
        <w:tc>
          <w:tcPr>
            <w:tcW w:w="4346" w:type="dxa"/>
            <w:tcBorders>
              <w:top w:val="single" w:sz="4" w:space="0" w:color="000000"/>
              <w:left w:val="single" w:sz="4" w:space="0" w:color="000000"/>
              <w:bottom w:val="single" w:sz="4" w:space="0" w:color="000000"/>
              <w:right w:val="single" w:sz="4" w:space="0" w:color="000000"/>
            </w:tcBorders>
          </w:tcPr>
          <w:p>
            <w:pPr>
              <w:pStyle w:val="TH"/>
              <w:spacing w:before="60" w:after="180"/>
              <w:rPr>
                <w:lang w:eastAsia="en-US"/>
              </w:rPr>
            </w:pPr>
            <w:r>
              <w:rPr>
                <w:lang w:val="en-US" w:eastAsia="en-US"/>
              </w:rPr>
              <w:drawing>
                <wp:inline distT="0" distB="0" distL="0" distR="0">
                  <wp:extent cx="2621915" cy="1750060"/>
                  <wp:effectExtent l="0" t="0" r="0" b="0"/>
                  <wp:docPr id="30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6" descr=""/>
                          <pic:cNvPicPr>
                            <a:picLocks noChangeAspect="1" noChangeArrowheads="1"/>
                          </pic:cNvPicPr>
                        </pic:nvPicPr>
                        <pic:blipFill>
                          <a:blip r:embed="rId313"/>
                          <a:srcRect l="-7" t="-10" r="-7" b="-10"/>
                          <a:stretch>
                            <a:fillRect/>
                          </a:stretch>
                        </pic:blipFill>
                        <pic:spPr bwMode="auto">
                          <a:xfrm>
                            <a:off x="0" y="0"/>
                            <a:ext cx="2621915" cy="1750060"/>
                          </a:xfrm>
                          <a:prstGeom prst="rect">
                            <a:avLst/>
                          </a:prstGeom>
                        </pic:spPr>
                      </pic:pic>
                    </a:graphicData>
                  </a:graphic>
                </wp:inline>
              </w:drawing>
            </w:r>
          </w:p>
        </w:tc>
        <w:tc>
          <w:tcPr>
            <w:tcW w:w="4414" w:type="dxa"/>
            <w:tcBorders>
              <w:top w:val="single" w:sz="4" w:space="0" w:color="000000"/>
              <w:left w:val="single" w:sz="4" w:space="0" w:color="000000"/>
              <w:bottom w:val="single" w:sz="4" w:space="0" w:color="000000"/>
              <w:right w:val="single" w:sz="4" w:space="0" w:color="000000"/>
            </w:tcBorders>
          </w:tcPr>
          <w:p>
            <w:pPr>
              <w:pStyle w:val="TH"/>
              <w:spacing w:before="60" w:after="180"/>
              <w:rPr>
                <w:lang w:eastAsia="en-US"/>
              </w:rPr>
            </w:pPr>
            <w:r>
              <w:rPr>
                <w:lang w:val="en-US" w:eastAsia="en-US"/>
              </w:rPr>
              <w:drawing>
                <wp:inline distT="0" distB="0" distL="0" distR="0">
                  <wp:extent cx="2665095" cy="1778635"/>
                  <wp:effectExtent l="0" t="0" r="0" b="0"/>
                  <wp:docPr id="30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18" descr=""/>
                          <pic:cNvPicPr>
                            <a:picLocks noChangeAspect="1" noChangeArrowheads="1"/>
                          </pic:cNvPicPr>
                        </pic:nvPicPr>
                        <pic:blipFill>
                          <a:blip r:embed="rId314"/>
                          <a:srcRect l="-7" t="-10" r="-7" b="-10"/>
                          <a:stretch>
                            <a:fillRect/>
                          </a:stretch>
                        </pic:blipFill>
                        <pic:spPr bwMode="auto">
                          <a:xfrm>
                            <a:off x="0" y="0"/>
                            <a:ext cx="2665095" cy="1778635"/>
                          </a:xfrm>
                          <a:prstGeom prst="rect">
                            <a:avLst/>
                          </a:prstGeom>
                        </pic:spPr>
                      </pic:pic>
                    </a:graphicData>
                  </a:graphic>
                </wp:inline>
              </w:drawing>
            </w:r>
          </w:p>
        </w:tc>
      </w:tr>
    </w:tbl>
    <w:p>
      <w:pPr>
        <w:pStyle w:val="TF"/>
        <w:jc w:val="left"/>
        <w:rPr/>
      </w:pPr>
      <w:r>
        <w:rPr/>
        <w:t>Figure 13. FER vs C/I in downlink scenarios – AFS4.75, AFS5.90, AFS7.95, AFS12.2</w:t>
      </w:r>
      <w:r>
        <w:br w:type="page"/>
      </w:r>
    </w:p>
    <w:p>
      <w:pPr>
        <w:pStyle w:val="Heading9"/>
        <w:rPr/>
      </w:pPr>
      <w:bookmarkStart w:id="981" w:name="__RefHeading___Toc518036282"/>
      <w:bookmarkEnd w:id="981"/>
      <w:r>
        <w:rPr/>
        <w:t xml:space="preserve">Annex </w:t>
      </w:r>
      <w:r>
        <w:rPr>
          <w:lang w:val="en-US"/>
        </w:rPr>
        <w:t>ZF</w:t>
      </w:r>
      <w:r>
        <w:rPr/>
        <w:t>:</w:t>
        <w:br/>
      </w:r>
      <w:r>
        <w:rPr>
          <w:lang w:val="en-US"/>
        </w:rPr>
        <w:t>Machine-type-communication (MTC) deployment, including EC-GSM-IoT, in a reduced BCCH spectrum allocation</w:t>
      </w:r>
    </w:p>
    <w:p>
      <w:pPr>
        <w:pStyle w:val="Heading1"/>
        <w:ind w:left="1134" w:hanging="1134"/>
        <w:rPr>
          <w:lang w:val="en-US"/>
        </w:rPr>
      </w:pPr>
      <w:bookmarkStart w:id="982" w:name="__RefHeading___Toc518036283"/>
      <w:bookmarkEnd w:id="982"/>
      <w:r>
        <w:rPr>
          <w:lang w:val="en-US"/>
        </w:rPr>
        <w:t>ZF.1</w:t>
        <w:tab/>
        <w:t>Common simulation assumption framework</w:t>
      </w:r>
    </w:p>
    <w:p>
      <w:pPr>
        <w:pStyle w:val="Heading2"/>
        <w:rPr>
          <w:lang w:val="en-US"/>
        </w:rPr>
      </w:pPr>
      <w:bookmarkStart w:id="983" w:name="__RefHeading___Toc518036284"/>
      <w:bookmarkEnd w:id="983"/>
      <w:r>
        <w:rPr>
          <w:lang w:val="en-US"/>
        </w:rPr>
        <w:t>ZF.1.1</w:t>
        <w:tab/>
        <w:t>Tdoc reference</w:t>
      </w:r>
    </w:p>
    <w:p>
      <w:pPr>
        <w:pStyle w:val="Normal"/>
        <w:rPr>
          <w:lang w:val="sv-SE"/>
        </w:rPr>
      </w:pPr>
      <w:r>
        <w:rPr>
          <w:lang w:val="sv-SE"/>
        </w:rPr>
        <w:t>3GPP TSG GERAN WG1 #69</w:t>
      </w:r>
    </w:p>
    <w:p>
      <w:pPr>
        <w:pStyle w:val="Normal"/>
        <w:rPr>
          <w:lang w:val="sv-SE"/>
        </w:rPr>
      </w:pPr>
      <w:r>
        <w:rPr>
          <w:lang w:val="sv-SE"/>
        </w:rPr>
        <w:t>GP-160153</w:t>
      </w:r>
    </w:p>
    <w:p>
      <w:pPr>
        <w:pStyle w:val="Normal"/>
        <w:rPr>
          <w:lang w:val="en-US"/>
        </w:rPr>
      </w:pPr>
      <w:r>
        <w:rPr>
          <w:lang w:val="en-US"/>
        </w:rPr>
        <w:t>Malta</w:t>
      </w:r>
    </w:p>
    <w:p>
      <w:pPr>
        <w:pStyle w:val="Normal"/>
        <w:rPr/>
      </w:pPr>
      <w:r>
        <w:rPr>
          <w:lang w:val="en-US"/>
        </w:rPr>
        <w:t>15</w:t>
      </w:r>
      <w:r>
        <w:rPr>
          <w:vertAlign w:val="superscript"/>
          <w:lang w:val="en-US"/>
        </w:rPr>
        <w:t>th</w:t>
      </w:r>
      <w:r>
        <w:rPr>
          <w:lang w:val="en-US"/>
        </w:rPr>
        <w:t xml:space="preserve"> – 19</w:t>
      </w:r>
      <w:r>
        <w:rPr>
          <w:vertAlign w:val="superscript"/>
          <w:lang w:val="en-US"/>
        </w:rPr>
        <w:t>th</w:t>
      </w:r>
      <w:r>
        <w:rPr>
          <w:lang w:val="en-US"/>
        </w:rPr>
        <w:t xml:space="preserve"> February, 2016</w:t>
      </w:r>
    </w:p>
    <w:p>
      <w:pPr>
        <w:pStyle w:val="Normal"/>
        <w:rPr/>
      </w:pPr>
      <w:r>
        <w:rPr>
          <w:lang w:val="en-US"/>
        </w:rPr>
        <w:t>Source: Ericsson LM</w:t>
      </w:r>
    </w:p>
    <w:p>
      <w:pPr>
        <w:pStyle w:val="Normal"/>
        <w:rPr>
          <w:b/>
          <w:b/>
          <w:lang w:val="en-US"/>
        </w:rPr>
      </w:pPr>
      <w:r>
        <w:rPr>
          <w:b/>
          <w:lang w:val="en-US"/>
        </w:rPr>
        <w:t>Title: Intended scope for reduced spectrum allocation on BCCH evaluation</w:t>
      </w:r>
    </w:p>
    <w:p>
      <w:pPr>
        <w:pStyle w:val="Heading2"/>
        <w:rPr/>
      </w:pPr>
      <w:bookmarkStart w:id="984" w:name="__RefHeading___Toc518036285"/>
      <w:bookmarkEnd w:id="984"/>
      <w:r>
        <w:rPr>
          <w:lang w:val="en-US"/>
        </w:rPr>
        <w:t>ZF.1.2</w:t>
        <w:tab/>
        <w:t>Working assumptions for network simulations</w:t>
      </w:r>
    </w:p>
    <w:p>
      <w:pPr>
        <w:pStyle w:val="TH"/>
        <w:rPr>
          <w:lang w:val="en-US"/>
        </w:rPr>
      </w:pPr>
      <w:r>
        <w:rPr>
          <w:lang w:val="en-US"/>
        </w:rPr>
        <w:t>Table ZF.1-1: Working assumptions for network simulations</w:t>
      </w:r>
    </w:p>
    <w:tbl>
      <w:tblPr>
        <w:tblW w:w="7111" w:type="dxa"/>
        <w:jc w:val="center"/>
        <w:tblInd w:w="0" w:type="dxa"/>
        <w:tblLayout w:type="fixed"/>
        <w:tblCellMar>
          <w:top w:w="0" w:type="dxa"/>
          <w:left w:w="108" w:type="dxa"/>
          <w:bottom w:w="0" w:type="dxa"/>
          <w:right w:w="108" w:type="dxa"/>
        </w:tblCellMar>
      </w:tblPr>
      <w:tblGrid>
        <w:gridCol w:w="985"/>
        <w:gridCol w:w="6126"/>
      </w:tblGrid>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Nr</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Working assumption</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WA1</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The traffic to be carried by the tight reuse network is MTC traffic.</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WA2.1</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The network will serve a mix of EC-EGPRS and legacy GPRS MTC devices.</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WA2.2</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lang w:val="en-US"/>
              </w:rPr>
            </w:pPr>
            <w:r>
              <w:rPr>
                <w:lang w:val="en-US"/>
              </w:rPr>
              <w:t>The legacy GPRS MTC devices are assumed to support a max output power of 33 dBm.</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WA3</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The traffic models for MAR periodic and Network Command (see [1]) will be used for EC-EGPRS.</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WA3b</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The aggregate traffic model proposed in Annex ZF.8 will be used for legacy GPRS MTC.</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WA4</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Legacy PS devices are modeled by GPRS, optionally using EGPRS MCS-1-4. If EGPRS is used, no IR functionality shall be assumed activated.</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WA5.1</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EC-EGPRS devices supporting only GMSK modulation shall be evaluated. These are modeled by EGPRS MCS-1-4 using type 2 HARQ and blind physical layer transmissions.</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WA5.2</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EC-EGPRS devices supporting GMSK and 8PSK modulation may be evaluated. These are modeled by EGPRS MCS-1-9 using type 2 HARQ and blind physical layer transmissions.</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WA6</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The impact of a tighter frequency reuse on </w:t>
            </w:r>
            <w:r>
              <w:rPr>
                <w:u w:val="single"/>
                <w:lang w:val="en-US"/>
              </w:rPr>
              <w:t>network synchronization</w:t>
            </w:r>
            <w:r>
              <w:rPr>
                <w:lang w:val="en-US"/>
              </w:rPr>
              <w:t xml:space="preserve"> performance shall be investigated for both EC-EGPRS MS and legacy GPRS MS.</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WA6.1</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Network synchronization performance shall be investigated </w:t>
            </w:r>
          </w:p>
          <w:p>
            <w:pPr>
              <w:pStyle w:val="TAL"/>
              <w:rPr>
                <w:lang w:val="en-US"/>
              </w:rPr>
            </w:pPr>
            <w:r>
              <w:rPr>
                <w:lang w:val="en-US"/>
              </w:rPr>
              <w:t>for a relevant range of coupling losses,</w:t>
            </w:r>
          </w:p>
          <w:p>
            <w:pPr>
              <w:pStyle w:val="TAL"/>
              <w:rPr>
                <w:lang w:val="en-US"/>
              </w:rPr>
            </w:pPr>
            <w:r>
              <w:rPr>
                <w:lang w:val="en-US"/>
              </w:rPr>
              <w:t>with realistic interference models where SINR levels are reflecting the assumed and relevant network parameters, such as frequency reuse, and,</w:t>
            </w:r>
          </w:p>
          <w:p>
            <w:pPr>
              <w:pStyle w:val="TAL"/>
              <w:rPr/>
            </w:pPr>
            <w:r>
              <w:rPr>
                <w:lang w:val="en-US"/>
              </w:rPr>
              <w:t>where the logical channels are correctly mapped on both wanted and interfering signals</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WA6.1.1</w:t>
            </w:r>
          </w:p>
        </w:tc>
        <w:tc>
          <w:tcPr>
            <w:tcW w:w="61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For EC-EGPRS, network synchronization performance at coupling losses 164 dB, 154 dB and 144 dB shall be investigated.</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WA6.1.2</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For legacy GPRS, network synchronization performance at coupling loss 144 dB shall be investigated.</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WA6.1.3</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Interference models shall capture expected interference types, including a sufficient number of co- and adj-channel interferers as well as thermal noise, and signal levels expected in a GSM system for the investigated frequency reuse. It shall be verified that the number of modelled interferers is sufficient.</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WA6.1.4</w:t>
            </w:r>
          </w:p>
        </w:tc>
        <w:tc>
          <w:tcPr>
            <w:tcW w:w="61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The timing of each BCCH carrier is assumed to be random and uniformly distributed.</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WA6.2</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Except for what is stated in WA6.1, the definitions, assumptions and metrics specified in subclause 5.3.4 of [1] shall be followed when investigating network synchronization performance.</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WA7</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The impact of a tighter frequency reuse on </w:t>
            </w:r>
            <w:r>
              <w:rPr>
                <w:u w:val="single"/>
                <w:lang w:val="en-US"/>
              </w:rPr>
              <w:t xml:space="preserve">random access performance </w:t>
            </w:r>
            <w:r>
              <w:rPr>
                <w:lang w:val="en-US"/>
              </w:rPr>
              <w:t xml:space="preserve">shall be investigated for both EC-EGPRS MS and legacy GPRS MS. </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WA7.1</w:t>
            </w:r>
          </w:p>
        </w:tc>
        <w:tc>
          <w:tcPr>
            <w:tcW w:w="61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When evaluating random access performance, latency shall be referred to as the Common Control Signaling Delay defined </w:t>
            </w:r>
            <w:r>
              <w:rPr>
                <w:lang w:val="en-US" w:eastAsia="zh-CN"/>
              </w:rPr>
              <w:t>as the time from when the device application triggers a first access request until a response with a valid random reference has been received on (EC-)AGCH.</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WA7.2</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The methodology in subclause 5.3.5 of [1] shall be followed for RACH evaluation except for:</w:t>
            </w:r>
          </w:p>
          <w:p>
            <w:pPr>
              <w:pStyle w:val="TAL"/>
              <w:rPr>
                <w:lang w:val="en-US"/>
              </w:rPr>
            </w:pPr>
            <w:r>
              <w:rPr>
                <w:lang w:val="en-US"/>
              </w:rPr>
              <w:t>No BPL applied to legacy GPRS (see WA10)</w:t>
            </w:r>
          </w:p>
          <w:p>
            <w:pPr>
              <w:pStyle w:val="TAL"/>
              <w:rPr/>
            </w:pPr>
            <w:r>
              <w:rPr>
                <w:lang w:val="en-US"/>
              </w:rPr>
              <w:t>BPL model 1 with inter-site correlation coefficient 0.5 applied to EC-EGPRS (see WA11)</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WA8</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The impact of a tighter frequency reuse on </w:t>
            </w:r>
            <w:r>
              <w:rPr>
                <w:u w:val="single"/>
                <w:lang w:val="en-US"/>
              </w:rPr>
              <w:t>user data traffic performance</w:t>
            </w:r>
            <w:r>
              <w:rPr>
                <w:lang w:val="en-US"/>
              </w:rPr>
              <w:t xml:space="preserve"> shall be investigated for both EC-EGPRS MS and legacy GPRS MS. </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WA8.1</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The methodology in subclause 5.2.1 and 5.2.2 of [1] shall be followed for data traffic capacity evaluation except for:</w:t>
            </w:r>
          </w:p>
          <w:p>
            <w:pPr>
              <w:pStyle w:val="TAL"/>
              <w:rPr>
                <w:lang w:val="en-US"/>
              </w:rPr>
            </w:pPr>
            <w:r>
              <w:rPr>
                <w:lang w:val="en-US"/>
              </w:rPr>
              <w:t>Only the traffic models MAR Periodic and Network Command shall be used (see WA3 and WA3b)</w:t>
            </w:r>
          </w:p>
          <w:p>
            <w:pPr>
              <w:pStyle w:val="TAL"/>
              <w:rPr>
                <w:lang w:val="en-US"/>
              </w:rPr>
            </w:pPr>
            <w:r>
              <w:rPr>
                <w:lang w:val="en-US"/>
              </w:rPr>
              <w:t>No BPL applied to legacy GPRS (see WA10)</w:t>
            </w:r>
          </w:p>
          <w:p>
            <w:pPr>
              <w:pStyle w:val="TAL"/>
              <w:rPr>
                <w:lang w:val="en-US"/>
              </w:rPr>
            </w:pPr>
            <w:r>
              <w:rPr>
                <w:lang w:val="en-US"/>
              </w:rPr>
              <w:t>BPL model 1 with inter-site correlation coefficient 0.5 applied to EC-EGPRS (see WA11)</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WA8.2</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The methodology in subclause 5.3.2 and 5.3.3 of [1] shall be followed when investigating user data traffic latency.</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WA9</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The impact of a tighter frequency reuse on </w:t>
            </w:r>
            <w:r>
              <w:rPr>
                <w:u w:val="single"/>
                <w:lang w:val="en-US"/>
              </w:rPr>
              <w:t>cell reselection performance</w:t>
            </w:r>
            <w:r>
              <w:rPr>
                <w:lang w:val="en-US"/>
              </w:rPr>
              <w:t xml:space="preserve"> shall be investigated for both EC-EGPRS MS and legacy GPRS MS.</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WA9.1</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Cell reselection performance can either be investigated as part of the evaluations of user data traffic performance (see WA8) or as a separate evaluation.</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WA9.2</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Cell reselection shall be based on realistic models of neighbor cell measurements in idle mode and (legacy GPRS only) packet transfer mode. The models shall be described together with presented simulation results.</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WA9b</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The impact of interferers using blind physical layer transmissions should be investigated when modeling synchronized networks. </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WA10</w:t>
            </w:r>
          </w:p>
        </w:tc>
        <w:tc>
          <w:tcPr>
            <w:tcW w:w="61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No BPL is applied to GPRS.</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WA11</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BPL model 1 with inter-site correlation coefficient 0.5 of [1] is applied to EC-EGPRS.</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WA11b</w:t>
            </w:r>
          </w:p>
        </w:tc>
        <w:tc>
          <w:tcPr>
            <w:tcW w:w="6126" w:type="dxa"/>
            <w:tcBorders>
              <w:top w:val="single" w:sz="4" w:space="0" w:color="000000"/>
              <w:left w:val="single" w:sz="4" w:space="0" w:color="000000"/>
              <w:bottom w:val="single" w:sz="4" w:space="0" w:color="000000"/>
              <w:right w:val="single" w:sz="4" w:space="0" w:color="000000"/>
            </w:tcBorders>
          </w:tcPr>
          <w:p>
            <w:pPr>
              <w:pStyle w:val="TAL"/>
              <w:rPr/>
            </w:pPr>
            <w:r>
              <w:rPr>
                <w:lang w:val="en-US"/>
              </w:rPr>
              <w:t>In network synchronization performance simulations with 100 % fraction of legacy GPRS MS, an ISD of 7500 m shall be investigated in addition to the ISD of ~1732 m.</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WA11c</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A MS antenna gain of 0 dBi shall be used for legacy GPRS MS.</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WA12</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The target device density per cell (=sector) is the same as in [1] (i.e., 52547 devices per cell). This refers to the sum of legacy GPRS devices and EC-EGPRS devices.</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WA13</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lang w:val="en-US"/>
              </w:rPr>
            </w:pPr>
            <w:r>
              <w:rPr>
                <w:lang w:val="en-US"/>
              </w:rPr>
              <w:t>Different fractions of EC-EGPRS MS and GPRS MS will be investigated. 100 % fraction of legacy GPRS devices will be investigated. 0 % fraction of legacy GPRS devices will be investigated.</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WA13b</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In system capacity evaluations, a total protocol overhead of all protocols below application layer and above SNDCP layer of 65 bytes is assumed.</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WA14</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Unless otherwise specified in other working assumptions, the simulation assumptions in Annex C and Annex D of [1] shall be used for EC-EGPRS.</w:t>
            </w:r>
          </w:p>
        </w:tc>
      </w:tr>
      <w:tr>
        <w:trPr/>
        <w:tc>
          <w:tcPr>
            <w:tcW w:w="985"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WA15</w:t>
            </w:r>
          </w:p>
        </w:tc>
        <w:tc>
          <w:tcPr>
            <w:tcW w:w="612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rPr>
              <w:t>Unless otherwise specified in other working assumptions, the simulation assumptions in Annex C and Annex D of [1] shall be used for legacy GPRS.</w:t>
            </w:r>
          </w:p>
        </w:tc>
      </w:tr>
    </w:tbl>
    <w:p>
      <w:pPr>
        <w:pStyle w:val="Normal"/>
        <w:rPr>
          <w:lang w:val="en-US"/>
        </w:rPr>
      </w:pPr>
      <w:r>
        <w:rPr>
          <w:lang w:val="en-US"/>
        </w:rPr>
      </w:r>
    </w:p>
    <w:p>
      <w:pPr>
        <w:pStyle w:val="Heading1"/>
        <w:ind w:left="1134" w:hanging="1134"/>
        <w:rPr>
          <w:lang w:val="en-US"/>
        </w:rPr>
      </w:pPr>
      <w:bookmarkStart w:id="985" w:name="__RefHeading___Toc518036286"/>
      <w:bookmarkEnd w:id="985"/>
      <w:r>
        <w:rPr>
          <w:lang w:val="en-US"/>
        </w:rPr>
        <w:t>ZF.2</w:t>
        <w:tab/>
        <w:t>Simulator for Network synchronization evaluation</w:t>
      </w:r>
    </w:p>
    <w:p>
      <w:pPr>
        <w:pStyle w:val="Heading2"/>
        <w:rPr>
          <w:lang w:val="en-US"/>
        </w:rPr>
      </w:pPr>
      <w:bookmarkStart w:id="986" w:name="__RefHeading___Toc518036287"/>
      <w:bookmarkEnd w:id="986"/>
      <w:r>
        <w:rPr>
          <w:lang w:val="en-US"/>
        </w:rPr>
        <w:t>ZF.2.1</w:t>
        <w:tab/>
        <w:t>Tdoc reference</w:t>
      </w:r>
    </w:p>
    <w:p>
      <w:pPr>
        <w:pStyle w:val="Normal"/>
        <w:rPr/>
      </w:pPr>
      <w:r>
        <w:rPr/>
        <w:t>3GPP TSG GERAN WG1 #70</w:t>
      </w:r>
    </w:p>
    <w:p>
      <w:pPr>
        <w:pStyle w:val="Normal"/>
        <w:rPr>
          <w:lang w:val="en-US"/>
        </w:rPr>
      </w:pPr>
      <w:r>
        <w:rPr>
          <w:lang w:val="en-US"/>
        </w:rPr>
        <w:t>GP-160272</w:t>
      </w:r>
    </w:p>
    <w:p>
      <w:pPr>
        <w:pStyle w:val="Normal"/>
        <w:rPr/>
      </w:pPr>
      <w:r>
        <w:rPr>
          <w:lang w:val="en-US"/>
        </w:rPr>
        <w:t>Nanjing, P. R. China</w:t>
      </w:r>
    </w:p>
    <w:p>
      <w:pPr>
        <w:pStyle w:val="Normal"/>
        <w:rPr>
          <w:lang w:val="en-US"/>
        </w:rPr>
      </w:pPr>
      <w:r>
        <w:rPr>
          <w:lang w:val="en-US"/>
        </w:rPr>
        <w:t>23</w:t>
      </w:r>
      <w:r>
        <w:rPr>
          <w:vertAlign w:val="superscript"/>
          <w:lang w:val="en-US"/>
        </w:rPr>
        <w:t>th</w:t>
      </w:r>
      <w:r>
        <w:rPr>
          <w:lang w:val="en-US"/>
        </w:rPr>
        <w:t xml:space="preserve"> – 27</w:t>
      </w:r>
      <w:r>
        <w:rPr>
          <w:vertAlign w:val="superscript"/>
          <w:lang w:val="en-US"/>
        </w:rPr>
        <w:t>th</w:t>
      </w:r>
      <w:r>
        <w:rPr>
          <w:lang w:val="en-US"/>
        </w:rPr>
        <w:t>, May, 2016</w:t>
      </w:r>
    </w:p>
    <w:p>
      <w:pPr>
        <w:pStyle w:val="Normal"/>
        <w:rPr>
          <w:lang w:val="en-US"/>
        </w:rPr>
      </w:pPr>
      <w:r>
        <w:rPr>
          <w:lang w:val="en-US"/>
        </w:rPr>
        <w:t>Source: Ericsson LM</w:t>
      </w:r>
    </w:p>
    <w:p>
      <w:pPr>
        <w:pStyle w:val="Normal"/>
        <w:rPr>
          <w:b/>
          <w:b/>
          <w:lang w:val="en-US"/>
        </w:rPr>
      </w:pPr>
      <w:r>
        <w:rPr>
          <w:b/>
          <w:lang w:val="en-US"/>
        </w:rPr>
        <w:t>Title: Simulator for investigation of GPRS &amp; EC-EGPRS synchronization performance (update of GP-151123)</w:t>
      </w:r>
    </w:p>
    <w:p>
      <w:pPr>
        <w:pStyle w:val="Heading2"/>
        <w:rPr>
          <w:lang w:val="en-US"/>
        </w:rPr>
      </w:pPr>
      <w:bookmarkStart w:id="987" w:name="__RefHeading___Toc518036288"/>
      <w:bookmarkEnd w:id="987"/>
      <w:r>
        <w:rPr>
          <w:lang w:val="en-US"/>
        </w:rPr>
        <w:t>ZF.2.2</w:t>
        <w:tab/>
        <w:t>Introduction</w:t>
      </w:r>
    </w:p>
    <w:p>
      <w:pPr>
        <w:pStyle w:val="Normal"/>
        <w:rPr>
          <w:lang w:val="en-US"/>
        </w:rPr>
      </w:pPr>
      <w:r>
        <w:rPr>
          <w:lang w:eastAsia="sv-SE"/>
        </w:rPr>
        <w:t>The purpose of this discussion paper is to describe a new simulator dedicated to investigate (E)GPRS, and EC-GSM-IoT, network synchronization. The ability to configure TSC and BSIC plans is also described.</w:t>
      </w:r>
    </w:p>
    <w:p>
      <w:pPr>
        <w:pStyle w:val="Heading2"/>
        <w:rPr/>
      </w:pPr>
      <w:bookmarkStart w:id="988" w:name="__RefHeading___Toc518036289"/>
      <w:bookmarkEnd w:id="988"/>
      <w:r>
        <w:rPr/>
        <w:t>ZF.2.3</w:t>
        <w:tab/>
        <w:t>Simulator description</w:t>
      </w:r>
    </w:p>
    <w:p>
      <w:pPr>
        <w:pStyle w:val="Heading3"/>
        <w:rPr/>
      </w:pPr>
      <w:bookmarkStart w:id="989" w:name="__RefHeading___Toc518036290"/>
      <w:bookmarkEnd w:id="989"/>
      <w:r>
        <w:rPr/>
        <w:t>ZF.2.3.1</w:t>
        <w:tab/>
        <w:t>General</w:t>
      </w:r>
    </w:p>
    <w:p>
      <w:pPr>
        <w:pStyle w:val="Normal"/>
        <w:rPr/>
      </w:pPr>
      <w:r>
        <w:rPr/>
        <w:t>In the FS_IoT_LC SI synchronization performance was investigated in a sensitivity limited scenario to capture performance at the coverage limit of the proposed candidate solutions. Results for EC-GSM-IoT are captured under the name EC-EGPRS in sub-clause 6.2.6.1 of TR 45.820 [1].</w:t>
      </w:r>
    </w:p>
    <w:p>
      <w:pPr>
        <w:pStyle w:val="Normal"/>
        <w:rPr/>
      </w:pPr>
      <w:r>
        <w:rPr/>
        <w:t xml:space="preserve">The scope for the EC-GSM-IoT WI is expanded compared to the FS_IoT_LC SI, in that performance in tight frequency reuse is to be investigated. It is therefore expected that sensitivity limited simulations is not sufficient to capture effects expected on synchronization performance from interference due to tightening of the frequency reuse. </w:t>
      </w:r>
    </w:p>
    <w:p>
      <w:pPr>
        <w:pStyle w:val="Normal"/>
        <w:rPr/>
      </w:pPr>
      <w:r>
        <w:rPr/>
        <w:t xml:space="preserve">The EC-GSM-IoT/(E)GPRS link level simulator developed during the FS_IoT_LC SI has therefore been integrated in a network simulator where a full EC-GSM-IoT or GSM system can be configured and interference generated accordingly. The simulator is designed to evaluate network synchronization performance. It can also be easily modified to evaluate cell selection, as presented in GP-160270, Cell Selection Performance for (E)GPRS and EC-GSM-IoT. </w:t>
      </w:r>
    </w:p>
    <w:p>
      <w:pPr>
        <w:pStyle w:val="Normal"/>
        <w:rPr/>
      </w:pPr>
      <w:r>
        <w:rPr/>
        <w:t>Since EC-GSM-IoT is backwards compatible and expected to co-exist with GSM it is required to, in addition to modelling EC-GSM-IoT performance, also study legacy (E)GPRS performance. The simulator is capable of evaluating both technologies.</w:t>
      </w:r>
    </w:p>
    <w:p>
      <w:pPr>
        <w:pStyle w:val="Heading3"/>
        <w:rPr/>
      </w:pPr>
      <w:bookmarkStart w:id="990" w:name="__RefHeading___Toc518036291"/>
      <w:bookmarkEnd w:id="990"/>
      <w:r>
        <w:rPr/>
        <w:t>ZF.2.3.2</w:t>
        <w:tab/>
        <w:t>Network configuration and plan</w:t>
      </w:r>
    </w:p>
    <w:p>
      <w:pPr>
        <w:pStyle w:val="Normal"/>
        <w:jc w:val="both"/>
        <w:rPr/>
      </w:pPr>
      <w:r>
        <w:rPr/>
        <w:t>The simulator is capable of modelling the GSM/EC-GSM-IoT BCCH layer, using a configurable frequency, normal burst TSC and BSIC plan. Typically special importance is given to the frequency plan, but in this context also the BISC plan is of high importance since the BSIC is the cell identifier used at cell selection and synchronization.</w:t>
      </w:r>
    </w:p>
    <w:p>
      <w:pPr>
        <w:pStyle w:val="Normal"/>
        <w:jc w:val="both"/>
        <w:rPr/>
      </w:pPr>
      <w:r>
        <w:rPr/>
        <w:t xml:space="preserve">Below is illustrated a BSIC and normal burst TSC plan, using 8 unique BSICs and TSCs, when a 1/3 frequency reuse pattern is configured in a network consisting of 16 sites and 48 three sector cells. Each site is marked as a star (*) and each frequency and BSIC pair is marked as </w:t>
      </w:r>
      <w:r>
        <w:rPr>
          <w:i/>
        </w:rPr>
        <w:t>fx,by</w:t>
      </w:r>
      <w:r>
        <w:rPr/>
        <w:t xml:space="preserve"> where x and y denotes the assigned ARFCN and BSIC numbers. The ARFCN is selected from the set {1,2,3} and the BSIC from the set {1,2,3,4,5,6,7,8}, using decimal encoding. The TSC was selected from TSC set 1 and use same plan as the BSIC.</w:t>
      </w:r>
    </w:p>
    <w:p>
      <w:pPr>
        <w:pStyle w:val="Normal"/>
        <w:jc w:val="both"/>
        <w:rPr/>
      </w:pPr>
      <w:r>
        <w:rPr/>
        <w:t>It is worth to notice that both GSM and EC-GSM-IoT uses a single Extended TSC on the SCH and a single Extended TSC on the EC-SCH (see 3GPP TS 45.002). So the below TSC plan is only applicable on the normal bursts mapped on the 51-multiframe structure of the BCCH carrier.</w:t>
      </w:r>
    </w:p>
    <w:p>
      <w:pPr>
        <w:pStyle w:val="TH"/>
        <w:rPr>
          <w:lang w:val="en-US" w:eastAsia="en-US"/>
        </w:rPr>
      </w:pPr>
      <w:r>
        <w:rPr>
          <w:lang w:val="en-US" w:eastAsia="en-US"/>
        </w:rPr>
        <w:drawing>
          <wp:inline distT="0" distB="0" distL="0" distR="0">
            <wp:extent cx="3359785" cy="2520315"/>
            <wp:effectExtent l="0" t="0" r="0" b="0"/>
            <wp:docPr id="30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7" descr=""/>
                    <pic:cNvPicPr>
                      <a:picLocks noChangeAspect="1" noChangeArrowheads="1"/>
                    </pic:cNvPicPr>
                  </pic:nvPicPr>
                  <pic:blipFill>
                    <a:blip r:embed="rId315"/>
                    <a:srcRect l="-5" t="-7" r="-5" b="-7"/>
                    <a:stretch>
                      <a:fillRect/>
                    </a:stretch>
                  </pic:blipFill>
                  <pic:spPr bwMode="auto">
                    <a:xfrm>
                      <a:off x="0" y="0"/>
                      <a:ext cx="3359785" cy="2520315"/>
                    </a:xfrm>
                    <a:prstGeom prst="rect">
                      <a:avLst/>
                    </a:prstGeom>
                  </pic:spPr>
                </pic:pic>
              </a:graphicData>
            </a:graphic>
          </wp:inline>
        </w:drawing>
      </w:r>
    </w:p>
    <w:p>
      <w:pPr>
        <w:pStyle w:val="TF"/>
        <w:rPr>
          <w:lang w:val="en-US"/>
        </w:rPr>
      </w:pPr>
      <w:r>
        <w:rPr>
          <w:lang w:val="en-US"/>
        </w:rPr>
        <w:t>Figure ZF.2.3-1:</w:t>
      </w:r>
      <w:r>
        <w:rPr/>
        <w:t xml:space="preserve"> Frequency, BSIC and TSC plan in a 1/3 frequency reuse network</w:t>
      </w:r>
    </w:p>
    <w:p>
      <w:pPr>
        <w:pStyle w:val="Normal"/>
        <w:rPr/>
      </w:pPr>
      <w:r>
        <w:rPr/>
        <w:t>Furthermore, to align with the work done during the FS_IoT_LC SI the network was in general configured in accordance with the settings agreed for system level simulations captured in Table D.1. "Assumptions for system level simulations" in TR 45.820. When legacy (E)GPRS performance was studied it should be noted that no Building penetration loss (BPL) was modelled (see WA10 in Annex ZF.1), the MS antenna gain was set to 0 dBi (see WA11c in Annex ZF.1) and the cell radius was set to 577 or 2500 meter (see WA11b in Annex ZF.1).</w:t>
      </w:r>
    </w:p>
    <w:p>
      <w:pPr>
        <w:pStyle w:val="Heading3"/>
        <w:rPr/>
      </w:pPr>
      <w:bookmarkStart w:id="991" w:name="__RefHeading___Toc518036292"/>
      <w:r>
        <w:rPr/>
        <w:t>ZF.2.3.3</w:t>
        <w:tab/>
        <w:t>Mapping and timing of logical channels</w:t>
      </w:r>
      <w:bookmarkEnd w:id="991"/>
      <w:r>
        <w:rPr/>
        <w:t xml:space="preserve"> </w:t>
      </w:r>
    </w:p>
    <w:p>
      <w:pPr>
        <w:pStyle w:val="Normal"/>
        <w:rPr/>
      </w:pPr>
      <w:r>
        <w:rPr/>
        <w:t>To mimic real network performance the simulator supports a correct mapping of the logical channels onto the BCCH carrier 51-MF structure. Support for both GSM 51-MF containing the FCCH and SCH being mapped on Time slot 0 (TS) and the EC-GSM-IoT 51-MF containing e.g. the EC-SCH mapped on TS 1 is implemented. The EC-CCCH/D on TS 1 was modelled as normal burst repeated twice to capture the EC-AGCH and EC-PACH Coverage Class 1 dual burst blocks. See 3GPP TS 45.002 for a detailed description of the mapping of logical channels onto the 51-MF.</w:t>
      </w:r>
    </w:p>
    <w:p>
      <w:pPr>
        <w:pStyle w:val="Normal"/>
        <w:rPr/>
      </w:pPr>
      <w:r>
        <w:rPr/>
        <w:t xml:space="preserve">The starting frame number for each modelled BCCH carrier was selected randomly according to a uniform distribution. </w:t>
      </w:r>
    </w:p>
    <w:p>
      <w:pPr>
        <w:pStyle w:val="Heading3"/>
        <w:rPr/>
      </w:pPr>
      <w:bookmarkStart w:id="992" w:name="__RefHeading___Toc518036293"/>
      <w:bookmarkEnd w:id="992"/>
      <w:r>
        <w:rPr/>
        <w:t>ZF.2.3.4</w:t>
        <w:tab/>
        <w:t>Relevant range of coupling loss</w:t>
      </w:r>
    </w:p>
    <w:p>
      <w:pPr>
        <w:pStyle w:val="Normal"/>
        <w:jc w:val="both"/>
        <w:rPr/>
      </w:pPr>
      <w:r>
        <w:rPr/>
        <w:t>In the FS_IoT_LC SI a inter site distance of 1732 meter, corresponding to a cell radius of 577 meter, was modelled. When combining the distance dependent path loss with shadow fading and building penetration loss (BPL), a Maximum Coupling Loss (MCL) of 164 dB was targeted, and achieved with EC-GSM-IoT.</w:t>
      </w:r>
    </w:p>
    <w:p>
      <w:pPr>
        <w:pStyle w:val="Normal"/>
        <w:keepNext w:val="true"/>
        <w:jc w:val="both"/>
        <w:rPr/>
      </w:pPr>
      <w:r>
        <w:rPr/>
        <w:t>When investigating impact on legacy devices it is assumed that BPL does not apply, and that the antenna gain is set to 0 dBi. Note that loss of 4 dB was assumed in the FS_IoT_LC SI for EC-GSM-IoT devices due to the ultra-low cost and small form factor. As a result the MCL achieved with a cell radius of 577 m will not reach the desired 144 dB. To model the maximum coupling loss for legacy devices, the cell radius is increased to 2500 meter. This cell size gives a path loss model that, when combined with a lognormal shadow fading component with a standard deviation of 8 dB, will result in roughly 0.5% of all devices being at 144 dB coupling loss or beyond. This provides a background and an explanation to the agreed WA11b in Annex ZF.1.</w:t>
      </w:r>
    </w:p>
    <w:p>
      <w:pPr>
        <w:pStyle w:val="TH"/>
        <w:rPr>
          <w:lang w:val="en-US" w:eastAsia="en-US"/>
        </w:rPr>
      </w:pPr>
      <w:r>
        <w:rPr>
          <w:lang w:val="en-US" w:eastAsia="en-US"/>
        </w:rPr>
        <w:drawing>
          <wp:inline distT="0" distB="0" distL="0" distR="0">
            <wp:extent cx="3356610" cy="2519045"/>
            <wp:effectExtent l="0" t="0" r="0" b="0"/>
            <wp:docPr id="30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18" descr=""/>
                    <pic:cNvPicPr>
                      <a:picLocks noChangeAspect="1" noChangeArrowheads="1"/>
                    </pic:cNvPicPr>
                  </pic:nvPicPr>
                  <pic:blipFill>
                    <a:blip r:embed="rId316"/>
                    <a:srcRect l="-7" t="-9" r="-7" b="-9"/>
                    <a:stretch>
                      <a:fillRect/>
                    </a:stretch>
                  </pic:blipFill>
                  <pic:spPr bwMode="auto">
                    <a:xfrm>
                      <a:off x="0" y="0"/>
                      <a:ext cx="3356610" cy="2519045"/>
                    </a:xfrm>
                    <a:prstGeom prst="rect">
                      <a:avLst/>
                    </a:prstGeom>
                  </pic:spPr>
                </pic:pic>
              </a:graphicData>
            </a:graphic>
          </wp:inline>
        </w:drawing>
      </w:r>
    </w:p>
    <w:p>
      <w:pPr>
        <w:pStyle w:val="TF"/>
        <w:rPr/>
      </w:pPr>
      <w:r>
        <w:rPr/>
        <w:t>Figure ZF.2.3-1: Coupling loss at a cell radius of 2500 meters</w:t>
      </w:r>
    </w:p>
    <w:p>
      <w:pPr>
        <w:pStyle w:val="Heading3"/>
        <w:rPr/>
      </w:pPr>
      <w:bookmarkStart w:id="993" w:name="__RefHeading___Toc518036294"/>
      <w:bookmarkStart w:id="994" w:name="_Ref434865167"/>
      <w:bookmarkEnd w:id="993"/>
      <w:r>
        <w:rPr/>
        <w:t>ZF.2.3.5</w:t>
        <w:tab/>
        <w:t>Realistic interference model</w:t>
      </w:r>
      <w:bookmarkEnd w:id="994"/>
    </w:p>
    <w:p>
      <w:pPr>
        <w:pStyle w:val="Normal"/>
        <w:rPr/>
      </w:pPr>
      <w:r>
        <w:rPr/>
        <w:t>In the simulator, a network is laid out according to the chosen configurations and a number of users are spread out over the system. For each user, the best serving cell, as well as all neighboring interfering cells, are found. Co-channel, and adjacent-channel (on both sides of the wanted signal) interferer types and levels are identified. For each user attempting to synchronize to a cell a wanted signal and a set of interfering signals are generated which are all independently faded and scaled with the applicable BS-to-MS gain (excluding fast fading). Thermal noise from the receiver is also added to the signal to model the radio environment as experienced by each user in the system. The signals are represented by an oversampled IQ trace, generated from a number of 51-multiframes (MF) with a frame structure according to the BCCH carrier.</w:t>
      </w:r>
    </w:p>
    <w:p>
      <w:pPr>
        <w:pStyle w:val="Normal"/>
        <w:rPr/>
      </w:pPr>
      <w:r>
        <w:rPr/>
        <w:t>At most 2n-2 adjacent interferers are generated in the simulator, where n equals the number of clusters configured. The number of co-channel interferers is at most n-1. To get sufficient statistics it is useful to simulate a system containing at least 9 clusters. In a 9 cluster system up to eight co-channel, eight adj.-plus and eight adj.-minus interferers may exist. Modelling all these interferers are however computational heavy, and make the simulation work impractical. It is hence desirable to minimize the number of modelled interferers, while not sacrificing result accuracy.</w:t>
      </w:r>
    </w:p>
    <w:p>
      <w:pPr>
        <w:pStyle w:val="Normal"/>
        <w:rPr/>
      </w:pPr>
      <w:r>
        <w:rPr/>
        <w:t>Figure ZF.2.3-2 shows the overall DL SINR CDF for a 1/3 frequency reuse system built on nine clusters. Each curve depicts the total SINR taking the x strongest co-channel, x strongest adj.-plus, x strongest adj.-minus interferers and thermal noise into account. It can be seen that modelling only the four strongest co-channel, four strongest adj.-plus, four strongest adj.-minus interferers have a small impact on the overall SINR characteristics. The median value is e.g. impacted less than 0.5 dB compared with modelling the eight strongest co-channels, eight strongest adj.-plus, and eight strongest adj.-minus interferers. At the important tail of the CDF approaching the lower SINR range the difference between the curves diminish further.</w:t>
      </w:r>
    </w:p>
    <w:p>
      <w:pPr>
        <w:pStyle w:val="TH"/>
        <w:rPr>
          <w:lang w:val="en-US" w:eastAsia="en-US"/>
        </w:rPr>
      </w:pPr>
      <w:r>
        <w:rPr>
          <w:lang w:val="en-US" w:eastAsia="en-US"/>
        </w:rPr>
        <w:drawing>
          <wp:inline distT="0" distB="0" distL="0" distR="0">
            <wp:extent cx="3365500" cy="2519045"/>
            <wp:effectExtent l="0" t="0" r="0" b="0"/>
            <wp:docPr id="30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9" descr=""/>
                    <pic:cNvPicPr>
                      <a:picLocks noChangeAspect="1" noChangeArrowheads="1"/>
                    </pic:cNvPicPr>
                  </pic:nvPicPr>
                  <pic:blipFill>
                    <a:blip r:embed="rId317"/>
                    <a:srcRect l="-7" t="-9" r="-7" b="-9"/>
                    <a:stretch>
                      <a:fillRect/>
                    </a:stretch>
                  </pic:blipFill>
                  <pic:spPr bwMode="auto">
                    <a:xfrm>
                      <a:off x="0" y="0"/>
                      <a:ext cx="3365500" cy="2519045"/>
                    </a:xfrm>
                    <a:prstGeom prst="rect">
                      <a:avLst/>
                    </a:prstGeom>
                  </pic:spPr>
                </pic:pic>
              </a:graphicData>
            </a:graphic>
          </wp:inline>
        </w:drawing>
      </w:r>
    </w:p>
    <w:p>
      <w:pPr>
        <w:pStyle w:val="TF"/>
        <w:rPr>
          <w:lang w:val="en-US"/>
        </w:rPr>
      </w:pPr>
      <w:r>
        <w:rPr>
          <w:lang w:val="en-US"/>
        </w:rPr>
        <w:t>Figure ZF.2.3-2:</w:t>
      </w:r>
      <w:r>
        <w:rPr/>
        <w:t xml:space="preserve"> DL SINR CDF for one to eight interferers modelled in a 1/3 reuse system</w:t>
      </w:r>
    </w:p>
    <w:p>
      <w:pPr>
        <w:pStyle w:val="Normal"/>
        <w:rPr/>
      </w:pPr>
      <w:r>
        <w:rPr/>
        <w:t xml:space="preserve">To evaluate the impact from the number of modelled interferers on actual network synchronization performance more in detail, a full simulation was run. Again a 1/3 frequency reuse system was studied, where the number of modelled interferers was varied. The system was configured in accordance with Annex D of TR 45.820 with the exception that 100% legacy (E)GPRS users was simulated meaning that BPL was turned off and MS antenna gain was set to 0 dBi. The cell radius was set to 2500 meter. </w:t>
      </w:r>
    </w:p>
    <w:p>
      <w:pPr>
        <w:pStyle w:val="Normal"/>
        <w:rPr/>
      </w:pPr>
      <w:r>
        <w:rPr/>
        <w:t xml:space="preserve">To compensate for the loss in interference energy, seen in figure ZF.2.3-2, when a reduced set of interferers are modelled an energy scaling of the modelled interferers was introduced so that the total energy remains unaffected by the number of modelled interferers. </w:t>
      </w:r>
    </w:p>
    <w:p>
      <w:pPr>
        <w:pStyle w:val="Normal"/>
        <w:rPr/>
      </w:pPr>
      <w:r>
        <w:rPr/>
        <w:t>Figure ZF.2.3-3 depicts the time to synchronization for between one and six modelled interferers of each interferer type. It can be seen that the results are fairly insensitive to the modelled number of interferers. It seems to be the interfering energy that is of highest relevance for the time until synchronization. This may be explained by the simple energy detector used to detect presence of a FCCH burst. More details on the detector are given in sub-clause ZF.2.3.6.</w:t>
      </w:r>
    </w:p>
    <w:p>
      <w:pPr>
        <w:pStyle w:val="Normal"/>
        <w:rPr/>
      </w:pPr>
      <w:r>
        <w:rPr/>
        <w:t xml:space="preserve">In figure ZF.2.3-3 and figure ZF.2.3-4, results for time and frequency error after FCCH detection is presented. Also these results suggest that a reduced number of interferers can be modelled with limited and acceptable impact on accuracy. </w:t>
      </w:r>
    </w:p>
    <w:p>
      <w:pPr>
        <w:pStyle w:val="TH"/>
        <w:rPr>
          <w:lang w:val="en-US" w:eastAsia="en-US"/>
        </w:rPr>
      </w:pPr>
      <w:r>
        <w:rPr>
          <w:lang w:val="en-US" w:eastAsia="en-US"/>
        </w:rPr>
        <w:drawing>
          <wp:inline distT="0" distB="0" distL="0" distR="0">
            <wp:extent cx="2905125" cy="2522220"/>
            <wp:effectExtent l="0" t="0" r="0" b="0"/>
            <wp:docPr id="30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9" descr=""/>
                    <pic:cNvPicPr>
                      <a:picLocks noChangeAspect="1" noChangeArrowheads="1"/>
                    </pic:cNvPicPr>
                  </pic:nvPicPr>
                  <pic:blipFill>
                    <a:blip r:embed="rId318"/>
                    <a:srcRect l="-6" t="-7" r="-6" b="-7"/>
                    <a:stretch>
                      <a:fillRect/>
                    </a:stretch>
                  </pic:blipFill>
                  <pic:spPr bwMode="auto">
                    <a:xfrm>
                      <a:off x="0" y="0"/>
                      <a:ext cx="2905125" cy="2522220"/>
                    </a:xfrm>
                    <a:prstGeom prst="rect">
                      <a:avLst/>
                    </a:prstGeom>
                  </pic:spPr>
                </pic:pic>
              </a:graphicData>
            </a:graphic>
          </wp:inline>
        </w:drawing>
      </w:r>
    </w:p>
    <w:p>
      <w:pPr>
        <w:pStyle w:val="TF"/>
        <w:rPr/>
      </w:pPr>
      <w:r>
        <w:rPr/>
        <w:t>Figure ZF.2.3-3: Time synchronization error in a 1/3 frequency reuse network, for variable number of modelled interferers</w:t>
      </w:r>
    </w:p>
    <w:p>
      <w:pPr>
        <w:pStyle w:val="TH"/>
        <w:rPr>
          <w:lang w:val="en-US" w:eastAsia="en-US"/>
        </w:rPr>
      </w:pPr>
      <w:r>
        <w:rPr>
          <w:lang w:val="en-US" w:eastAsia="en-US"/>
        </w:rPr>
        <w:drawing>
          <wp:inline distT="0" distB="0" distL="0" distR="0">
            <wp:extent cx="2905125" cy="2522220"/>
            <wp:effectExtent l="0" t="0" r="0" b="0"/>
            <wp:docPr id="30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0" descr=""/>
                    <pic:cNvPicPr>
                      <a:picLocks noChangeAspect="1" noChangeArrowheads="1"/>
                    </pic:cNvPicPr>
                  </pic:nvPicPr>
                  <pic:blipFill>
                    <a:blip r:embed="rId319"/>
                    <a:srcRect l="-6" t="-7" r="-6" b="-7"/>
                    <a:stretch>
                      <a:fillRect/>
                    </a:stretch>
                  </pic:blipFill>
                  <pic:spPr bwMode="auto">
                    <a:xfrm>
                      <a:off x="0" y="0"/>
                      <a:ext cx="2905125" cy="2522220"/>
                    </a:xfrm>
                    <a:prstGeom prst="rect">
                      <a:avLst/>
                    </a:prstGeom>
                  </pic:spPr>
                </pic:pic>
              </a:graphicData>
            </a:graphic>
          </wp:inline>
        </w:drawing>
      </w:r>
    </w:p>
    <w:p>
      <w:pPr>
        <w:pStyle w:val="TF"/>
        <w:rPr>
          <w:lang w:val="en-US"/>
        </w:rPr>
      </w:pPr>
      <w:r>
        <w:rPr>
          <w:lang w:val="en-US"/>
        </w:rPr>
        <w:t>Figure ZF.2.3-4:</w:t>
      </w:r>
      <w:r>
        <w:rPr/>
        <w:t xml:space="preserve"> Frequency synchronization error in a 1/3 frequency reuse network, for variable number of modelled interferers</w:t>
      </w:r>
    </w:p>
    <w:p>
      <w:pPr>
        <w:pStyle w:val="Normal"/>
        <w:rPr>
          <w:lang w:val="en-US"/>
        </w:rPr>
      </w:pPr>
      <w:r>
        <w:rPr/>
        <w:t xml:space="preserve">It can be noted that 5000 synchronization attempts was run when generating Figure </w:t>
      </w:r>
      <w:r>
        <w:rPr>
          <w:lang w:val="en-US" w:eastAsia="en-US"/>
        </w:rPr>
        <w:t>4</w:t>
      </w:r>
      <w:r>
        <w:rPr/>
        <w:t>, which explains the somewhat unstable performance depicted.</w:t>
      </w:r>
    </w:p>
    <w:p>
      <w:pPr>
        <w:pStyle w:val="TH"/>
        <w:rPr>
          <w:lang w:val="en-US" w:eastAsia="en-US"/>
        </w:rPr>
      </w:pPr>
      <w:r>
        <w:rPr>
          <w:lang w:val="en-US" w:eastAsia="en-US"/>
        </w:rPr>
        <w:drawing>
          <wp:inline distT="0" distB="0" distL="0" distR="0">
            <wp:extent cx="2900045" cy="2518410"/>
            <wp:effectExtent l="0" t="0" r="0" b="0"/>
            <wp:docPr id="30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21" descr=""/>
                    <pic:cNvPicPr>
                      <a:picLocks noChangeAspect="1" noChangeArrowheads="1"/>
                    </pic:cNvPicPr>
                  </pic:nvPicPr>
                  <pic:blipFill>
                    <a:blip r:embed="rId320"/>
                    <a:srcRect l="-6" t="-7" r="-6" b="-7"/>
                    <a:stretch>
                      <a:fillRect/>
                    </a:stretch>
                  </pic:blipFill>
                  <pic:spPr bwMode="auto">
                    <a:xfrm>
                      <a:off x="0" y="0"/>
                      <a:ext cx="2900045" cy="2518410"/>
                    </a:xfrm>
                    <a:prstGeom prst="rect">
                      <a:avLst/>
                    </a:prstGeom>
                  </pic:spPr>
                </pic:pic>
              </a:graphicData>
            </a:graphic>
          </wp:inline>
        </w:drawing>
      </w:r>
    </w:p>
    <w:p>
      <w:pPr>
        <w:pStyle w:val="TF"/>
        <w:rPr>
          <w:lang w:val="en-US"/>
        </w:rPr>
      </w:pPr>
      <w:r>
        <w:rPr>
          <w:lang w:val="en-US"/>
        </w:rPr>
        <w:t>Figure ZF.2.3-5:</w:t>
      </w:r>
      <w:r>
        <w:rPr/>
        <w:t xml:space="preserve"> Time to synchronization in a 1/3 frequency reuse network, for variable number of modelled interferers (neighboring cells)</w:t>
      </w:r>
    </w:p>
    <w:p>
      <w:pPr>
        <w:pStyle w:val="Heading3"/>
        <w:rPr/>
      </w:pPr>
      <w:bookmarkStart w:id="995" w:name="__RefHeading___Toc518036295"/>
      <w:bookmarkStart w:id="996" w:name="_Ref451297114"/>
      <w:bookmarkEnd w:id="995"/>
      <w:r>
        <w:rPr/>
        <w:t>ZF.2.3.6</w:t>
        <w:tab/>
        <w:t>Receiver model</w:t>
      </w:r>
      <w:bookmarkEnd w:id="996"/>
    </w:p>
    <w:p>
      <w:pPr>
        <w:pStyle w:val="Normal"/>
        <w:rPr/>
      </w:pPr>
      <w:r>
        <w:rPr/>
        <w:t>The EC-GSM-IoT FCCH detector and EC-SCH decoder have been inherited from the studies performed during the FS_IoT_LC SI on EC-GSM-IoT and captured in the TR 45.820 in sub-clause 6.2.6.1. EC-SCH performance is based on the so called alternative EC-SCH design where the requirement on phase continuity has been removed. EC-SCH support for the proposed Radio Frequency Colour Code (see e.g. GP-160292, "Introduction of Radio Frequency Colour Code") is implemented.</w:t>
      </w:r>
    </w:p>
    <w:p>
      <w:pPr>
        <w:pStyle w:val="Normal"/>
        <w:rPr/>
      </w:pPr>
      <w:r>
        <w:rPr/>
        <w:t>The (E)GPRS FCCH detector is just as the EC-GSM-IoT version built around a FFT module computing the energy in frequency bins of gradually finer granularity. To keep the computational complexity low the FFT is implemented as a sliding DFT working on a four times down sampled signal. To make the detector insensitive to path gain, and to follow fading variations the energy in frequency f and burst b is calculated relative the energy in frequency f and burst n-1. If this relative energy exceeds a configured threshold it is assumed a FCCH is found. A know offset to the closest SCH is added, and the SCH is extracted and decoded. If the CRC fails, the search continues for the next FCCH instance.</w:t>
      </w:r>
    </w:p>
    <w:p>
      <w:pPr>
        <w:pStyle w:val="Normal"/>
        <w:rPr/>
      </w:pPr>
      <w:r>
        <w:rPr/>
        <w:t>The performance of the SCH decoder for a TU1.2 channel is presented below.</w:t>
      </w:r>
    </w:p>
    <w:p>
      <w:pPr>
        <w:pStyle w:val="TH"/>
        <w:rPr/>
      </w:pPr>
      <w:r>
        <w:rPr>
          <w:rFonts w:eastAsia="Arial"/>
        </w:rPr>
        <w:t xml:space="preserve"> </w:t>
      </w:r>
      <w:r>
        <w:rPr>
          <w:lang w:val="en-US" w:eastAsia="en-US"/>
        </w:rPr>
        <w:drawing>
          <wp:inline distT="0" distB="0" distL="0" distR="0">
            <wp:extent cx="4539615" cy="3404235"/>
            <wp:effectExtent l="0" t="0" r="0" b="0"/>
            <wp:docPr id="3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5" descr=""/>
                    <pic:cNvPicPr>
                      <a:picLocks noChangeAspect="1" noChangeArrowheads="1"/>
                    </pic:cNvPicPr>
                  </pic:nvPicPr>
                  <pic:blipFill>
                    <a:blip r:embed="rId321"/>
                    <a:srcRect l="-5" t="-7" r="-5" b="-7"/>
                    <a:stretch>
                      <a:fillRect/>
                    </a:stretch>
                  </pic:blipFill>
                  <pic:spPr bwMode="auto">
                    <a:xfrm>
                      <a:off x="0" y="0"/>
                      <a:ext cx="4539615" cy="3404235"/>
                    </a:xfrm>
                    <a:prstGeom prst="rect">
                      <a:avLst/>
                    </a:prstGeom>
                  </pic:spPr>
                </pic:pic>
              </a:graphicData>
            </a:graphic>
          </wp:inline>
        </w:drawing>
      </w:r>
    </w:p>
    <w:p>
      <w:pPr>
        <w:pStyle w:val="TF"/>
        <w:rPr>
          <w:lang w:val="en-US"/>
        </w:rPr>
      </w:pPr>
      <w:r>
        <w:rPr>
          <w:lang w:val="en-US"/>
        </w:rPr>
        <w:t>Figure ZF.2.3-6:</w:t>
      </w:r>
      <w:r>
        <w:rPr/>
        <w:t xml:space="preserve"> SCH TU1.2 performance in sensitivity limited scenario</w:t>
      </w:r>
    </w:p>
    <w:p>
      <w:pPr>
        <w:pStyle w:val="Normal"/>
        <w:rPr/>
      </w:pPr>
      <w:r>
        <w:rPr/>
        <w:t xml:space="preserve">Typical output from the simulator are time to first (EC-)SCH decoding, as depicted in figure </w:t>
      </w:r>
      <w:r>
        <w:rPr>
          <w:lang w:val="en-US"/>
        </w:rPr>
        <w:t>ZF.2.3-5</w:t>
      </w:r>
      <w:r>
        <w:rPr/>
        <w:t>, and residual frequency and time error, as depicted in figure ZF.2.3-3 and figure ZF.2.3-4, for legacy (E)GPRS devices in a 1/3 frequency reuse scenario. The introduction of the BSIC plan also allows for studying the likelihood of detecting and synchronizing to sub-optimal cells configured with the same or a different BSIC as the optimal cell.</w:t>
      </w:r>
    </w:p>
    <w:p>
      <w:pPr>
        <w:pStyle w:val="Normal"/>
        <w:rPr/>
      </w:pPr>
      <w:r>
        <w:rPr/>
        <w:t>The false detection rate performance of the (E)GPRS receiver was also investigated. In simulation with random input a false detection rate of 9x10</w:t>
      </w:r>
      <w:r>
        <w:rPr>
          <w:vertAlign w:val="superscript"/>
        </w:rPr>
        <w:t>-5</w:t>
      </w:r>
      <w:r>
        <w:rPr/>
        <w:t xml:space="preserve"> was recorded for 25.000 iterations, where each iteration lasted two 51-multiframes.</w:t>
      </w:r>
    </w:p>
    <w:p>
      <w:pPr>
        <w:pStyle w:val="Heading2"/>
        <w:rPr/>
      </w:pPr>
      <w:bookmarkStart w:id="997" w:name="__RefHeading___Toc518036296"/>
      <w:bookmarkEnd w:id="997"/>
      <w:r>
        <w:rPr/>
        <w:t>ZF.2.4</w:t>
        <w:tab/>
        <w:t>Discussion and conclusions</w:t>
      </w:r>
    </w:p>
    <w:p>
      <w:pPr>
        <w:pStyle w:val="Normal"/>
        <w:rPr/>
      </w:pPr>
      <w:r>
        <w:rPr/>
        <w:t xml:space="preserve">This paper introduces a simulator dedicated to evaluation of (E)GPRS and EC-GSM-IoT network synchronization. Typical output from the simulator are presented for a 1/3 frequency reuse network in a scenario where a device wakes up and reconfirms its FCCH and SCH. </w:t>
      </w:r>
    </w:p>
    <w:p>
      <w:pPr>
        <w:pStyle w:val="Normal"/>
        <w:rPr/>
      </w:pPr>
      <w:r>
        <w:rPr/>
        <w:t xml:space="preserve">The sourcing company believes this simulator serves as a good basis to model network synchronization procedures in a tight frequency reuse network, but also understands that the results presented are linked to the scenario investigated as well as the FCCH detector implemented and the (EC-)SCH performance modelled. </w:t>
      </w:r>
    </w:p>
    <w:p>
      <w:pPr>
        <w:pStyle w:val="Normal"/>
        <w:rPr>
          <w:lang w:val="en-US"/>
        </w:rPr>
      </w:pPr>
      <w:r>
        <w:rPr/>
        <w:t>It can finally be noted that the simulator was used to derive the synchronization and cell selection performance presented in Annex ZF.5 for 1/3, 3/9 and 4/12 frequency reuse networks.</w:t>
      </w:r>
    </w:p>
    <w:p>
      <w:pPr>
        <w:pStyle w:val="Heading1"/>
        <w:ind w:left="1134" w:hanging="1134"/>
        <w:rPr>
          <w:lang w:val="en-US"/>
        </w:rPr>
      </w:pPr>
      <w:bookmarkStart w:id="998" w:name="__RefHeading___Toc518036297"/>
      <w:bookmarkEnd w:id="998"/>
      <w:r>
        <w:rPr>
          <w:lang w:val="en-US"/>
        </w:rPr>
        <w:t>ZF.3</w:t>
        <w:tab/>
        <w:t>Simulator for Common control channel evaluation</w:t>
      </w:r>
    </w:p>
    <w:p>
      <w:pPr>
        <w:pStyle w:val="Heading2"/>
        <w:rPr>
          <w:lang w:val="en-US"/>
        </w:rPr>
      </w:pPr>
      <w:bookmarkStart w:id="999" w:name="__RefHeading___Toc518036298"/>
      <w:bookmarkEnd w:id="999"/>
      <w:r>
        <w:rPr>
          <w:lang w:val="en-US"/>
        </w:rPr>
        <w:t>ZF.3.1</w:t>
        <w:tab/>
        <w:t>Tdoc reference</w:t>
      </w:r>
    </w:p>
    <w:p>
      <w:pPr>
        <w:pStyle w:val="Normal"/>
        <w:rPr>
          <w:lang w:val="en-US"/>
        </w:rPr>
      </w:pPr>
      <w:r>
        <w:rPr>
          <w:lang w:val="en-US"/>
        </w:rPr>
        <w:t>3GPP TSG GERAN WG1 #66</w:t>
      </w:r>
    </w:p>
    <w:p>
      <w:pPr>
        <w:pStyle w:val="Normal"/>
        <w:rPr>
          <w:lang w:val="en-US"/>
        </w:rPr>
      </w:pPr>
      <w:r>
        <w:rPr>
          <w:lang w:val="en-US"/>
        </w:rPr>
        <w:t>GP-150435</w:t>
      </w:r>
    </w:p>
    <w:p>
      <w:pPr>
        <w:pStyle w:val="Normal"/>
        <w:rPr>
          <w:lang w:val="en-US"/>
        </w:rPr>
      </w:pPr>
      <w:r>
        <w:rPr>
          <w:lang w:val="en-US"/>
        </w:rPr>
        <w:t>Sofia Antipolis, France</w:t>
      </w:r>
    </w:p>
    <w:p>
      <w:pPr>
        <w:pStyle w:val="Normal"/>
        <w:rPr/>
      </w:pPr>
      <w:r>
        <w:rPr>
          <w:lang w:val="en-US"/>
        </w:rPr>
        <w:t>25</w:t>
      </w:r>
      <w:r>
        <w:rPr>
          <w:vertAlign w:val="superscript"/>
          <w:lang w:val="en-US"/>
        </w:rPr>
        <w:t>th</w:t>
      </w:r>
      <w:r>
        <w:rPr>
          <w:lang w:val="en-US"/>
        </w:rPr>
        <w:t xml:space="preserve"> – 28</w:t>
      </w:r>
      <w:r>
        <w:rPr>
          <w:vertAlign w:val="superscript"/>
          <w:lang w:val="en-US"/>
        </w:rPr>
        <w:t>th</w:t>
      </w:r>
      <w:r>
        <w:rPr>
          <w:lang w:val="en-US"/>
        </w:rPr>
        <w:t xml:space="preserve"> May, 2015</w:t>
      </w:r>
    </w:p>
    <w:p>
      <w:pPr>
        <w:pStyle w:val="Normal"/>
        <w:rPr>
          <w:lang w:val="en-US"/>
        </w:rPr>
      </w:pPr>
      <w:r>
        <w:rPr>
          <w:lang w:val="en-US"/>
        </w:rPr>
        <w:t>Source: Ericsson LM</w:t>
      </w:r>
    </w:p>
    <w:p>
      <w:pPr>
        <w:pStyle w:val="Normal"/>
        <w:rPr/>
      </w:pPr>
      <w:r>
        <w:rPr>
          <w:b/>
          <w:lang w:val="en-US"/>
        </w:rPr>
        <w:t>Title: EC-GSM, Link modeling methodology for EC-RACH capacity evaluations (update of GPC150193)</w:t>
      </w:r>
    </w:p>
    <w:p>
      <w:pPr>
        <w:pStyle w:val="Heading2"/>
        <w:rPr>
          <w:lang w:val="en-US"/>
        </w:rPr>
      </w:pPr>
      <w:bookmarkStart w:id="1000" w:name="__RefHeading___Toc518036299"/>
      <w:bookmarkEnd w:id="1000"/>
      <w:r>
        <w:rPr>
          <w:lang w:val="en-US"/>
        </w:rPr>
        <w:t>ZF.3.2</w:t>
        <w:tab/>
        <w:t>General</w:t>
      </w:r>
    </w:p>
    <w:p>
      <w:pPr>
        <w:pStyle w:val="Normal"/>
        <w:rPr/>
      </w:pPr>
      <w:r>
        <w:rPr>
          <w:lang w:val="en-US"/>
        </w:rPr>
        <w:t>Instead of using mapping tables to model link performance as traditionally used in system level simulations, a methodology is used where the link simulator is integrated in the system, so that a link simulator object is used for each radio link.</w:t>
      </w:r>
    </w:p>
    <w:p>
      <w:pPr>
        <w:pStyle w:val="Normal"/>
        <w:rPr>
          <w:lang w:val="en-US"/>
        </w:rPr>
      </w:pPr>
      <w:r>
        <w:rPr>
          <w:lang w:val="en-US"/>
        </w:rPr>
        <w:t>Effectively this can be seen as running thousands of parallel link level simulators, each with unique interferer profiles per transmitted block.</w:t>
      </w:r>
    </w:p>
    <w:p>
      <w:pPr>
        <w:pStyle w:val="Heading2"/>
        <w:rPr>
          <w:lang w:val="en-US"/>
        </w:rPr>
      </w:pPr>
      <w:bookmarkStart w:id="1001" w:name="__RefHeading___Toc518036300"/>
      <w:bookmarkStart w:id="1002" w:name="_Ref419632677"/>
      <w:bookmarkEnd w:id="1001"/>
      <w:r>
        <w:rPr>
          <w:lang w:val="en-US"/>
        </w:rPr>
        <w:t>ZF.3.3</w:t>
        <w:tab/>
        <w:t>Minimizing execution time</w:t>
      </w:r>
      <w:bookmarkEnd w:id="1002"/>
    </w:p>
    <w:p>
      <w:pPr>
        <w:pStyle w:val="Heading3"/>
        <w:rPr>
          <w:lang w:val="en-US"/>
        </w:rPr>
      </w:pPr>
      <w:bookmarkStart w:id="1003" w:name="__RefHeading___Toc518036301"/>
      <w:bookmarkEnd w:id="1003"/>
      <w:r>
        <w:rPr>
          <w:lang w:val="en-US"/>
        </w:rPr>
        <w:t>ZF.3.3.1</w:t>
        <w:tab/>
        <w:t>General</w:t>
      </w:r>
    </w:p>
    <w:p>
      <w:pPr>
        <w:pStyle w:val="Normal"/>
        <w:rPr/>
      </w:pPr>
      <w:r>
        <w:rPr>
          <w:lang w:val="en-US" w:eastAsia="ko-KR"/>
        </w:rPr>
        <w:t>Significant increase in computational complexity is expected when comparing the use of a link level based methodology compared to a mapping based methodology. Instead of basically handling a few scalars, and doing one or more table look-up(s) per user, signals are modeled down to IQ-sample level with channel propagation and demodulation of each block.</w:t>
      </w:r>
    </w:p>
    <w:p>
      <w:pPr>
        <w:pStyle w:val="Normal"/>
        <w:rPr>
          <w:lang w:val="en-US" w:eastAsia="ko-KR"/>
        </w:rPr>
      </w:pPr>
      <w:r>
        <w:rPr>
          <w:lang w:val="en-US" w:eastAsia="ko-KR"/>
        </w:rPr>
        <w:t>Hence, some simplifications are used to speed up the simulation time. Some general description is also provided below on interference modeling</w:t>
      </w:r>
    </w:p>
    <w:p>
      <w:pPr>
        <w:pStyle w:val="Heading3"/>
        <w:rPr>
          <w:lang w:val="en-US"/>
        </w:rPr>
      </w:pPr>
      <w:bookmarkStart w:id="1004" w:name="__RefHeading___Toc518036302"/>
      <w:bookmarkEnd w:id="1004"/>
      <w:r>
        <w:rPr>
          <w:lang w:val="en-US"/>
        </w:rPr>
        <w:t>ZF.3.3.2</w:t>
        <w:tab/>
        <w:t>Interferers</w:t>
      </w:r>
    </w:p>
    <w:p>
      <w:pPr>
        <w:pStyle w:val="Heading4"/>
        <w:ind w:left="1418" w:hanging="1418"/>
        <w:rPr/>
      </w:pPr>
      <w:bookmarkStart w:id="1005" w:name="__RefHeading___Toc518036303"/>
      <w:bookmarkEnd w:id="1005"/>
      <w:r>
        <w:rPr>
          <w:lang w:val="en-US"/>
        </w:rPr>
        <w:t>ZF.3.3.2.1</w:t>
        <w:tab/>
        <w:t>Interferer types</w:t>
      </w:r>
    </w:p>
    <w:p>
      <w:pPr>
        <w:pStyle w:val="Normal"/>
        <w:rPr>
          <w:lang w:val="en-US"/>
        </w:rPr>
      </w:pPr>
      <w:r>
        <w:rPr>
          <w:lang w:val="en-US"/>
        </w:rPr>
        <w:t xml:space="preserve">Only CCI (Co-Channel Interference) and first adj-channel interferer is modeled by the link simulator. Thus, any higher order adj-channel interferers are discarded. </w:t>
      </w:r>
    </w:p>
    <w:p>
      <w:pPr>
        <w:pStyle w:val="Normal"/>
        <w:rPr/>
      </w:pPr>
      <w:r>
        <w:rPr>
          <w:lang w:val="en-US"/>
        </w:rPr>
        <w:t>The interferer bursts are all modeled with random bits in the TSC symbol positions to model a non-synchronized network. Also, this is typically what is used in legacy L2S mapping procedures for GSM when generating the mapping tables.</w:t>
      </w:r>
    </w:p>
    <w:p>
      <w:pPr>
        <w:pStyle w:val="Heading4"/>
        <w:ind w:left="1418" w:hanging="1418"/>
        <w:rPr>
          <w:lang w:val="en-US"/>
        </w:rPr>
      </w:pPr>
      <w:bookmarkStart w:id="1006" w:name="__RefHeading___Toc518036304"/>
      <w:bookmarkEnd w:id="1006"/>
      <w:r>
        <w:rPr>
          <w:lang w:val="en-US"/>
        </w:rPr>
        <w:t>ZF.3.3.2.2</w:t>
        <w:tab/>
        <w:t>Minimum number of interferers</w:t>
      </w:r>
    </w:p>
    <w:p>
      <w:pPr>
        <w:pStyle w:val="Normal"/>
        <w:rPr/>
      </w:pPr>
      <w:r>
        <w:rPr>
          <w:lang w:val="en-US"/>
        </w:rPr>
        <w:t>In a system simulation there are typically a significant number of interferers experienced by each radio link. Due to the frequency re-use of the system, interferers at longer distance to the receiver will generally have lower gains. How different number and types of (e.g. co-channel and/or adj-channel) interferers impact the receiver performance is very dependent on the receiver architecture.</w:t>
      </w:r>
    </w:p>
    <w:p>
      <w:pPr>
        <w:pStyle w:val="Normal"/>
        <w:rPr/>
      </w:pPr>
      <w:r>
        <w:rPr>
          <w:lang w:val="en-US"/>
        </w:rPr>
        <w:t>In conventional L2S mappings all interferers are typically converted to a corresponding co-channel interferer power and the L2S mapping only takes into account a total interferer power. For more advanced receiver architectures, utilizing e.g. some kind of interference suppression, this approximation is too coarse and the L2S mapping model need to be extended with e.g. the number of interferers, type of interferers and relative power of the interferers.</w:t>
      </w:r>
    </w:p>
    <w:p>
      <w:pPr>
        <w:pStyle w:val="Normal"/>
        <w:rPr/>
      </w:pPr>
      <w:r>
        <w:rPr>
          <w:lang w:val="en-US"/>
        </w:rPr>
        <w:t>By integrating the link level simulator in the system level simulator the problem of correctly capturing these effects is no longer a concern. However, modeling all interferers in a system will require unnecessary processing power without adding value to the evaluation of the receiver performance.</w:t>
      </w:r>
    </w:p>
    <w:p>
      <w:pPr>
        <w:pStyle w:val="Normal"/>
        <w:rPr>
          <w:lang w:val="en-US"/>
        </w:rPr>
      </w:pPr>
      <w:r>
        <w:rPr>
          <w:lang w:val="en-US"/>
        </w:rPr>
        <w:t xml:space="preserve">The minimum number of interfering bursts that needs to be generated for each carrier burst is set to a fixed number per interfering class. </w:t>
      </w:r>
    </w:p>
    <w:p>
      <w:pPr>
        <w:pStyle w:val="Normal"/>
        <w:rPr/>
      </w:pPr>
      <w:r>
        <w:rPr>
          <w:lang w:val="en-US"/>
        </w:rPr>
        <w:t xml:space="preserve">'Class' is here referring to any difference in Tx-characteristics between interferers and/or interferer types. Thus, an EC-RACH CCI using a single transmission would be classified as a different class compared to a EC-RACH CCI using two transmissions. </w:t>
      </w:r>
    </w:p>
    <w:p>
      <w:pPr>
        <w:pStyle w:val="Normal"/>
        <w:rPr/>
      </w:pPr>
      <w:r>
        <w:rPr>
          <w:lang w:val="en-US"/>
        </w:rPr>
        <w:t>The minimum number used in the evaluations is set to three interferers per class.</w:t>
      </w:r>
    </w:p>
    <w:p>
      <w:pPr>
        <w:pStyle w:val="Normal"/>
        <w:rPr>
          <w:lang w:val="en-US"/>
        </w:rPr>
      </w:pPr>
      <w:r>
        <w:rPr>
          <w:lang w:val="en-US"/>
        </w:rPr>
        <w:t>So, for example, one possible combination could be:</w:t>
      </w:r>
    </w:p>
    <w:p>
      <w:pPr>
        <w:pStyle w:val="Normal"/>
        <w:rPr>
          <w:lang w:val="en-US"/>
        </w:rPr>
      </w:pPr>
      <w:r>
        <w:rPr>
          <w:lang w:val="en-US"/>
        </w:rPr>
        <w:t>3 {CCI, 1 Tx} + 3 {CCI, 2 Tx} + 1 {CCI, 4 Tx} + 3 {ACI+, 1 Tx} + 3 {ACI-, 1 Tx} + 1 {ACI-, 2 Tx} = 14 interferers modeled.</w:t>
      </w:r>
    </w:p>
    <w:p>
      <w:pPr>
        <w:pStyle w:val="Heading4"/>
        <w:ind w:left="1418" w:hanging="1418"/>
        <w:rPr>
          <w:lang w:val="en-US"/>
        </w:rPr>
      </w:pPr>
      <w:bookmarkStart w:id="1007" w:name="__RefHeading___Toc518036305"/>
      <w:bookmarkEnd w:id="1007"/>
      <w:r>
        <w:rPr>
          <w:lang w:val="en-US"/>
        </w:rPr>
        <w:t>ZF.3.3.2.3</w:t>
        <w:tab/>
        <w:t>Requirement on modeled energy level</w:t>
      </w:r>
    </w:p>
    <w:p>
      <w:pPr>
        <w:pStyle w:val="Normal"/>
        <w:rPr/>
      </w:pPr>
      <w:r>
        <w:rPr>
          <w:lang w:val="en-US"/>
        </w:rPr>
        <w:t xml:space="preserve">An additional requirement on the total interfering enery level in each class is also added. This is to ensure that at least a certain amount of the energy in each class is modeled. This would primarily ensure performance accuracy in cases where the number of interferers is higher than the minimum number modeled and the interferers are at similar signal levels. The requirement of minimum modeled energy will also result in interferers with low energy to be discarded but the total interfering level remain unchanged. </w:t>
      </w:r>
    </w:p>
    <w:p>
      <w:pPr>
        <w:pStyle w:val="Heading4"/>
        <w:ind w:left="1418" w:hanging="1418"/>
        <w:rPr>
          <w:lang w:val="en-US"/>
        </w:rPr>
      </w:pPr>
      <w:bookmarkStart w:id="1008" w:name="__RefHeading___Toc518036306"/>
      <w:bookmarkEnd w:id="1008"/>
      <w:r>
        <w:rPr>
          <w:lang w:val="en-US"/>
        </w:rPr>
        <w:t>ZF.3.3.2.4</w:t>
        <w:tab/>
        <w:t>Conservation of energy</w:t>
      </w:r>
    </w:p>
    <w:p>
      <w:pPr>
        <w:pStyle w:val="Normal"/>
        <w:rPr>
          <w:lang w:val="en-US"/>
        </w:rPr>
      </w:pPr>
      <w:r>
        <w:rPr>
          <w:lang w:val="en-US"/>
        </w:rPr>
        <w:t>Both when limiting the interferers based on a fixed number and/or a requirement on modeled energy level it is always the momentary, faded energy level that is used.</w:t>
      </w:r>
    </w:p>
    <w:p>
      <w:pPr>
        <w:pStyle w:val="Normal"/>
        <w:rPr/>
      </w:pPr>
      <w:r>
        <w:rPr>
          <w:lang w:val="en-US"/>
        </w:rPr>
        <w:t>Further, in order to conserve interferer energy the remaining interferers are scaled based on the residual interferer power discarded per each class. Hence, no interference energy is lost, only the number of signals used to model the interference.</w:t>
      </w:r>
    </w:p>
    <w:p>
      <w:pPr>
        <w:pStyle w:val="Heading3"/>
        <w:rPr>
          <w:lang w:val="en-US"/>
        </w:rPr>
      </w:pPr>
      <w:bookmarkStart w:id="1009" w:name="__RefHeading___Toc518036307"/>
      <w:bookmarkEnd w:id="1009"/>
      <w:r>
        <w:rPr>
          <w:lang w:val="en-US"/>
        </w:rPr>
        <w:t>ZF.3.3.3</w:t>
        <w:tab/>
        <w:t>Oversampling</w:t>
      </w:r>
    </w:p>
    <w:p>
      <w:pPr>
        <w:pStyle w:val="Normal"/>
        <w:rPr/>
      </w:pPr>
      <w:r>
        <w:rPr>
          <w:lang w:val="en-US"/>
        </w:rPr>
        <w:t>An oversampling rate of four has been used for evaluation of the link performance.</w:t>
      </w:r>
    </w:p>
    <w:p>
      <w:pPr>
        <w:pStyle w:val="Heading3"/>
        <w:rPr>
          <w:lang w:val="en-US"/>
        </w:rPr>
      </w:pPr>
      <w:bookmarkStart w:id="1010" w:name="__RefHeading___Toc518036308"/>
      <w:bookmarkEnd w:id="1010"/>
      <w:r>
        <w:rPr>
          <w:lang w:val="en-US"/>
        </w:rPr>
        <w:t>ZF.3.3.4</w:t>
        <w:tab/>
        <w:t>Pre-generation of bursts</w:t>
      </w:r>
    </w:p>
    <w:p>
      <w:pPr>
        <w:pStyle w:val="Normal"/>
        <w:rPr/>
      </w:pPr>
      <w:r>
        <w:rPr>
          <w:lang w:val="en-US" w:eastAsia="ko-KR"/>
        </w:rPr>
        <w:t>To avoid the rather computational-heavy propagation of the radio channel of each user to each base station (this is needed for each carrier, but also for every interfering burst), pre-generation of bursts are used with the assumed channel propagation profile (TU 1.2 km/h).</w:t>
      </w:r>
    </w:p>
    <w:p>
      <w:pPr>
        <w:pStyle w:val="Normal"/>
        <w:rPr/>
      </w:pPr>
      <w:r>
        <w:rPr>
          <w:lang w:val="en-US" w:eastAsia="ko-KR"/>
        </w:rPr>
        <w:t xml:space="preserve">Since the EC-RACH is a single block transmission (i.e. a user will only transmit one block and then turn to the CCCH DL to look for an assignment), with a time interval in-between attempts that exceed the time coherency of TU1.2, the generation of bursts will follow TU1.2 within a repetition interval, but a new channel realization is used between each repetition interval. </w:t>
      </w:r>
    </w:p>
    <w:p>
      <w:pPr>
        <w:pStyle w:val="Heading3"/>
        <w:rPr>
          <w:lang w:val="en-US" w:eastAsia="ko-KR"/>
        </w:rPr>
      </w:pPr>
      <w:bookmarkStart w:id="1011" w:name="__RefHeading___Toc518036309"/>
      <w:bookmarkEnd w:id="1011"/>
      <w:r>
        <w:rPr>
          <w:lang w:val="en-US" w:eastAsia="ko-KR"/>
        </w:rPr>
        <w:t>ZF.3.3.5</w:t>
        <w:tab/>
        <w:t>Verification</w:t>
      </w:r>
    </w:p>
    <w:p>
      <w:pPr>
        <w:pStyle w:val="Heading4"/>
        <w:ind w:left="1418" w:hanging="1418"/>
        <w:rPr>
          <w:lang w:val="en-US" w:eastAsia="ko-KR"/>
        </w:rPr>
      </w:pPr>
      <w:bookmarkStart w:id="1012" w:name="__RefHeading___Toc518036310"/>
      <w:bookmarkEnd w:id="1012"/>
      <w:r>
        <w:rPr>
          <w:lang w:val="en-US" w:eastAsia="ko-KR"/>
        </w:rPr>
        <w:t>ZF.3.3.5.1</w:t>
        <w:tab/>
        <w:t>General</w:t>
      </w:r>
    </w:p>
    <w:p>
      <w:pPr>
        <w:pStyle w:val="Normal"/>
        <w:rPr/>
      </w:pPr>
      <w:r>
        <w:rPr>
          <w:lang w:val="en-US"/>
        </w:rPr>
        <w:t>Link level assumptions for the verification simulations are listed in table ZF.3.3-1.</w:t>
      </w:r>
    </w:p>
    <w:p>
      <w:pPr>
        <w:pStyle w:val="TH"/>
        <w:rPr/>
      </w:pPr>
      <w:r>
        <w:rPr/>
        <w:t>Table ZF.3.3-1: Link level simulation assumptions</w:t>
      </w:r>
    </w:p>
    <w:tbl>
      <w:tblPr>
        <w:tblW w:w="6137" w:type="dxa"/>
        <w:jc w:val="center"/>
        <w:tblInd w:w="0" w:type="dxa"/>
        <w:tblLayout w:type="fixed"/>
        <w:tblCellMar>
          <w:top w:w="0" w:type="dxa"/>
          <w:left w:w="108" w:type="dxa"/>
          <w:bottom w:w="0" w:type="dxa"/>
          <w:right w:w="108" w:type="dxa"/>
        </w:tblCellMar>
      </w:tblPr>
      <w:tblGrid>
        <w:gridCol w:w="3611"/>
        <w:gridCol w:w="2526"/>
      </w:tblGrid>
      <w:tr>
        <w:trPr/>
        <w:tc>
          <w:tcPr>
            <w:tcW w:w="361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Parameter</w:t>
            </w:r>
          </w:p>
        </w:tc>
        <w:tc>
          <w:tcPr>
            <w:tcW w:w="2526"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Value</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Propagation condition</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TU1.2nFH</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MCS</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EC-RACH, 11-bit access</w:t>
            </w:r>
          </w:p>
          <w:p>
            <w:pPr>
              <w:pStyle w:val="TAL"/>
              <w:rPr>
                <w:lang w:val="en-US"/>
              </w:rPr>
            </w:pPr>
            <w:r>
              <w:rPr>
                <w:lang w:val="en-US"/>
              </w:rPr>
              <w:t>EC-RACH, Normal burst 48-bit access.</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val="en-US"/>
              </w:rPr>
              <w:t>Impairments</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Typical Tx/Rx</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transmissions</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Frames</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100,000</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Number of pre-generated bursts</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100,200,500,1000</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Min. interfering energy modeled</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20%, 40%, 60%, 80%, 100%</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Min. number of interferers modeled</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1, 2, 3</w:t>
            </w:r>
          </w:p>
        </w:tc>
      </w:tr>
      <w:tr>
        <w:trPr/>
        <w:tc>
          <w:tcPr>
            <w:tcW w:w="361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Seeds</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20 different</w:t>
            </w:r>
          </w:p>
        </w:tc>
      </w:tr>
    </w:tbl>
    <w:p>
      <w:pPr>
        <w:pStyle w:val="Normal"/>
        <w:rPr>
          <w:lang w:val="en-US"/>
        </w:rPr>
      </w:pPr>
      <w:r>
        <w:rPr>
          <w:lang w:val="en-US"/>
        </w:rPr>
      </w:r>
    </w:p>
    <w:p>
      <w:pPr>
        <w:pStyle w:val="Normal"/>
        <w:rPr/>
      </w:pPr>
      <w:r>
        <w:rPr>
          <w:lang w:val="en-US"/>
        </w:rPr>
        <w:t>Interferer scenarios used in the link level evaluation are described in table ZF.3.3-2.</w:t>
      </w:r>
    </w:p>
    <w:p>
      <w:pPr>
        <w:pStyle w:val="TH"/>
        <w:rPr/>
      </w:pPr>
      <w:r>
        <w:rPr/>
        <w:t>Table ZF.3.3-2: Interferer scenarios</w:t>
      </w:r>
    </w:p>
    <w:tbl>
      <w:tblPr>
        <w:tblW w:w="4622" w:type="dxa"/>
        <w:jc w:val="center"/>
        <w:tblInd w:w="0" w:type="dxa"/>
        <w:tblLayout w:type="fixed"/>
        <w:tblCellMar>
          <w:top w:w="0" w:type="dxa"/>
          <w:left w:w="108" w:type="dxa"/>
          <w:bottom w:w="0" w:type="dxa"/>
          <w:right w:w="108" w:type="dxa"/>
        </w:tblCellMar>
      </w:tblPr>
      <w:tblGrid>
        <w:gridCol w:w="1250"/>
        <w:gridCol w:w="1285"/>
        <w:gridCol w:w="1338"/>
        <w:gridCol w:w="749"/>
      </w:tblGrid>
      <w:tr>
        <w:trPr/>
        <w:tc>
          <w:tcPr>
            <w:tcW w:w="125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Interferer </w:t>
              <w:br/>
              <w:t>scenario</w:t>
            </w:r>
          </w:p>
        </w:tc>
        <w:tc>
          <w:tcPr>
            <w:tcW w:w="128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Interfering</w:t>
              <w:br/>
              <w:t>signal</w:t>
            </w:r>
          </w:p>
        </w:tc>
        <w:tc>
          <w:tcPr>
            <w:tcW w:w="13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Rel. power </w:t>
              <w:br/>
              <w:t>level</w:t>
            </w:r>
          </w:p>
        </w:tc>
        <w:tc>
          <w:tcPr>
            <w:tcW w:w="749"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TSC</w:t>
            </w:r>
          </w:p>
        </w:tc>
      </w:tr>
      <w:tr>
        <w:trPr/>
        <w:tc>
          <w:tcPr>
            <w:tcW w:w="125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CCI-X</w:t>
            </w:r>
          </w:p>
        </w:tc>
        <w:tc>
          <w:tcPr>
            <w:tcW w:w="12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CCI 1</w:t>
            </w:r>
          </w:p>
          <w:p>
            <w:pPr>
              <w:pStyle w:val="TAC"/>
              <w:rPr>
                <w:lang w:val="en-US"/>
              </w:rPr>
            </w:pPr>
            <w:r>
              <w:rPr>
                <w:lang w:val="en-US"/>
              </w:rPr>
              <w:t>CCI 2</w:t>
            </w:r>
          </w:p>
          <w:p>
            <w:pPr>
              <w:pStyle w:val="TAC"/>
              <w:rPr>
                <w:lang w:val="en-US"/>
              </w:rPr>
            </w:pPr>
            <w:r>
              <w:rPr>
                <w:lang w:val="en-US"/>
              </w:rPr>
              <w:t>…</w:t>
            </w:r>
          </w:p>
          <w:p>
            <w:pPr>
              <w:pStyle w:val="TAC"/>
              <w:rPr>
                <w:lang w:val="en-US"/>
              </w:rPr>
            </w:pPr>
            <w:r>
              <w:rPr>
                <w:lang w:val="en-US"/>
              </w:rPr>
              <w:t>CCI X</w:t>
            </w:r>
          </w:p>
        </w:tc>
        <w:tc>
          <w:tcPr>
            <w:tcW w:w="133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 dB</w:t>
            </w:r>
          </w:p>
          <w:p>
            <w:pPr>
              <w:pStyle w:val="TAC"/>
              <w:rPr>
                <w:lang w:val="en-US"/>
              </w:rPr>
            </w:pPr>
            <w:r>
              <w:rPr>
                <w:lang w:val="en-US"/>
              </w:rPr>
              <w:t>0 dB</w:t>
            </w:r>
          </w:p>
          <w:p>
            <w:pPr>
              <w:pStyle w:val="TAC"/>
              <w:rPr>
                <w:lang w:val="en-US"/>
              </w:rPr>
            </w:pPr>
            <w:r>
              <w:rPr>
                <w:lang w:val="en-US"/>
              </w:rPr>
              <w:t>…</w:t>
            </w:r>
          </w:p>
          <w:p>
            <w:pPr>
              <w:pStyle w:val="TAC"/>
              <w:rPr>
                <w:lang w:val="en-US"/>
              </w:rPr>
            </w:pPr>
            <w:r>
              <w:rPr>
                <w:lang w:val="en-US"/>
              </w:rPr>
              <w:t>0 dB</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none</w:t>
            </w:r>
          </w:p>
          <w:p>
            <w:pPr>
              <w:pStyle w:val="TAC"/>
              <w:rPr>
                <w:lang w:val="en-US"/>
              </w:rPr>
            </w:pPr>
            <w:r>
              <w:rPr>
                <w:lang w:val="en-US"/>
              </w:rPr>
              <w:t>none</w:t>
            </w:r>
          </w:p>
          <w:p>
            <w:pPr>
              <w:pStyle w:val="TAC"/>
              <w:rPr>
                <w:lang w:val="en-US"/>
              </w:rPr>
            </w:pPr>
            <w:r>
              <w:rPr>
                <w:lang w:val="en-US"/>
              </w:rPr>
              <w:t>…</w:t>
            </w:r>
          </w:p>
          <w:p>
            <w:pPr>
              <w:pStyle w:val="TAC"/>
              <w:rPr>
                <w:lang w:val="en-US"/>
              </w:rPr>
            </w:pPr>
            <w:r>
              <w:rPr>
                <w:lang w:val="en-US"/>
              </w:rPr>
              <w:t>none</w:t>
            </w:r>
          </w:p>
        </w:tc>
      </w:tr>
      <w:tr>
        <w:trPr/>
        <w:tc>
          <w:tcPr>
            <w:tcW w:w="125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ACI-X</w:t>
            </w:r>
          </w:p>
        </w:tc>
        <w:tc>
          <w:tcPr>
            <w:tcW w:w="12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ACI 1</w:t>
            </w:r>
          </w:p>
          <w:p>
            <w:pPr>
              <w:pStyle w:val="TAC"/>
              <w:rPr>
                <w:lang w:val="en-US"/>
              </w:rPr>
            </w:pPr>
            <w:r>
              <w:rPr>
                <w:lang w:val="en-US"/>
              </w:rPr>
              <w:t>ACI 2</w:t>
            </w:r>
          </w:p>
          <w:p>
            <w:pPr>
              <w:pStyle w:val="TAC"/>
              <w:rPr>
                <w:lang w:val="en-US"/>
              </w:rPr>
            </w:pPr>
            <w:r>
              <w:rPr>
                <w:lang w:val="en-US"/>
              </w:rPr>
              <w:t>…</w:t>
            </w:r>
          </w:p>
          <w:p>
            <w:pPr>
              <w:pStyle w:val="TAC"/>
              <w:rPr>
                <w:lang w:val="en-US"/>
              </w:rPr>
            </w:pPr>
            <w:r>
              <w:rPr>
                <w:lang w:val="en-US"/>
              </w:rPr>
              <w:t>ACI X</w:t>
            </w:r>
          </w:p>
        </w:tc>
        <w:tc>
          <w:tcPr>
            <w:tcW w:w="133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 dB</w:t>
            </w:r>
          </w:p>
          <w:p>
            <w:pPr>
              <w:pStyle w:val="TAC"/>
              <w:rPr>
                <w:lang w:val="en-US"/>
              </w:rPr>
            </w:pPr>
            <w:r>
              <w:rPr>
                <w:lang w:val="en-US"/>
              </w:rPr>
              <w:t>0 dB</w:t>
            </w:r>
          </w:p>
          <w:p>
            <w:pPr>
              <w:pStyle w:val="TAC"/>
              <w:rPr>
                <w:lang w:val="en-US"/>
              </w:rPr>
            </w:pPr>
            <w:r>
              <w:rPr>
                <w:lang w:val="en-US"/>
              </w:rPr>
              <w:t>…</w:t>
            </w:r>
          </w:p>
          <w:p>
            <w:pPr>
              <w:pStyle w:val="TAC"/>
              <w:rPr>
                <w:lang w:val="en-US"/>
              </w:rPr>
            </w:pPr>
            <w:r>
              <w:rPr>
                <w:lang w:val="en-US"/>
              </w:rPr>
              <w:t>0 dB</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none</w:t>
            </w:r>
          </w:p>
          <w:p>
            <w:pPr>
              <w:pStyle w:val="TAC"/>
              <w:rPr>
                <w:lang w:val="en-US"/>
              </w:rPr>
            </w:pPr>
            <w:r>
              <w:rPr>
                <w:lang w:val="en-US"/>
              </w:rPr>
              <w:t>none</w:t>
            </w:r>
          </w:p>
          <w:p>
            <w:pPr>
              <w:pStyle w:val="TAC"/>
              <w:rPr>
                <w:lang w:val="en-US"/>
              </w:rPr>
            </w:pPr>
            <w:r>
              <w:rPr>
                <w:lang w:val="en-US"/>
              </w:rPr>
              <w:t>…</w:t>
            </w:r>
          </w:p>
          <w:p>
            <w:pPr>
              <w:pStyle w:val="TAC"/>
              <w:rPr>
                <w:lang w:val="en-US"/>
              </w:rPr>
            </w:pPr>
            <w:r>
              <w:rPr>
                <w:lang w:val="en-US"/>
              </w:rPr>
              <w:t>none</w:t>
            </w:r>
          </w:p>
        </w:tc>
      </w:tr>
    </w:tbl>
    <w:p>
      <w:pPr>
        <w:pStyle w:val="Normal"/>
        <w:rPr>
          <w:lang w:val="en-US"/>
        </w:rPr>
      </w:pPr>
      <w:r>
        <w:rPr>
          <w:lang w:val="en-US"/>
        </w:rPr>
      </w:r>
    </w:p>
    <w:p>
      <w:pPr>
        <w:pStyle w:val="Normal"/>
        <w:rPr/>
      </w:pPr>
      <w:r>
        <w:rPr>
          <w:lang w:val="en-US"/>
        </w:rPr>
        <w:t>The interferer model used is mostly used to construct a pessimistic scenario for verification. It should be noted that due to the methodology used, any interference scenario will be correctly modeled, and hence this is only to force a worst case scenario in terms of evaluating the impact on the limitation of number of interferers used, and in this regard, the scenario with equal power of all interferers, and having all interferers of the same type, is the scenario most impacted by the limitation.</w:t>
      </w:r>
    </w:p>
    <w:p>
      <w:pPr>
        <w:pStyle w:val="Normal"/>
        <w:rPr/>
      </w:pPr>
      <w:r>
        <w:rPr>
          <w:lang w:val="en-US"/>
        </w:rPr>
        <w:t>All simulations are run with 20 different seeds when generating the bursts for the integrated link simulator. From the outcome of the simulations, a root mean square error is calculated to get an understanding of the modeling error caused by the simplification seen.</w:t>
      </w:r>
    </w:p>
    <w:p>
      <w:pPr>
        <w:pStyle w:val="Heading4"/>
        <w:ind w:left="1418" w:hanging="1418"/>
        <w:rPr>
          <w:lang w:val="en-US"/>
        </w:rPr>
      </w:pPr>
      <w:bookmarkStart w:id="1013" w:name="__RefHeading___Toc518036311"/>
      <w:bookmarkEnd w:id="1013"/>
      <w:r>
        <w:rPr>
          <w:lang w:val="en-US"/>
        </w:rPr>
        <w:t>ZF.3.3.5.2</w:t>
        <w:tab/>
        <w:t>Sensitivity limited performance</w:t>
      </w:r>
    </w:p>
    <w:p>
      <w:pPr>
        <w:pStyle w:val="Normal"/>
        <w:rPr>
          <w:lang w:val="en-US"/>
        </w:rPr>
      </w:pPr>
      <w:r>
        <w:rPr>
          <w:lang w:val="en-US"/>
        </w:rPr>
        <w:t>The sensitivity performance for different number of pre-generated bursts has been used to understand the impact on the root mean square error (RMSE) introduced by the simplifications used.</w:t>
      </w:r>
    </w:p>
    <w:p>
      <w:pPr>
        <w:pStyle w:val="Normal"/>
        <w:rPr/>
      </w:pPr>
      <w:r>
        <w:rPr>
          <w:lang w:val="en-US"/>
        </w:rPr>
        <w:t>As can be seen from figure ZF.3.3-1, using 1000 pre-generated bursts causes a RMSE of around 0.2 dB over the 20 seeds generated. This is seen as more than enough to model accurate EC-RACH performance, and hence is assumed to be used in all system level simulations.</w:t>
      </w:r>
    </w:p>
    <w:p>
      <w:pPr>
        <w:pStyle w:val="TH"/>
        <w:rPr>
          <w:lang w:val="en-US"/>
        </w:rPr>
      </w:pPr>
      <w:r>
        <w:rPr>
          <w:lang w:val="en-US" w:eastAsia="en-US"/>
        </w:rPr>
        <w:drawing>
          <wp:inline distT="0" distB="0" distL="0" distR="0">
            <wp:extent cx="3773170" cy="2518410"/>
            <wp:effectExtent l="0" t="0" r="0" b="0"/>
            <wp:docPr id="311"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67" descr=""/>
                    <pic:cNvPicPr>
                      <a:picLocks noChangeAspect="1" noChangeArrowheads="1"/>
                    </pic:cNvPicPr>
                  </pic:nvPicPr>
                  <pic:blipFill>
                    <a:blip r:embed="rId322"/>
                    <a:srcRect l="-7" t="-10" r="-7" b="-10"/>
                    <a:stretch>
                      <a:fillRect/>
                    </a:stretch>
                  </pic:blipFill>
                  <pic:spPr bwMode="auto">
                    <a:xfrm>
                      <a:off x="0" y="0"/>
                      <a:ext cx="3773170" cy="2518410"/>
                    </a:xfrm>
                    <a:prstGeom prst="rect">
                      <a:avLst/>
                    </a:prstGeom>
                  </pic:spPr>
                </pic:pic>
              </a:graphicData>
            </a:graphic>
          </wp:inline>
        </w:drawing>
      </w:r>
    </w:p>
    <w:p>
      <w:pPr>
        <w:pStyle w:val="TF"/>
        <w:rPr/>
      </w:pPr>
      <w:r>
        <w:rPr/>
        <w:t>Figure ZF.3.3-1: Sensitivity performance</w:t>
      </w:r>
    </w:p>
    <w:p>
      <w:pPr>
        <w:pStyle w:val="Heading4"/>
        <w:ind w:left="1418" w:hanging="1418"/>
        <w:rPr>
          <w:lang w:val="en-US"/>
        </w:rPr>
      </w:pPr>
      <w:bookmarkStart w:id="1014" w:name="__RefHeading___Toc518036312"/>
      <w:bookmarkEnd w:id="1014"/>
      <w:r>
        <w:rPr>
          <w:lang w:val="en-US"/>
        </w:rPr>
        <w:t>ZF.3.3.5.3</w:t>
        <w:tab/>
        <w:t>Interference limited performance</w:t>
      </w:r>
    </w:p>
    <w:p>
      <w:pPr>
        <w:pStyle w:val="Normal"/>
        <w:rPr/>
      </w:pPr>
      <w:r>
        <w:rPr>
          <w:lang w:val="en-US"/>
        </w:rPr>
        <w:t>For the interference scenarios, more diversity is collected within one simulation due to the interference diversity and hence the conclusion from the sensitivity simulations of 1000 pre-generated frames is used in all simulations.</w:t>
      </w:r>
    </w:p>
    <w:p>
      <w:pPr>
        <w:pStyle w:val="Normal"/>
        <w:rPr/>
      </w:pPr>
      <w:r>
        <w:rPr>
          <w:lang w:val="en-US"/>
        </w:rPr>
        <w:t>In figure ZF.3.3-2, CO-3 scenarios have been simulated for EC-RACH. This is considered to be a worst case scenario in terms of the number of interferers needed to model correct link level performance. The structure of the interfering signal is most impacted if the interfering levels are similar for the different interferers.</w:t>
      </w:r>
    </w:p>
    <w:p>
      <w:pPr>
        <w:pStyle w:val="Normal"/>
        <w:rPr/>
      </w:pPr>
      <w:r>
        <w:rPr>
          <w:lang w:val="en-US"/>
        </w:rPr>
        <w:t xml:space="preserve">The number of external co-channel interferers has been set to 3 and different requirements on minimum level of total modeled signal energy have been scanned. </w:t>
      </w:r>
    </w:p>
    <w:p>
      <w:pPr>
        <w:pStyle w:val="Normal"/>
        <w:rPr>
          <w:lang w:val="en-US"/>
        </w:rPr>
      </w:pPr>
      <w:r>
        <w:rPr>
          <w:lang w:val="en-US"/>
        </w:rPr>
        <w:t>The reference performance is the true performance from the link level simulator.</w:t>
      </w:r>
    </w:p>
    <w:p>
      <w:pPr>
        <w:pStyle w:val="Normal"/>
        <w:rPr/>
      </w:pPr>
      <w:r>
        <w:rPr>
          <w:lang w:val="en-US"/>
        </w:rPr>
        <w:t>In the figures the performance difference (y-axis) is compared at 10% EC-RACH BLER to the performance with no limitation on interferers.</w:t>
      </w:r>
    </w:p>
    <w:p>
      <w:pPr>
        <w:pStyle w:val="TH"/>
        <w:rPr>
          <w:lang w:val="en-US"/>
        </w:rPr>
      </w:pPr>
      <w:r>
        <w:rPr>
          <w:lang w:val="en-US" w:eastAsia="en-US"/>
        </w:rPr>
        <w:drawing>
          <wp:inline distT="0" distB="0" distL="0" distR="0">
            <wp:extent cx="3773170" cy="2522220"/>
            <wp:effectExtent l="0" t="0" r="0" b="0"/>
            <wp:docPr id="312"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66" descr=""/>
                    <pic:cNvPicPr>
                      <a:picLocks noChangeAspect="1" noChangeArrowheads="1"/>
                    </pic:cNvPicPr>
                  </pic:nvPicPr>
                  <pic:blipFill>
                    <a:blip r:embed="rId323"/>
                    <a:srcRect l="-7" t="-10" r="-7" b="-10"/>
                    <a:stretch>
                      <a:fillRect/>
                    </a:stretch>
                  </pic:blipFill>
                  <pic:spPr bwMode="auto">
                    <a:xfrm>
                      <a:off x="0" y="0"/>
                      <a:ext cx="3773170" cy="2522220"/>
                    </a:xfrm>
                    <a:prstGeom prst="rect">
                      <a:avLst/>
                    </a:prstGeom>
                  </pic:spPr>
                </pic:pic>
              </a:graphicData>
            </a:graphic>
          </wp:inline>
        </w:drawing>
      </w:r>
    </w:p>
    <w:p>
      <w:pPr>
        <w:pStyle w:val="TF"/>
        <w:rPr/>
      </w:pPr>
      <w:r>
        <w:rPr/>
        <w:t>Figure ZF.3.3-2: Different CO-interferers with one (top), and three (bottom) minimum number of interferers assumed</w:t>
      </w:r>
    </w:p>
    <w:p>
      <w:pPr>
        <w:pStyle w:val="Normal"/>
        <w:rPr>
          <w:lang w:val="en-US"/>
        </w:rPr>
      </w:pPr>
      <w:r>
        <w:rPr>
          <w:lang w:val="en-US"/>
        </w:rPr>
        <w:t>As can be seen, the RMSE of the performance difference is very small.</w:t>
      </w:r>
    </w:p>
    <w:p>
      <w:pPr>
        <w:pStyle w:val="Normal"/>
        <w:rPr/>
      </w:pPr>
      <w:r>
        <w:rPr>
          <w:lang w:val="en-US"/>
        </w:rPr>
        <w:t>Based on these results it is concluded that for system level simulations, the minimum number of interferers can safely be set to 3, and the minimum modeled energy to 90 % in order to correctly model link performance. In the worst case scenario considered here, this ensures a RMSE modeling error of around 0.1 dB for CCI, and 0.2 dB for ACI.</w:t>
      </w:r>
    </w:p>
    <w:p>
      <w:pPr>
        <w:pStyle w:val="Heading1"/>
        <w:ind w:left="1134" w:hanging="1134"/>
        <w:rPr>
          <w:lang w:val="en-US"/>
        </w:rPr>
      </w:pPr>
      <w:bookmarkStart w:id="1015" w:name="__RefHeading___Toc518036313"/>
      <w:bookmarkEnd w:id="1015"/>
      <w:r>
        <w:rPr>
          <w:lang w:val="en-US"/>
        </w:rPr>
        <w:t>ZF.4</w:t>
        <w:tab/>
        <w:t>Simulator for Data traffic and control channel performance</w:t>
      </w:r>
    </w:p>
    <w:p>
      <w:pPr>
        <w:pStyle w:val="Heading2"/>
        <w:rPr>
          <w:lang w:val="en-US"/>
        </w:rPr>
      </w:pPr>
      <w:bookmarkStart w:id="1016" w:name="__RefHeading___Toc518036314"/>
      <w:bookmarkEnd w:id="1016"/>
      <w:r>
        <w:rPr>
          <w:lang w:val="en-US"/>
        </w:rPr>
        <w:t>ZF.4.1</w:t>
        <w:tab/>
        <w:t>Tdoc reference</w:t>
      </w:r>
    </w:p>
    <w:p>
      <w:pPr>
        <w:pStyle w:val="Normal"/>
        <w:rPr>
          <w:lang w:val="en-US"/>
        </w:rPr>
      </w:pPr>
      <w:r>
        <w:rPr>
          <w:lang w:val="en-US"/>
        </w:rPr>
        <w:t>3GPP TSG GERAN WG1 #67</w:t>
      </w:r>
    </w:p>
    <w:p>
      <w:pPr>
        <w:pStyle w:val="Normal"/>
        <w:rPr>
          <w:lang w:val="en-US"/>
        </w:rPr>
      </w:pPr>
      <w:r>
        <w:rPr>
          <w:lang w:val="en-US"/>
        </w:rPr>
        <w:t>GP-150762</w:t>
      </w:r>
    </w:p>
    <w:p>
      <w:pPr>
        <w:pStyle w:val="Normal"/>
        <w:rPr>
          <w:lang w:val="en-US"/>
        </w:rPr>
      </w:pPr>
      <w:r>
        <w:rPr>
          <w:lang w:val="en-US"/>
        </w:rPr>
        <w:t>Yinchuan, P. R. China</w:t>
      </w:r>
    </w:p>
    <w:p>
      <w:pPr>
        <w:pStyle w:val="Normal"/>
        <w:rPr/>
      </w:pPr>
      <w:r>
        <w:rPr>
          <w:lang w:val="en-US"/>
        </w:rPr>
        <w:t>10</w:t>
      </w:r>
      <w:r>
        <w:rPr>
          <w:vertAlign w:val="superscript"/>
          <w:lang w:val="en-US"/>
        </w:rPr>
        <w:t>th</w:t>
      </w:r>
      <w:r>
        <w:rPr>
          <w:lang w:val="en-US"/>
        </w:rPr>
        <w:t xml:space="preserve"> – 14</w:t>
      </w:r>
      <w:r>
        <w:rPr>
          <w:vertAlign w:val="superscript"/>
          <w:lang w:val="en-US"/>
        </w:rPr>
        <w:t>th</w:t>
      </w:r>
      <w:r>
        <w:rPr>
          <w:lang w:val="en-US"/>
        </w:rPr>
        <w:t>, May, 2015</w:t>
      </w:r>
    </w:p>
    <w:p>
      <w:pPr>
        <w:pStyle w:val="Normal"/>
        <w:rPr>
          <w:lang w:val="en-US"/>
        </w:rPr>
      </w:pPr>
      <w:r>
        <w:rPr>
          <w:lang w:val="en-US"/>
        </w:rPr>
        <w:t>Source: Ericsson LM</w:t>
      </w:r>
    </w:p>
    <w:p>
      <w:pPr>
        <w:pStyle w:val="Normal"/>
        <w:rPr/>
      </w:pPr>
      <w:r>
        <w:rPr>
          <w:b/>
          <w:lang w:val="en-US"/>
        </w:rPr>
        <w:t>Title: EC-GSM, Link modeling methodology for EC-PDTCH capacity evaluations (update of GPC150441)</w:t>
      </w:r>
    </w:p>
    <w:p>
      <w:pPr>
        <w:pStyle w:val="Heading2"/>
        <w:rPr>
          <w:lang w:val="en-US"/>
        </w:rPr>
      </w:pPr>
      <w:bookmarkStart w:id="1017" w:name="__RefHeading___Toc518036315"/>
      <w:bookmarkEnd w:id="1017"/>
      <w:r>
        <w:rPr>
          <w:lang w:val="en-US"/>
        </w:rPr>
        <w:t>ZF.4.2</w:t>
        <w:tab/>
        <w:t>Model</w:t>
      </w:r>
    </w:p>
    <w:p>
      <w:pPr>
        <w:pStyle w:val="Heading3"/>
        <w:rPr>
          <w:lang w:val="en-US"/>
        </w:rPr>
      </w:pPr>
      <w:bookmarkStart w:id="1018" w:name="__RefHeading___Toc518036316"/>
      <w:bookmarkEnd w:id="1018"/>
      <w:r>
        <w:rPr>
          <w:lang w:val="en-US"/>
        </w:rPr>
        <w:t>ZF.4.2.1</w:t>
        <w:tab/>
        <w:t>General</w:t>
      </w:r>
    </w:p>
    <w:p>
      <w:pPr>
        <w:pStyle w:val="Normal"/>
        <w:rPr>
          <w:lang w:val="en-US"/>
        </w:rPr>
      </w:pPr>
      <w:r>
        <w:rPr>
          <w:lang w:val="en-US"/>
        </w:rPr>
        <w:t>The link level performance is modeled by several mapping tables using a two-stage mapping.</w:t>
      </w:r>
    </w:p>
    <w:p>
      <w:pPr>
        <w:pStyle w:val="TH"/>
        <w:rPr>
          <w:lang w:val="en-US"/>
        </w:rPr>
      </w:pPr>
      <w:r>
        <w:rPr>
          <w:lang w:val="en-US" w:eastAsia="en-US"/>
        </w:rPr>
        <w:drawing>
          <wp:inline distT="0" distB="0" distL="0" distR="0">
            <wp:extent cx="3462655" cy="1158240"/>
            <wp:effectExtent l="0" t="0" r="0" b="0"/>
            <wp:docPr id="31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22" descr=""/>
                    <pic:cNvPicPr>
                      <a:picLocks noChangeAspect="1" noChangeArrowheads="1"/>
                    </pic:cNvPicPr>
                  </pic:nvPicPr>
                  <pic:blipFill>
                    <a:blip r:embed="rId324"/>
                    <a:srcRect l="-7" t="-21" r="-7" b="-21"/>
                    <a:stretch>
                      <a:fillRect/>
                    </a:stretch>
                  </pic:blipFill>
                  <pic:spPr bwMode="auto">
                    <a:xfrm>
                      <a:off x="0" y="0"/>
                      <a:ext cx="3462655" cy="1158240"/>
                    </a:xfrm>
                    <a:prstGeom prst="rect">
                      <a:avLst/>
                    </a:prstGeom>
                  </pic:spPr>
                </pic:pic>
              </a:graphicData>
            </a:graphic>
          </wp:inline>
        </w:drawing>
      </w:r>
    </w:p>
    <w:p>
      <w:pPr>
        <w:pStyle w:val="TF"/>
        <w:rPr>
          <w:lang w:val="en-US"/>
        </w:rPr>
      </w:pPr>
      <w:r>
        <w:rPr>
          <w:lang w:val="en-US"/>
        </w:rPr>
        <w:t>Figure ZF.4.2-1: Traditional mapping methodology for GSM</w:t>
      </w:r>
    </w:p>
    <w:p>
      <w:pPr>
        <w:pStyle w:val="Normal"/>
        <w:rPr/>
      </w:pPr>
      <w:r>
        <w:rPr>
          <w:lang w:val="en-US"/>
        </w:rPr>
        <w:t>The first stage maps instantaneous SINR per burst to raw BER. This will consider impairments of different kinds, demodulator performance etc. Four instantaneous SINR values are collected for PS services in GERAN, representing the four bursts of a radio block.</w:t>
      </w:r>
    </w:p>
    <w:p>
      <w:pPr>
        <w:pStyle w:val="Normal"/>
        <w:rPr/>
      </w:pPr>
      <w:r>
        <w:rPr>
          <w:lang w:val="en-US"/>
        </w:rPr>
        <w:t>The second stage typically maps the mean and standard deviation of the raw BER values of the different bursts (four bursts in case of a radio block) to a Block Error Rate Probability (BLEP). This is to reflect the impact of the channel coding of the MCS. Typically one mapping is required per MCS.</w:t>
      </w:r>
    </w:p>
    <w:p>
      <w:pPr>
        <w:pStyle w:val="Heading3"/>
        <w:rPr>
          <w:lang w:val="en-US"/>
        </w:rPr>
      </w:pPr>
      <w:bookmarkStart w:id="1019" w:name="__RefHeading___Toc518036317"/>
      <w:bookmarkEnd w:id="1019"/>
      <w:r>
        <w:rPr>
          <w:lang w:val="en-US"/>
        </w:rPr>
        <w:t>ZF.4.2.2</w:t>
        <w:tab/>
        <w:t>Mapping tables</w:t>
      </w:r>
    </w:p>
    <w:p>
      <w:pPr>
        <w:pStyle w:val="Heading4"/>
        <w:ind w:left="1418" w:hanging="1418"/>
        <w:rPr/>
      </w:pPr>
      <w:bookmarkStart w:id="1020" w:name="__RefHeading___Toc518036318"/>
      <w:bookmarkEnd w:id="1020"/>
      <w:r>
        <w:rPr>
          <w:lang w:val="en-US"/>
        </w:rPr>
        <w:t>ZF.4.2.2.1</w:t>
        <w:tab/>
        <w:t xml:space="preserve">First stage mapping (SINR </w:t>
      </w:r>
      <w:r>
        <w:rPr>
          <w:rFonts w:eastAsia="Symbol" w:cs="Symbol" w:ascii="Symbol" w:hAnsi="Symbol"/>
          <w:lang w:val="en-US"/>
        </w:rPr>
        <w:t></w:t>
      </w:r>
      <w:r>
        <w:rPr>
          <w:lang w:val="en-US"/>
        </w:rPr>
        <w:t xml:space="preserve"> BER)</w:t>
      </w:r>
    </w:p>
    <w:p>
      <w:pPr>
        <w:pStyle w:val="Normal"/>
        <w:rPr/>
      </w:pPr>
      <w:r>
        <w:rPr>
          <w:lang w:val="en-US"/>
        </w:rPr>
        <w:t xml:space="preserve">The mapping tables used for the first stage mapping are based on single antenna performance. Impairment models, e.g. frequency offset, are used in the generation of the results. Since only one modulation type and one demodulator is considered there is no multitude of mapping tables for this reason. </w:t>
      </w:r>
    </w:p>
    <w:p>
      <w:pPr>
        <w:pStyle w:val="Normal"/>
        <w:rPr>
          <w:lang w:val="en-US"/>
        </w:rPr>
      </w:pPr>
      <w:r>
        <w:rPr>
          <w:lang w:val="en-US"/>
        </w:rPr>
        <w:t>No separate mapping is used for repeated bursts (see how SINR is derived in this case in Section 3.3).</w:t>
      </w:r>
    </w:p>
    <w:p>
      <w:pPr>
        <w:pStyle w:val="Normal"/>
        <w:rPr/>
      </w:pPr>
      <w:r>
        <w:rPr>
          <w:lang w:val="en-US"/>
        </w:rPr>
        <w:t>The mapping is done by linear interpolation of a tabulated SINR to BER values from link level simulations.</w:t>
      </w:r>
    </w:p>
    <w:p>
      <w:pPr>
        <w:pStyle w:val="Normal"/>
        <w:rPr>
          <w:lang w:val="en-US"/>
        </w:rPr>
      </w:pPr>
      <w:r>
        <w:rPr>
          <w:lang w:val="en-US"/>
        </w:rPr>
        <w:t>Two different mappings are used; one to represent interference limited scenarios, and one for sensitivity limited scenarios.</w:t>
      </w:r>
    </w:p>
    <w:p>
      <w:pPr>
        <w:pStyle w:val="Normal"/>
        <w:rPr/>
      </w:pPr>
      <w:r>
        <w:rPr>
          <w:lang w:val="en-US" w:eastAsia="ko-KR"/>
        </w:rPr>
        <w:t>The different mapping tables are applied on a burst-by-burst basis. I.e. for a specific radio block, which consists of four bursts, some of the bursts could be taken from the interference mapping, and some from the sensitivity mapping.</w:t>
      </w:r>
    </w:p>
    <w:p>
      <w:pPr>
        <w:pStyle w:val="Normal"/>
        <w:rPr/>
      </w:pPr>
      <w:r>
        <w:rPr>
          <w:lang w:val="en-US" w:eastAsia="ko-KR"/>
        </w:rPr>
        <w:t>An 18 dB suppression of adjacent channel interference is assumed to arrive at a corresponding co-channel interference level, in order to define SINR consistently. The same suppression is used in the system level simulations.</w:t>
      </w:r>
    </w:p>
    <w:p>
      <w:pPr>
        <w:pStyle w:val="Normal"/>
        <w:rPr>
          <w:lang w:val="en-US"/>
        </w:rPr>
      </w:pPr>
      <w:r>
        <w:rPr>
          <w:lang w:val="en-US" w:eastAsia="ko-KR"/>
        </w:rPr>
        <w:t xml:space="preserve">No specific interference suppression is used by the receiver, and hence no advanced mapping methodology with for example dominant-to-rest-of-interferer ratio is needed, as used for example in the SAIC study is needed. </w:t>
      </w:r>
    </w:p>
    <w:p>
      <w:pPr>
        <w:pStyle w:val="Heading4"/>
        <w:ind w:left="1418" w:hanging="1418"/>
        <w:rPr/>
      </w:pPr>
      <w:bookmarkStart w:id="1021" w:name="__RefHeading___Toc518036319"/>
      <w:bookmarkEnd w:id="1021"/>
      <w:r>
        <w:rPr>
          <w:lang w:val="en-US"/>
        </w:rPr>
        <w:t>ZF.4.2.2.2</w:t>
        <w:tab/>
        <w:t xml:space="preserve">Second stage mapping (BER </w:t>
      </w:r>
      <w:r>
        <w:rPr>
          <w:rFonts w:eastAsia="Symbol" w:cs="Symbol" w:ascii="Symbol" w:hAnsi="Symbol"/>
          <w:lang w:val="en-US"/>
        </w:rPr>
        <w:t></w:t>
      </w:r>
      <w:r>
        <w:rPr>
          <w:lang w:val="en-US"/>
        </w:rPr>
        <w:t xml:space="preserve"> BLEP)</w:t>
      </w:r>
    </w:p>
    <w:p>
      <w:pPr>
        <w:pStyle w:val="Normal"/>
        <w:rPr/>
      </w:pPr>
      <w:r>
        <w:rPr>
          <w:lang w:val="en-US" w:eastAsia="ko-KR"/>
        </w:rPr>
        <w:t>The second stage mapping is generated per used MCS. That is, one mapping is generated for MCS-1, MCS-2, MCS-3 and MCS-4 respectively.</w:t>
      </w:r>
    </w:p>
    <w:p>
      <w:pPr>
        <w:pStyle w:val="Normal"/>
        <w:rPr>
          <w:lang w:val="en-US" w:eastAsia="ko-KR"/>
        </w:rPr>
      </w:pPr>
      <w:r>
        <w:rPr>
          <w:lang w:val="en-US" w:eastAsia="ko-KR"/>
        </w:rPr>
        <w:t>This mapping is only dependent on the input bit error rates (BER), and hence the BER from both the sensitivity and interference limited first stage mapping is using the same second stage mapping.</w:t>
      </w:r>
    </w:p>
    <w:p>
      <w:pPr>
        <w:pStyle w:val="Normal"/>
        <w:rPr/>
      </w:pPr>
      <w:r>
        <w:rPr>
          <w:lang w:val="en-US" w:eastAsia="ko-KR"/>
        </w:rPr>
        <w:t>To capture the impact on the error correction capabilities by the different code rates of the MCSs both the average BER and the standard deviation of the BER over the four bursts are collected. A high standard deviation indicates more diversity, and is typically favorable for MCSs with low enough code rate, while the opposite is true for MCSs with code rate close to 1.</w:t>
      </w:r>
    </w:p>
    <w:p>
      <w:pPr>
        <w:pStyle w:val="Heading4"/>
        <w:ind w:left="1418" w:hanging="1418"/>
        <w:rPr>
          <w:lang w:val="en-US"/>
        </w:rPr>
      </w:pPr>
      <w:bookmarkStart w:id="1022" w:name="__RefHeading___Toc518036320"/>
      <w:bookmarkEnd w:id="1022"/>
      <w:r>
        <w:rPr>
          <w:lang w:val="en-US"/>
        </w:rPr>
        <w:t>ZF.4.2.2.3</w:t>
        <w:tab/>
        <w:t>Mapping choice</w:t>
      </w:r>
    </w:p>
    <w:p>
      <w:pPr>
        <w:pStyle w:val="Normal"/>
        <w:rPr>
          <w:lang w:val="en-US" w:eastAsia="ko-KR"/>
        </w:rPr>
      </w:pPr>
      <w:r>
        <w:rPr>
          <w:lang w:val="en-US" w:eastAsia="ko-KR"/>
        </w:rPr>
        <w:t xml:space="preserve">With these mappings figure ZF.4.2-1 can be expanded to what is shown in figure ZF.4.2-2. </w:t>
      </w:r>
    </w:p>
    <w:p>
      <w:pPr>
        <w:pStyle w:val="Normal"/>
        <w:rPr/>
      </w:pPr>
      <w:r>
        <w:rPr>
          <w:lang w:val="en-US" w:eastAsia="ko-KR"/>
        </w:rPr>
        <w:t>In the first stage mapping the mapping table is chosen based on sensitivity or interference per burst and instantaneous SINR value. In the second stage mapping, the mapping table is chosen based on the MCS used by the radio link.</w:t>
      </w:r>
    </w:p>
    <w:p>
      <w:pPr>
        <w:pStyle w:val="TH"/>
        <w:rPr>
          <w:lang w:val="en-US" w:eastAsia="ko-KR"/>
        </w:rPr>
      </w:pPr>
      <w:r>
        <w:rPr>
          <w:lang w:val="en-US" w:eastAsia="en-US"/>
        </w:rPr>
        <w:drawing>
          <wp:inline distT="0" distB="0" distL="0" distR="0">
            <wp:extent cx="3489325" cy="3289935"/>
            <wp:effectExtent l="0" t="0" r="0" b="0"/>
            <wp:docPr id="31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3" descr=""/>
                    <pic:cNvPicPr>
                      <a:picLocks noChangeAspect="1" noChangeArrowheads="1"/>
                    </pic:cNvPicPr>
                  </pic:nvPicPr>
                  <pic:blipFill>
                    <a:blip r:embed="rId325"/>
                    <a:srcRect l="-6" t="-7" r="-6" b="-7"/>
                    <a:stretch>
                      <a:fillRect/>
                    </a:stretch>
                  </pic:blipFill>
                  <pic:spPr bwMode="auto">
                    <a:xfrm>
                      <a:off x="0" y="0"/>
                      <a:ext cx="3489325" cy="3289935"/>
                    </a:xfrm>
                    <a:prstGeom prst="rect">
                      <a:avLst/>
                    </a:prstGeom>
                  </pic:spPr>
                </pic:pic>
              </a:graphicData>
            </a:graphic>
          </wp:inline>
        </w:drawing>
      </w:r>
    </w:p>
    <w:p>
      <w:pPr>
        <w:pStyle w:val="TF"/>
        <w:rPr>
          <w:lang w:val="en-US" w:eastAsia="ko-KR"/>
        </w:rPr>
      </w:pPr>
      <w:r>
        <w:rPr>
          <w:lang w:val="en-US"/>
        </w:rPr>
        <w:t>Figure ZF.4.2-2: L2S methodology and mapping selection</w:t>
      </w:r>
    </w:p>
    <w:p>
      <w:pPr>
        <w:pStyle w:val="Heading3"/>
        <w:rPr/>
      </w:pPr>
      <w:bookmarkStart w:id="1023" w:name="__RefHeading___Toc518036321"/>
      <w:bookmarkStart w:id="1024" w:name="_Ref416352602"/>
      <w:bookmarkEnd w:id="1023"/>
      <w:r>
        <w:rPr>
          <w:lang w:val="en-US"/>
        </w:rPr>
        <w:t>ZF.4.2.3</w:t>
        <w:tab/>
        <w:t>SINR handling</w:t>
      </w:r>
      <w:bookmarkEnd w:id="1024"/>
    </w:p>
    <w:p>
      <w:pPr>
        <w:pStyle w:val="Heading4"/>
        <w:ind w:left="1418" w:hanging="1418"/>
        <w:rPr>
          <w:lang w:val="en-US"/>
        </w:rPr>
      </w:pPr>
      <w:bookmarkStart w:id="1025" w:name="__RefHeading___Toc518036322"/>
      <w:bookmarkEnd w:id="1025"/>
      <w:r>
        <w:rPr>
          <w:lang w:val="en-US"/>
        </w:rPr>
        <w:t>ZF.4.2.3.1</w:t>
        <w:tab/>
        <w:t>Blind repetition</w:t>
      </w:r>
    </w:p>
    <w:p>
      <w:pPr>
        <w:pStyle w:val="Normal"/>
        <w:rPr/>
      </w:pPr>
      <w:r>
        <w:rPr>
          <w:lang w:val="en-US" w:eastAsia="ko-KR"/>
        </w:rPr>
        <w:t>In EC-GSM-IoT blind repetitions are performed when in extended coverage.  At the receiver side, the blind repetitions can be accumulated on IQ level or on soft bit level. How the receiver handles the multiple repetitions being received is implementation dependent.  To model this in a straightforward way the following approach is taken.</w:t>
      </w:r>
    </w:p>
    <w:p>
      <w:pPr>
        <w:pStyle w:val="Normal"/>
        <w:rPr/>
      </w:pPr>
      <w:r>
        <w:rPr>
          <w:lang w:val="en-US" w:eastAsia="ko-KR"/>
        </w:rPr>
        <w:t xml:space="preserve">First, assume that the wanted signals are added coherently. This is the case for the EC-GSM simulations that have so far been provided within the study. The propagation channel is stationary/close to stationary during the IQ accumulation, so that coherent accumulation can be performed. This implies that the </w:t>
      </w:r>
      <w:r>
        <w:rPr>
          <w:i/>
          <w:lang w:val="en-US" w:eastAsia="ko-KR"/>
        </w:rPr>
        <w:t>amplitudes</w:t>
      </w:r>
      <w:r>
        <w:rPr>
          <w:lang w:val="en-US" w:eastAsia="ko-KR"/>
        </w:rPr>
        <w:t xml:space="preserve"> of the signals are added, but the interfering signal/noise are added in terms of their </w:t>
      </w:r>
      <w:r>
        <w:rPr>
          <w:i/>
          <w:lang w:val="en-US" w:eastAsia="ko-KR"/>
        </w:rPr>
        <w:t>powers</w:t>
      </w:r>
      <w:r>
        <w:rPr>
          <w:lang w:val="en-US" w:eastAsia="ko-KR"/>
        </w:rPr>
        <w:t xml:space="preserve">, here the interference/noise is represented by </w:t>
      </w:r>
      <w:r>
        <w:rPr>
          <w:i/>
          <w:lang w:val="en-US" w:eastAsia="ko-KR"/>
        </w:rPr>
        <w:t>n</w:t>
      </w:r>
      <w:r>
        <w:rPr>
          <w:lang w:val="en-US" w:eastAsia="ko-KR"/>
        </w:rPr>
        <w:t>.  Assume further that a weight can be put to the received signals when combined and that noise is limiting the performance. This is shown in eq. 1.</w:t>
      </w:r>
    </w:p>
    <w:p>
      <w:pPr>
        <w:pStyle w:val="EQ"/>
        <w:jc w:val="center"/>
        <w:rPr/>
      </w:pPr>
      <w:r>
        <w:fldChar w:fldCharType="begin"/>
      </w:r>
      <w:r>
        <w:rPr>
          <w:position w:val="-17"/>
          <w:lang w:val="en-US" w:eastAsia="en-US"/>
        </w:rPr>
        <w:instrText xml:space="preserve"> QUOTE _x0001_ </w:instrText>
      </w:r>
      <w:r>
        <w:rPr>
          <w:position w:val="-17"/>
          <w:lang w:val="en-US" w:eastAsia="en-US"/>
        </w:rPr>
      </w:r>
      <w:r>
        <w:rPr>
          <w:position w:val="-17"/>
          <w:lang w:val="en-US" w:eastAsia="en-US"/>
        </w:rPr>
        <w:fldChar w:fldCharType="separate"/>
      </w:r>
      <w:r>
        <w:rPr>
          <w:position w:val="-17"/>
          <w:lang w:val="en-US" w:eastAsia="en-US"/>
        </w:rPr>
      </w:r>
      <w:r>
        <w:rPr>
          <w:position w:val="-17"/>
          <w:lang w:val="en-US" w:eastAsia="en-US"/>
        </w:rPr>
        <w:drawing>
          <wp:inline distT="0" distB="0" distL="0" distR="0">
            <wp:extent cx="2257425" cy="438150"/>
            <wp:effectExtent l="0" t="0" r="0" b="0"/>
            <wp:docPr id="315" name="Image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310" descr=""/>
                    <pic:cNvPicPr>
                      <a:picLocks noChangeAspect="1" noChangeArrowheads="1"/>
                    </pic:cNvPicPr>
                  </pic:nvPicPr>
                  <pic:blipFill>
                    <a:blip r:embed="rId326"/>
                    <a:srcRect l="-16" t="-82" r="-16" b="-82"/>
                    <a:stretch>
                      <a:fillRect/>
                    </a:stretch>
                  </pic:blipFill>
                  <pic:spPr bwMode="auto">
                    <a:xfrm>
                      <a:off x="0" y="0"/>
                      <a:ext cx="2257425" cy="438150"/>
                    </a:xfrm>
                    <a:prstGeom prst="rect">
                      <a:avLst/>
                    </a:prstGeom>
                  </pic:spPr>
                </pic:pic>
              </a:graphicData>
            </a:graphic>
          </wp:inline>
        </w:drawing>
      </w:r>
      <w:r>
        <w:rPr>
          <w:position w:val="-17"/>
          <w:lang w:val="en-US" w:eastAsia="en-US"/>
        </w:rPr>
      </w:r>
      <w:r>
        <w:rPr>
          <w:position w:val="-17"/>
          <w:lang w:val="en-US" w:eastAsia="en-US"/>
        </w:rPr>
        <w:fldChar w:fldCharType="end"/>
      </w:r>
      <w:r>
        <w:rPr>
          <w:lang w:val="en-US" w:eastAsia="en-US"/>
        </w:rPr>
        <w:t xml:space="preserve"> (1)</w:t>
      </w:r>
    </w:p>
    <w:p>
      <w:pPr>
        <w:pStyle w:val="Normal"/>
        <w:rPr/>
      </w:pPr>
      <w:r>
        <w:rPr>
          <w:lang w:val="en-US" w:eastAsia="ko-KR"/>
        </w:rPr>
        <w:t>The combined SINR is maximized when the derivative of eq 1 is 0.</w:t>
      </w:r>
    </w:p>
    <w:p>
      <w:pPr>
        <w:pStyle w:val="EQ"/>
        <w:jc w:val="center"/>
        <w:rPr>
          <w:lang w:val="en-US" w:eastAsia="en-US"/>
        </w:rPr>
      </w:pPr>
      <w:r>
        <w:fldChar w:fldCharType="begin"/>
      </w:r>
      <w:r>
        <w:rPr>
          <w:position w:val="-15"/>
          <w:lang w:val="en-US" w:eastAsia="en-US"/>
        </w:rPr>
        <w:instrText xml:space="preserve"> QUOTE _x0001_ </w:instrText>
      </w:r>
      <w:r>
        <w:rPr>
          <w:position w:val="-15"/>
          <w:lang w:val="en-US" w:eastAsia="en-US"/>
        </w:rPr>
      </w:r>
      <w:r>
        <w:rPr>
          <w:position w:val="-15"/>
          <w:lang w:val="en-US" w:eastAsia="en-US"/>
        </w:rPr>
        <w:fldChar w:fldCharType="separate"/>
      </w:r>
      <w:r>
        <w:rPr>
          <w:position w:val="-15"/>
          <w:lang w:val="en-US" w:eastAsia="en-US"/>
        </w:rPr>
      </w:r>
      <w:r>
        <w:rPr>
          <w:position w:val="-15"/>
          <w:lang w:val="en-US" w:eastAsia="en-US"/>
        </w:rPr>
        <w:drawing>
          <wp:inline distT="0" distB="0" distL="0" distR="0">
            <wp:extent cx="914400" cy="419100"/>
            <wp:effectExtent l="0" t="0" r="0" b="0"/>
            <wp:docPr id="316" name="Image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11" descr=""/>
                    <pic:cNvPicPr>
                      <a:picLocks noChangeAspect="1" noChangeArrowheads="1"/>
                    </pic:cNvPicPr>
                  </pic:nvPicPr>
                  <pic:blipFill>
                    <a:blip r:embed="rId327"/>
                    <a:srcRect l="-39" t="-86" r="-39" b="-86"/>
                    <a:stretch>
                      <a:fillRect/>
                    </a:stretch>
                  </pic:blipFill>
                  <pic:spPr bwMode="auto">
                    <a:xfrm>
                      <a:off x="0" y="0"/>
                      <a:ext cx="914400" cy="419100"/>
                    </a:xfrm>
                    <a:prstGeom prst="rect">
                      <a:avLst/>
                    </a:prstGeom>
                  </pic:spPr>
                </pic:pic>
              </a:graphicData>
            </a:graphic>
          </wp:inline>
        </w:drawing>
      </w:r>
      <w:r>
        <w:rPr>
          <w:position w:val="-15"/>
          <w:lang w:val="en-US" w:eastAsia="en-US"/>
        </w:rPr>
      </w:r>
      <w:r>
        <w:rPr>
          <w:position w:val="-15"/>
          <w:lang w:val="en-US" w:eastAsia="en-US"/>
        </w:rPr>
        <w:fldChar w:fldCharType="end"/>
      </w:r>
      <w:r>
        <w:rPr>
          <w:lang w:val="en-US" w:eastAsia="en-US"/>
        </w:rPr>
        <w:t xml:space="preserve"> (2)</w:t>
      </w:r>
    </w:p>
    <w:p>
      <w:pPr>
        <w:pStyle w:val="Normal"/>
        <w:rPr>
          <w:lang w:val="en-US" w:eastAsia="ko-KR"/>
        </w:rPr>
      </w:pPr>
      <w:r>
        <w:rPr>
          <w:lang w:val="en-US" w:eastAsia="ko-KR"/>
        </w:rPr>
        <w:t>This gives the result in eq. 3.</w:t>
      </w:r>
    </w:p>
    <w:p>
      <w:pPr>
        <w:pStyle w:val="EQ"/>
        <w:jc w:val="center"/>
        <w:rPr/>
      </w:pPr>
      <w:r>
        <w:fldChar w:fldCharType="begin"/>
      </w:r>
      <w:r>
        <w:rPr>
          <w:position w:val="-15"/>
          <w:lang w:val="en-US" w:eastAsia="en-US"/>
        </w:rPr>
        <w:instrText xml:space="preserve"> QUOTE _x0001_ </w:instrText>
      </w:r>
      <w:r>
        <w:rPr>
          <w:position w:val="-15"/>
          <w:lang w:val="en-US" w:eastAsia="en-US"/>
        </w:rPr>
      </w:r>
      <w:r>
        <w:rPr>
          <w:position w:val="-15"/>
          <w:lang w:val="en-US" w:eastAsia="en-US"/>
        </w:rPr>
        <w:fldChar w:fldCharType="separate"/>
      </w:r>
      <w:r>
        <w:rPr>
          <w:position w:val="-15"/>
          <w:lang w:val="en-US" w:eastAsia="en-US"/>
        </w:rPr>
      </w:r>
      <w:r>
        <w:rPr>
          <w:position w:val="-15"/>
          <w:lang w:val="en-US" w:eastAsia="en-US"/>
        </w:rPr>
        <w:drawing>
          <wp:inline distT="0" distB="0" distL="0" distR="0">
            <wp:extent cx="704850" cy="447675"/>
            <wp:effectExtent l="0" t="0" r="0" b="0"/>
            <wp:docPr id="317" name="Image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312" descr=""/>
                    <pic:cNvPicPr>
                      <a:picLocks noChangeAspect="1" noChangeArrowheads="1"/>
                    </pic:cNvPicPr>
                  </pic:nvPicPr>
                  <pic:blipFill>
                    <a:blip r:embed="rId328"/>
                    <a:srcRect l="-51" t="-80" r="-51" b="-80"/>
                    <a:stretch>
                      <a:fillRect/>
                    </a:stretch>
                  </pic:blipFill>
                  <pic:spPr bwMode="auto">
                    <a:xfrm>
                      <a:off x="0" y="0"/>
                      <a:ext cx="704850" cy="447675"/>
                    </a:xfrm>
                    <a:prstGeom prst="rect">
                      <a:avLst/>
                    </a:prstGeom>
                  </pic:spPr>
                </pic:pic>
              </a:graphicData>
            </a:graphic>
          </wp:inline>
        </w:drawing>
      </w:r>
      <w:r>
        <w:rPr>
          <w:position w:val="-15"/>
          <w:lang w:val="en-US" w:eastAsia="en-US"/>
        </w:rPr>
      </w:r>
      <w:r>
        <w:rPr>
          <w:position w:val="-15"/>
          <w:lang w:val="en-US" w:eastAsia="en-US"/>
        </w:rPr>
        <w:fldChar w:fldCharType="end"/>
      </w:r>
      <w:r>
        <w:rPr>
          <w:lang w:val="en-US" w:eastAsia="en-US"/>
        </w:rPr>
        <w:t xml:space="preserve"> (3)</w:t>
      </w:r>
    </w:p>
    <w:p>
      <w:pPr>
        <w:pStyle w:val="Normal"/>
        <w:rPr>
          <w:lang w:val="en-US" w:eastAsia="ko-KR"/>
        </w:rPr>
      </w:pPr>
      <w:r>
        <w:rPr>
          <w:lang w:val="en-US" w:eastAsia="ko-KR"/>
        </w:rPr>
        <w:t>Insertion into eq 1 yields eq 4.</w:t>
      </w:r>
    </w:p>
    <w:p>
      <w:pPr>
        <w:pStyle w:val="EQ"/>
        <w:jc w:val="center"/>
        <w:rPr/>
      </w:pPr>
      <w:r>
        <w:fldChar w:fldCharType="begin"/>
      </w:r>
      <w:r>
        <w:rPr>
          <w:position w:val="-15"/>
          <w:lang w:val="en-US" w:eastAsia="en-US"/>
        </w:rPr>
        <w:instrText xml:space="preserve"> QUOTE _x0001_ </w:instrText>
      </w:r>
      <w:r>
        <w:rPr>
          <w:position w:val="-15"/>
          <w:lang w:val="en-US" w:eastAsia="en-US"/>
        </w:rPr>
      </w:r>
      <w:r>
        <w:rPr>
          <w:position w:val="-15"/>
          <w:lang w:val="en-US" w:eastAsia="en-US"/>
        </w:rPr>
        <w:fldChar w:fldCharType="separate"/>
      </w:r>
      <w:r>
        <w:rPr>
          <w:position w:val="-15"/>
          <w:lang w:val="en-US" w:eastAsia="en-US"/>
        </w:rPr>
      </w:r>
      <w:r>
        <w:rPr>
          <w:position w:val="-15"/>
          <w:lang w:val="en-US" w:eastAsia="en-US"/>
        </w:rPr>
        <w:drawing>
          <wp:inline distT="0" distB="0" distL="0" distR="0">
            <wp:extent cx="1143000" cy="409575"/>
            <wp:effectExtent l="0" t="0" r="0" b="0"/>
            <wp:docPr id="318" name="Image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13" descr=""/>
                    <pic:cNvPicPr>
                      <a:picLocks noChangeAspect="1" noChangeArrowheads="1"/>
                    </pic:cNvPicPr>
                  </pic:nvPicPr>
                  <pic:blipFill>
                    <a:blip r:embed="rId329"/>
                    <a:srcRect l="-32" t="-88" r="-32" b="-88"/>
                    <a:stretch>
                      <a:fillRect/>
                    </a:stretch>
                  </pic:blipFill>
                  <pic:spPr bwMode="auto">
                    <a:xfrm>
                      <a:off x="0" y="0"/>
                      <a:ext cx="1143000" cy="409575"/>
                    </a:xfrm>
                    <a:prstGeom prst="rect">
                      <a:avLst/>
                    </a:prstGeom>
                  </pic:spPr>
                </pic:pic>
              </a:graphicData>
            </a:graphic>
          </wp:inline>
        </w:drawing>
      </w:r>
      <w:r>
        <w:rPr>
          <w:position w:val="-15"/>
          <w:lang w:val="en-US" w:eastAsia="en-US"/>
        </w:rPr>
      </w:r>
      <w:r>
        <w:rPr>
          <w:position w:val="-15"/>
          <w:lang w:val="en-US" w:eastAsia="en-US"/>
        </w:rPr>
        <w:fldChar w:fldCharType="end"/>
      </w:r>
      <w:r>
        <w:rPr>
          <w:lang w:val="en-US" w:eastAsia="en-US"/>
        </w:rPr>
        <w:t xml:space="preserve"> (4)</w:t>
      </w:r>
    </w:p>
    <w:p>
      <w:pPr>
        <w:pStyle w:val="Normal"/>
        <w:rPr>
          <w:lang w:val="en-US"/>
        </w:rPr>
      </w:pPr>
      <w:r>
        <w:rPr>
          <w:lang w:val="en-US"/>
        </w:rPr>
        <w:t>Hence, the maximization of SINR occurs when the linear SINRs are summarized.</w:t>
      </w:r>
    </w:p>
    <w:p>
      <w:pPr>
        <w:pStyle w:val="Normal"/>
        <w:rPr/>
      </w:pPr>
      <w:r>
        <w:rPr>
          <w:lang w:val="en-US"/>
        </w:rPr>
        <w:t>It can be noted that for EC-GSM-IoT and coherent IQ accumulation, s</w:t>
      </w:r>
      <w:r>
        <w:rPr>
          <w:vertAlign w:val="subscript"/>
          <w:lang w:val="en-US"/>
        </w:rPr>
        <w:t>1</w:t>
      </w:r>
      <w:r>
        <w:rPr>
          <w:lang w:val="en-US"/>
        </w:rPr>
        <w:t xml:space="preserve"> and s</w:t>
      </w:r>
      <w:r>
        <w:rPr>
          <w:vertAlign w:val="subscript"/>
          <w:lang w:val="en-US"/>
        </w:rPr>
        <w:t>2</w:t>
      </w:r>
      <w:r>
        <w:rPr>
          <w:lang w:val="en-US"/>
        </w:rPr>
        <w:t xml:space="preserve"> would be identical, and hence it is the ratio of interfering levels that is of importance for the signal combinations.</w:t>
      </w:r>
    </w:p>
    <w:p>
      <w:pPr>
        <w:pStyle w:val="Normal"/>
        <w:rPr/>
      </w:pPr>
      <w:r>
        <w:rPr>
          <w:lang w:val="en-US"/>
        </w:rPr>
        <w:t>Equation 4 is used to model the accumulation of IQ samples and/or soft bits when using blind repetitions in the system level simulator.</w:t>
      </w:r>
    </w:p>
    <w:p>
      <w:pPr>
        <w:pStyle w:val="Normal"/>
        <w:rPr/>
      </w:pPr>
      <w:r>
        <w:rPr>
          <w:lang w:val="en-US" w:eastAsia="ko-KR"/>
        </w:rPr>
        <w:t xml:space="preserve">The model in </w:t>
      </w:r>
      <w:r>
        <w:rPr>
          <w:lang w:val="en-US"/>
        </w:rPr>
        <w:t xml:space="preserve">Figure </w:t>
      </w:r>
      <w:r>
        <w:rPr>
          <w:lang w:val="en-US" w:eastAsia="en-US"/>
        </w:rPr>
        <w:t>1</w:t>
      </w:r>
      <w:r>
        <w:rPr>
          <w:lang w:val="en-US" w:eastAsia="ko-KR"/>
        </w:rPr>
        <w:t xml:space="preserve"> has been modified to describe this aspect in </w:t>
      </w:r>
      <w:r>
        <w:rPr>
          <w:lang w:val="en-US"/>
        </w:rPr>
        <w:t xml:space="preserve">Figure </w:t>
      </w:r>
      <w:r>
        <w:rPr>
          <w:lang w:val="en-US" w:eastAsia="en-US"/>
        </w:rPr>
        <w:t>3</w:t>
      </w:r>
      <w:r>
        <w:rPr>
          <w:lang w:val="en-US" w:eastAsia="ko-KR"/>
        </w:rPr>
        <w:t>.</w:t>
      </w:r>
    </w:p>
    <w:p>
      <w:pPr>
        <w:pStyle w:val="TH"/>
        <w:rPr>
          <w:lang w:val="en-US" w:eastAsia="ko-KR"/>
        </w:rPr>
      </w:pPr>
      <w:r>
        <w:rPr>
          <w:lang w:val="en-US" w:eastAsia="en-US"/>
        </w:rPr>
        <w:drawing>
          <wp:inline distT="0" distB="0" distL="0" distR="0">
            <wp:extent cx="4733290" cy="2027555"/>
            <wp:effectExtent l="0" t="0" r="0" b="0"/>
            <wp:docPr id="31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24" descr=""/>
                    <pic:cNvPicPr>
                      <a:picLocks noChangeAspect="1" noChangeArrowheads="1"/>
                    </pic:cNvPicPr>
                  </pic:nvPicPr>
                  <pic:blipFill>
                    <a:blip r:embed="rId330"/>
                    <a:srcRect l="-4" t="-9" r="-4" b="-9"/>
                    <a:stretch>
                      <a:fillRect/>
                    </a:stretch>
                  </pic:blipFill>
                  <pic:spPr bwMode="auto">
                    <a:xfrm>
                      <a:off x="0" y="0"/>
                      <a:ext cx="4733290" cy="2027555"/>
                    </a:xfrm>
                    <a:prstGeom prst="rect">
                      <a:avLst/>
                    </a:prstGeom>
                  </pic:spPr>
                </pic:pic>
              </a:graphicData>
            </a:graphic>
          </wp:inline>
        </w:drawing>
      </w:r>
    </w:p>
    <w:p>
      <w:pPr>
        <w:pStyle w:val="TF"/>
        <w:rPr>
          <w:lang w:val="en-US"/>
        </w:rPr>
      </w:pPr>
      <w:bookmarkStart w:id="1026" w:name="_Ref416345099"/>
      <w:r>
        <w:rPr>
          <w:lang w:val="en-US"/>
        </w:rPr>
        <w:t xml:space="preserve">Figure </w:t>
      </w:r>
      <w:bookmarkEnd w:id="1026"/>
      <w:r>
        <w:rPr>
          <w:lang w:val="en-US"/>
        </w:rPr>
        <w:t>ZF.4.2-3: SINR handling for MRC and blind repetition</w:t>
      </w:r>
    </w:p>
    <w:p>
      <w:pPr>
        <w:pStyle w:val="Heading4"/>
        <w:ind w:left="1418" w:hanging="1418"/>
        <w:rPr>
          <w:lang w:val="en-US"/>
        </w:rPr>
      </w:pPr>
      <w:bookmarkStart w:id="1027" w:name="__RefHeading___Toc518036323"/>
      <w:bookmarkEnd w:id="1027"/>
      <w:r>
        <w:rPr>
          <w:lang w:val="en-US"/>
        </w:rPr>
        <w:t>ZF.4.2.3.2</w:t>
        <w:tab/>
        <w:t>MRC (uplink only)</w:t>
      </w:r>
    </w:p>
    <w:p>
      <w:pPr>
        <w:pStyle w:val="Normal"/>
        <w:rPr/>
      </w:pPr>
      <w:r>
        <w:rPr>
          <w:lang w:val="en-US"/>
        </w:rPr>
        <w:t>Since the first stage mapping tables are based on single antenna performance, a conversion from single antenna SINR to experienced SINR by the uplink MRC receiver is needed.</w:t>
      </w:r>
    </w:p>
    <w:p>
      <w:pPr>
        <w:pStyle w:val="Normal"/>
        <w:rPr>
          <w:lang w:val="en-US"/>
        </w:rPr>
      </w:pPr>
      <w:r>
        <w:rPr>
          <w:lang w:val="en-US"/>
        </w:rPr>
        <w:t>This is modeled by eq. 5.</w:t>
      </w:r>
    </w:p>
    <w:p>
      <w:pPr>
        <w:pStyle w:val="EQ"/>
        <w:jc w:val="center"/>
        <w:rPr/>
      </w:pPr>
      <w:r>
        <w:fldChar w:fldCharType="begin"/>
      </w:r>
      <w:r>
        <w:rPr>
          <w:position w:val="-14"/>
          <w:lang w:val="en-US" w:eastAsia="en-US"/>
        </w:rPr>
        <w:instrText xml:space="preserve"> QUOTE _x0001_ </w:instrText>
      </w:r>
      <w:r>
        <w:rPr>
          <w:position w:val="-14"/>
          <w:lang w:val="en-US" w:eastAsia="en-US"/>
        </w:rPr>
      </w:r>
      <w:r>
        <w:rPr>
          <w:position w:val="-14"/>
          <w:lang w:val="en-US" w:eastAsia="en-US"/>
        </w:rPr>
        <w:fldChar w:fldCharType="separate"/>
      </w:r>
      <w:r>
        <w:rPr>
          <w:position w:val="-14"/>
          <w:lang w:val="en-US" w:eastAsia="en-US"/>
        </w:rPr>
      </w:r>
      <w:r>
        <w:rPr>
          <w:position w:val="-14"/>
          <w:lang w:val="en-US" w:eastAsia="en-US"/>
        </w:rPr>
        <w:drawing>
          <wp:inline distT="0" distB="0" distL="0" distR="0">
            <wp:extent cx="1257300" cy="228600"/>
            <wp:effectExtent l="0" t="0" r="0" b="0"/>
            <wp:docPr id="320" name="Image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14" descr=""/>
                    <pic:cNvPicPr>
                      <a:picLocks noChangeAspect="1" noChangeArrowheads="1"/>
                    </pic:cNvPicPr>
                  </pic:nvPicPr>
                  <pic:blipFill>
                    <a:blip r:embed="rId331"/>
                    <a:srcRect l="-29" t="-158" r="-29" b="-158"/>
                    <a:stretch>
                      <a:fillRect/>
                    </a:stretch>
                  </pic:blipFill>
                  <pic:spPr bwMode="auto">
                    <a:xfrm>
                      <a:off x="0" y="0"/>
                      <a:ext cx="1257300" cy="228600"/>
                    </a:xfrm>
                    <a:prstGeom prst="rect">
                      <a:avLst/>
                    </a:prstGeom>
                  </pic:spPr>
                </pic:pic>
              </a:graphicData>
            </a:graphic>
          </wp:inline>
        </w:drawing>
      </w:r>
      <w:r>
        <w:rPr>
          <w:position w:val="-14"/>
          <w:lang w:val="en-US" w:eastAsia="en-US"/>
        </w:rPr>
      </w:r>
      <w:r>
        <w:rPr>
          <w:position w:val="-14"/>
          <w:lang w:val="en-US" w:eastAsia="en-US"/>
        </w:rPr>
        <w:fldChar w:fldCharType="end"/>
      </w:r>
      <w:r>
        <w:rPr>
          <w:lang w:val="en-US" w:eastAsia="en-US"/>
        </w:rPr>
        <w:t xml:space="preserve"> (5)</w:t>
      </w:r>
    </w:p>
    <w:p>
      <w:pPr>
        <w:pStyle w:val="Heading2"/>
        <w:rPr>
          <w:lang w:val="en-US"/>
        </w:rPr>
      </w:pPr>
      <w:bookmarkStart w:id="1028" w:name="__RefHeading___Toc518036324"/>
      <w:bookmarkEnd w:id="1028"/>
      <w:r>
        <w:rPr>
          <w:lang w:val="en-US"/>
        </w:rPr>
        <w:t>ZF.4.3</w:t>
        <w:tab/>
        <w:t>Verification</w:t>
      </w:r>
    </w:p>
    <w:p>
      <w:pPr>
        <w:pStyle w:val="Normal"/>
        <w:rPr/>
      </w:pPr>
      <w:r>
        <w:rPr>
          <w:lang w:val="en-US"/>
        </w:rPr>
        <w:t>The verification of the performance is only shown for UL sensitivity and multi-interference performance (DTS-2, see 3GPP TS 45.005). Other verification conditions can be found in the Tdoc reference, see subclause ZF.4.1.</w:t>
      </w:r>
    </w:p>
    <w:p>
      <w:pPr>
        <w:pStyle w:val="Heading3"/>
        <w:rPr>
          <w:lang w:val="en-US"/>
        </w:rPr>
      </w:pPr>
      <w:bookmarkStart w:id="1029" w:name="__RefHeading___Toc518036325"/>
      <w:bookmarkEnd w:id="1029"/>
      <w:r>
        <w:rPr>
          <w:lang w:val="en-US"/>
        </w:rPr>
        <w:t>ZF.4.3.1</w:t>
        <w:tab/>
        <w:t>Sensitivity</w:t>
      </w:r>
    </w:p>
    <w:p>
      <w:pPr>
        <w:pStyle w:val="Normal"/>
        <w:rPr/>
      </w:pPr>
      <w:r>
        <w:rPr>
          <w:lang w:val="en-US" w:eastAsia="ko-KR"/>
        </w:rPr>
        <w:t xml:space="preserve">In figure ZF.4.2-4 the link level simulation (LLS) results are compared to the Link-to-system mapping approach. As can be seen, the agreement is good with a difference of less than 0.4 dB. </w:t>
      </w:r>
    </w:p>
    <w:p>
      <w:pPr>
        <w:pStyle w:val="TH"/>
        <w:rPr>
          <w:lang w:val="en-US" w:eastAsia="ko-KR"/>
        </w:rPr>
      </w:pPr>
      <w:r>
        <w:rPr>
          <w:lang w:val="en-US" w:eastAsia="en-US"/>
        </w:rPr>
        <w:drawing>
          <wp:inline distT="0" distB="0" distL="0" distR="0">
            <wp:extent cx="3783965" cy="2518410"/>
            <wp:effectExtent l="0" t="0" r="0" b="0"/>
            <wp:docPr id="3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25" descr=""/>
                    <pic:cNvPicPr>
                      <a:picLocks noChangeAspect="1" noChangeArrowheads="1"/>
                    </pic:cNvPicPr>
                  </pic:nvPicPr>
                  <pic:blipFill>
                    <a:blip r:embed="rId332"/>
                    <a:srcRect l="-5" t="-8" r="-5" b="-8"/>
                    <a:stretch>
                      <a:fillRect/>
                    </a:stretch>
                  </pic:blipFill>
                  <pic:spPr bwMode="auto">
                    <a:xfrm>
                      <a:off x="0" y="0"/>
                      <a:ext cx="3783965" cy="2518410"/>
                    </a:xfrm>
                    <a:prstGeom prst="rect">
                      <a:avLst/>
                    </a:prstGeom>
                  </pic:spPr>
                </pic:pic>
              </a:graphicData>
            </a:graphic>
          </wp:inline>
        </w:drawing>
      </w:r>
    </w:p>
    <w:p>
      <w:pPr>
        <w:pStyle w:val="TF"/>
        <w:rPr>
          <w:lang w:val="en-US"/>
        </w:rPr>
      </w:pPr>
      <w:r>
        <w:rPr>
          <w:lang w:val="en-US"/>
        </w:rPr>
        <w:t>Figure ZF.4.2-4: Link Level Simulations (LLS) in sensitivity compared to Link-to-system mapping (L2S)</w:t>
      </w:r>
    </w:p>
    <w:p>
      <w:pPr>
        <w:pStyle w:val="Heading3"/>
        <w:rPr/>
      </w:pPr>
      <w:bookmarkStart w:id="1030" w:name="__RefHeading___Toc518036326"/>
      <w:bookmarkEnd w:id="1030"/>
      <w:r>
        <w:rPr>
          <w:lang w:val="en-US"/>
        </w:rPr>
        <w:t>ZF.4.3.2</w:t>
        <w:tab/>
        <w:t>Multi-interference (DTS-2)</w:t>
      </w:r>
    </w:p>
    <w:p>
      <w:pPr>
        <w:pStyle w:val="Normal"/>
        <w:rPr>
          <w:lang w:val="en-US" w:eastAsia="ko-KR"/>
        </w:rPr>
      </w:pPr>
      <w:r>
        <w:rPr>
          <w:lang w:val="en-US" w:eastAsia="ko-KR"/>
        </w:rPr>
        <w:t>In ZF.4.2-5 the performance of the multi-interferer case DTS-2 case is verified. For the worst case, less than 0.5 dB difference is seen except for MCS-4 where the difference is less than 1 dB.</w:t>
      </w:r>
    </w:p>
    <w:p>
      <w:pPr>
        <w:pStyle w:val="TH"/>
        <w:rPr>
          <w:lang w:val="en-US" w:eastAsia="ko-KR"/>
        </w:rPr>
      </w:pPr>
      <w:r>
        <w:rPr>
          <w:lang w:val="en-US" w:eastAsia="en-US"/>
        </w:rPr>
        <w:drawing>
          <wp:inline distT="0" distB="0" distL="0" distR="0">
            <wp:extent cx="3783965" cy="2518410"/>
            <wp:effectExtent l="0" t="0" r="0" b="0"/>
            <wp:docPr id="32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6" descr=""/>
                    <pic:cNvPicPr>
                      <a:picLocks noChangeAspect="1" noChangeArrowheads="1"/>
                    </pic:cNvPicPr>
                  </pic:nvPicPr>
                  <pic:blipFill>
                    <a:blip r:embed="rId333"/>
                    <a:srcRect l="-5" t="-8" r="-5" b="-8"/>
                    <a:stretch>
                      <a:fillRect/>
                    </a:stretch>
                  </pic:blipFill>
                  <pic:spPr bwMode="auto">
                    <a:xfrm>
                      <a:off x="0" y="0"/>
                      <a:ext cx="3783965" cy="2518410"/>
                    </a:xfrm>
                    <a:prstGeom prst="rect">
                      <a:avLst/>
                    </a:prstGeom>
                  </pic:spPr>
                </pic:pic>
              </a:graphicData>
            </a:graphic>
          </wp:inline>
        </w:drawing>
      </w:r>
    </w:p>
    <w:p>
      <w:pPr>
        <w:pStyle w:val="TF"/>
        <w:rPr>
          <w:lang w:val="en-US"/>
        </w:rPr>
      </w:pPr>
      <w:bookmarkStart w:id="1031" w:name="_Ref422873819"/>
      <w:r>
        <w:rPr>
          <w:lang w:val="en-US"/>
        </w:rPr>
        <w:t xml:space="preserve">Figure </w:t>
      </w:r>
      <w:bookmarkEnd w:id="1031"/>
      <w:r>
        <w:rPr>
          <w:lang w:val="en-US"/>
        </w:rPr>
        <w:t>ZF.4.2-5: Link Level Simulations (LLS) in DTS-2 compared to Link-to-system mapping (L2S)</w:t>
      </w:r>
    </w:p>
    <w:p>
      <w:pPr>
        <w:pStyle w:val="FP"/>
        <w:rPr>
          <w:lang w:val="en-US"/>
        </w:rPr>
      </w:pPr>
      <w:r>
        <w:rPr>
          <w:lang w:val="en-US"/>
        </w:rPr>
      </w:r>
    </w:p>
    <w:p>
      <w:pPr>
        <w:pStyle w:val="Heading1"/>
        <w:ind w:left="1134" w:hanging="1134"/>
        <w:rPr>
          <w:lang w:val="en-US"/>
        </w:rPr>
      </w:pPr>
      <w:bookmarkStart w:id="1032" w:name="__RefHeading___Toc518036327"/>
      <w:bookmarkEnd w:id="1032"/>
      <w:r>
        <w:rPr>
          <w:lang w:val="en-US"/>
        </w:rPr>
        <w:t>ZF.5</w:t>
        <w:tab/>
        <w:t>Results for Network synchronization evaluation</w:t>
      </w:r>
    </w:p>
    <w:p>
      <w:pPr>
        <w:pStyle w:val="Heading2"/>
        <w:rPr>
          <w:lang w:val="en-US"/>
        </w:rPr>
      </w:pPr>
      <w:bookmarkStart w:id="1033" w:name="__RefHeading___Toc518036328"/>
      <w:bookmarkEnd w:id="1033"/>
      <w:r>
        <w:rPr>
          <w:lang w:val="en-US"/>
        </w:rPr>
        <w:t>ZF.5.1</w:t>
        <w:tab/>
        <w:t>GPRS/EGPRS</w:t>
      </w:r>
    </w:p>
    <w:p>
      <w:pPr>
        <w:pStyle w:val="Heading3"/>
        <w:rPr/>
      </w:pPr>
      <w:bookmarkStart w:id="1034" w:name="__RefHeading___Toc518036329"/>
      <w:bookmarkEnd w:id="1034"/>
      <w:r>
        <w:rPr>
          <w:lang w:val="en-US"/>
        </w:rPr>
        <w:t>ZF.5.1.0</w:t>
        <w:tab/>
        <w:t>Tdoc reference</w:t>
      </w:r>
    </w:p>
    <w:p>
      <w:pPr>
        <w:pStyle w:val="Normal"/>
        <w:rPr>
          <w:lang w:val="sv-SE"/>
        </w:rPr>
      </w:pPr>
      <w:r>
        <w:rPr>
          <w:lang w:val="sv-SE"/>
        </w:rPr>
        <w:t>3GPP TSG GERAN WG1 #70</w:t>
      </w:r>
    </w:p>
    <w:p>
      <w:pPr>
        <w:pStyle w:val="Normal"/>
        <w:rPr>
          <w:lang w:val="sv-SE"/>
        </w:rPr>
      </w:pPr>
      <w:r>
        <w:rPr>
          <w:lang w:val="sv-SE"/>
        </w:rPr>
        <w:t>GP-160269</w:t>
      </w:r>
    </w:p>
    <w:p>
      <w:pPr>
        <w:pStyle w:val="Normal"/>
        <w:rPr/>
      </w:pPr>
      <w:r>
        <w:rPr>
          <w:lang w:val="en-US"/>
        </w:rPr>
        <w:t>Nanjing, P. R. China</w:t>
      </w:r>
    </w:p>
    <w:p>
      <w:pPr>
        <w:pStyle w:val="Normal"/>
        <w:rPr>
          <w:lang w:val="en-US"/>
        </w:rPr>
      </w:pPr>
      <w:r>
        <w:rPr>
          <w:lang w:val="en-US"/>
        </w:rPr>
        <w:t>23</w:t>
      </w:r>
      <w:r>
        <w:rPr>
          <w:vertAlign w:val="superscript"/>
          <w:lang w:val="en-US"/>
        </w:rPr>
        <w:t>th</w:t>
      </w:r>
      <w:r>
        <w:rPr>
          <w:lang w:val="en-US"/>
        </w:rPr>
        <w:t xml:space="preserve"> – 27</w:t>
      </w:r>
      <w:r>
        <w:rPr>
          <w:vertAlign w:val="superscript"/>
          <w:lang w:val="en-US"/>
        </w:rPr>
        <w:t>th</w:t>
      </w:r>
      <w:r>
        <w:rPr>
          <w:lang w:val="en-US"/>
        </w:rPr>
        <w:t>, May, 2016</w:t>
      </w:r>
    </w:p>
    <w:p>
      <w:pPr>
        <w:pStyle w:val="Normal"/>
        <w:rPr>
          <w:lang w:val="en-US"/>
        </w:rPr>
      </w:pPr>
      <w:r>
        <w:rPr>
          <w:lang w:val="en-US"/>
        </w:rPr>
        <w:t>Source: Ericsson LM</w:t>
      </w:r>
    </w:p>
    <w:p>
      <w:pPr>
        <w:pStyle w:val="Normal"/>
        <w:rPr>
          <w:lang w:val="en-US"/>
        </w:rPr>
      </w:pPr>
      <w:r>
        <w:rPr>
          <w:b/>
          <w:lang w:val="en-US"/>
        </w:rPr>
        <w:t>Title: Impact on network synchronization for GPRS/EGPRS in a reduced BCCH spectrum allocation</w:t>
      </w:r>
    </w:p>
    <w:p>
      <w:pPr>
        <w:pStyle w:val="Heading3"/>
        <w:rPr/>
      </w:pPr>
      <w:bookmarkStart w:id="1035" w:name="__RefHeading___Toc518036330"/>
      <w:bookmarkEnd w:id="1035"/>
      <w:r>
        <w:rPr/>
        <w:t>ZF.5.1.1</w:t>
        <w:tab/>
        <w:t>Simulator configuration</w:t>
      </w:r>
    </w:p>
    <w:p>
      <w:pPr>
        <w:pStyle w:val="Normal"/>
        <w:rPr/>
      </w:pPr>
      <w:r>
        <w:rPr/>
        <w:t xml:space="preserve">The simulator was configured in accordance to the TR45.820 Annex D, and following the assumptions presented in Annex ZF.1. In total four co-channel interferers and eight adjacent channel interferers were modelled. As only legacy GPRS devices were investigated the following new settings are worth highlighting (see </w:t>
      </w:r>
      <w:r>
        <w:rPr>
          <w:lang w:eastAsia="sv-SE"/>
        </w:rPr>
        <w:t>Annex ZF.1 for details behind the assumptions)</w:t>
      </w:r>
      <w:r>
        <w:rPr/>
        <w:t>:</w:t>
      </w:r>
    </w:p>
    <w:p>
      <w:pPr>
        <w:pStyle w:val="B1"/>
        <w:rPr/>
      </w:pPr>
      <w:r>
        <w:rPr/>
        <w:t>-</w:t>
        <w:tab/>
        <w:t>The MS antenna gain was set to 0 dBi .</w:t>
      </w:r>
    </w:p>
    <w:p>
      <w:pPr>
        <w:pStyle w:val="B1"/>
        <w:rPr/>
      </w:pPr>
      <w:r>
        <w:rPr/>
        <w:t>-</w:t>
        <w:tab/>
        <w:t>Building penetration loss was turned off.</w:t>
      </w:r>
    </w:p>
    <w:p>
      <w:pPr>
        <w:pStyle w:val="B1"/>
        <w:rPr/>
      </w:pPr>
      <w:r>
        <w:rPr/>
        <w:t>-</w:t>
        <w:tab/>
        <w:t>The cell radius was set to 2500 meter</w:t>
      </w:r>
      <w:r>
        <w:rPr>
          <w:rStyle w:val="FootnoteCharacters"/>
          <w:rStyle w:val="FootnoteAnchor"/>
        </w:rPr>
        <w:footnoteReference w:id="2"/>
      </w:r>
      <w:r>
        <w:rPr/>
        <w:t>, to reach a desired Maximum Coupling Loss of 144 dB, or to 577 m to follow the agreed working assumptions (see [2]).</w:t>
      </w:r>
    </w:p>
    <w:p>
      <w:pPr>
        <w:pStyle w:val="B1"/>
        <w:rPr/>
      </w:pPr>
      <w:r>
        <w:rPr/>
        <w:t>-</w:t>
        <w:tab/>
        <w:t>For each configuration a full simulation with in total ~25 000 synchronization attempts from users spread out over the entire cell grid was simulated.</w:t>
      </w:r>
    </w:p>
    <w:p>
      <w:pPr>
        <w:pStyle w:val="B1"/>
        <w:rPr/>
      </w:pPr>
      <w:r>
        <w:rPr/>
        <w:t>-</w:t>
        <w:tab/>
        <w:t>The scenario modelled was a cell reconfirmation scenario, where stationary devices e.g. after waking up from PSM or eDRX attempts to re-confirm its earlier camped on cell. It was assumed that the earlier camped on cell corresponds to the optimal cell from a path loss perspective.</w:t>
      </w:r>
    </w:p>
    <w:p>
      <w:pPr>
        <w:pStyle w:val="B1"/>
        <w:rPr/>
      </w:pPr>
      <w:r>
        <w:rPr/>
        <w:t>-</w:t>
        <w:tab/>
        <w:t xml:space="preserve">Each device was configured to search during at most two 51-multiframes for an FCCH and SCH combination to reconfirm the BSIC of the serving cell. If no SCH was decoded successfully within this search time the attempt was registered as a failure. </w:t>
      </w:r>
    </w:p>
    <w:p>
      <w:pPr>
        <w:pStyle w:val="Normal"/>
        <w:rPr/>
      </w:pPr>
      <w:r>
        <w:rPr/>
        <w:t xml:space="preserve">A BSIC plan was configured as elaborated in </w:t>
      </w:r>
      <w:r>
        <w:rPr>
          <w:lang w:eastAsia="sv-SE"/>
        </w:rPr>
        <w:t>Annex ZF.3.</w:t>
      </w:r>
    </w:p>
    <w:p>
      <w:pPr>
        <w:pStyle w:val="Heading3"/>
        <w:rPr/>
      </w:pPr>
      <w:bookmarkStart w:id="1036" w:name="__RefHeading___Toc518036331"/>
      <w:bookmarkEnd w:id="1036"/>
      <w:r>
        <w:rPr/>
        <w:t>ZF.5.1.2</w:t>
        <w:tab/>
        <w:t>Results</w:t>
      </w:r>
    </w:p>
    <w:p>
      <w:pPr>
        <w:pStyle w:val="Normal"/>
        <w:rPr/>
      </w:pPr>
      <w:r>
        <w:rPr/>
        <w:t xml:space="preserve">Figure </w:t>
      </w:r>
      <w:r>
        <w:rPr>
          <w:lang w:val="en-US" w:eastAsia="en-US"/>
        </w:rPr>
        <w:t>1</w:t>
      </w:r>
      <w:r>
        <w:rPr/>
        <w:t xml:space="preserve"> below depicts the total search time before SCH is decoded successfully, i.e. when the device is synchronized, for 4/12, 3/9 and 1/3 reuse. Table ZF.5.1-1 presents the overall success rate and the 50</w:t>
      </w:r>
      <w:r>
        <w:rPr>
          <w:vertAlign w:val="superscript"/>
        </w:rPr>
        <w:t>th</w:t>
      </w:r>
      <w:r>
        <w:rPr/>
        <w:t xml:space="preserve"> and 99</w:t>
      </w:r>
      <w:r>
        <w:rPr>
          <w:vertAlign w:val="superscript"/>
        </w:rPr>
        <w:t>th</w:t>
      </w:r>
      <w:r>
        <w:rPr/>
        <w:t xml:space="preserve"> percentile times until synchronization is achieved.</w:t>
      </w:r>
    </w:p>
    <w:p>
      <w:pPr>
        <w:pStyle w:val="TH"/>
        <w:rPr/>
      </w:pPr>
      <w:bookmarkStart w:id="1037" w:name="_Ref440898978"/>
      <w:r>
        <w:rPr/>
        <w:t xml:space="preserve">Table </w:t>
      </w:r>
      <w:bookmarkEnd w:id="1037"/>
      <w:r>
        <w:rPr/>
        <w:t>ZF.5.1-1: Successful synchronization ratio and synchronization times at 2500 m cell radius</w:t>
      </w:r>
    </w:p>
    <w:tbl>
      <w:tblPr>
        <w:tblW w:w="5244" w:type="dxa"/>
        <w:jc w:val="center"/>
        <w:tblInd w:w="0" w:type="dxa"/>
        <w:tblLayout w:type="fixed"/>
        <w:tblCellMar>
          <w:top w:w="0" w:type="dxa"/>
          <w:left w:w="108" w:type="dxa"/>
          <w:bottom w:w="0" w:type="dxa"/>
          <w:right w:w="108" w:type="dxa"/>
        </w:tblCellMar>
      </w:tblPr>
      <w:tblGrid>
        <w:gridCol w:w="2481"/>
        <w:gridCol w:w="921"/>
        <w:gridCol w:w="921"/>
        <w:gridCol w:w="921"/>
      </w:tblGrid>
      <w:tr>
        <w:trPr/>
        <w:tc>
          <w:tcPr>
            <w:tcW w:w="248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9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c>
          <w:tcPr>
            <w:tcW w:w="921" w:type="dxa"/>
            <w:tcBorders>
              <w:top w:val="single" w:sz="4" w:space="0" w:color="000000"/>
              <w:left w:val="single" w:sz="4" w:space="0" w:color="000000"/>
              <w:bottom w:val="single" w:sz="4" w:space="0" w:color="000000"/>
              <w:right w:val="single" w:sz="4" w:space="0" w:color="000000"/>
            </w:tcBorders>
          </w:tcPr>
          <w:p>
            <w:pPr>
              <w:pStyle w:val="TAH"/>
              <w:rPr>
                <w:i/>
                <w:i/>
                <w:lang w:eastAsia="en-US"/>
              </w:rPr>
            </w:pPr>
            <w:r>
              <w:rPr>
                <w:i/>
                <w:lang w:eastAsia="en-US"/>
              </w:rPr>
              <w:t>3/9</w:t>
            </w:r>
          </w:p>
        </w:tc>
        <w:tc>
          <w:tcPr>
            <w:tcW w:w="9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Success rate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99.9 %</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99.9 %</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98.7 %</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pPr>
            <w:r>
              <w:rPr>
                <w:lang w:val="en-GB"/>
              </w:rPr>
              <w:t>Synch time, 50</w:t>
            </w:r>
            <w:r>
              <w:rPr>
                <w:vertAlign w:val="superscript"/>
                <w:lang w:val="en-GB"/>
              </w:rPr>
              <w:t>th</w:t>
            </w:r>
            <w:r>
              <w:rPr>
                <w:lang w:val="en-GB"/>
              </w:rPr>
              <w:t xml:space="preserve"> percentile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0.031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0.031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0.033 s</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pPr>
            <w:r>
              <w:rPr>
                <w:lang w:val="en-GB"/>
              </w:rPr>
              <w:t>Synch time, 99</w:t>
            </w:r>
            <w:r>
              <w:rPr>
                <w:vertAlign w:val="superscript"/>
                <w:lang w:val="en-GB"/>
              </w:rPr>
              <w:t>th</w:t>
            </w:r>
            <w:r>
              <w:rPr>
                <w:lang w:val="en-GB"/>
              </w:rPr>
              <w:t xml:space="preserve"> percentile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0.093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0.123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0.321 s</w:t>
            </w:r>
          </w:p>
        </w:tc>
      </w:tr>
    </w:tbl>
    <w:p>
      <w:pPr>
        <w:pStyle w:val="TH"/>
        <w:rPr>
          <w:lang w:val="en-US" w:eastAsia="en-US"/>
        </w:rPr>
      </w:pPr>
      <w:r>
        <w:rPr>
          <w:lang w:val="en-US" w:eastAsia="en-US"/>
        </w:rPr>
        <w:drawing>
          <wp:inline distT="0" distB="0" distL="0" distR="0">
            <wp:extent cx="3319780" cy="2518410"/>
            <wp:effectExtent l="0" t="0" r="0" b="0"/>
            <wp:docPr id="32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27" descr=""/>
                    <pic:cNvPicPr>
                      <a:picLocks noChangeAspect="1" noChangeArrowheads="1"/>
                    </pic:cNvPicPr>
                  </pic:nvPicPr>
                  <pic:blipFill>
                    <a:blip r:embed="rId334"/>
                    <a:srcRect l="-5" t="-7" r="-5" b="-7"/>
                    <a:stretch>
                      <a:fillRect/>
                    </a:stretch>
                  </pic:blipFill>
                  <pic:spPr bwMode="auto">
                    <a:xfrm>
                      <a:off x="0" y="0"/>
                      <a:ext cx="3319780" cy="2518410"/>
                    </a:xfrm>
                    <a:prstGeom prst="rect">
                      <a:avLst/>
                    </a:prstGeom>
                  </pic:spPr>
                </pic:pic>
              </a:graphicData>
            </a:graphic>
          </wp:inline>
        </w:drawing>
      </w:r>
    </w:p>
    <w:p>
      <w:pPr>
        <w:pStyle w:val="TF"/>
        <w:rPr/>
      </w:pPr>
      <w:bookmarkStart w:id="1038" w:name="_Ref434929871"/>
      <w:r>
        <w:rPr/>
        <w:t xml:space="preserve">Figure </w:t>
      </w:r>
      <w:bookmarkEnd w:id="1038"/>
      <w:r>
        <w:rPr>
          <w:lang w:val="en-US"/>
        </w:rPr>
        <w:t>ZF.5.1-1</w:t>
      </w:r>
      <w:r>
        <w:rPr/>
        <w:t>: Total time to synchronization for 1/3, 3/9 and 4/12 frequency re-use.</w:t>
      </w:r>
    </w:p>
    <w:p>
      <w:pPr>
        <w:pStyle w:val="Normal"/>
        <w:rPr/>
      </w:pPr>
      <w:r>
        <w:rPr/>
        <w:t>Figure ZF.5.1-2 and figure ZF.5.1-3 depicts the residual frequency and time offset after FCCH detection, for devices that successfully decoded the SCH. As seen the impact from going to tighter frequency reuse with respect to residual frequency and time offset is limited for these devices. It shall be noted that the residual frequency and timing offset seen in figure ZF.5.1-2 and figure ZF.5.1-3 represents the rough synchronization after FCCH only, and that further refinements in both frequency and time estimation will be done when acquiring the SCH.</w:t>
      </w:r>
    </w:p>
    <w:p>
      <w:pPr>
        <w:pStyle w:val="TH"/>
        <w:rPr>
          <w:lang w:val="en-US" w:eastAsia="en-US"/>
        </w:rPr>
      </w:pPr>
      <w:r>
        <w:rPr>
          <w:lang w:val="en-US" w:eastAsia="en-US"/>
        </w:rPr>
        <w:drawing>
          <wp:inline distT="0" distB="0" distL="0" distR="0">
            <wp:extent cx="3359785" cy="2520315"/>
            <wp:effectExtent l="0" t="0" r="0" b="0"/>
            <wp:docPr id="32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8" descr=""/>
                    <pic:cNvPicPr>
                      <a:picLocks noChangeAspect="1" noChangeArrowheads="1"/>
                    </pic:cNvPicPr>
                  </pic:nvPicPr>
                  <pic:blipFill>
                    <a:blip r:embed="rId335"/>
                    <a:srcRect l="-5" t="-7" r="-5" b="-7"/>
                    <a:stretch>
                      <a:fillRect/>
                    </a:stretch>
                  </pic:blipFill>
                  <pic:spPr bwMode="auto">
                    <a:xfrm>
                      <a:off x="0" y="0"/>
                      <a:ext cx="3359785" cy="2520315"/>
                    </a:xfrm>
                    <a:prstGeom prst="rect">
                      <a:avLst/>
                    </a:prstGeom>
                  </pic:spPr>
                </pic:pic>
              </a:graphicData>
            </a:graphic>
          </wp:inline>
        </w:drawing>
      </w:r>
    </w:p>
    <w:p>
      <w:pPr>
        <w:pStyle w:val="TF"/>
        <w:rPr/>
      </w:pPr>
      <w:r>
        <w:rPr/>
        <w:t>Figure ZF.5.1-2: Residual time offset after FCCH detection</w:t>
      </w:r>
    </w:p>
    <w:p>
      <w:pPr>
        <w:pStyle w:val="TH"/>
        <w:rPr>
          <w:lang w:val="en-US" w:eastAsia="en-US"/>
        </w:rPr>
      </w:pPr>
      <w:r>
        <w:rPr>
          <w:lang w:val="en-US" w:eastAsia="en-US"/>
        </w:rPr>
        <w:drawing>
          <wp:inline distT="0" distB="0" distL="0" distR="0">
            <wp:extent cx="3359785" cy="2520315"/>
            <wp:effectExtent l="0" t="0" r="0" b="0"/>
            <wp:docPr id="32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29" descr=""/>
                    <pic:cNvPicPr>
                      <a:picLocks noChangeAspect="1" noChangeArrowheads="1"/>
                    </pic:cNvPicPr>
                  </pic:nvPicPr>
                  <pic:blipFill>
                    <a:blip r:embed="rId336"/>
                    <a:srcRect l="-5" t="-7" r="-5" b="-7"/>
                    <a:stretch>
                      <a:fillRect/>
                    </a:stretch>
                  </pic:blipFill>
                  <pic:spPr bwMode="auto">
                    <a:xfrm>
                      <a:off x="0" y="0"/>
                      <a:ext cx="3359785" cy="2520315"/>
                    </a:xfrm>
                    <a:prstGeom prst="rect">
                      <a:avLst/>
                    </a:prstGeom>
                  </pic:spPr>
                </pic:pic>
              </a:graphicData>
            </a:graphic>
          </wp:inline>
        </w:drawing>
      </w:r>
    </w:p>
    <w:p>
      <w:pPr>
        <w:pStyle w:val="TF"/>
        <w:rPr/>
      </w:pPr>
      <w:r>
        <w:rPr/>
        <w:t>Figure ZF.5.1-3: Synchronization frequency error after FCCH detection</w:t>
      </w:r>
    </w:p>
    <w:p>
      <w:pPr>
        <w:pStyle w:val="Normal"/>
        <w:rPr/>
      </w:pPr>
      <w:r>
        <w:rPr/>
        <w:t>During the search for the serving cell FCCH and SCH a device may detect the FCCH from a neighboring cell and successfully decode its SCH and read the BSIC. Figure ZF.5.1-4 depicts the likelihood of decoding neighboring cells SCH and BSIC. Each device was configured to continue its search for the serving cell SCH upon detecting that the decoded BSIC did not match the serving cell BSIC. As a result a device may decode neighboring SCHs multiple times before receiving the serving cell SCH and confirming its BSIC. This is illustrated in the below figure for the three studied frequency reuses.</w:t>
      </w:r>
    </w:p>
    <w:p>
      <w:pPr>
        <w:pStyle w:val="TH"/>
        <w:rPr>
          <w:lang w:val="en-US" w:eastAsia="en-US"/>
        </w:rPr>
      </w:pPr>
      <w:r>
        <w:rPr>
          <w:lang w:val="en-US" w:eastAsia="en-US"/>
        </w:rPr>
        <w:drawing>
          <wp:inline distT="0" distB="0" distL="0" distR="0">
            <wp:extent cx="3206115" cy="2519680"/>
            <wp:effectExtent l="0" t="0" r="0" b="0"/>
            <wp:docPr id="3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0" descr=""/>
                    <pic:cNvPicPr>
                      <a:picLocks noChangeAspect="1" noChangeArrowheads="1"/>
                    </pic:cNvPicPr>
                  </pic:nvPicPr>
                  <pic:blipFill>
                    <a:blip r:embed="rId337"/>
                    <a:srcRect l="-5" t="-7" r="-5" b="-7"/>
                    <a:stretch>
                      <a:fillRect/>
                    </a:stretch>
                  </pic:blipFill>
                  <pic:spPr bwMode="auto">
                    <a:xfrm>
                      <a:off x="0" y="0"/>
                      <a:ext cx="3206115" cy="2519680"/>
                    </a:xfrm>
                    <a:prstGeom prst="rect">
                      <a:avLst/>
                    </a:prstGeom>
                  </pic:spPr>
                </pic:pic>
              </a:graphicData>
            </a:graphic>
          </wp:inline>
        </w:drawing>
      </w:r>
    </w:p>
    <w:p>
      <w:pPr>
        <w:pStyle w:val="TF"/>
        <w:rPr/>
      </w:pPr>
      <w:r>
        <w:rPr/>
        <w:t>Figure ZF.5.1-4: Likelihood of decoding the BSIC of a neighboring cell</w:t>
      </w:r>
    </w:p>
    <w:p>
      <w:pPr>
        <w:pStyle w:val="Normal"/>
        <w:jc w:val="both"/>
        <w:rPr/>
      </w:pPr>
      <w:r>
        <w:rPr/>
        <w:t>In case a decoded neighboring</w:t>
      </w:r>
      <w:r>
        <w:rPr>
          <w:b/>
        </w:rPr>
        <w:t xml:space="preserve"> </w:t>
      </w:r>
      <w:r>
        <w:rPr/>
        <w:t xml:space="preserve">SCH is configured with the same BSIC as the serving cell a device will not detect that it has synchronized to new cell. This unwanted event is known as BSIC confusion. A BSIC plan based on eight unique BSICs was configured for each reuse. The BSIC plan for the 1/3 frequency reuse is illustrated in Annex ZF.2. Table </w:t>
      </w:r>
      <w:r>
        <w:rPr>
          <w:lang w:val="en-US" w:eastAsia="en-US"/>
        </w:rPr>
        <w:t>2</w:t>
      </w:r>
      <w:r>
        <w:rPr/>
        <w:t xml:space="preserve"> presents the likelihood of BSIC confusion for each reuse. It can be concluded that even for this tight BSIC plan, BSIC confusion is not an issue in case of stationary devices attempting to reconfirm the serving cell.</w:t>
      </w:r>
    </w:p>
    <w:p>
      <w:pPr>
        <w:pStyle w:val="TH"/>
        <w:rPr>
          <w:lang w:val="en-US"/>
        </w:rPr>
      </w:pPr>
      <w:r>
        <w:rPr>
          <w:lang w:val="en-US"/>
        </w:rPr>
        <w:t>Table ZF.5.1-2: Likelihood of BSIC confusion</w:t>
      </w:r>
    </w:p>
    <w:tbl>
      <w:tblPr>
        <w:tblW w:w="4869" w:type="dxa"/>
        <w:jc w:val="center"/>
        <w:tblInd w:w="0" w:type="dxa"/>
        <w:tblLayout w:type="fixed"/>
        <w:tblCellMar>
          <w:top w:w="0" w:type="dxa"/>
          <w:left w:w="108" w:type="dxa"/>
          <w:bottom w:w="0" w:type="dxa"/>
          <w:right w:w="108" w:type="dxa"/>
        </w:tblCellMar>
      </w:tblPr>
      <w:tblGrid>
        <w:gridCol w:w="2706"/>
        <w:gridCol w:w="681"/>
        <w:gridCol w:w="591"/>
        <w:gridCol w:w="891"/>
      </w:tblGrid>
      <w:tr>
        <w:trPr/>
        <w:tc>
          <w:tcPr>
            <w:tcW w:w="270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68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c>
          <w:tcPr>
            <w:tcW w:w="5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8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r>
      <w:tr>
        <w:trPr/>
        <w:tc>
          <w:tcPr>
            <w:tcW w:w="2706" w:type="dxa"/>
            <w:tcBorders>
              <w:top w:val="single" w:sz="4" w:space="0" w:color="000000"/>
              <w:left w:val="single" w:sz="4" w:space="0" w:color="000000"/>
              <w:bottom w:val="single" w:sz="4" w:space="0" w:color="000000"/>
              <w:right w:val="single" w:sz="4" w:space="0" w:color="000000"/>
            </w:tcBorders>
          </w:tcPr>
          <w:p>
            <w:pPr>
              <w:pStyle w:val="TAC"/>
              <w:rPr/>
            </w:pPr>
            <w:r>
              <w:rPr>
                <w:lang w:val="en-GB"/>
              </w:rPr>
              <w:t>Likelihood of BSIC confusion</w:t>
            </w:r>
          </w:p>
        </w:tc>
        <w:tc>
          <w:tcPr>
            <w:tcW w:w="6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9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89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 0.1%</w:t>
            </w:r>
          </w:p>
        </w:tc>
      </w:tr>
    </w:tbl>
    <w:p>
      <w:pPr>
        <w:pStyle w:val="Normal"/>
        <w:rPr/>
      </w:pPr>
      <w:r>
        <w:rPr/>
      </w:r>
    </w:p>
    <w:p>
      <w:pPr>
        <w:pStyle w:val="Normal"/>
        <w:rPr/>
      </w:pPr>
      <w:r>
        <w:rPr/>
        <w:t xml:space="preserve">The performance was also evaluated for a cell radius of 577 m. The results are depicted in Table </w:t>
      </w:r>
      <w:r>
        <w:rPr>
          <w:lang w:val="en-US" w:eastAsia="en-US"/>
        </w:rPr>
        <w:t>3</w:t>
      </w:r>
      <w:r>
        <w:rPr/>
        <w:t>, and are comparable with the results seen for a cell radius of 2500 m.</w:t>
      </w:r>
    </w:p>
    <w:p>
      <w:pPr>
        <w:pStyle w:val="TH"/>
        <w:rPr/>
      </w:pPr>
      <w:r>
        <w:rPr/>
        <w:t>Table ZF.5.1-3: Successful synchronization ratio and synchronization times at 577 m cell radius</w:t>
      </w:r>
    </w:p>
    <w:tbl>
      <w:tblPr>
        <w:tblW w:w="5244" w:type="dxa"/>
        <w:jc w:val="center"/>
        <w:tblInd w:w="0" w:type="dxa"/>
        <w:tblLayout w:type="fixed"/>
        <w:tblCellMar>
          <w:top w:w="0" w:type="dxa"/>
          <w:left w:w="108" w:type="dxa"/>
          <w:bottom w:w="0" w:type="dxa"/>
          <w:right w:w="108" w:type="dxa"/>
        </w:tblCellMar>
      </w:tblPr>
      <w:tblGrid>
        <w:gridCol w:w="2481"/>
        <w:gridCol w:w="921"/>
        <w:gridCol w:w="921"/>
        <w:gridCol w:w="921"/>
      </w:tblGrid>
      <w:tr>
        <w:trPr/>
        <w:tc>
          <w:tcPr>
            <w:tcW w:w="248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9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c>
          <w:tcPr>
            <w:tcW w:w="9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9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Success rate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100 %</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99.9 %</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98.8 %</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pPr>
            <w:r>
              <w:rPr>
                <w:lang w:val="en-GB"/>
              </w:rPr>
              <w:t>Synch time, 50</w:t>
            </w:r>
            <w:r>
              <w:rPr>
                <w:vertAlign w:val="superscript"/>
                <w:lang w:val="en-GB"/>
              </w:rPr>
              <w:t>th</w:t>
            </w:r>
            <w:r>
              <w:rPr>
                <w:lang w:val="en-GB"/>
              </w:rPr>
              <w:t xml:space="preserve"> percentile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0.031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0.031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0.033 s</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pPr>
            <w:r>
              <w:rPr>
                <w:lang w:val="en-GB"/>
              </w:rPr>
              <w:t>Synch time, 99</w:t>
            </w:r>
            <w:r>
              <w:rPr>
                <w:vertAlign w:val="superscript"/>
                <w:lang w:val="en-GB"/>
              </w:rPr>
              <w:t>th</w:t>
            </w:r>
            <w:r>
              <w:rPr>
                <w:lang w:val="en-GB"/>
              </w:rPr>
              <w:t xml:space="preserve"> percentile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0.091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0.106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0.331 s</w:t>
            </w:r>
          </w:p>
        </w:tc>
      </w:tr>
    </w:tbl>
    <w:p>
      <w:pPr>
        <w:pStyle w:val="Normal"/>
        <w:rPr/>
      </w:pPr>
      <w:r>
        <w:rPr/>
      </w:r>
    </w:p>
    <w:p>
      <w:pPr>
        <w:pStyle w:val="Normal"/>
        <w:rPr/>
      </w:pPr>
      <w:r>
        <w:rPr/>
        <w:t>The likelihood of decoding the BSIC of a neighboring</w:t>
      </w:r>
      <w:r>
        <w:rPr>
          <w:b/>
        </w:rPr>
        <w:t xml:space="preserve"> </w:t>
      </w:r>
      <w:r>
        <w:rPr/>
        <w:t xml:space="preserve">cell, and for BSIC confusion, was more or less identical for cell radiuses of 577 and 2500 m. </w:t>
      </w:r>
    </w:p>
    <w:p>
      <w:pPr>
        <w:pStyle w:val="Heading3"/>
        <w:rPr/>
      </w:pPr>
      <w:bookmarkStart w:id="1039" w:name="__RefHeading___Toc518036332"/>
      <w:bookmarkEnd w:id="1039"/>
      <w:r>
        <w:rPr/>
        <w:t>ZF.5.1.3</w:t>
        <w:tab/>
        <w:t>Discussion and conclusions</w:t>
      </w:r>
    </w:p>
    <w:p>
      <w:pPr>
        <w:pStyle w:val="Normal"/>
        <w:rPr/>
      </w:pPr>
      <w:r>
        <w:rPr/>
        <w:t>This contribution has investigated the impact on legacy (E)GPRS synchronization performance in frequency reuse scenarios of 4/12, 3/9 and 1/3. The performance is as expected similar for 4/12 and 3/9 reuse. A clear impact on the total time to decode the SCH is seen when going to 1/3 reuse. The performance is however convincing for all investigated reuses, and indicate that legacy (E)GPRS device will be able to synchronize the a network also in case of a  tight BCCH spectrum allocation.</w:t>
      </w:r>
    </w:p>
    <w:p>
      <w:pPr>
        <w:pStyle w:val="Heading2"/>
        <w:rPr>
          <w:lang w:val="en-US"/>
        </w:rPr>
      </w:pPr>
      <w:bookmarkStart w:id="1040" w:name="__RefHeading___Toc518036333"/>
      <w:bookmarkEnd w:id="1040"/>
      <w:r>
        <w:rPr>
          <w:lang w:val="en-US"/>
        </w:rPr>
        <w:t>ZF.5.2</w:t>
        <w:tab/>
        <w:t>EC-GSM-IoT</w:t>
      </w:r>
    </w:p>
    <w:p>
      <w:pPr>
        <w:pStyle w:val="Heading3"/>
        <w:rPr>
          <w:lang w:val="en-US"/>
        </w:rPr>
      </w:pPr>
      <w:bookmarkStart w:id="1041" w:name="__RefHeading___Toc518036334"/>
      <w:bookmarkEnd w:id="1041"/>
      <w:r>
        <w:rPr>
          <w:lang w:val="en-US"/>
        </w:rPr>
        <w:t>ZF.5.2.1</w:t>
        <w:tab/>
        <w:t>Tdoc reference</w:t>
      </w:r>
    </w:p>
    <w:p>
      <w:pPr>
        <w:pStyle w:val="Normal"/>
        <w:rPr>
          <w:lang w:val="sv-SE"/>
        </w:rPr>
      </w:pPr>
      <w:r>
        <w:rPr>
          <w:lang w:val="sv-SE"/>
        </w:rPr>
        <w:t>3GPP TSG GERAN WG1 #70</w:t>
      </w:r>
    </w:p>
    <w:p>
      <w:pPr>
        <w:pStyle w:val="Normal"/>
        <w:rPr>
          <w:lang w:val="sv-SE"/>
        </w:rPr>
      </w:pPr>
      <w:r>
        <w:rPr>
          <w:lang w:val="sv-SE"/>
        </w:rPr>
        <w:t>GP-160271</w:t>
      </w:r>
    </w:p>
    <w:p>
      <w:pPr>
        <w:pStyle w:val="Normal"/>
        <w:rPr/>
      </w:pPr>
      <w:r>
        <w:rPr>
          <w:lang w:val="en-US"/>
        </w:rPr>
        <w:t>Nanjing, P. R. China</w:t>
      </w:r>
    </w:p>
    <w:p>
      <w:pPr>
        <w:pStyle w:val="Normal"/>
        <w:rPr>
          <w:lang w:val="en-US"/>
        </w:rPr>
      </w:pPr>
      <w:r>
        <w:rPr>
          <w:lang w:val="en-US"/>
        </w:rPr>
        <w:t>23</w:t>
      </w:r>
      <w:r>
        <w:rPr>
          <w:vertAlign w:val="superscript"/>
          <w:lang w:val="en-US"/>
        </w:rPr>
        <w:t>th</w:t>
      </w:r>
      <w:r>
        <w:rPr>
          <w:lang w:val="en-US"/>
        </w:rPr>
        <w:t xml:space="preserve"> – 27</w:t>
      </w:r>
      <w:r>
        <w:rPr>
          <w:vertAlign w:val="superscript"/>
          <w:lang w:val="en-US"/>
        </w:rPr>
        <w:t>th</w:t>
      </w:r>
      <w:r>
        <w:rPr>
          <w:lang w:val="en-US"/>
        </w:rPr>
        <w:t>, May, 2016</w:t>
      </w:r>
    </w:p>
    <w:p>
      <w:pPr>
        <w:pStyle w:val="Normal"/>
        <w:rPr>
          <w:lang w:val="en-US"/>
        </w:rPr>
      </w:pPr>
      <w:r>
        <w:rPr>
          <w:lang w:val="en-US"/>
        </w:rPr>
        <w:t>Source: Ericsson LM</w:t>
      </w:r>
    </w:p>
    <w:p>
      <w:pPr>
        <w:pStyle w:val="Normal"/>
        <w:rPr>
          <w:lang w:val="en-US"/>
        </w:rPr>
      </w:pPr>
      <w:r>
        <w:rPr>
          <w:b/>
          <w:lang w:val="en-US"/>
        </w:rPr>
        <w:t>Title: Impact on network synchronization for EC-GSM-IoT in a reduced BCCH spectrum allocation</w:t>
      </w:r>
    </w:p>
    <w:p>
      <w:pPr>
        <w:pStyle w:val="Heading3"/>
        <w:rPr/>
      </w:pPr>
      <w:bookmarkStart w:id="1042" w:name="__RefHeading___Toc518036335"/>
      <w:bookmarkStart w:id="1043" w:name="_Ref434595095"/>
      <w:bookmarkEnd w:id="1042"/>
      <w:bookmarkEnd w:id="1043"/>
      <w:r>
        <w:rPr/>
        <w:t>ZF.5.2.2</w:t>
        <w:tab/>
        <w:t>Simulator configuration</w:t>
      </w:r>
    </w:p>
    <w:p>
      <w:pPr>
        <w:pStyle w:val="Normal"/>
        <w:rPr/>
      </w:pPr>
      <w:r>
        <w:rPr/>
        <w:t xml:space="preserve">The simulator was configured in accordance to the system simulation assumptions agreed in 3GPP TR 45.820 Annex D, and following the assumptions presented in Annex ZF.1 on interference modelling. </w:t>
      </w:r>
    </w:p>
    <w:p>
      <w:pPr>
        <w:pStyle w:val="Normal"/>
        <w:rPr/>
      </w:pPr>
      <w:r>
        <w:rPr/>
        <w:t>The scenario modelled was a cell reconfirmation scenario, where stationary devices e.g. after waking up from PSM or eDRX attempts to re-confirm its earlier camped on cell. It was assumed that the earlier camped on cell corresponds to the optimal cell from a path loss perspective.</w:t>
      </w:r>
    </w:p>
    <w:p>
      <w:pPr>
        <w:pStyle w:val="Normal"/>
        <w:rPr/>
      </w:pPr>
      <w:r>
        <w:rPr/>
        <w:t>The FCCH detector used to derive the results for EC-GSM in TR 45.820 was re-used during the simulations. The EC-SCH receiver did not rely on IQ combining, but performed soft combining between successive blind physical layer transmissions of the EC-SCH.</w:t>
      </w:r>
    </w:p>
    <w:p>
      <w:pPr>
        <w:pStyle w:val="Normal"/>
        <w:rPr/>
      </w:pPr>
      <w:r>
        <w:rPr/>
        <w:t>Each device was configured to search during at most twelve 51-multiframes for an FCCH and EC-SCH combination. If no EC-SCH was decoded successfully within this search time the attempt was registered as a failure. This is in line with the assumptions used during earlier evaluations.</w:t>
      </w:r>
    </w:p>
    <w:p>
      <w:pPr>
        <w:pStyle w:val="Normal"/>
        <w:rPr/>
      </w:pPr>
      <w:r>
        <w:rPr/>
        <w:t xml:space="preserve">A BSIC plan was configured as elaborated upon in </w:t>
      </w:r>
      <w:r>
        <w:rPr>
          <w:lang w:eastAsia="sv-SE"/>
        </w:rPr>
        <w:t>Annex ZF.2.</w:t>
      </w:r>
    </w:p>
    <w:p>
      <w:pPr>
        <w:pStyle w:val="Heading3"/>
        <w:rPr/>
      </w:pPr>
      <w:bookmarkStart w:id="1044" w:name="_Ref434595095"/>
      <w:bookmarkStart w:id="1045" w:name="__RefHeading___Toc518036336"/>
      <w:bookmarkStart w:id="1046" w:name="_Ref440904973"/>
      <w:bookmarkEnd w:id="1044"/>
      <w:bookmarkEnd w:id="1045"/>
      <w:r>
        <w:rPr/>
        <w:t>ZF.5.2.3</w:t>
        <w:tab/>
        <w:t>Results</w:t>
      </w:r>
      <w:bookmarkEnd w:id="1046"/>
    </w:p>
    <w:p>
      <w:pPr>
        <w:pStyle w:val="Normal"/>
        <w:rPr/>
      </w:pPr>
      <w:r>
        <w:rPr/>
        <w:t>Only results from devices successfully synchronizing within twelve 51-multiframes were recorded, and are presented in the following. Table ZF.5.2-1  lists the recorded successful synchronization ratio for the three studied frequency reuses. A high success rate is observed for all scenarios, and only a minor degradation is noticeable when going from 4/12 and 3/9 reuse to 1/3 reuse. The 50</w:t>
      </w:r>
      <w:r>
        <w:rPr>
          <w:vertAlign w:val="superscript"/>
        </w:rPr>
        <w:t>th</w:t>
      </w:r>
      <w:r>
        <w:rPr/>
        <w:t xml:space="preserve"> and 99</w:t>
      </w:r>
      <w:r>
        <w:rPr>
          <w:vertAlign w:val="superscript"/>
        </w:rPr>
        <w:t>th</w:t>
      </w:r>
      <w:r>
        <w:rPr/>
        <w:t xml:space="preserve"> percentiles time until EC-SCH decoding, i.e. completed synchronization is also presented in the table. It can be observed that a reduced BCCH spectrum allocation impacts the synchronization times.</w:t>
      </w:r>
    </w:p>
    <w:p>
      <w:pPr>
        <w:pStyle w:val="TH"/>
        <w:rPr>
          <w:lang w:val="en-US"/>
        </w:rPr>
      </w:pPr>
      <w:bookmarkStart w:id="1047" w:name="_Ref451209611"/>
      <w:r>
        <w:rPr>
          <w:lang w:val="en-US"/>
        </w:rPr>
        <w:t xml:space="preserve">Table </w:t>
      </w:r>
      <w:bookmarkEnd w:id="1047"/>
      <w:r>
        <w:rPr>
          <w:lang w:val="en-US"/>
        </w:rPr>
        <w:t>ZF.5.2-1: Successful synchronization ratio and synchronization times</w:t>
      </w:r>
    </w:p>
    <w:tbl>
      <w:tblPr>
        <w:tblW w:w="5244" w:type="dxa"/>
        <w:jc w:val="center"/>
        <w:tblInd w:w="0" w:type="dxa"/>
        <w:tblLayout w:type="fixed"/>
        <w:tblCellMar>
          <w:top w:w="0" w:type="dxa"/>
          <w:left w:w="108" w:type="dxa"/>
          <w:bottom w:w="0" w:type="dxa"/>
          <w:right w:w="108" w:type="dxa"/>
        </w:tblCellMar>
      </w:tblPr>
      <w:tblGrid>
        <w:gridCol w:w="2481"/>
        <w:gridCol w:w="921"/>
        <w:gridCol w:w="921"/>
        <w:gridCol w:w="921"/>
      </w:tblGrid>
      <w:tr>
        <w:trPr/>
        <w:tc>
          <w:tcPr>
            <w:tcW w:w="248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9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c>
          <w:tcPr>
            <w:tcW w:w="9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9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Success rate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100%</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99.9%</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99.2%</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pPr>
            <w:r>
              <w:rPr>
                <w:lang w:val="en-GB"/>
              </w:rPr>
              <w:t>Synch time, 50</w:t>
            </w:r>
            <w:r>
              <w:rPr>
                <w:vertAlign w:val="superscript"/>
                <w:lang w:val="en-GB"/>
              </w:rPr>
              <w:t>th</w:t>
            </w:r>
            <w:r>
              <w:rPr>
                <w:lang w:val="en-GB"/>
              </w:rPr>
              <w:t xml:space="preserve"> percentile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0.198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0.199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0.208 s</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C"/>
              <w:rPr/>
            </w:pPr>
            <w:r>
              <w:rPr>
                <w:lang w:val="en-GB"/>
              </w:rPr>
              <w:t>Synch time, 99</w:t>
            </w:r>
            <w:r>
              <w:rPr>
                <w:vertAlign w:val="superscript"/>
                <w:lang w:val="en-GB"/>
              </w:rPr>
              <w:t>th</w:t>
            </w:r>
            <w:r>
              <w:rPr>
                <w:lang w:val="en-GB"/>
              </w:rPr>
              <w:t xml:space="preserve"> percentile</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0.664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0.709 s</w:t>
            </w:r>
          </w:p>
        </w:tc>
        <w:tc>
          <w:tcPr>
            <w:tcW w:w="92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1.411 s</w:t>
            </w:r>
          </w:p>
        </w:tc>
      </w:tr>
    </w:tbl>
    <w:p>
      <w:pPr>
        <w:pStyle w:val="FP"/>
        <w:rPr>
          <w:rFonts w:eastAsia="Calibri"/>
        </w:rPr>
      </w:pPr>
      <w:r>
        <w:rPr>
          <w:rFonts w:eastAsia="Calibri"/>
        </w:rPr>
      </w:r>
    </w:p>
    <w:p>
      <w:pPr>
        <w:pStyle w:val="TH"/>
        <w:rPr>
          <w:lang w:val="en-US" w:eastAsia="en-US"/>
        </w:rPr>
      </w:pPr>
      <w:r>
        <w:rPr>
          <w:lang w:val="en-US" w:eastAsia="en-US"/>
        </w:rPr>
        <w:drawing>
          <wp:inline distT="0" distB="0" distL="0" distR="0">
            <wp:extent cx="3359785" cy="2520315"/>
            <wp:effectExtent l="0" t="0" r="0" b="0"/>
            <wp:docPr id="32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31" descr=""/>
                    <pic:cNvPicPr>
                      <a:picLocks noChangeAspect="1" noChangeArrowheads="1"/>
                    </pic:cNvPicPr>
                  </pic:nvPicPr>
                  <pic:blipFill>
                    <a:blip r:embed="rId338"/>
                    <a:srcRect l="-5" t="-7" r="-5" b="-7"/>
                    <a:stretch>
                      <a:fillRect/>
                    </a:stretch>
                  </pic:blipFill>
                  <pic:spPr bwMode="auto">
                    <a:xfrm>
                      <a:off x="0" y="0"/>
                      <a:ext cx="3359785" cy="2520315"/>
                    </a:xfrm>
                    <a:prstGeom prst="rect">
                      <a:avLst/>
                    </a:prstGeom>
                  </pic:spPr>
                </pic:pic>
              </a:graphicData>
            </a:graphic>
          </wp:inline>
        </w:drawing>
      </w:r>
    </w:p>
    <w:p>
      <w:pPr>
        <w:pStyle w:val="TF"/>
        <w:rPr/>
      </w:pPr>
      <w:r>
        <w:rPr/>
        <w:t>Figure ZF.5.2-1: Total time to synchronization for 1/3, 3/9 and 4/12 frequency reuse</w:t>
      </w:r>
    </w:p>
    <w:p>
      <w:pPr>
        <w:pStyle w:val="Normal"/>
        <w:rPr/>
      </w:pPr>
      <w:r>
        <w:rPr/>
        <w:t>Figure ZF.5.2-2 and figure ZF.5.2-3 depicts the residual frequency and time offset after FCCH detection, for devices that successfully decoded the EC-SCH. As seen the impact from going to tighter frequency reuse with respect to residual frequency and timing error is very limited.</w:t>
      </w:r>
    </w:p>
    <w:p>
      <w:pPr>
        <w:pStyle w:val="TH"/>
        <w:rPr>
          <w:lang w:val="en-US" w:eastAsia="en-US"/>
        </w:rPr>
      </w:pPr>
      <w:r>
        <w:rPr>
          <w:lang w:val="en-US" w:eastAsia="en-US"/>
        </w:rPr>
        <w:drawing>
          <wp:inline distT="0" distB="0" distL="0" distR="0">
            <wp:extent cx="3359785" cy="2520315"/>
            <wp:effectExtent l="0" t="0" r="0" b="0"/>
            <wp:docPr id="32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2" descr=""/>
                    <pic:cNvPicPr>
                      <a:picLocks noChangeAspect="1" noChangeArrowheads="1"/>
                    </pic:cNvPicPr>
                  </pic:nvPicPr>
                  <pic:blipFill>
                    <a:blip r:embed="rId339"/>
                    <a:srcRect l="-5" t="-7" r="-5" b="-7"/>
                    <a:stretch>
                      <a:fillRect/>
                    </a:stretch>
                  </pic:blipFill>
                  <pic:spPr bwMode="auto">
                    <a:xfrm>
                      <a:off x="0" y="0"/>
                      <a:ext cx="3359785" cy="2520315"/>
                    </a:xfrm>
                    <a:prstGeom prst="rect">
                      <a:avLst/>
                    </a:prstGeom>
                  </pic:spPr>
                </pic:pic>
              </a:graphicData>
            </a:graphic>
          </wp:inline>
        </w:drawing>
      </w:r>
    </w:p>
    <w:p>
      <w:pPr>
        <w:pStyle w:val="TF"/>
        <w:rPr/>
      </w:pPr>
      <w:r>
        <w:rPr/>
        <w:t>Figure ZF.5.2-2: Synchronization time error after FCCH detection.</w:t>
      </w:r>
    </w:p>
    <w:p>
      <w:pPr>
        <w:pStyle w:val="TH"/>
        <w:rPr>
          <w:lang w:val="en-US" w:eastAsia="en-US"/>
        </w:rPr>
      </w:pPr>
      <w:r>
        <w:rPr>
          <w:lang w:val="en-US" w:eastAsia="en-US"/>
        </w:rPr>
        <w:drawing>
          <wp:inline distT="0" distB="0" distL="0" distR="0">
            <wp:extent cx="3359785" cy="2520315"/>
            <wp:effectExtent l="0" t="0" r="0" b="0"/>
            <wp:docPr id="32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33" descr=""/>
                    <pic:cNvPicPr>
                      <a:picLocks noChangeAspect="1" noChangeArrowheads="1"/>
                    </pic:cNvPicPr>
                  </pic:nvPicPr>
                  <pic:blipFill>
                    <a:blip r:embed="rId340"/>
                    <a:srcRect l="-5" t="-7" r="-5" b="-7"/>
                    <a:stretch>
                      <a:fillRect/>
                    </a:stretch>
                  </pic:blipFill>
                  <pic:spPr bwMode="auto">
                    <a:xfrm>
                      <a:off x="0" y="0"/>
                      <a:ext cx="3359785" cy="2520315"/>
                    </a:xfrm>
                    <a:prstGeom prst="rect">
                      <a:avLst/>
                    </a:prstGeom>
                  </pic:spPr>
                </pic:pic>
              </a:graphicData>
            </a:graphic>
          </wp:inline>
        </w:drawing>
      </w:r>
    </w:p>
    <w:p>
      <w:pPr>
        <w:pStyle w:val="TF"/>
        <w:rPr/>
      </w:pPr>
      <w:r>
        <w:rPr/>
        <w:t>Figure ZF.5.2-3: Synchronization frequency error after FCCH detection</w:t>
      </w:r>
    </w:p>
    <w:p>
      <w:pPr>
        <w:pStyle w:val="Normal"/>
        <w:rPr/>
      </w:pPr>
      <w:r>
        <w:rPr/>
        <w:t xml:space="preserve">In addition to the limited impact it should also be noticed that the above results were achieved already after the FCCH detection. Frequency and time errors after EC-SCH decoding is expected to be even smaller than the results depicted but were not recorded in this set of simulations. </w:t>
      </w:r>
    </w:p>
    <w:p>
      <w:pPr>
        <w:pStyle w:val="Normal"/>
        <w:rPr/>
      </w:pPr>
      <w:r>
        <w:rPr/>
        <w:t>During the search for the serving cell FCCH and EC-SCH a device may detect the FCCH from a neighboring cell and successfully decode its EC-SCH and read the BSIC. Figure ZF.5.2-4 depicts the likelihood of decoding neighboring cells EC-SCH and BSIC. Each device was configured to continue its search for the serving cell EC-SCH upon detecting that the decoded BSIC did not match the serving cell BSIC. As a result a device may decode neighboring EC-SCHs multiple times before receiving the serving cell EC-SCH and confirming its BSIC. This is illustrated in the below figure for the three studied frequency reuses.</w:t>
      </w:r>
    </w:p>
    <w:p>
      <w:pPr>
        <w:pStyle w:val="TH"/>
        <w:rPr>
          <w:lang w:val="en-US" w:eastAsia="en-US"/>
        </w:rPr>
      </w:pPr>
      <w:r>
        <w:rPr>
          <w:lang w:val="en-US" w:eastAsia="en-US"/>
        </w:rPr>
        <w:drawing>
          <wp:inline distT="0" distB="0" distL="0" distR="0">
            <wp:extent cx="3340100" cy="2522220"/>
            <wp:effectExtent l="0" t="0" r="0" b="0"/>
            <wp:docPr id="33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4" descr=""/>
                    <pic:cNvPicPr>
                      <a:picLocks noChangeAspect="1" noChangeArrowheads="1"/>
                    </pic:cNvPicPr>
                  </pic:nvPicPr>
                  <pic:blipFill>
                    <a:blip r:embed="rId341"/>
                    <a:srcRect l="-5" t="-7" r="-5" b="-7"/>
                    <a:stretch>
                      <a:fillRect/>
                    </a:stretch>
                  </pic:blipFill>
                  <pic:spPr bwMode="auto">
                    <a:xfrm>
                      <a:off x="0" y="0"/>
                      <a:ext cx="3340100" cy="2522220"/>
                    </a:xfrm>
                    <a:prstGeom prst="rect">
                      <a:avLst/>
                    </a:prstGeom>
                  </pic:spPr>
                </pic:pic>
              </a:graphicData>
            </a:graphic>
          </wp:inline>
        </w:drawing>
      </w:r>
    </w:p>
    <w:p>
      <w:pPr>
        <w:pStyle w:val="TF"/>
        <w:rPr>
          <w:lang w:val="en-US"/>
        </w:rPr>
      </w:pPr>
      <w:bookmarkStart w:id="1048" w:name="_Ref451210773"/>
      <w:r>
        <w:rPr/>
        <w:t xml:space="preserve">Figure </w:t>
      </w:r>
      <w:bookmarkEnd w:id="1048"/>
      <w:r>
        <w:rPr>
          <w:lang w:val="en-US"/>
        </w:rPr>
        <w:t>ZF.5.2-4:</w:t>
      </w:r>
      <w:r>
        <w:rPr/>
        <w:t xml:space="preserve"> Likelihood of decoding the BSIC of a neighboring cell</w:t>
      </w:r>
    </w:p>
    <w:p>
      <w:pPr>
        <w:pStyle w:val="Normal"/>
        <w:jc w:val="both"/>
        <w:rPr/>
      </w:pPr>
      <w:r>
        <w:rPr/>
        <w:t>In case a decoded neighboring EC</w:t>
      </w:r>
      <w:r>
        <w:rPr>
          <w:b/>
        </w:rPr>
        <w:t>-</w:t>
      </w:r>
      <w:r>
        <w:rPr/>
        <w:t xml:space="preserve">SCH is configured with the same BSIC as the serving cell a device will not detect that it has synchronized to new cell. This unwanted event is known as BSIC confusion. A BSIC plan based on eight unique BSICs was configured for each reuse. The BSIC plan for the 1/3 frequency reuse is illustrated in Annex ZF.2. Table </w:t>
      </w:r>
      <w:r>
        <w:rPr>
          <w:lang w:val="en-US" w:eastAsia="en-US"/>
        </w:rPr>
        <w:t>2</w:t>
      </w:r>
      <w:r>
        <w:rPr/>
        <w:t xml:space="preserve"> presents the likelihood of BSIC confusion for each reuse. It can be concluded that even for this tight BSIC plan, BSIC confusion is not an issue in case of stationary devices attempting to reconfirm the serving cell.</w:t>
      </w:r>
    </w:p>
    <w:p>
      <w:pPr>
        <w:pStyle w:val="TH"/>
        <w:rPr>
          <w:lang w:val="en-US"/>
        </w:rPr>
      </w:pPr>
      <w:bookmarkStart w:id="1049" w:name="_Ref451206809"/>
      <w:r>
        <w:rPr>
          <w:lang w:val="en-US"/>
        </w:rPr>
        <w:t xml:space="preserve">Table </w:t>
      </w:r>
      <w:bookmarkEnd w:id="1049"/>
      <w:r>
        <w:rPr>
          <w:lang w:val="en-US"/>
        </w:rPr>
        <w:t>ZF.5.2-2: Likelihood of BSIC confusion</w:t>
      </w:r>
    </w:p>
    <w:tbl>
      <w:tblPr>
        <w:tblW w:w="4869" w:type="dxa"/>
        <w:jc w:val="center"/>
        <w:tblInd w:w="0" w:type="dxa"/>
        <w:tblLayout w:type="fixed"/>
        <w:tblCellMar>
          <w:top w:w="0" w:type="dxa"/>
          <w:left w:w="108" w:type="dxa"/>
          <w:bottom w:w="0" w:type="dxa"/>
          <w:right w:w="108" w:type="dxa"/>
        </w:tblCellMar>
      </w:tblPr>
      <w:tblGrid>
        <w:gridCol w:w="2706"/>
        <w:gridCol w:w="681"/>
        <w:gridCol w:w="591"/>
        <w:gridCol w:w="891"/>
      </w:tblGrid>
      <w:tr>
        <w:trPr/>
        <w:tc>
          <w:tcPr>
            <w:tcW w:w="270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Reuse</w:t>
            </w:r>
          </w:p>
        </w:tc>
        <w:tc>
          <w:tcPr>
            <w:tcW w:w="68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4/12</w:t>
            </w:r>
          </w:p>
        </w:tc>
        <w:tc>
          <w:tcPr>
            <w:tcW w:w="5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3/9</w:t>
            </w:r>
          </w:p>
        </w:tc>
        <w:tc>
          <w:tcPr>
            <w:tcW w:w="8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1/3</w:t>
            </w:r>
          </w:p>
        </w:tc>
      </w:tr>
      <w:tr>
        <w:trPr/>
        <w:tc>
          <w:tcPr>
            <w:tcW w:w="270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Likelihood of BSIC confusion</w:t>
            </w:r>
          </w:p>
        </w:tc>
        <w:tc>
          <w:tcPr>
            <w:tcW w:w="68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9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89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&lt; 0.1%</w:t>
            </w:r>
          </w:p>
        </w:tc>
      </w:tr>
    </w:tbl>
    <w:p>
      <w:pPr>
        <w:pStyle w:val="FP"/>
        <w:rPr/>
      </w:pPr>
      <w:r>
        <w:rPr/>
      </w:r>
    </w:p>
    <w:p>
      <w:pPr>
        <w:pStyle w:val="Heading3"/>
        <w:rPr/>
      </w:pPr>
      <w:bookmarkStart w:id="1050" w:name="__RefHeading___Toc518036337"/>
      <w:bookmarkEnd w:id="1050"/>
      <w:r>
        <w:rPr/>
        <w:t>ZF.5.2.4</w:t>
        <w:tab/>
        <w:t>Conclusions</w:t>
      </w:r>
    </w:p>
    <w:p>
      <w:pPr>
        <w:pStyle w:val="Normal"/>
        <w:rPr>
          <w:lang w:val="en-US"/>
        </w:rPr>
      </w:pPr>
      <w:r>
        <w:rPr/>
        <w:t>This contribution has investigated the impact on EC-GSM-IoT synchronization performance in frequency reuse scenarios of 4/12, 3/9 and 1/3. The performance is as expected similar for 4/12 and 3/9 reuse. An impact on the ratio of successful synchronization attempts as well as on the total time to decode the EC-SCH is seen when going to 1/3 reuse. This indicates that a 1/3 frequency reuse may prove challenging for EC-GSM-IoT Still, the 99</w:t>
      </w:r>
      <w:r>
        <w:rPr>
          <w:vertAlign w:val="superscript"/>
        </w:rPr>
        <w:t>th</w:t>
      </w:r>
      <w:r>
        <w:rPr/>
        <w:t xml:space="preserve"> percentile synchronization time in case of 1/3 re-use is 1.4 sec implying that the system is still operable at this tight re-use factor.</w:t>
      </w:r>
    </w:p>
    <w:p>
      <w:pPr>
        <w:pStyle w:val="Heading1"/>
        <w:ind w:left="1134" w:hanging="1134"/>
        <w:rPr>
          <w:lang w:val="en-US"/>
        </w:rPr>
      </w:pPr>
      <w:bookmarkStart w:id="1051" w:name="__RefHeading___Toc518036338"/>
      <w:bookmarkEnd w:id="1051"/>
      <w:r>
        <w:rPr>
          <w:lang w:val="en-US"/>
        </w:rPr>
        <w:t>ZF.6</w:t>
        <w:tab/>
        <w:t>Results for Common control channel evaluation</w:t>
      </w:r>
    </w:p>
    <w:p>
      <w:pPr>
        <w:pStyle w:val="Heading2"/>
        <w:rPr/>
      </w:pPr>
      <w:bookmarkStart w:id="1052" w:name="__RefHeading___Toc518036339"/>
      <w:bookmarkEnd w:id="1052"/>
      <w:r>
        <w:rPr>
          <w:lang w:val="en-US"/>
        </w:rPr>
        <w:t>ZF.6.1</w:t>
        <w:tab/>
        <w:t>GPRS/EGPRS</w:t>
      </w:r>
    </w:p>
    <w:p>
      <w:pPr>
        <w:pStyle w:val="Heading3"/>
        <w:rPr/>
      </w:pPr>
      <w:bookmarkStart w:id="1053" w:name="__RefHeading___Toc518036340"/>
      <w:bookmarkEnd w:id="1053"/>
      <w:r>
        <w:rPr>
          <w:lang w:val="en-US"/>
        </w:rPr>
        <w:t>ZF.6.1.1</w:t>
        <w:tab/>
        <w:t>Tdoc reference</w:t>
      </w:r>
    </w:p>
    <w:p>
      <w:pPr>
        <w:pStyle w:val="Normal"/>
        <w:rPr>
          <w:lang w:val="sv-SE"/>
        </w:rPr>
      </w:pPr>
      <w:r>
        <w:rPr>
          <w:lang w:val="sv-SE"/>
        </w:rPr>
        <w:t>3GPP TSG GERAN WG1 #70</w:t>
      </w:r>
    </w:p>
    <w:p>
      <w:pPr>
        <w:pStyle w:val="Normal"/>
        <w:rPr>
          <w:lang w:val="sv-SE"/>
        </w:rPr>
      </w:pPr>
      <w:r>
        <w:rPr>
          <w:lang w:val="sv-SE"/>
        </w:rPr>
        <w:t>GP-160267</w:t>
      </w:r>
    </w:p>
    <w:p>
      <w:pPr>
        <w:pStyle w:val="Normal"/>
        <w:rPr/>
      </w:pPr>
      <w:r>
        <w:rPr>
          <w:lang w:val="en-US"/>
        </w:rPr>
        <w:t>Nanjing, P. R. China</w:t>
      </w:r>
    </w:p>
    <w:p>
      <w:pPr>
        <w:pStyle w:val="Normal"/>
        <w:rPr>
          <w:lang w:val="en-US"/>
        </w:rPr>
      </w:pPr>
      <w:r>
        <w:rPr>
          <w:lang w:val="en-US"/>
        </w:rPr>
        <w:t>23</w:t>
      </w:r>
      <w:r>
        <w:rPr>
          <w:vertAlign w:val="superscript"/>
          <w:lang w:val="en-US"/>
        </w:rPr>
        <w:t>th</w:t>
      </w:r>
      <w:r>
        <w:rPr>
          <w:lang w:val="en-US"/>
        </w:rPr>
        <w:t xml:space="preserve"> – 27</w:t>
      </w:r>
      <w:r>
        <w:rPr>
          <w:vertAlign w:val="superscript"/>
          <w:lang w:val="en-US"/>
        </w:rPr>
        <w:t>th</w:t>
      </w:r>
      <w:r>
        <w:rPr>
          <w:lang w:val="en-US"/>
        </w:rPr>
        <w:t>, May, 2016</w:t>
      </w:r>
    </w:p>
    <w:p>
      <w:pPr>
        <w:pStyle w:val="Normal"/>
        <w:rPr>
          <w:lang w:val="en-US"/>
        </w:rPr>
      </w:pPr>
      <w:r>
        <w:rPr>
          <w:lang w:val="en-US"/>
        </w:rPr>
        <w:t>Source: Ericsson LM</w:t>
      </w:r>
    </w:p>
    <w:p>
      <w:pPr>
        <w:pStyle w:val="Normal"/>
        <w:rPr>
          <w:lang w:val="en-US"/>
        </w:rPr>
      </w:pPr>
      <w:r>
        <w:rPr>
          <w:b/>
          <w:lang w:val="en-US"/>
        </w:rPr>
        <w:t xml:space="preserve">Title: </w:t>
      </w:r>
      <w:r>
        <w:rPr>
          <w:b/>
        </w:rPr>
        <w:t>Impact on common control channels for GPRS/EGPRS in a reduced BCCH spectrum allocation</w:t>
      </w:r>
    </w:p>
    <w:p>
      <w:pPr>
        <w:pStyle w:val="Heading3"/>
        <w:rPr/>
      </w:pPr>
      <w:bookmarkStart w:id="1054" w:name="__RefHeading___Toc518036341"/>
      <w:bookmarkEnd w:id="1054"/>
      <w:r>
        <w:rPr/>
        <w:t>ZF.6.1.2</w:t>
        <w:tab/>
      </w:r>
      <w:r>
        <w:rPr>
          <w:lang w:eastAsia="ko-KR"/>
        </w:rPr>
        <w:t>Assumptions</w:t>
      </w:r>
    </w:p>
    <w:p>
      <w:pPr>
        <w:pStyle w:val="Heading4"/>
        <w:ind w:left="1418" w:hanging="1418"/>
        <w:rPr/>
      </w:pPr>
      <w:bookmarkStart w:id="1055" w:name="__RefHeading___Toc518036342"/>
      <w:bookmarkEnd w:id="1055"/>
      <w:r>
        <w:rPr>
          <w:lang w:eastAsia="ko-KR"/>
        </w:rPr>
        <w:t>ZF.6.1.2.1</w:t>
        <w:tab/>
        <w:t>General</w:t>
      </w:r>
    </w:p>
    <w:p>
      <w:pPr>
        <w:pStyle w:val="Normal"/>
        <w:rPr>
          <w:lang w:eastAsia="ko-KR"/>
        </w:rPr>
      </w:pPr>
      <w:r>
        <w:rPr>
          <w:lang w:eastAsia="ko-KR"/>
        </w:rPr>
        <w:t>Applicable assumptions in Annex ZF.1 were followed in the simulations.</w:t>
      </w:r>
    </w:p>
    <w:p>
      <w:pPr>
        <w:pStyle w:val="Heading4"/>
        <w:ind w:left="1418" w:hanging="1418"/>
        <w:rPr>
          <w:lang w:eastAsia="ko-KR"/>
        </w:rPr>
      </w:pPr>
      <w:bookmarkStart w:id="1056" w:name="__RefHeading___Toc518036343"/>
      <w:bookmarkEnd w:id="1056"/>
      <w:r>
        <w:rPr/>
        <w:t>ZF.6.1.2.2</w:t>
        <w:tab/>
      </w:r>
      <w:r>
        <w:rPr>
          <w:lang w:eastAsia="ko-KR"/>
        </w:rPr>
        <w:t>Network synchronization</w:t>
      </w:r>
    </w:p>
    <w:p>
      <w:pPr>
        <w:pStyle w:val="Normal"/>
        <w:rPr/>
      </w:pPr>
      <w:r>
        <w:rPr>
          <w:color w:val="000000"/>
          <w:lang w:eastAsia="zh-CN"/>
        </w:rPr>
        <w:t>The interference situation modeled by the simulation is limited to timeslot synchronized network. This means AGCH / RACH channels are both interfered by other CCCH channels, and PDTCH/PACCH interference in other cells.</w:t>
      </w:r>
    </w:p>
    <w:p>
      <w:pPr>
        <w:pStyle w:val="Heading4"/>
        <w:ind w:left="1418" w:hanging="1418"/>
        <w:rPr>
          <w:lang w:eastAsia="zh-CN"/>
        </w:rPr>
      </w:pPr>
      <w:bookmarkStart w:id="1057" w:name="__RefHeading___Toc518036344"/>
      <w:bookmarkEnd w:id="1057"/>
      <w:r>
        <w:rPr/>
        <w:t>ZF.6.1.2.3</w:t>
        <w:tab/>
      </w:r>
      <w:r>
        <w:rPr>
          <w:lang w:eastAsia="zh-CN"/>
        </w:rPr>
        <w:t>BCCH Power Savings</w:t>
      </w:r>
    </w:p>
    <w:p>
      <w:pPr>
        <w:pStyle w:val="Normal"/>
        <w:rPr>
          <w:rFonts w:ascii="Arial" w:hAnsi="Arial" w:cs="Arial"/>
          <w:sz w:val="22"/>
          <w:lang w:eastAsia="zh-CN"/>
        </w:rPr>
      </w:pPr>
      <w:r>
        <w:rPr>
          <w:lang w:eastAsia="ko-KR"/>
        </w:rPr>
        <w:t>BCCH power savings can be used to reduce interference on the BCCH frequency layer.  With tighter BCCH frequency re-use the importance of this functionality increases. BCCH power savings can be used with various levels of reduction and selections of what timeslots and channels it should be applied to. For the simulator a simple implementation for BCCH PS was used with a reduction of 6 dB for 60% of the dummy bursts transmitted on the CCCH DL. I.e. no power control was applied to Immediate Assignment messages. The choice not to down-regulate all dummy bursts on the CCCH is to also include a more highly loaded network where not only AGCH but also PCH would be transmitted (assumed to be not power regulated).</w:t>
      </w:r>
    </w:p>
    <w:p>
      <w:pPr>
        <w:pStyle w:val="Heading4"/>
        <w:ind w:left="1418" w:hanging="1418"/>
        <w:rPr>
          <w:lang w:eastAsia="ko-KR"/>
        </w:rPr>
      </w:pPr>
      <w:bookmarkStart w:id="1058" w:name="__RefHeading___Toc518036345"/>
      <w:bookmarkEnd w:id="1058"/>
      <w:r>
        <w:rPr/>
        <w:t>ZF.6.1.3.4</w:t>
        <w:tab/>
      </w:r>
      <w:r>
        <w:rPr>
          <w:lang w:eastAsia="ko-KR"/>
        </w:rPr>
        <w:t>Frequency planning</w:t>
      </w:r>
    </w:p>
    <w:p>
      <w:pPr>
        <w:pStyle w:val="Normal"/>
        <w:rPr>
          <w:lang w:eastAsia="ko-KR"/>
        </w:rPr>
      </w:pPr>
      <w:r>
        <w:rPr>
          <w:lang w:eastAsia="ko-KR"/>
        </w:rPr>
        <w:t>The frequency planning simulated have been based on regular re-use clusters in a 4/12, 3/9, and 1/3 re-use.</w:t>
      </w:r>
    </w:p>
    <w:p>
      <w:pPr>
        <w:pStyle w:val="Heading3"/>
        <w:rPr/>
      </w:pPr>
      <w:bookmarkStart w:id="1059" w:name="__RefHeading___Toc518036346"/>
      <w:bookmarkEnd w:id="1059"/>
      <w:r>
        <w:rPr/>
        <w:t>ZF.6.1.4</w:t>
        <w:tab/>
        <w:t>Simulations</w:t>
      </w:r>
    </w:p>
    <w:p>
      <w:pPr>
        <w:pStyle w:val="Heading4"/>
        <w:ind w:left="1418" w:hanging="1418"/>
        <w:rPr>
          <w:lang w:eastAsia="zh-CN"/>
        </w:rPr>
      </w:pPr>
      <w:bookmarkStart w:id="1060" w:name="__RefHeading___Toc518036347"/>
      <w:bookmarkEnd w:id="1060"/>
      <w:r>
        <w:rPr/>
        <w:t>ZF.6.1.4.1</w:t>
        <w:tab/>
      </w:r>
      <w:r>
        <w:rPr>
          <w:lang w:eastAsia="zh-CN"/>
        </w:rPr>
        <w:t>Simulation assumptions</w:t>
      </w:r>
    </w:p>
    <w:p>
      <w:pPr>
        <w:pStyle w:val="Normal"/>
        <w:rPr/>
      </w:pPr>
      <w:r>
        <w:rPr>
          <w:lang w:eastAsia="zh-CN"/>
        </w:rPr>
        <w:t>The system level simulation assumptions in Annex ZF.1 have been followed. Other specific assumptions are shown in Table ZF.6.1.4.1.1-1.</w:t>
      </w:r>
    </w:p>
    <w:p>
      <w:pPr>
        <w:pStyle w:val="Heading5"/>
        <w:ind w:left="1701" w:hanging="1701"/>
        <w:rPr/>
      </w:pPr>
      <w:bookmarkStart w:id="1061" w:name="__RefHeading___Toc518036348"/>
      <w:bookmarkEnd w:id="1061"/>
      <w:r>
        <w:rPr/>
        <w:t>ZF.6.1.4.1.1</w:t>
        <w:tab/>
        <w:t>System parameters</w:t>
      </w:r>
    </w:p>
    <w:p>
      <w:pPr>
        <w:pStyle w:val="TH"/>
        <w:rPr/>
      </w:pPr>
      <w:bookmarkStart w:id="1062" w:name="_Ref416799473"/>
      <w:r>
        <w:rPr/>
        <w:t xml:space="preserve">Table </w:t>
      </w:r>
      <w:bookmarkEnd w:id="1062"/>
      <w:r>
        <w:rPr/>
        <w:t xml:space="preserve">ZF.6.1-1: Simulation assumptions, in addition to </w:t>
      </w:r>
      <w:r>
        <w:rPr>
          <w:lang w:eastAsia="zh-CN"/>
        </w:rPr>
        <w:t>Annex ZF.1</w:t>
      </w:r>
    </w:p>
    <w:tbl>
      <w:tblPr>
        <w:tblW w:w="7382" w:type="dxa"/>
        <w:jc w:val="center"/>
        <w:tblInd w:w="0" w:type="dxa"/>
        <w:tblLayout w:type="fixed"/>
        <w:tblCellMar>
          <w:top w:w="0" w:type="dxa"/>
          <w:left w:w="108" w:type="dxa"/>
          <w:bottom w:w="0" w:type="dxa"/>
          <w:right w:w="108" w:type="dxa"/>
        </w:tblCellMar>
      </w:tblPr>
      <w:tblGrid>
        <w:gridCol w:w="3697"/>
        <w:gridCol w:w="3685"/>
      </w:tblGrid>
      <w:tr>
        <w:trPr>
          <w:trHeight w:val="287" w:hRule="atLeast"/>
        </w:trPr>
        <w:tc>
          <w:tcPr>
            <w:tcW w:w="3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368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Value</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pPr>
            <w:r>
              <w:rPr>
                <w:lang w:val="en-GB"/>
              </w:rPr>
              <w:t>Number of re-use clusters</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color w:val="000000"/>
                <w:lang w:val="en-GB"/>
              </w:rPr>
            </w:pPr>
            <w:r>
              <w:rPr>
                <w:rFonts w:cs="Arial"/>
                <w:color w:val="000000"/>
                <w:lang w:val="en-GB"/>
              </w:rPr>
              <w:t>4/12, 3/9 has used 9 clusters.</w:t>
            </w:r>
          </w:p>
          <w:p>
            <w:pPr>
              <w:pStyle w:val="TAL"/>
              <w:rPr>
                <w:lang w:val="en-GB"/>
              </w:rPr>
            </w:pPr>
            <w:r>
              <w:rPr>
                <w:rFonts w:cs="Arial"/>
                <w:color w:val="000000"/>
                <w:lang w:val="en-GB"/>
              </w:rPr>
              <w:t>1/3 has used 36 clusters.</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Direction</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UL and DL</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Frequency band</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900 MHz</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Layer</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BCCH</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Frequency re-use</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color w:val="000000"/>
                <w:lang w:val="en-GB"/>
              </w:rPr>
              <w:t>4/12,3/9,1/3 with regular frequency planning</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antenna diversity</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lang w:val="en-GB"/>
              </w:rPr>
              <w:t>MRC</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output power</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43 dBm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Cell radius</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577.33 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MTC arrival rate per cell and second</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5.4</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Maximum attempts on EC-RACH per system access attempt</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6</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Power control, DL</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6 dB DL on 60% of dummy bursts.</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Power control, UL</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None</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Device output power</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33 dBm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BPL model</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None</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RACH parameters</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S=109, T=5</w:t>
            </w:r>
          </w:p>
        </w:tc>
      </w:tr>
    </w:tbl>
    <w:p>
      <w:pPr>
        <w:pStyle w:val="Normal"/>
        <w:rPr>
          <w:lang w:eastAsia="ko-KR"/>
        </w:rPr>
      </w:pPr>
      <w:r>
        <w:rPr>
          <w:lang w:eastAsia="ko-KR"/>
        </w:rPr>
      </w:r>
      <w:bookmarkStart w:id="1063" w:name="_Ref420282396"/>
      <w:bookmarkStart w:id="1064" w:name="_Ref420282396"/>
    </w:p>
    <w:p>
      <w:pPr>
        <w:pStyle w:val="Heading3"/>
        <w:rPr/>
      </w:pPr>
      <w:bookmarkStart w:id="1065" w:name="__RefHeading___Toc518036349"/>
      <w:bookmarkEnd w:id="1065"/>
      <w:r>
        <w:rPr/>
        <w:t>ZF.6.1.5</w:t>
        <w:tab/>
      </w:r>
      <w:r>
        <w:rPr>
          <w:lang w:eastAsia="ko-KR"/>
        </w:rPr>
        <w:t>Results</w:t>
      </w:r>
      <w:bookmarkEnd w:id="1064"/>
    </w:p>
    <w:p>
      <w:pPr>
        <w:pStyle w:val="Normal"/>
        <w:spacing w:before="0" w:after="120"/>
        <w:jc w:val="both"/>
        <w:rPr>
          <w:lang w:eastAsia="ko-KR"/>
        </w:rPr>
      </w:pPr>
      <w:r>
        <w:rPr>
          <w:lang w:eastAsia="ko-KR"/>
        </w:rPr>
        <w:t>The results presented are:</w:t>
      </w:r>
    </w:p>
    <w:p>
      <w:pPr>
        <w:pStyle w:val="B1"/>
        <w:rPr/>
      </w:pPr>
      <w:r>
        <w:rPr/>
        <w:t>-</w:t>
        <w:tab/>
        <w:t>Resource Usage</w:t>
      </w:r>
    </w:p>
    <w:p>
      <w:pPr>
        <w:pStyle w:val="B2"/>
        <w:rPr>
          <w:color w:val="FF0000"/>
        </w:rPr>
      </w:pPr>
      <w:r>
        <w:rPr/>
        <w:t>-</w:t>
        <w:tab/>
        <w:t>Average amount of bursts used per user, including all transmissions per system access attempt.</w:t>
      </w:r>
    </w:p>
    <w:p>
      <w:pPr>
        <w:pStyle w:val="B1"/>
        <w:rPr/>
      </w:pPr>
      <w:r>
        <w:rPr/>
        <w:t>-</w:t>
        <w:tab/>
        <w:t>Common control signaling delay</w:t>
      </w:r>
    </w:p>
    <w:p>
      <w:pPr>
        <w:pStyle w:val="B2"/>
        <w:rPr/>
      </w:pPr>
      <w:r>
        <w:rPr/>
        <w:t>-</w:t>
        <w:tab/>
        <w:t>The delay includes time from initial RACH transmission to a received matching Immediate Assignment.</w:t>
      </w:r>
    </w:p>
    <w:p>
      <w:pPr>
        <w:pStyle w:val="B1"/>
        <w:rPr/>
      </w:pPr>
      <w:r>
        <w:rPr/>
        <w:t>-</w:t>
        <w:tab/>
        <w:t>Failed attempts</w:t>
      </w:r>
    </w:p>
    <w:p>
      <w:pPr>
        <w:pStyle w:val="B2"/>
        <w:rPr/>
      </w:pPr>
      <w:r>
        <w:rPr/>
        <w:t>-</w:t>
        <w:tab/>
        <w:t>This represents the percentage of the attempts that were not successful, after the maximum attempts.</w:t>
      </w:r>
    </w:p>
    <w:p>
      <w:pPr>
        <w:pStyle w:val="Heading4"/>
        <w:ind w:left="1418" w:hanging="1418"/>
        <w:rPr/>
      </w:pPr>
      <w:bookmarkStart w:id="1066" w:name="__RefHeading___Toc518036350"/>
      <w:bookmarkStart w:id="1067" w:name="_Ref435548199"/>
      <w:bookmarkEnd w:id="1066"/>
      <w:r>
        <w:rPr/>
        <w:t>ZF.6.1.5.1</w:t>
        <w:tab/>
        <w:t xml:space="preserve">Resource </w:t>
      </w:r>
      <w:bookmarkEnd w:id="1067"/>
      <w:r>
        <w:rPr/>
        <w:t>Usage</w:t>
      </w:r>
    </w:p>
    <w:p>
      <w:pPr>
        <w:pStyle w:val="Normal"/>
        <w:rPr/>
      </w:pPr>
      <w:r>
        <w:rPr/>
        <w:t>The resource usage in terms of bursts is shown in Table ZF.6.1-2.</w:t>
      </w:r>
    </w:p>
    <w:p>
      <w:pPr>
        <w:pStyle w:val="TH"/>
        <w:rPr/>
      </w:pPr>
      <w:bookmarkStart w:id="1068" w:name="_Ref450583407"/>
      <w:r>
        <w:rPr/>
        <w:t xml:space="preserve">Table </w:t>
      </w:r>
      <w:bookmarkEnd w:id="1068"/>
      <w:r>
        <w:rPr/>
        <w:t>ZF.6.1-2: Resource Usage for the downlink and uplink, 33 dBm</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UL [#bursts]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1710" w:type="dxa"/>
            <w:tcBorders>
              <w:top w:val="single" w:sz="4" w:space="0" w:color="000000"/>
              <w:left w:val="single" w:sz="4" w:space="0" w:color="000000"/>
              <w:bottom w:val="single" w:sz="4" w:space="0" w:color="000000"/>
              <w:right w:val="single" w:sz="4" w:space="0" w:color="000000"/>
            </w:tcBorders>
          </w:tcPr>
          <w:p>
            <w:pPr>
              <w:pStyle w:val="TAC"/>
              <w:rPr>
                <w:color w:val="FF0000"/>
                <w:lang w:val="en-GB"/>
              </w:rPr>
            </w:pPr>
            <w:r>
              <w:rPr>
                <w:lang w:val="en-GB"/>
              </w:rPr>
              <w:t>1.0</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4.6</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r>
    </w:tbl>
    <w:p>
      <w:pPr>
        <w:pStyle w:val="Normal"/>
        <w:rPr/>
      </w:pPr>
      <w:r>
        <w:rPr/>
      </w:r>
    </w:p>
    <w:p>
      <w:pPr>
        <w:pStyle w:val="Normal"/>
        <w:rPr/>
      </w:pPr>
      <w:r>
        <w:rPr/>
        <w:t>As can be seen, the difference between 12 and 9 re-use is not visible, while the change from a 9 re-use factor to a 3 re-use factor has a clearly visible impact on the results.</w:t>
      </w:r>
    </w:p>
    <w:p>
      <w:pPr>
        <w:pStyle w:val="Heading4"/>
        <w:ind w:left="1418" w:hanging="1418"/>
        <w:rPr/>
      </w:pPr>
      <w:bookmarkStart w:id="1069" w:name="__RefHeading___Toc518036351"/>
      <w:bookmarkEnd w:id="1069"/>
      <w:r>
        <w:rPr/>
        <w:t>ZF.6.1.5.2</w:t>
        <w:tab/>
        <w:t>Common control channel delay</w:t>
      </w:r>
    </w:p>
    <w:p>
      <w:pPr>
        <w:pStyle w:val="Normal"/>
        <w:rPr>
          <w:lang w:eastAsia="ko-KR"/>
        </w:rPr>
      </w:pPr>
      <w:r>
        <w:rPr>
          <w:lang w:eastAsia="ko-KR"/>
        </w:rPr>
        <w:t xml:space="preserve">In Figure </w:t>
      </w:r>
      <w:r>
        <w:rPr/>
        <w:t>ZF.6.</w:t>
      </w:r>
      <w:r>
        <w:rPr>
          <w:lang w:eastAsia="ko-KR"/>
        </w:rPr>
        <w:t>1-1the common control channel delay is shown. As can be seen, 95% of the users experience lower delay than 50 ms in all cases.</w:t>
      </w:r>
    </w:p>
    <w:p>
      <w:pPr>
        <w:pStyle w:val="TH"/>
        <w:rPr>
          <w:lang w:eastAsia="ko-KR"/>
        </w:rPr>
      </w:pPr>
      <w:r>
        <w:rPr>
          <w:lang w:val="en-US" w:eastAsia="en-US"/>
        </w:rPr>
        <w:drawing>
          <wp:inline distT="0" distB="0" distL="0" distR="0">
            <wp:extent cx="3783965" cy="2521585"/>
            <wp:effectExtent l="0" t="0" r="0" b="0"/>
            <wp:docPr id="33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35" descr=""/>
                    <pic:cNvPicPr>
                      <a:picLocks noChangeAspect="1" noChangeArrowheads="1"/>
                    </pic:cNvPicPr>
                  </pic:nvPicPr>
                  <pic:blipFill>
                    <a:blip r:embed="rId342"/>
                    <a:srcRect l="-7" t="-10" r="-7" b="-10"/>
                    <a:stretch>
                      <a:fillRect/>
                    </a:stretch>
                  </pic:blipFill>
                  <pic:spPr bwMode="auto">
                    <a:xfrm>
                      <a:off x="0" y="0"/>
                      <a:ext cx="3783965" cy="2521585"/>
                    </a:xfrm>
                    <a:prstGeom prst="rect">
                      <a:avLst/>
                    </a:prstGeom>
                  </pic:spPr>
                </pic:pic>
              </a:graphicData>
            </a:graphic>
          </wp:inline>
        </w:drawing>
      </w:r>
    </w:p>
    <w:p>
      <w:pPr>
        <w:pStyle w:val="TF"/>
        <w:rPr/>
      </w:pPr>
      <w:bookmarkStart w:id="1070" w:name="_Ref441219185"/>
      <w:r>
        <w:rPr/>
        <w:t xml:space="preserve">Figure </w:t>
      </w:r>
      <w:bookmarkEnd w:id="1070"/>
      <w:r>
        <w:rPr/>
        <w:t>ZF.6.1-1: Common Control Signaling Delay, 33 dBm</w:t>
      </w:r>
    </w:p>
    <w:p>
      <w:pPr>
        <w:pStyle w:val="Heading4"/>
        <w:ind w:left="1418" w:hanging="1418"/>
        <w:rPr/>
      </w:pPr>
      <w:bookmarkStart w:id="1071" w:name="__RefHeading___Toc518036352"/>
      <w:bookmarkEnd w:id="1071"/>
      <w:r>
        <w:rPr/>
        <w:t>ZF.6.1.5.3</w:t>
        <w:tab/>
        <w:t>Failed Attempts</w:t>
      </w:r>
    </w:p>
    <w:p>
      <w:pPr>
        <w:pStyle w:val="Normal"/>
        <w:rPr>
          <w:lang w:eastAsia="ko-KR"/>
        </w:rPr>
      </w:pPr>
      <w:r>
        <w:rPr>
          <w:lang w:eastAsia="ko-KR"/>
        </w:rPr>
        <w:t>The overall failed attempts are in all simulations well below 0.1%, but to avoid the risk of not running too long simulations to come up with a number with enough statistical significance, it can safely be assumed that less than 0.1% of the system access attempts fail.</w:t>
      </w:r>
    </w:p>
    <w:p>
      <w:pPr>
        <w:pStyle w:val="Heading3"/>
        <w:rPr/>
      </w:pPr>
      <w:bookmarkStart w:id="1072" w:name="__RefHeading___Toc518036353"/>
      <w:r>
        <w:rPr/>
        <w:t>ZF.6.1.6</w:t>
        <w:tab/>
      </w:r>
      <w:r>
        <w:rPr>
          <w:szCs w:val="32"/>
        </w:rPr>
        <w:t>Discussion</w:t>
      </w:r>
      <w:bookmarkEnd w:id="1072"/>
      <w:r>
        <w:rPr/>
        <w:t xml:space="preserve"> </w:t>
      </w:r>
    </w:p>
    <w:p>
      <w:pPr>
        <w:pStyle w:val="Normal"/>
        <w:rPr/>
      </w:pPr>
      <w:r>
        <w:rPr/>
        <w:t>The paper has investigated the performance of the CCCH in a tight BCCH re-use scenario. Frequency re-use factors from 12, 9 and 3 has been investigated using a regular frequency re-use cluster deployment.</w:t>
      </w:r>
    </w:p>
    <w:p>
      <w:pPr>
        <w:pStyle w:val="Normal"/>
        <w:rPr/>
      </w:pPr>
      <w:r>
        <w:rPr/>
        <w:t>BCCH power savings has been applied, but only on dummy bursts transmitted on the CCCH, and down-regulation has only been allowed in 60% of the bursts. This is to model a higher load on the CCCH, considering also for example PCH traffic would be present in a real network deployment.</w:t>
      </w:r>
    </w:p>
    <w:p>
      <w:pPr>
        <w:pStyle w:val="Heading3"/>
        <w:rPr/>
      </w:pPr>
      <w:bookmarkStart w:id="1073" w:name="__RefHeading___Toc518036354"/>
      <w:bookmarkEnd w:id="1073"/>
      <w:r>
        <w:rPr/>
        <w:t>ZF.6.1.7</w:t>
        <w:tab/>
        <w:t>Conclusions</w:t>
      </w:r>
    </w:p>
    <w:p>
      <w:pPr>
        <w:pStyle w:val="Normal"/>
        <w:rPr/>
      </w:pPr>
      <w:r>
        <w:rPr/>
        <w:t>The paper has investigated the impact on the CCCH in a tight BCCH spectrum. The results are encouraging showing extremely low failed rates even in a very tight re-use pattern. The resource usage is increased by roughly 20% when going from 12 to 3 in frequency re-use. The overall common control signaling delay is slightly increased, as expected, but still the 95 percentile is around 50 ms for all cases</w:t>
      </w:r>
    </w:p>
    <w:p>
      <w:pPr>
        <w:pStyle w:val="Heading2"/>
        <w:rPr/>
      </w:pPr>
      <w:bookmarkStart w:id="1074" w:name="__RefHeading___Toc518036355"/>
      <w:bookmarkEnd w:id="1074"/>
      <w:r>
        <w:rPr>
          <w:lang w:val="en-US"/>
        </w:rPr>
        <w:t>ZF.6.2</w:t>
        <w:tab/>
        <w:t>EC-GSM-IoT</w:t>
      </w:r>
    </w:p>
    <w:p>
      <w:pPr>
        <w:pStyle w:val="Heading3"/>
        <w:rPr>
          <w:lang w:val="en-US"/>
        </w:rPr>
      </w:pPr>
      <w:bookmarkStart w:id="1075" w:name="__RefHeading___Toc518036356"/>
      <w:bookmarkEnd w:id="1075"/>
      <w:r>
        <w:rPr>
          <w:lang w:val="en-US"/>
        </w:rPr>
        <w:t>ZF.6.2.1</w:t>
        <w:tab/>
        <w:t>Tdoc reference</w:t>
      </w:r>
    </w:p>
    <w:p>
      <w:pPr>
        <w:pStyle w:val="Normal"/>
        <w:rPr>
          <w:lang w:val="sv-SE"/>
        </w:rPr>
      </w:pPr>
      <w:r>
        <w:rPr>
          <w:lang w:val="sv-SE"/>
        </w:rPr>
        <w:t>3GPP TSG GERAN WG1 #70</w:t>
      </w:r>
    </w:p>
    <w:p>
      <w:pPr>
        <w:pStyle w:val="Normal"/>
        <w:rPr>
          <w:lang w:val="sv-SE"/>
        </w:rPr>
      </w:pPr>
      <w:r>
        <w:rPr>
          <w:lang w:val="sv-SE"/>
        </w:rPr>
        <w:t>GP-160268</w:t>
      </w:r>
    </w:p>
    <w:p>
      <w:pPr>
        <w:pStyle w:val="Normal"/>
        <w:rPr>
          <w:lang w:val="en-US"/>
        </w:rPr>
      </w:pPr>
      <w:r>
        <w:rPr>
          <w:lang w:val="en-US"/>
        </w:rPr>
        <w:t>Nanjing, P. R. China</w:t>
      </w:r>
    </w:p>
    <w:p>
      <w:pPr>
        <w:pStyle w:val="Normal"/>
        <w:rPr/>
      </w:pPr>
      <w:r>
        <w:rPr>
          <w:lang w:val="en-US"/>
        </w:rPr>
        <w:t>23</w:t>
      </w:r>
      <w:r>
        <w:rPr>
          <w:vertAlign w:val="superscript"/>
          <w:lang w:val="en-US"/>
        </w:rPr>
        <w:t>th</w:t>
      </w:r>
      <w:r>
        <w:rPr>
          <w:lang w:val="en-US"/>
        </w:rPr>
        <w:t xml:space="preserve"> – 27</w:t>
      </w:r>
      <w:r>
        <w:rPr>
          <w:vertAlign w:val="superscript"/>
          <w:lang w:val="en-US"/>
        </w:rPr>
        <w:t>th</w:t>
      </w:r>
      <w:r>
        <w:rPr>
          <w:lang w:val="en-US"/>
        </w:rPr>
        <w:t>, May, 2016</w:t>
      </w:r>
    </w:p>
    <w:p>
      <w:pPr>
        <w:pStyle w:val="Normal"/>
        <w:rPr>
          <w:lang w:val="en-US"/>
        </w:rPr>
      </w:pPr>
      <w:r>
        <w:rPr>
          <w:lang w:val="en-US"/>
        </w:rPr>
        <w:t>Source: Ericsson LM</w:t>
      </w:r>
    </w:p>
    <w:p>
      <w:pPr>
        <w:pStyle w:val="Normal"/>
        <w:rPr>
          <w:lang w:val="en-US"/>
        </w:rPr>
      </w:pPr>
      <w:r>
        <w:rPr>
          <w:b/>
          <w:lang w:val="en-US"/>
        </w:rPr>
        <w:t xml:space="preserve">Title: </w:t>
      </w:r>
      <w:r>
        <w:rPr>
          <w:b/>
        </w:rPr>
        <w:t>Impact on common control channels for EC-GSM-IoT in a reduced BCCH spectrum allocation</w:t>
      </w:r>
    </w:p>
    <w:p>
      <w:pPr>
        <w:pStyle w:val="Heading3"/>
        <w:rPr>
          <w:lang w:eastAsia="ko-KR"/>
        </w:rPr>
      </w:pPr>
      <w:bookmarkStart w:id="1076" w:name="__RefHeading___Toc518036357"/>
      <w:bookmarkEnd w:id="1076"/>
      <w:r>
        <w:rPr>
          <w:lang w:eastAsia="ko-KR"/>
        </w:rPr>
        <w:t>ZF.6.2.2</w:t>
        <w:tab/>
        <w:t>Assumptions</w:t>
      </w:r>
    </w:p>
    <w:p>
      <w:pPr>
        <w:pStyle w:val="Heading4"/>
        <w:ind w:left="1418" w:hanging="1418"/>
        <w:rPr>
          <w:lang w:eastAsia="zh-CN"/>
        </w:rPr>
      </w:pPr>
      <w:bookmarkStart w:id="1077" w:name="__RefHeading___Toc518036358"/>
      <w:bookmarkEnd w:id="1077"/>
      <w:r>
        <w:rPr>
          <w:lang w:eastAsia="zh-CN"/>
        </w:rPr>
        <w:t>ZF.6.2.2.1</w:t>
        <w:tab/>
        <w:t>Link model</w:t>
      </w:r>
    </w:p>
    <w:p>
      <w:pPr>
        <w:pStyle w:val="Normal"/>
        <w:rPr>
          <w:lang w:eastAsia="zh-CN"/>
        </w:rPr>
      </w:pPr>
      <w:r>
        <w:rPr>
          <w:lang w:eastAsia="zh-CN"/>
        </w:rPr>
        <w:t>The link level model used in the simulator is described in Annex ZF3.</w:t>
      </w:r>
    </w:p>
    <w:p>
      <w:pPr>
        <w:pStyle w:val="Heading4"/>
        <w:ind w:left="1418" w:hanging="1418"/>
        <w:rPr>
          <w:lang w:eastAsia="zh-CN"/>
        </w:rPr>
      </w:pPr>
      <w:bookmarkStart w:id="1078" w:name="__RefHeading___Toc518036359"/>
      <w:bookmarkEnd w:id="1078"/>
      <w:r>
        <w:rPr>
          <w:lang w:eastAsia="zh-CN"/>
        </w:rPr>
        <w:t>ZF.6.2.2.2</w:t>
        <w:tab/>
        <w:t>Blind transmissions</w:t>
      </w:r>
    </w:p>
    <w:p>
      <w:pPr>
        <w:pStyle w:val="Normal"/>
        <w:rPr>
          <w:lang w:eastAsia="zh-CN"/>
        </w:rPr>
      </w:pPr>
      <w:r>
        <w:rPr>
          <w:lang w:eastAsia="zh-CN"/>
        </w:rPr>
        <w:t>The blind transmissions used in the simulations are those used in 3GPP TS 45.003 see table ZF.6.2-1.</w:t>
      </w:r>
    </w:p>
    <w:p>
      <w:pPr>
        <w:pStyle w:val="TH"/>
        <w:rPr/>
      </w:pPr>
      <w:r>
        <w:rPr/>
        <w:t>Table ZF.6.2-1: Blind transmissions</w:t>
      </w:r>
    </w:p>
    <w:tbl>
      <w:tblPr>
        <w:tblW w:w="5127" w:type="dxa"/>
        <w:jc w:val="center"/>
        <w:tblInd w:w="0" w:type="dxa"/>
        <w:tblLayout w:type="fixed"/>
        <w:tblCellMar>
          <w:top w:w="0" w:type="dxa"/>
          <w:left w:w="108" w:type="dxa"/>
          <w:bottom w:w="0" w:type="dxa"/>
          <w:right w:w="108" w:type="dxa"/>
        </w:tblCellMar>
      </w:tblPr>
      <w:tblGrid>
        <w:gridCol w:w="2001"/>
        <w:gridCol w:w="3126"/>
      </w:tblGrid>
      <w:tr>
        <w:trPr/>
        <w:tc>
          <w:tcPr>
            <w:tcW w:w="200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Logical channel</w:t>
            </w:r>
          </w:p>
        </w:tc>
        <w:tc>
          <w:tcPr>
            <w:tcW w:w="312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Coverage Class </w:t>
              <w:br/>
              <w:t>[CC1, CC2, CC3, CC4]</w:t>
            </w:r>
          </w:p>
        </w:tc>
      </w:tr>
      <w:tr>
        <w:trPr/>
        <w:tc>
          <w:tcPr>
            <w:tcW w:w="200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EC-AGCH</w:t>
            </w:r>
          </w:p>
        </w:tc>
        <w:tc>
          <w:tcPr>
            <w:tcW w:w="312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[1,8,16,32]</w:t>
            </w:r>
          </w:p>
        </w:tc>
      </w:tr>
      <w:tr>
        <w:trPr/>
        <w:tc>
          <w:tcPr>
            <w:tcW w:w="2001"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EC-RACH</w:t>
            </w:r>
          </w:p>
        </w:tc>
        <w:tc>
          <w:tcPr>
            <w:tcW w:w="3126"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[1,4,16,48]</w:t>
            </w:r>
          </w:p>
        </w:tc>
      </w:tr>
    </w:tbl>
    <w:p>
      <w:pPr>
        <w:pStyle w:val="Normal"/>
        <w:rPr>
          <w:lang w:eastAsia="zh-CN"/>
        </w:rPr>
      </w:pPr>
      <w:r>
        <w:rPr>
          <w:lang w:eastAsia="zh-CN"/>
        </w:rPr>
      </w:r>
    </w:p>
    <w:p>
      <w:pPr>
        <w:pStyle w:val="Heading4"/>
        <w:ind w:left="1418" w:hanging="1418"/>
        <w:rPr>
          <w:lang w:eastAsia="ko-KR"/>
        </w:rPr>
      </w:pPr>
      <w:bookmarkStart w:id="1079" w:name="__RefHeading___Toc518036360"/>
      <w:bookmarkEnd w:id="1079"/>
      <w:r>
        <w:rPr>
          <w:lang w:eastAsia="ko-KR"/>
        </w:rPr>
        <w:t>ZF.6.2.2.3</w:t>
        <w:tab/>
        <w:t>Network synchronization</w:t>
      </w:r>
    </w:p>
    <w:p>
      <w:pPr>
        <w:pStyle w:val="Normal"/>
        <w:rPr/>
      </w:pPr>
      <w:r>
        <w:rPr>
          <w:lang w:eastAsia="zh-CN"/>
        </w:rPr>
        <w:t>The interference situation modeled by the simulation is limited to timeslot synchronized network. This means EC-AGCH / EC-RACH channels are both interfered by other EC-CCCH channels, and EC-PDTCH/EC-PACCH interference in other cells.</w:t>
      </w:r>
    </w:p>
    <w:p>
      <w:pPr>
        <w:pStyle w:val="Heading4"/>
        <w:ind w:left="1418" w:hanging="1418"/>
        <w:rPr>
          <w:lang w:eastAsia="zh-CN"/>
        </w:rPr>
      </w:pPr>
      <w:bookmarkStart w:id="1080" w:name="__RefHeading___Toc518036361"/>
      <w:bookmarkStart w:id="1081" w:name="_Ref441176617"/>
      <w:bookmarkEnd w:id="1080"/>
      <w:r>
        <w:rPr>
          <w:lang w:eastAsia="zh-CN"/>
        </w:rPr>
        <w:t>ZF.6.2.2.4</w:t>
        <w:tab/>
        <w:t>Coverage class adaptation</w:t>
      </w:r>
      <w:bookmarkEnd w:id="1081"/>
    </w:p>
    <w:p>
      <w:pPr>
        <w:pStyle w:val="Normal"/>
        <w:rPr>
          <w:lang w:eastAsia="zh-CN"/>
        </w:rPr>
      </w:pPr>
      <w:r>
        <w:rPr>
          <w:lang w:eastAsia="zh-CN"/>
        </w:rPr>
        <w:t>Coverage class adaptation has been applied as described in 3GPP TS 44.018 with two failed attempts before adaptation of the coverage class is allowed. At most two increments in CC from the initially estimated class are allowed.</w:t>
      </w:r>
    </w:p>
    <w:p>
      <w:pPr>
        <w:pStyle w:val="Heading4"/>
        <w:ind w:left="1418" w:hanging="1418"/>
        <w:rPr>
          <w:lang w:eastAsia="zh-CN"/>
        </w:rPr>
      </w:pPr>
      <w:bookmarkStart w:id="1082" w:name="__RefHeading___Toc518036362"/>
      <w:bookmarkEnd w:id="1082"/>
      <w:r>
        <w:rPr>
          <w:lang w:eastAsia="zh-CN"/>
        </w:rPr>
        <w:t>ZF.6.2.2.5</w:t>
        <w:tab/>
        <w:t>BCCH Power Savings</w:t>
      </w:r>
    </w:p>
    <w:p>
      <w:pPr>
        <w:pStyle w:val="Normal"/>
        <w:rPr/>
      </w:pPr>
      <w:r>
        <w:rPr>
          <w:lang w:eastAsia="ko-KR"/>
        </w:rPr>
        <w:t>BCCH power savings can be used to reduce interference on the BCCH frequency layer.  With tighter BCCH frequency re-use the importance of this functionality increases. BCCH power savings can be used with various levels of reduction and selections of what timeslots and channels it should be applied to. For the simulator a simple implementation for BCCH PS was used with a reduction of 6 dB for 60% of the dummy bursts transmitted on the EC-CCCH DL. I.e. no power control was applied to Immediate Assignment messages. The choice not to down-regulate all dummy bursts on the EC-CCCH is to also include a more highly loaded network where not only EC-AGCH but also EC-PCH would be transmitted (assumed to be not power regulated).</w:t>
      </w:r>
    </w:p>
    <w:p>
      <w:pPr>
        <w:pStyle w:val="Heading4"/>
        <w:ind w:left="1418" w:hanging="1418"/>
        <w:rPr>
          <w:lang w:eastAsia="ko-KR"/>
        </w:rPr>
      </w:pPr>
      <w:bookmarkStart w:id="1083" w:name="__RefHeading___Toc518036363"/>
      <w:bookmarkEnd w:id="1083"/>
      <w:r>
        <w:rPr>
          <w:lang w:eastAsia="ko-KR"/>
        </w:rPr>
        <w:t>ZF.6.2.2.6</w:t>
        <w:tab/>
        <w:t>Frequency planning</w:t>
      </w:r>
    </w:p>
    <w:p>
      <w:pPr>
        <w:pStyle w:val="Normal"/>
        <w:rPr/>
      </w:pPr>
      <w:r>
        <w:rPr>
          <w:lang w:eastAsia="ko-KR"/>
        </w:rPr>
        <w:t>The frequency planning simulated have been based on regular re-use clusters in a 4/12, 3/9, and 1/3 re-use.</w:t>
      </w:r>
    </w:p>
    <w:p>
      <w:pPr>
        <w:pStyle w:val="Heading3"/>
        <w:rPr/>
      </w:pPr>
      <w:bookmarkStart w:id="1084" w:name="__RefHeading___Toc518036364"/>
      <w:bookmarkEnd w:id="1084"/>
      <w:r>
        <w:rPr/>
        <w:t>ZF.6.2.3</w:t>
        <w:tab/>
        <w:t>Simulations</w:t>
      </w:r>
    </w:p>
    <w:p>
      <w:pPr>
        <w:pStyle w:val="Heading4"/>
        <w:ind w:left="1418" w:hanging="1418"/>
        <w:rPr/>
      </w:pPr>
      <w:bookmarkStart w:id="1085" w:name="__RefHeading___Toc518036365"/>
      <w:bookmarkEnd w:id="1085"/>
      <w:r>
        <w:rPr>
          <w:lang w:eastAsia="zh-CN"/>
        </w:rPr>
        <w:t>ZF.6.2.3.1</w:t>
        <w:tab/>
        <w:t>Simulation assumptions</w:t>
      </w:r>
    </w:p>
    <w:p>
      <w:pPr>
        <w:pStyle w:val="Normal"/>
        <w:rPr/>
      </w:pPr>
      <w:r>
        <w:rPr>
          <w:lang w:eastAsia="zh-CN"/>
        </w:rPr>
        <w:t>The system level simulation assumptions in Annex ZF.1 have been followed. Other specific assumptions are shown in table ZF.6.2-2.</w:t>
      </w:r>
    </w:p>
    <w:p>
      <w:pPr>
        <w:pStyle w:val="Heading4"/>
        <w:ind w:left="1418" w:hanging="1418"/>
        <w:rPr/>
      </w:pPr>
      <w:bookmarkStart w:id="1086" w:name="__RefHeading___Toc518036366"/>
      <w:bookmarkEnd w:id="1086"/>
      <w:r>
        <w:rPr/>
        <w:t>ZF.6.2.3.2</w:t>
        <w:tab/>
        <w:t>System parameters</w:t>
      </w:r>
    </w:p>
    <w:p>
      <w:pPr>
        <w:pStyle w:val="TH"/>
        <w:rPr/>
      </w:pPr>
      <w:r>
        <w:rPr/>
        <w:t xml:space="preserve">Table ZF.6.2-2: Simulation assumptions, in addition to </w:t>
      </w:r>
      <w:r>
        <w:rPr>
          <w:lang w:eastAsia="zh-CN"/>
        </w:rPr>
        <w:t>Annex ZF.1</w:t>
      </w:r>
    </w:p>
    <w:tbl>
      <w:tblPr>
        <w:tblW w:w="7382" w:type="dxa"/>
        <w:jc w:val="center"/>
        <w:tblInd w:w="0" w:type="dxa"/>
        <w:tblLayout w:type="fixed"/>
        <w:tblCellMar>
          <w:top w:w="0" w:type="dxa"/>
          <w:left w:w="108" w:type="dxa"/>
          <w:bottom w:w="0" w:type="dxa"/>
          <w:right w:w="108" w:type="dxa"/>
        </w:tblCellMar>
      </w:tblPr>
      <w:tblGrid>
        <w:gridCol w:w="3697"/>
        <w:gridCol w:w="3685"/>
      </w:tblGrid>
      <w:tr>
        <w:trPr>
          <w:trHeight w:val="601" w:hRule="atLeast"/>
        </w:trPr>
        <w:tc>
          <w:tcPr>
            <w:tcW w:w="3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368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Value</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Number of re-use clusters</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Direction</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UL and DL</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Frequency band</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900 MHz</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Layer</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BCCH</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Frequency re-use</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lang w:val="en-GB"/>
              </w:rPr>
              <w:t>4/12,3/9,1/3 with regular frequency planning</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antenna diversity</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lang w:val="en-GB"/>
              </w:rPr>
              <w:t>MRC</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BTS output power</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lang w:val="en-GB"/>
              </w:rPr>
              <w:t>43 dBm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Cell radius</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577.33 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MTC arrival rate per cell and second</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6.8</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EC-RACH mapping</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2 TS, EC-RACH</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Coverage class adaptation</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See section ZF.6.2.3</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Interference</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EC-CCCH</w:t>
            </w:r>
          </w:p>
          <w:p>
            <w:pPr>
              <w:pStyle w:val="TAL"/>
              <w:rPr>
                <w:rFonts w:cs="Arial"/>
                <w:lang w:val="en-GB"/>
              </w:rPr>
            </w:pPr>
            <w:r>
              <w:rPr>
                <w:rFonts w:cs="Arial"/>
                <w:lang w:val="en-GB"/>
              </w:rPr>
              <w:t>External interference from EC-PDTCH, EC-PACCH according to load in Annex ZF.7</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pPr>
            <w:r>
              <w:rPr>
                <w:lang w:val="en-GB"/>
              </w:rPr>
              <w:t>Maximum attempts on EC-RACH per system access attempt</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6</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Power control, DL</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6 dB DL on 60% of dummy bursts.</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Power control, UL</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As described in 3GPP TS 45.008 with target received power level of -105 dBm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Device output power</w:t>
            </w:r>
          </w:p>
        </w:tc>
        <w:tc>
          <w:tcPr>
            <w:tcW w:w="3685" w:type="dxa"/>
            <w:tcBorders>
              <w:top w:val="single" w:sz="4" w:space="0" w:color="000000"/>
              <w:left w:val="single" w:sz="4" w:space="0" w:color="000000"/>
              <w:bottom w:val="single" w:sz="4" w:space="0" w:color="000000"/>
              <w:right w:val="single" w:sz="4" w:space="0" w:color="000000"/>
            </w:tcBorders>
          </w:tcPr>
          <w:p>
            <w:pPr>
              <w:pStyle w:val="TAL"/>
              <w:rPr>
                <w:rFonts w:cs="Arial"/>
                <w:lang w:val="en-GB"/>
              </w:rPr>
            </w:pPr>
            <w:r>
              <w:rPr>
                <w:rFonts w:cs="Arial"/>
                <w:lang w:val="en-GB"/>
              </w:rPr>
              <w:t>23 dBm or 33 dBm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BPL model</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GB"/>
              </w:rPr>
              <w:t>Model 1, inter-site correlation 0.5</w:t>
            </w:r>
          </w:p>
        </w:tc>
      </w:tr>
    </w:tbl>
    <w:p>
      <w:pPr>
        <w:pStyle w:val="FP"/>
        <w:rPr>
          <w:lang w:eastAsia="ko-KR"/>
        </w:rPr>
      </w:pPr>
      <w:r>
        <w:rPr>
          <w:lang w:eastAsia="ko-KR"/>
        </w:rPr>
      </w:r>
    </w:p>
    <w:p>
      <w:pPr>
        <w:pStyle w:val="Heading3"/>
        <w:rPr>
          <w:lang w:eastAsia="ko-KR"/>
        </w:rPr>
      </w:pPr>
      <w:bookmarkStart w:id="1087" w:name="__RefHeading___Toc518036367"/>
      <w:bookmarkEnd w:id="1087"/>
      <w:r>
        <w:rPr>
          <w:lang w:eastAsia="ko-KR"/>
        </w:rPr>
        <w:t>ZF.6.2.4</w:t>
        <w:tab/>
        <w:t>Results</w:t>
      </w:r>
    </w:p>
    <w:p>
      <w:pPr>
        <w:pStyle w:val="Heading4"/>
        <w:ind w:left="1418" w:hanging="1418"/>
        <w:rPr>
          <w:lang w:eastAsia="ko-KR"/>
        </w:rPr>
      </w:pPr>
      <w:bookmarkStart w:id="1088" w:name="__RefHeading___Toc518036368"/>
      <w:bookmarkEnd w:id="1088"/>
      <w:r>
        <w:rPr>
          <w:lang w:eastAsia="ko-KR"/>
        </w:rPr>
        <w:t>ZF.6.2.4.1</w:t>
        <w:tab/>
        <w:t>General</w:t>
      </w:r>
    </w:p>
    <w:p>
      <w:pPr>
        <w:pStyle w:val="Normal"/>
        <w:rPr>
          <w:lang w:eastAsia="ko-KR"/>
        </w:rPr>
      </w:pPr>
      <w:r>
        <w:rPr>
          <w:lang w:eastAsia="ko-KR"/>
        </w:rPr>
        <w:t>The results presented are:</w:t>
      </w:r>
    </w:p>
    <w:p>
      <w:pPr>
        <w:pStyle w:val="B1"/>
        <w:rPr/>
      </w:pPr>
      <w:r>
        <w:rPr/>
        <w:t>-</w:t>
        <w:tab/>
        <w:t>Resource Usage</w:t>
      </w:r>
    </w:p>
    <w:p>
      <w:pPr>
        <w:pStyle w:val="B2"/>
        <w:rPr/>
      </w:pPr>
      <w:r>
        <w:rPr/>
        <w:t>-</w:t>
        <w:tab/>
        <w:t>Average amount of bursts used per user, including all transmissions per system access attempt.</w:t>
      </w:r>
    </w:p>
    <w:p>
      <w:pPr>
        <w:pStyle w:val="B2"/>
        <w:rPr/>
      </w:pPr>
      <w:r>
        <w:rPr/>
        <w:t>-</w:t>
        <w:tab/>
        <w:t>% of total resources available used on one TS where EC-CCCH is mapped</w:t>
      </w:r>
    </w:p>
    <w:p>
      <w:pPr>
        <w:pStyle w:val="B1"/>
        <w:rPr/>
      </w:pPr>
      <w:r>
        <w:rPr/>
        <w:t>-</w:t>
        <w:tab/>
        <w:t>Common control signaling delay</w:t>
      </w:r>
    </w:p>
    <w:p>
      <w:pPr>
        <w:pStyle w:val="B2"/>
        <w:rPr/>
      </w:pPr>
      <w:r>
        <w:rPr/>
        <w:t>-</w:t>
        <w:tab/>
        <w:t>The delay includes time from initial EC-RACH transmission to a received matching Immediate Assignment.</w:t>
      </w:r>
    </w:p>
    <w:p>
      <w:pPr>
        <w:pStyle w:val="B1"/>
        <w:rPr/>
      </w:pPr>
      <w:r>
        <w:rPr/>
        <w:t>-</w:t>
        <w:tab/>
        <w:t>Failed attempts</w:t>
      </w:r>
    </w:p>
    <w:p>
      <w:pPr>
        <w:pStyle w:val="B2"/>
        <w:rPr/>
      </w:pPr>
      <w:r>
        <w:rPr/>
        <w:t>-</w:t>
        <w:tab/>
        <w:t>This represents the percentage of the attempts that were not successful, after the maximum attempts.</w:t>
      </w:r>
    </w:p>
    <w:p>
      <w:pPr>
        <w:pStyle w:val="B1"/>
        <w:rPr/>
      </w:pPr>
      <w:r>
        <w:rPr/>
        <w:t>-</w:t>
        <w:tab/>
        <w:t>Coverage class distribution</w:t>
      </w:r>
    </w:p>
    <w:p>
      <w:pPr>
        <w:pStyle w:val="B2"/>
        <w:rPr/>
      </w:pPr>
      <w:r>
        <w:rPr/>
        <w:t>-</w:t>
        <w:tab/>
        <w:t>This shows the % of devices ending up in different coverage classes for 33 dBm and 23 dBm devices respectively, with the coverage class thresholds used in the simulations for the respective frequency re-use factor.</w:t>
      </w:r>
    </w:p>
    <w:p>
      <w:pPr>
        <w:pStyle w:val="Heading4"/>
        <w:ind w:left="1418" w:hanging="1418"/>
        <w:rPr/>
      </w:pPr>
      <w:bookmarkStart w:id="1089" w:name="__RefHeading___Toc518036369"/>
      <w:bookmarkEnd w:id="1089"/>
      <w:r>
        <w:rPr/>
        <w:t>ZF.6.2.4.2</w:t>
        <w:tab/>
        <w:t>Resource Usage</w:t>
      </w:r>
    </w:p>
    <w:p>
      <w:pPr>
        <w:pStyle w:val="Normal"/>
        <w:rPr/>
      </w:pPr>
      <w:r>
        <w:rPr/>
        <w:t>The resource usage in terms of bursts is shown in table ZF.6.2-3 and table ZF.6.2-4.</w:t>
      </w:r>
    </w:p>
    <w:p>
      <w:pPr>
        <w:pStyle w:val="TH"/>
        <w:rPr/>
      </w:pPr>
      <w:r>
        <w:rPr/>
        <w:t>Table ZF.6.</w:t>
      </w:r>
      <w:r>
        <w:rPr>
          <w:lang w:val="en-US"/>
        </w:rPr>
        <w:t>2</w:t>
      </w:r>
      <w:r>
        <w:rPr/>
        <w:t>-3: Resource Usage for the downlink and uplink, 33 dBm</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Resource usage </w:t>
              <w:br/>
              <w:t>UL [#bursts]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1.3</w:t>
            </w:r>
          </w:p>
        </w:tc>
      </w:tr>
    </w:tbl>
    <w:p>
      <w:pPr>
        <w:pStyle w:val="Normal"/>
        <w:rPr/>
      </w:pPr>
      <w:r>
        <w:rPr/>
      </w:r>
    </w:p>
    <w:p>
      <w:pPr>
        <w:pStyle w:val="TH"/>
        <w:rPr/>
      </w:pPr>
      <w:r>
        <w:rPr/>
        <w:t>Table ZF.6.</w:t>
      </w:r>
      <w:r>
        <w:rPr>
          <w:lang w:val="en-US"/>
        </w:rPr>
        <w:t>2</w:t>
      </w:r>
      <w:r>
        <w:rPr/>
        <w:t>-4: Resource Usage for the downlink and uplink, 23 dBm</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UL [#bursts]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1.7</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1.8</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2.6</w:t>
            </w:r>
          </w:p>
        </w:tc>
      </w:tr>
    </w:tbl>
    <w:p>
      <w:pPr>
        <w:pStyle w:val="Normal"/>
        <w:rPr/>
      </w:pPr>
      <w:r>
        <w:rPr/>
      </w:r>
    </w:p>
    <w:p>
      <w:pPr>
        <w:pStyle w:val="Normal"/>
        <w:rPr/>
      </w:pPr>
      <w:r>
        <w:rPr/>
        <w:t xml:space="preserve">As can be seen, the difference between 12 and 9 re-use is quite small, or not visible, while the change from a 9 re-use factor to a 3 re-use factor has a rather large relative impact on the results on the DL, and for 23 dBm devices on the UL. The reason that the resource usage is increased on the DL is due to the BCCH layer transmitting constantly on all resources. Using power savings on the BCCH layer up to 6 dB helps, but the overall interference situation still reflects a rather highly loaded system. On the UL, the requirement on constant transmission does not exist, but for 23 dBm devices, more would have to use repetitions to reach the network, which increases resources usage. Still, it should be noted that the out of coverage level is not different for 33 dBm devices and 23 dBm devices, implying that 23 dBm devices can cope with the network deployment, even if resource usage is significantly increased compared to the 33 dBm device deployment. </w:t>
      </w:r>
    </w:p>
    <w:p>
      <w:pPr>
        <w:pStyle w:val="Normal"/>
        <w:rPr/>
      </w:pPr>
      <w:r>
        <w:rPr/>
        <w:t xml:space="preserve">In table ZF.6.2-5 and table ZF.6.2-6 the same figures are shown expressed as percent of total resources available on one TS EC-CCCH (in total up to 36 bursts out of the 51 in the multiframe can be used for EC-AGCH). </w:t>
      </w:r>
    </w:p>
    <w:p>
      <w:pPr>
        <w:pStyle w:val="Normal"/>
        <w:rPr/>
      </w:pPr>
      <w:r>
        <w:rPr/>
        <w:t>For example, for a resources usage of 2.3 bursts, and with an arrival rate of 6.8 users/s, the total number of bursts used for EC-AGCH per second is on average 15.64, and hence the percent of EC-CCCH resources used is 15.64/(13/3.060*36) = 10.2%.</w:t>
      </w:r>
    </w:p>
    <w:p>
      <w:pPr>
        <w:pStyle w:val="TH"/>
        <w:rPr/>
      </w:pPr>
      <w:r>
        <w:rPr/>
        <w:t>Table ZF.6.</w:t>
      </w:r>
      <w:r>
        <w:rPr>
          <w:lang w:val="en-US"/>
        </w:rPr>
        <w:t>2</w:t>
      </w:r>
      <w:r>
        <w:rPr/>
        <w:t>-5: % of total resource for EC-CCCH occupied, 33 dBm</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UL [#bursts]</w:t>
            </w:r>
            <w:r>
              <w:rPr>
                <w:rStyle w:val="FootnoteCharacters"/>
                <w:rStyle w:val="FootnoteAnchor"/>
                <w:b/>
                <w:lang w:eastAsia="en-US"/>
              </w:rPr>
              <w:footnoteReference w:id="3"/>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10.2%</w:t>
            </w:r>
          </w:p>
        </w:tc>
        <w:tc>
          <w:tcPr>
            <w:tcW w:w="1710" w:type="dxa"/>
            <w:tcBorders>
              <w:top w:val="single" w:sz="4" w:space="0" w:color="000000"/>
              <w:left w:val="single" w:sz="4" w:space="0" w:color="000000"/>
              <w:bottom w:val="single" w:sz="4" w:space="0" w:color="000000"/>
              <w:right w:val="single" w:sz="4" w:space="0" w:color="000000"/>
            </w:tcBorders>
          </w:tcPr>
          <w:p>
            <w:pPr>
              <w:pStyle w:val="TAC"/>
              <w:rPr/>
            </w:pPr>
            <w:r>
              <w:rPr>
                <w:lang w:val="en-GB"/>
              </w:rPr>
              <w:t>3.5%</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3.5%</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14.7%</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4.1%</w:t>
            </w:r>
          </w:p>
        </w:tc>
      </w:tr>
    </w:tbl>
    <w:p>
      <w:pPr>
        <w:pStyle w:val="FP"/>
        <w:rPr/>
      </w:pPr>
      <w:r>
        <w:rPr/>
      </w:r>
    </w:p>
    <w:p>
      <w:pPr>
        <w:pStyle w:val="TH"/>
        <w:rPr/>
      </w:pPr>
      <w:r>
        <w:rPr/>
        <w:t>Table ZF.6.</w:t>
      </w:r>
      <w:r>
        <w:rPr>
          <w:lang w:val="en-US"/>
        </w:rPr>
        <w:t>2</w:t>
      </w:r>
      <w:r>
        <w:rPr/>
        <w:t>-6: % of total resource for EC-CCCH occupied, 23 dBm</w:t>
      </w:r>
    </w:p>
    <w:tbl>
      <w:tblPr>
        <w:tblW w:w="4393" w:type="dxa"/>
        <w:jc w:val="center"/>
        <w:tblInd w:w="0" w:type="dxa"/>
        <w:tblLayout w:type="fixed"/>
        <w:tblCellMar>
          <w:top w:w="0" w:type="dxa"/>
          <w:left w:w="108" w:type="dxa"/>
          <w:bottom w:w="0" w:type="dxa"/>
          <w:right w:w="108" w:type="dxa"/>
        </w:tblCellMar>
      </w:tblPr>
      <w:tblGrid>
        <w:gridCol w:w="973"/>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BCCH </w:t>
              <w:br/>
              <w:t>Re-use</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DL [#bursts]</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Resource usage </w:t>
              <w:br/>
              <w:t>UL [#bursts]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5.3%</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5.6%</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14.7%</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8.2%</w:t>
            </w:r>
          </w:p>
        </w:tc>
      </w:tr>
    </w:tbl>
    <w:p>
      <w:pPr>
        <w:pStyle w:val="Normal"/>
        <w:rPr/>
      </w:pPr>
      <w:r>
        <w:rPr/>
      </w:r>
    </w:p>
    <w:p>
      <w:pPr>
        <w:pStyle w:val="Normal"/>
        <w:rPr/>
      </w:pPr>
      <w:r>
        <w:rPr/>
        <w:t>It can be seen that there is somewhat higher load on the DL EC-CCCH resources than on the UL. Also, EC-PCH load will add to the overall EC-CCCH/DL load. Still, the load visible is at rather moderate levels, and considering the EC-RACH channel being of slotted ALOHA design, an as high resource usage as on the DL would not be expected in a well operated system. Also, there will be collisions on the EC-RACH channel, which is not taken into account by the calculations above. Hence, if determining the amount of resources being occupied by one or more access bursts, the figures in the table above would be lower than presented.</w:t>
      </w:r>
    </w:p>
    <w:p>
      <w:pPr>
        <w:pStyle w:val="Heading4"/>
        <w:ind w:left="1418" w:hanging="1418"/>
        <w:rPr/>
      </w:pPr>
      <w:bookmarkStart w:id="1090" w:name="__RefHeading___Toc518036370"/>
      <w:bookmarkEnd w:id="1090"/>
      <w:r>
        <w:rPr/>
        <w:t>ZF.6.2.4.3</w:t>
        <w:tab/>
        <w:t>Common control channel delay</w:t>
      </w:r>
    </w:p>
    <w:p>
      <w:pPr>
        <w:pStyle w:val="Normal"/>
        <w:rPr/>
      </w:pPr>
      <w:r>
        <w:rPr>
          <w:lang w:eastAsia="ko-KR"/>
        </w:rPr>
        <w:t>In figure ZF.6.2-1 the delay seen on the common control channel is presented for both simulated cases of 100% 33 dBm MS penetration and 100% 23 dBm MS penetration. As can be seen, 95% of the users experience lower delay than 100 ms in all cases, except for 3-re-use where the 95 percentile is around 500 ms. The reason for the longer delay in the 23 dBm case is that these MS are generally in higher CCs to compensate for the reduced output power, which implies longer transmission times and response waiting times. Also, in these simulations, even if 23 dBm devices are placed at higher CL than 154 dB, they have not been excluded from the simulations, which implies that they could take up a proportionally higher amount of resources, and also contribute to a proportionally higher delay than if excluded from network access.</w:t>
      </w:r>
    </w:p>
    <w:p>
      <w:pPr>
        <w:pStyle w:val="TH"/>
        <w:rPr>
          <w:lang w:eastAsia="ko-KR"/>
        </w:rPr>
      </w:pPr>
      <w:r>
        <w:rPr>
          <w:lang w:val="en-US" w:eastAsia="en-US"/>
        </w:rPr>
        <w:drawing>
          <wp:inline distT="0" distB="0" distL="0" distR="0">
            <wp:extent cx="4483735" cy="2985770"/>
            <wp:effectExtent l="0" t="0" r="0" b="0"/>
            <wp:docPr id="33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6" descr=""/>
                    <pic:cNvPicPr>
                      <a:picLocks noChangeAspect="1" noChangeArrowheads="1"/>
                    </pic:cNvPicPr>
                  </pic:nvPicPr>
                  <pic:blipFill>
                    <a:blip r:embed="rId343"/>
                    <a:srcRect l="-5" t="-8" r="-5" b="-8"/>
                    <a:stretch>
                      <a:fillRect/>
                    </a:stretch>
                  </pic:blipFill>
                  <pic:spPr bwMode="auto">
                    <a:xfrm>
                      <a:off x="0" y="0"/>
                      <a:ext cx="4483735" cy="2985770"/>
                    </a:xfrm>
                    <a:prstGeom prst="rect">
                      <a:avLst/>
                    </a:prstGeom>
                  </pic:spPr>
                </pic:pic>
              </a:graphicData>
            </a:graphic>
          </wp:inline>
        </w:drawing>
      </w:r>
    </w:p>
    <w:p>
      <w:pPr>
        <w:pStyle w:val="TF"/>
        <w:rPr/>
      </w:pPr>
      <w:r>
        <w:rPr/>
        <w:t>Figure ZF.6.</w:t>
      </w:r>
      <w:r>
        <w:rPr>
          <w:lang w:val="en-US"/>
        </w:rPr>
        <w:t>2</w:t>
      </w:r>
      <w:r>
        <w:rPr/>
        <w:t>-1: Common Control Signaling Delay</w:t>
      </w:r>
    </w:p>
    <w:p>
      <w:pPr>
        <w:pStyle w:val="Heading4"/>
        <w:ind w:left="1418" w:hanging="1418"/>
        <w:rPr/>
      </w:pPr>
      <w:bookmarkStart w:id="1091" w:name="__RefHeading___Toc518036371"/>
      <w:bookmarkEnd w:id="1091"/>
      <w:r>
        <w:rPr/>
        <w:t>ZF.6.2.4.4</w:t>
        <w:tab/>
        <w:t>Failed Attempts</w:t>
      </w:r>
    </w:p>
    <w:p>
      <w:pPr>
        <w:pStyle w:val="Normal"/>
        <w:rPr/>
      </w:pPr>
      <w:r>
        <w:rPr>
          <w:lang w:eastAsia="ko-KR"/>
        </w:rPr>
        <w:t>The overall failed attempts are in all simulations well below 0.1%, but to avoid the risk of not running too long simulations to come up with a number with enough statistical significance, it can safely be assumed that less than 0.1% of the system access attempts fail.</w:t>
      </w:r>
    </w:p>
    <w:p>
      <w:pPr>
        <w:pStyle w:val="Heading4"/>
        <w:ind w:left="1418" w:hanging="1418"/>
        <w:rPr/>
      </w:pPr>
      <w:bookmarkStart w:id="1092" w:name="__RefHeading___Toc518036372"/>
      <w:bookmarkEnd w:id="1092"/>
      <w:r>
        <w:rPr/>
        <w:t>ZF.6.2.4.5</w:t>
        <w:tab/>
        <w:t>Coverage class distribution</w:t>
      </w:r>
    </w:p>
    <w:p>
      <w:pPr>
        <w:pStyle w:val="Normal"/>
        <w:tabs>
          <w:tab w:val="clear" w:pos="284"/>
          <w:tab w:val="left" w:pos="7938" w:leader="none"/>
        </w:tabs>
        <w:rPr/>
      </w:pPr>
      <w:r>
        <w:rPr>
          <w:lang w:eastAsia="ko-KR"/>
        </w:rPr>
        <w:t xml:space="preserve">The coverage class distribution for the regular planner is shown in </w:t>
      </w:r>
      <w:r>
        <w:rPr/>
        <w:t xml:space="preserve">Table </w:t>
      </w:r>
      <w:r>
        <w:rPr>
          <w:lang w:val="en-US" w:eastAsia="en-US"/>
        </w:rPr>
        <w:t>7</w:t>
      </w:r>
      <w:r>
        <w:rPr>
          <w:lang w:eastAsia="ko-KR"/>
        </w:rPr>
        <w:t xml:space="preserve"> and </w:t>
      </w:r>
      <w:r>
        <w:rPr/>
        <w:t xml:space="preserve">Table </w:t>
      </w:r>
      <w:r>
        <w:rPr>
          <w:lang w:val="en-US" w:eastAsia="en-US"/>
        </w:rPr>
        <w:t>8</w:t>
      </w:r>
      <w:r>
        <w:rPr>
          <w:lang w:eastAsia="ko-KR"/>
        </w:rPr>
        <w:t>.</w:t>
      </w:r>
    </w:p>
    <w:p>
      <w:pPr>
        <w:pStyle w:val="TH"/>
        <w:rPr/>
      </w:pPr>
      <w:r>
        <w:rPr/>
        <w:t>Table ZF.6.2-7: Coverage class distribution on UL for 33 dBm / 23 dBm [%]</w:t>
      </w:r>
    </w:p>
    <w:tbl>
      <w:tblPr>
        <w:tblW w:w="8484" w:type="dxa"/>
        <w:jc w:val="left"/>
        <w:tblInd w:w="-113" w:type="dxa"/>
        <w:tblLayout w:type="fixed"/>
        <w:tblCellMar>
          <w:top w:w="0" w:type="dxa"/>
          <w:left w:w="108" w:type="dxa"/>
          <w:bottom w:w="0" w:type="dxa"/>
          <w:right w:w="108" w:type="dxa"/>
        </w:tblCellMar>
      </w:tblPr>
      <w:tblGrid>
        <w:gridCol w:w="1696"/>
        <w:gridCol w:w="1697"/>
        <w:gridCol w:w="1697"/>
        <w:gridCol w:w="1697"/>
        <w:gridCol w:w="1697"/>
      </w:tblGrid>
      <w:tr>
        <w:trPr/>
        <w:tc>
          <w:tcPr>
            <w:tcW w:w="169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BCCH Re-use</w:t>
            </w:r>
          </w:p>
        </w:tc>
        <w:tc>
          <w:tcPr>
            <w:tcW w:w="1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CC1</w:t>
            </w:r>
          </w:p>
        </w:tc>
        <w:tc>
          <w:tcPr>
            <w:tcW w:w="1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CC2</w:t>
            </w:r>
          </w:p>
        </w:tc>
        <w:tc>
          <w:tcPr>
            <w:tcW w:w="1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CC3</w:t>
            </w:r>
          </w:p>
        </w:tc>
        <w:tc>
          <w:tcPr>
            <w:tcW w:w="1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CC4</w:t>
            </w:r>
          </w:p>
        </w:tc>
      </w:tr>
      <w:tr>
        <w:trPr>
          <w:trHeight w:val="193" w:hRule="atLeast"/>
        </w:trPr>
        <w:tc>
          <w:tcPr>
            <w:tcW w:w="1696"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12</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99.5 / 94.6</w:t>
            </w:r>
          </w:p>
        </w:tc>
        <w:tc>
          <w:tcPr>
            <w:tcW w:w="1697" w:type="dxa"/>
            <w:tcBorders>
              <w:top w:val="single" w:sz="4" w:space="0" w:color="000000"/>
              <w:left w:val="single" w:sz="4" w:space="0" w:color="000000"/>
              <w:bottom w:val="single" w:sz="4" w:space="0" w:color="000000"/>
              <w:right w:val="single" w:sz="4" w:space="0" w:color="000000"/>
            </w:tcBorders>
          </w:tcPr>
          <w:p>
            <w:pPr>
              <w:pStyle w:val="TAC"/>
              <w:rPr/>
            </w:pPr>
            <w:r>
              <w:rPr>
                <w:lang w:val="en-GB" w:eastAsia="ko-KR"/>
              </w:rPr>
              <w:t>0.4 / 4.0</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0.1 / 0.8</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&lt;0.1 / 0.7</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9</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99.4 / 94.0</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0.5 / 4.4</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0.1 / 0.9</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&lt; 0.1 / 0.8</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3</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99.1 / 93.0</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 xml:space="preserve">0.7 / 4.9 </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0.1 / 1.1</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&lt;0.1 / 1.0</w:t>
            </w:r>
          </w:p>
        </w:tc>
      </w:tr>
    </w:tbl>
    <w:p>
      <w:pPr>
        <w:pStyle w:val="Normal"/>
        <w:rPr>
          <w:lang w:eastAsia="ko-KR"/>
        </w:rPr>
      </w:pPr>
      <w:r>
        <w:rPr>
          <w:lang w:eastAsia="ko-KR"/>
        </w:rPr>
      </w:r>
    </w:p>
    <w:p>
      <w:pPr>
        <w:pStyle w:val="TH"/>
        <w:rPr/>
      </w:pPr>
      <w:r>
        <w:rPr/>
        <w:t>Table ZF.6.2-8: Coverage class distribution on DL for 33 dBm / 23 dBm</w:t>
      </w:r>
    </w:p>
    <w:tbl>
      <w:tblPr>
        <w:tblW w:w="8484" w:type="dxa"/>
        <w:jc w:val="left"/>
        <w:tblInd w:w="-113" w:type="dxa"/>
        <w:tblLayout w:type="fixed"/>
        <w:tblCellMar>
          <w:top w:w="0" w:type="dxa"/>
          <w:left w:w="108" w:type="dxa"/>
          <w:bottom w:w="0" w:type="dxa"/>
          <w:right w:w="108" w:type="dxa"/>
        </w:tblCellMar>
      </w:tblPr>
      <w:tblGrid>
        <w:gridCol w:w="1696"/>
        <w:gridCol w:w="1697"/>
        <w:gridCol w:w="1697"/>
        <w:gridCol w:w="1697"/>
        <w:gridCol w:w="1697"/>
      </w:tblGrid>
      <w:tr>
        <w:trPr/>
        <w:tc>
          <w:tcPr>
            <w:tcW w:w="169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BCCH Re-use</w:t>
            </w:r>
          </w:p>
        </w:tc>
        <w:tc>
          <w:tcPr>
            <w:tcW w:w="1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CC1</w:t>
            </w:r>
          </w:p>
        </w:tc>
        <w:tc>
          <w:tcPr>
            <w:tcW w:w="1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CC2</w:t>
            </w:r>
          </w:p>
        </w:tc>
        <w:tc>
          <w:tcPr>
            <w:tcW w:w="1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CC3</w:t>
            </w:r>
          </w:p>
        </w:tc>
        <w:tc>
          <w:tcPr>
            <w:tcW w:w="169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CC4</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12</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98.7 / 98.8</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1.2 / 1.1</w:t>
            </w:r>
          </w:p>
        </w:tc>
        <w:tc>
          <w:tcPr>
            <w:tcW w:w="1697" w:type="dxa"/>
            <w:tcBorders>
              <w:top w:val="single" w:sz="4" w:space="0" w:color="000000"/>
              <w:left w:val="single" w:sz="4" w:space="0" w:color="000000"/>
              <w:bottom w:val="single" w:sz="4" w:space="0" w:color="000000"/>
              <w:right w:val="single" w:sz="4" w:space="0" w:color="000000"/>
            </w:tcBorders>
          </w:tcPr>
          <w:p>
            <w:pPr>
              <w:pStyle w:val="TAC"/>
              <w:rPr/>
            </w:pPr>
            <w:r>
              <w:rPr>
                <w:lang w:val="en-GB" w:eastAsia="ko-KR"/>
              </w:rPr>
              <w:t>0.1 / 0.1</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&lt;0.1 / &lt;0.1</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9</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98.4 / 98.5</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1.4 / 1.3</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0.2 / 0.1</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&lt;0.1 / &lt;0.1</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3</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95.6 / 95.8</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3.1 / 3.1</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1.3 / 1.2</w:t>
            </w:r>
          </w:p>
        </w:tc>
        <w:tc>
          <w:tcPr>
            <w:tcW w:w="169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&lt;0.1 / &lt;0.1</w:t>
            </w:r>
          </w:p>
        </w:tc>
      </w:tr>
    </w:tbl>
    <w:p>
      <w:pPr>
        <w:pStyle w:val="FP"/>
        <w:rPr>
          <w:lang w:eastAsia="ko-KR"/>
        </w:rPr>
      </w:pPr>
      <w:r>
        <w:rPr>
          <w:lang w:eastAsia="ko-KR"/>
        </w:rPr>
      </w:r>
    </w:p>
    <w:p>
      <w:pPr>
        <w:pStyle w:val="Heading3"/>
        <w:rPr/>
      </w:pPr>
      <w:bookmarkStart w:id="1093" w:name="__RefHeading___Toc518036373"/>
      <w:r>
        <w:rPr/>
        <w:t>ZF.6.2.5</w:t>
        <w:tab/>
        <w:t>Discussion</w:t>
      </w:r>
      <w:bookmarkEnd w:id="1093"/>
      <w:r>
        <w:rPr/>
        <w:t xml:space="preserve"> </w:t>
      </w:r>
    </w:p>
    <w:p>
      <w:pPr>
        <w:pStyle w:val="Normal"/>
        <w:rPr/>
      </w:pPr>
      <w:r>
        <w:rPr/>
        <w:t>The paper has investigated the performance of the EC-CCCH in a tight BCCH re-use scenario. Frequency re-use factors from 12, 9 and 3 has been investigated using a regular frequency re-use cluster deployment.</w:t>
      </w:r>
    </w:p>
    <w:p>
      <w:pPr>
        <w:pStyle w:val="Normal"/>
        <w:rPr/>
      </w:pPr>
      <w:r>
        <w:rPr/>
        <w:t>One can note from the results that the failed rate is extremely low, indicating that a more aggressive system setting in specifically the CC thresholds could be applied resulting in less resources used by the EC-CCCH.</w:t>
      </w:r>
    </w:p>
    <w:p>
      <w:pPr>
        <w:pStyle w:val="Normal"/>
        <w:rPr/>
      </w:pPr>
      <w:r>
        <w:rPr/>
        <w:t>BCCH power savings has been applied, but only on dummy bursts transmitted on the EC-CCCH, and down-regulation has only been allowed in 60% of the bursts. This is to model a higher load on the EC-CCCH, considering also for example EC-PCH traffic would be present in a real network deployment.</w:t>
      </w:r>
    </w:p>
    <w:p>
      <w:pPr>
        <w:pStyle w:val="Normal"/>
        <w:rPr/>
      </w:pPr>
      <w:r>
        <w:rPr/>
        <w:t>The simulations have assumed a timeslot synchronized network meaning that EC-PDTCH and EC-PACCH, as well as, EC-CCCH interfering signals are modeled. The load on EC-PDTCH and EC-PACCH is aligned with what is seen in Annex ZF.7.</w:t>
      </w:r>
    </w:p>
    <w:p>
      <w:pPr>
        <w:pStyle w:val="Heading3"/>
        <w:rPr/>
      </w:pPr>
      <w:bookmarkStart w:id="1094" w:name="__RefHeading___Toc518036374"/>
      <w:bookmarkEnd w:id="1094"/>
      <w:r>
        <w:rPr/>
        <w:t>ZF.6.2.6</w:t>
        <w:tab/>
        <w:t>Conclusions</w:t>
      </w:r>
    </w:p>
    <w:p>
      <w:pPr>
        <w:pStyle w:val="Normal"/>
        <w:rPr/>
      </w:pPr>
      <w:r>
        <w:rPr/>
        <w:t>The paper has investigated the impact on the EC-CCCH in a tight BCCH spectrum. The results are encouraging showing extremely low failed rates even in a very tight re-use pattern. The resource usage is increased by roughly 40% when going from 12 to 3 in frequency re-use. The overall common control signaling delay is increased, as expected, but still the 95 percentile is around 0.1 sec for all cases, except for re-use 3 where the 95 percentile delay increase to 0.5 s.</w:t>
      </w:r>
    </w:p>
    <w:p>
      <w:pPr>
        <w:pStyle w:val="Heading1"/>
        <w:ind w:left="1134" w:hanging="1134"/>
        <w:rPr>
          <w:lang w:val="en-US"/>
        </w:rPr>
      </w:pPr>
      <w:bookmarkStart w:id="1095" w:name="__RefHeading___Toc518036375"/>
      <w:bookmarkEnd w:id="1095"/>
      <w:r>
        <w:rPr>
          <w:lang w:val="en-US"/>
        </w:rPr>
        <w:t>ZF.7</w:t>
        <w:tab/>
        <w:t>Results for Data traffic and control channel evaluation</w:t>
      </w:r>
    </w:p>
    <w:p>
      <w:pPr>
        <w:pStyle w:val="Heading2"/>
        <w:rPr>
          <w:lang w:val="en-US"/>
        </w:rPr>
      </w:pPr>
      <w:bookmarkStart w:id="1096" w:name="__RefHeading___Toc518036376"/>
      <w:bookmarkEnd w:id="1096"/>
      <w:r>
        <w:rPr>
          <w:lang w:val="en-US"/>
        </w:rPr>
        <w:t>ZF.7.1</w:t>
        <w:tab/>
        <w:t>GPRS/EGPRS</w:t>
      </w:r>
    </w:p>
    <w:p>
      <w:pPr>
        <w:pStyle w:val="Heading3"/>
        <w:rPr>
          <w:lang w:val="en-US"/>
        </w:rPr>
      </w:pPr>
      <w:bookmarkStart w:id="1097" w:name="__RefHeading___Toc518036377"/>
      <w:bookmarkEnd w:id="1097"/>
      <w:r>
        <w:rPr>
          <w:lang w:val="en-US"/>
        </w:rPr>
        <w:t>ZF.7.1.1</w:t>
        <w:tab/>
        <w:t>Tdoc reference</w:t>
      </w:r>
    </w:p>
    <w:p>
      <w:pPr>
        <w:pStyle w:val="Normal"/>
        <w:rPr>
          <w:lang w:val="en-US"/>
        </w:rPr>
      </w:pPr>
      <w:r>
        <w:rPr>
          <w:lang w:val="en-US"/>
        </w:rPr>
        <w:t>3GPP TSG GERAN #70</w:t>
      </w:r>
    </w:p>
    <w:p>
      <w:pPr>
        <w:pStyle w:val="Normal"/>
        <w:rPr>
          <w:lang w:val="en-US"/>
        </w:rPr>
      </w:pPr>
      <w:r>
        <w:rPr>
          <w:lang w:val="en-US"/>
        </w:rPr>
        <w:t>GP-160265</w:t>
      </w:r>
    </w:p>
    <w:p>
      <w:pPr>
        <w:pStyle w:val="Normal"/>
        <w:rPr>
          <w:lang w:val="en-US"/>
        </w:rPr>
      </w:pPr>
      <w:r>
        <w:rPr>
          <w:lang w:val="en-US"/>
        </w:rPr>
        <w:t xml:space="preserve">Nanjing, China </w:t>
      </w:r>
    </w:p>
    <w:p>
      <w:pPr>
        <w:pStyle w:val="Normal"/>
        <w:rPr>
          <w:lang w:val="en-US"/>
        </w:rPr>
      </w:pPr>
      <w:r>
        <w:rPr>
          <w:lang w:val="en-US"/>
        </w:rPr>
        <w:t>23rd– 27th May, 2016</w:t>
      </w:r>
    </w:p>
    <w:p>
      <w:pPr>
        <w:pStyle w:val="Normal"/>
        <w:rPr>
          <w:lang w:val="en-US"/>
        </w:rPr>
      </w:pPr>
      <w:r>
        <w:rPr>
          <w:lang w:val="en-US"/>
        </w:rPr>
        <w:t>Source: Ericsson LM</w:t>
      </w:r>
    </w:p>
    <w:p>
      <w:pPr>
        <w:pStyle w:val="Normal"/>
        <w:rPr>
          <w:b/>
          <w:b/>
          <w:lang w:val="en-US"/>
        </w:rPr>
      </w:pPr>
      <w:r>
        <w:rPr>
          <w:b/>
          <w:lang w:val="en-US"/>
        </w:rPr>
        <w:t>Title: Impact on PDCH for GPRS/EGPRS in a reduced BCCH spectrum allocation (update of GP-160039)</w:t>
      </w:r>
    </w:p>
    <w:p>
      <w:pPr>
        <w:pStyle w:val="Heading3"/>
        <w:rPr>
          <w:lang w:val="en-US"/>
        </w:rPr>
      </w:pPr>
      <w:bookmarkStart w:id="1098" w:name="__RefHeading___Toc518036378"/>
      <w:bookmarkEnd w:id="1098"/>
      <w:r>
        <w:rPr>
          <w:lang w:val="en-US"/>
        </w:rPr>
        <w:t>ZF.7.1.2</w:t>
        <w:tab/>
        <w:t>Assumptions</w:t>
      </w:r>
    </w:p>
    <w:p>
      <w:pPr>
        <w:pStyle w:val="Heading4"/>
        <w:ind w:left="1418" w:hanging="1418"/>
        <w:rPr>
          <w:lang w:val="en-US"/>
        </w:rPr>
      </w:pPr>
      <w:bookmarkStart w:id="1099" w:name="__RefHeading___Toc518036379"/>
      <w:bookmarkEnd w:id="1099"/>
      <w:r>
        <w:rPr>
          <w:lang w:val="en-US"/>
        </w:rPr>
        <w:t>ZF.7.1.2.1</w:t>
        <w:tab/>
        <w:t>Traffic generation</w:t>
      </w:r>
    </w:p>
    <w:p>
      <w:pPr>
        <w:pStyle w:val="Normal"/>
        <w:rPr>
          <w:lang w:val="en-US"/>
        </w:rPr>
      </w:pPr>
      <w:r>
        <w:rPr>
          <w:lang w:val="en-US"/>
        </w:rPr>
        <w:t>MTC traffic is generated according to 'Global traffic model for MTC traffic of legacy GPRS', see Annex ZF.1. It could be noted that with the aggressive model approach chosen, the load in the network will increase compared to the IoT model previously used in the study by around 40 % on the UL.</w:t>
      </w:r>
    </w:p>
    <w:p>
      <w:pPr>
        <w:pStyle w:val="Heading4"/>
        <w:ind w:left="1418" w:hanging="1418"/>
        <w:rPr>
          <w:lang w:val="en-US"/>
        </w:rPr>
      </w:pPr>
      <w:bookmarkStart w:id="1100" w:name="__RefHeading___Toc518036380"/>
      <w:bookmarkEnd w:id="1100"/>
      <w:r>
        <w:rPr>
          <w:lang w:val="en-US"/>
        </w:rPr>
        <w:t>ZF.7.1.2.2</w:t>
        <w:tab/>
        <w:t>RACH interference</w:t>
      </w:r>
    </w:p>
    <w:p>
      <w:pPr>
        <w:pStyle w:val="Normal"/>
        <w:rPr>
          <w:lang w:val="en-US"/>
        </w:rPr>
      </w:pPr>
      <w:r>
        <w:rPr>
          <w:lang w:val="en-US"/>
        </w:rPr>
        <w:t>Interference from RACH has been modelled. The power reduction on RACH introduced in GERAN Rel-11 is assumed not to be supported by the MSs, and hence full power is used on the RACH channel.</w:t>
      </w:r>
    </w:p>
    <w:p>
      <w:pPr>
        <w:pStyle w:val="Heading4"/>
        <w:ind w:left="1418" w:hanging="1418"/>
        <w:rPr/>
      </w:pPr>
      <w:bookmarkStart w:id="1101" w:name="__RefHeading___Toc518036381"/>
      <w:bookmarkEnd w:id="1101"/>
      <w:r>
        <w:rPr>
          <w:lang w:val="en-US"/>
        </w:rPr>
        <w:t>ZF.7.1.2.3</w:t>
        <w:tab/>
        <w:t>BCCH Power Savings</w:t>
      </w:r>
    </w:p>
    <w:p>
      <w:pPr>
        <w:pStyle w:val="Normal"/>
        <w:rPr/>
      </w:pPr>
      <w:r>
        <w:rPr>
          <w:lang w:val="en-US"/>
        </w:rPr>
        <w:t>BCCH power savings can be used to reduce interference on the BCCH frequency layer. With tighter BCCH frequency re-use the importance of this functionality increases. BCCH power savings can be used with various levels of reduction and selections of what timeslots and channels it should be applied to. For simulator implementation, a simple implementation for BCCH power savings was used with a reduction of 6 dB for timeslots not used for PDTCH or PACCH. In case PDTCH or PACCH are used on the DL, no power regulation is used. Timeslots TS0 (carrying BCCH, FCCH, SCH, CCCH) and TS1 (carrying EC-BCCH, EC-CCCH, EC-SCH) are excluded from BCCH Power Savings.</w:t>
      </w:r>
    </w:p>
    <w:p>
      <w:pPr>
        <w:pStyle w:val="Heading3"/>
        <w:rPr/>
      </w:pPr>
      <w:bookmarkStart w:id="1102" w:name="__RefHeading___Toc518036382"/>
      <w:bookmarkEnd w:id="1102"/>
      <w:r>
        <w:rPr>
          <w:lang w:val="en-US"/>
        </w:rPr>
        <w:t>ZF.7.1.3</w:t>
        <w:tab/>
        <w:t>Simulations</w:t>
      </w:r>
    </w:p>
    <w:p>
      <w:pPr>
        <w:pStyle w:val="Heading4"/>
        <w:ind w:left="1418" w:hanging="1418"/>
        <w:rPr/>
      </w:pPr>
      <w:bookmarkStart w:id="1103" w:name="__RefHeading___Toc518036383"/>
      <w:bookmarkEnd w:id="1103"/>
      <w:r>
        <w:rPr>
          <w:lang w:val="en-US"/>
        </w:rPr>
        <w:t>ZF.7.1.3.1</w:t>
        <w:tab/>
        <w:t>Simulation assumptions</w:t>
      </w:r>
    </w:p>
    <w:p>
      <w:pPr>
        <w:pStyle w:val="Normal"/>
        <w:rPr/>
      </w:pPr>
      <w:r>
        <w:rPr>
          <w:lang w:val="en-US"/>
        </w:rPr>
        <w:t>The system level simulation assumptions in Annex ZF.1 have been followed. Other specific assumptions are shown in Table ZF.7.1-1.</w:t>
      </w:r>
    </w:p>
    <w:p>
      <w:pPr>
        <w:pStyle w:val="Heading5"/>
        <w:ind w:left="1701" w:hanging="1701"/>
        <w:rPr/>
      </w:pPr>
      <w:bookmarkStart w:id="1104" w:name="__RefHeading___Toc518036384"/>
      <w:bookmarkEnd w:id="1104"/>
      <w:r>
        <w:rPr>
          <w:lang w:val="en-US"/>
        </w:rPr>
        <w:t>ZF.7.1.3.1.1</w:t>
        <w:tab/>
        <w:t>System parameters</w:t>
      </w:r>
    </w:p>
    <w:p>
      <w:pPr>
        <w:pStyle w:val="TH"/>
        <w:rPr>
          <w:lang w:val="en-US"/>
        </w:rPr>
      </w:pPr>
      <w:r>
        <w:rPr>
          <w:lang w:val="en-US"/>
        </w:rPr>
        <w:t>Table ZF.7.1-1: Simulation assumptions, in addition to Annex ZF.1</w:t>
      </w:r>
    </w:p>
    <w:tbl>
      <w:tblPr>
        <w:tblW w:w="7382" w:type="dxa"/>
        <w:jc w:val="center"/>
        <w:tblInd w:w="0" w:type="dxa"/>
        <w:tblLayout w:type="fixed"/>
        <w:tblCellMar>
          <w:top w:w="0" w:type="dxa"/>
          <w:left w:w="108" w:type="dxa"/>
          <w:bottom w:w="0" w:type="dxa"/>
          <w:right w:w="108" w:type="dxa"/>
        </w:tblCellMar>
      </w:tblPr>
      <w:tblGrid>
        <w:gridCol w:w="3697"/>
        <w:gridCol w:w="3685"/>
      </w:tblGrid>
      <w:tr>
        <w:trPr>
          <w:trHeight w:val="396" w:hRule="atLeast"/>
        </w:trPr>
        <w:tc>
          <w:tcPr>
            <w:tcW w:w="369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Parameter</w:t>
            </w:r>
          </w:p>
        </w:tc>
        <w:tc>
          <w:tcPr>
            <w:tcW w:w="368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Value</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General</w:t>
            </w:r>
          </w:p>
        </w:tc>
        <w:tc>
          <w:tcPr>
            <w:tcW w:w="3685" w:type="dxa"/>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Simulation time</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100 s</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System size</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108 cells</w:t>
            </w:r>
          </w:p>
          <w:p>
            <w:pPr>
              <w:pStyle w:val="TAC"/>
              <w:rPr>
                <w:lang w:val="en-US"/>
              </w:rPr>
            </w:pPr>
            <w:r>
              <w:rPr>
                <w:lang w:val="en-US"/>
              </w:rPr>
              <w:t>(all frequency re-uses)</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Direction</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UL and DL</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Frequency band</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900 MHz</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Layer</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BCCH</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Frequency re-use</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 9 and 3</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pPr>
            <w:r>
              <w:rPr>
                <w:lang w:val="en-US"/>
              </w:rPr>
              <w:t>BTS antenna diversity</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MRC</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BTS output power</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43 dBm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Cell radius</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577.33 m</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Legacy GPRS MTC parameters</w:t>
            </w:r>
          </w:p>
        </w:tc>
        <w:tc>
          <w:tcPr>
            <w:tcW w:w="3685" w:type="dxa"/>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PDTCH timeslots per cell</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7 PDCH</w:t>
            </w:r>
            <w:r>
              <w:rPr>
                <w:vertAlign w:val="superscript"/>
                <w:lang w:val="en-US"/>
              </w:rPr>
              <w:t>1</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Legacy GPRS MTC arrival rate per cell and second</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5.4 (100%)</w:t>
            </w:r>
            <w:r>
              <w:rPr>
                <w:vertAlign w:val="superscript"/>
                <w:lang w:val="en-US"/>
              </w:rPr>
              <w:t xml:space="preserve"> 2</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Coding schemes</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CS-1</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GPRS L2S model</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Approximated by EGPRS L2S (MCS-1) without incremental redundancy, see Annex ZF.4</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Minimum delay between subsequent transmissions on PDTCH and PACCH</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 radio block</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Incremental Redundancy</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Off</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Power control</w:t>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DL:</w:t>
            </w:r>
          </w:p>
          <w:p>
            <w:pPr>
              <w:pStyle w:val="TAL"/>
              <w:rPr/>
            </w:pPr>
            <w:r>
              <w:rPr>
                <w:lang w:val="en-US"/>
              </w:rPr>
              <w:t xml:space="preserve">- Off </w:t>
            </w:r>
          </w:p>
          <w:p>
            <w:pPr>
              <w:pStyle w:val="TAL"/>
              <w:rPr/>
            </w:pPr>
            <w:r>
              <w:rPr>
                <w:lang w:val="en-US"/>
              </w:rPr>
              <w:t>- Power savings 6 dB if nothing to transmit on BCCH TS2-TS7.</w:t>
            </w:r>
          </w:p>
          <w:p>
            <w:pPr>
              <w:pStyle w:val="TAL"/>
              <w:rPr>
                <w:lang w:val="en-US"/>
              </w:rPr>
            </w:pPr>
            <w:r>
              <w:rPr>
                <w:lang w:val="en-US"/>
              </w:rPr>
              <w:t>UL:</w:t>
            </w:r>
          </w:p>
          <w:p>
            <w:pPr>
              <w:pStyle w:val="TAL"/>
              <w:rPr/>
            </w:pPr>
            <w:r>
              <w:rPr>
                <w:lang w:val="en-US"/>
              </w:rPr>
              <w:t>- On (3 re-use) / Off (9 and 12 re-use)</w:t>
            </w:r>
          </w:p>
          <w:p>
            <w:pPr>
              <w:pStyle w:val="TAL"/>
              <w:rPr/>
            </w:pPr>
            <w:r>
              <w:rPr>
                <w:lang w:val="en-US"/>
              </w:rPr>
              <w:t>- Closed-loop PC based on estimated power level on RACH with power regulation starting at a received signal level of -70 dBm, using a down-regulation of at most 16 dB</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IP header compression</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Off</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Device output power</w:t>
            </w:r>
          </w:p>
        </w:tc>
        <w:tc>
          <w:tcPr>
            <w:tcW w:w="3685" w:type="dxa"/>
            <w:tcBorders>
              <w:top w:val="single" w:sz="4" w:space="0" w:color="000000"/>
              <w:left w:val="single" w:sz="4" w:space="0" w:color="000000"/>
              <w:bottom w:val="single" w:sz="4" w:space="0" w:color="000000"/>
              <w:right w:val="single" w:sz="4" w:space="0" w:color="000000"/>
            </w:tcBorders>
          </w:tcPr>
          <w:p>
            <w:pPr>
              <w:pStyle w:val="TAC"/>
              <w:rPr/>
            </w:pPr>
            <w:r>
              <w:rPr>
                <w:lang w:val="en-US"/>
              </w:rPr>
              <w:t xml:space="preserve">33 dBm (100%) </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BPL model</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 xml:space="preserve">No BPL applied </w:t>
            </w:r>
          </w:p>
        </w:tc>
      </w:tr>
      <w:tr>
        <w:trPr/>
        <w:tc>
          <w:tcPr>
            <w:tcW w:w="369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Device timeout</w:t>
            </w:r>
          </w:p>
        </w:tc>
        <w:tc>
          <w:tcPr>
            <w:tcW w:w="368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 seconds</w:t>
            </w:r>
          </w:p>
        </w:tc>
      </w:tr>
      <w:tr>
        <w:trPr/>
        <w:tc>
          <w:tcPr>
            <w:tcW w:w="7382" w:type="dxa"/>
            <w:gridSpan w:val="2"/>
            <w:tcBorders>
              <w:top w:val="single" w:sz="4" w:space="0" w:color="000000"/>
              <w:left w:val="single" w:sz="4" w:space="0" w:color="000000"/>
              <w:bottom w:val="single" w:sz="4" w:space="0" w:color="000000"/>
              <w:right w:val="single" w:sz="4" w:space="0" w:color="000000"/>
            </w:tcBorders>
          </w:tcPr>
          <w:p>
            <w:pPr>
              <w:pStyle w:val="TAN"/>
              <w:rPr/>
            </w:pPr>
            <w:r>
              <w:rPr>
                <w:lang w:val="en-US"/>
              </w:rPr>
              <w:t>NOTE 1:</w:t>
              <w:tab/>
              <w:t>The system simulator uses a network wide timeslot alignment with a random timeslot offset between cells.</w:t>
            </w:r>
          </w:p>
          <w:p>
            <w:pPr>
              <w:pStyle w:val="TAN"/>
              <w:rPr/>
            </w:pPr>
            <w:r>
              <w:rPr>
                <w:lang w:val="en-US"/>
              </w:rPr>
              <w:t>NOTE 2:</w:t>
              <w:tab/>
              <w:t xml:space="preserve">Aggregated total event intensity on UL and DL. The traffic model and packet sizes are implemented as suggested in Annex ZF.1. 5.4 transfers per cell and second corresponds to sum of the 1.39 events/cell/s DL and 4.03 events/cell/s DL. </w:t>
            </w:r>
          </w:p>
        </w:tc>
      </w:tr>
    </w:tbl>
    <w:p>
      <w:pPr>
        <w:pStyle w:val="Normal"/>
        <w:rPr>
          <w:lang w:val="en-US"/>
        </w:rPr>
      </w:pPr>
      <w:r>
        <w:rPr>
          <w:lang w:val="en-US"/>
        </w:rPr>
      </w:r>
    </w:p>
    <w:p>
      <w:pPr>
        <w:pStyle w:val="Heading5"/>
        <w:ind w:left="1701" w:hanging="1701"/>
        <w:rPr/>
      </w:pPr>
      <w:bookmarkStart w:id="1105" w:name="__RefHeading___Toc518036385"/>
      <w:bookmarkEnd w:id="1105"/>
      <w:r>
        <w:rPr>
          <w:lang w:val="en-US"/>
        </w:rPr>
        <w:t>ZF.7.1.3.1.2</w:t>
        <w:tab/>
        <w:t>Cell selection and coding scheme selection</w:t>
      </w:r>
    </w:p>
    <w:p>
      <w:pPr>
        <w:pStyle w:val="Normal"/>
        <w:rPr/>
      </w:pPr>
      <w:r>
        <w:rPr>
          <w:lang w:val="en-US"/>
        </w:rPr>
        <w:t>Cell selection was based on the calculated path gain and a N(0,2) dB measurement error. All devices are stationary in the simulations so there will be no cell re-selection.</w:t>
      </w:r>
    </w:p>
    <w:p>
      <w:pPr>
        <w:pStyle w:val="Normal"/>
        <w:rPr/>
      </w:pPr>
      <w:r>
        <w:rPr>
          <w:lang w:val="en-US"/>
        </w:rPr>
        <w:t xml:space="preserve">In the simulations, no link adaptation was used. Instead, the coding scheme was always selected to CS-1 and remained the same throughout the duration of the TBF. </w:t>
      </w:r>
    </w:p>
    <w:p>
      <w:pPr>
        <w:pStyle w:val="Heading5"/>
        <w:ind w:left="1701" w:hanging="1701"/>
        <w:rPr/>
      </w:pPr>
      <w:bookmarkStart w:id="1106" w:name="__RefHeading___Toc518036386"/>
      <w:bookmarkEnd w:id="1106"/>
      <w:r>
        <w:rPr>
          <w:lang w:val="en-US"/>
        </w:rPr>
        <w:t>ZF.7.1.3.1.3</w:t>
        <w:tab/>
        <w:t>Control signaling</w:t>
      </w:r>
    </w:p>
    <w:p>
      <w:pPr>
        <w:pStyle w:val="Normal"/>
        <w:rPr/>
      </w:pPr>
      <w:r>
        <w:rPr>
          <w:lang w:val="en-US"/>
        </w:rPr>
        <w:t>Packet uplink ACK/NACK (PUAN) is sent on PACCH/D to (negatively) acknowledge data sent in the UL, as well as Packet downlink ACK/NACK (PDAN) sent on PACCH/U to (negatively) acknowledge data sent on the DL. In the simulations its performance is modeled with EGPRS MCS-1. If a PUAN/PDAN is unsuccessfully received, the negative acknowledged blocks will not be transmitted. In the UL this means that the allocated MS will not transmit anything, but the radio block resources are consumed, and, on the DL the BTS will not be able to schedule retransmissions.</w:t>
      </w:r>
    </w:p>
    <w:p>
      <w:pPr>
        <w:pStyle w:val="Heading5"/>
        <w:ind w:left="1701" w:hanging="1701"/>
        <w:rPr/>
      </w:pPr>
      <w:bookmarkStart w:id="1107" w:name="__RefHeading___Toc518036387"/>
      <w:bookmarkEnd w:id="1107"/>
      <w:r>
        <w:rPr>
          <w:lang w:val="en-US"/>
        </w:rPr>
        <w:t>ZF.7.1.3.1.4</w:t>
        <w:tab/>
        <w:t>Simulated scenarios</w:t>
      </w:r>
    </w:p>
    <w:p>
      <w:pPr>
        <w:pStyle w:val="Normal"/>
        <w:rPr/>
      </w:pPr>
      <w:r>
        <w:rPr>
          <w:lang w:val="en-US"/>
        </w:rPr>
        <w:t>Table ZF.7.1-2 summarizes the simulated scenarios and clarifies the legends in the figures presented in section ZF.7.1.4.2. No explicit frequency planning effort has been made and the simulations only use regular repeatable cluster re-use patterns.</w:t>
      </w:r>
    </w:p>
    <w:p>
      <w:pPr>
        <w:pStyle w:val="TH"/>
        <w:rPr/>
      </w:pPr>
      <w:bookmarkStart w:id="1108" w:name="_Ref420081232"/>
      <w:r>
        <w:rPr>
          <w:lang w:val="en-US"/>
        </w:rPr>
        <w:t>Table</w:t>
      </w:r>
      <w:bookmarkEnd w:id="1108"/>
      <w:r>
        <w:rPr>
          <w:lang w:val="en-US"/>
        </w:rPr>
        <w:t xml:space="preserve"> ZF.7.1-2</w:t>
      </w:r>
      <w:r>
        <w:rPr/>
        <w:t>: Simulated scenarios</w:t>
      </w:r>
    </w:p>
    <w:tbl>
      <w:tblPr>
        <w:tblW w:w="5418" w:type="dxa"/>
        <w:jc w:val="center"/>
        <w:tblInd w:w="0" w:type="dxa"/>
        <w:tblLayout w:type="fixed"/>
        <w:tblCellMar>
          <w:top w:w="0" w:type="dxa"/>
          <w:left w:w="108" w:type="dxa"/>
          <w:bottom w:w="0" w:type="dxa"/>
          <w:right w:w="108" w:type="dxa"/>
        </w:tblCellMar>
      </w:tblPr>
      <w:tblGrid>
        <w:gridCol w:w="1356"/>
        <w:gridCol w:w="889"/>
        <w:gridCol w:w="3173"/>
      </w:tblGrid>
      <w:tr>
        <w:trPr/>
        <w:tc>
          <w:tcPr>
            <w:tcW w:w="1356"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Legend text</w:t>
            </w:r>
          </w:p>
        </w:tc>
        <w:tc>
          <w:tcPr>
            <w:tcW w:w="889"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BCCH</w:t>
            </w:r>
          </w:p>
          <w:p>
            <w:pPr>
              <w:pStyle w:val="TAH"/>
              <w:rPr>
                <w:lang w:val="en-US" w:eastAsia="en-US"/>
              </w:rPr>
            </w:pPr>
            <w:r>
              <w:rPr>
                <w:lang w:val="en-US" w:eastAsia="en-US"/>
              </w:rPr>
              <w:t>Re-use</w:t>
            </w:r>
          </w:p>
        </w:tc>
        <w:tc>
          <w:tcPr>
            <w:tcW w:w="317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Frequency planning</w:t>
            </w:r>
          </w:p>
        </w:tc>
      </w:tr>
      <w:tr>
        <w:trPr/>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Re-use = 12</w:t>
            </w:r>
          </w:p>
        </w:tc>
        <w:tc>
          <w:tcPr>
            <w:tcW w:w="88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3173" w:type="dxa"/>
            <w:tcBorders>
              <w:top w:val="single" w:sz="4" w:space="0" w:color="000000"/>
              <w:left w:val="single" w:sz="4" w:space="0" w:color="000000"/>
              <w:bottom w:val="single" w:sz="4" w:space="0" w:color="000000"/>
              <w:right w:val="single" w:sz="4" w:space="0" w:color="000000"/>
            </w:tcBorders>
          </w:tcPr>
          <w:p>
            <w:pPr>
              <w:pStyle w:val="TAC"/>
              <w:rPr/>
            </w:pPr>
            <w:r>
              <w:rPr>
                <w:lang w:val="en-US"/>
              </w:rPr>
              <w:t>4/12 cluster re-use pattern</w:t>
            </w:r>
          </w:p>
        </w:tc>
      </w:tr>
      <w:tr>
        <w:trPr/>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Re-use = 9</w:t>
            </w:r>
          </w:p>
        </w:tc>
        <w:tc>
          <w:tcPr>
            <w:tcW w:w="88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31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3/9 cluster re-use pattern</w:t>
            </w:r>
          </w:p>
        </w:tc>
      </w:tr>
      <w:tr>
        <w:trPr/>
        <w:tc>
          <w:tcPr>
            <w:tcW w:w="135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Re-use = 3</w:t>
            </w:r>
          </w:p>
        </w:tc>
        <w:tc>
          <w:tcPr>
            <w:tcW w:w="88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31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1/3 cluster re-use pattern</w:t>
            </w:r>
          </w:p>
        </w:tc>
      </w:tr>
    </w:tbl>
    <w:p>
      <w:pPr>
        <w:pStyle w:val="FP"/>
        <w:rPr>
          <w:lang w:val="en-US"/>
        </w:rPr>
      </w:pPr>
      <w:r>
        <w:rPr>
          <w:lang w:val="en-US"/>
        </w:rPr>
      </w:r>
    </w:p>
    <w:p>
      <w:pPr>
        <w:pStyle w:val="Heading4"/>
        <w:ind w:left="1418" w:hanging="1418"/>
        <w:rPr/>
      </w:pPr>
      <w:bookmarkStart w:id="1109" w:name="__RefHeading___Toc518036388"/>
      <w:bookmarkEnd w:id="1109"/>
      <w:r>
        <w:rPr>
          <w:lang w:val="en-US"/>
        </w:rPr>
        <w:t>ZF.7.1.3.2</w:t>
        <w:tab/>
        <w:t>Results</w:t>
      </w:r>
    </w:p>
    <w:p>
      <w:pPr>
        <w:pStyle w:val="Normal"/>
        <w:rPr>
          <w:lang w:val="en-US"/>
        </w:rPr>
      </w:pPr>
      <w:r>
        <w:rPr>
          <w:lang w:val="en-US"/>
        </w:rPr>
        <w:t>The results presented are:</w:t>
      </w:r>
    </w:p>
    <w:p>
      <w:pPr>
        <w:pStyle w:val="B1"/>
        <w:rPr>
          <w:lang w:val="fr-FR"/>
        </w:rPr>
      </w:pPr>
      <w:r>
        <w:rPr>
          <w:lang w:val="fr-FR"/>
        </w:rPr>
        <w:t>-</w:t>
        <w:tab/>
        <w:t>Resource (TS) Usage (section ZF.7.1.3.2.1)</w:t>
      </w:r>
    </w:p>
    <w:p>
      <w:pPr>
        <w:pStyle w:val="B2"/>
        <w:rPr/>
      </w:pPr>
      <w:r>
        <w:rPr>
          <w:lang w:val="en-US"/>
        </w:rPr>
        <w:t>-</w:t>
        <w:tab/>
        <w:t>This represents the average amount of PDTCH DL and UL TS resources required per cell in the system, for the different scenarios, see Table ZF.7.1-3.</w:t>
      </w:r>
    </w:p>
    <w:p>
      <w:pPr>
        <w:pStyle w:val="B1"/>
        <w:rPr/>
      </w:pPr>
      <w:r>
        <w:rPr>
          <w:lang w:val="en-US"/>
        </w:rPr>
        <w:t>-</w:t>
        <w:tab/>
        <w:t>Latency of Uplink Transmissions (section ZF.7.1.3.2.2)</w:t>
      </w:r>
    </w:p>
    <w:p>
      <w:pPr>
        <w:pStyle w:val="B2"/>
        <w:rPr/>
      </w:pPr>
      <w:r>
        <w:rPr>
          <w:lang w:val="en-US"/>
        </w:rPr>
        <w:t>-</w:t>
        <w:tab/>
        <w:t>The latency includes time to transfer the message.</w:t>
      </w:r>
    </w:p>
    <w:p>
      <w:pPr>
        <w:pStyle w:val="B2"/>
        <w:rPr/>
      </w:pPr>
      <w:r>
        <w:rPr>
          <w:lang w:val="en-US"/>
        </w:rPr>
        <w:t>-</w:t>
        <w:tab/>
        <w:t>The results are presented as CDFs of the delay at the target traffic load (5.4 users per cell and second), see Figure ZF.7.1-1.</w:t>
      </w:r>
    </w:p>
    <w:p>
      <w:pPr>
        <w:pStyle w:val="B2"/>
        <w:rPr/>
      </w:pPr>
      <w:r>
        <w:rPr>
          <w:lang w:val="en-US"/>
        </w:rPr>
        <w:t>-</w:t>
        <w:tab/>
        <w:t>Failed attempts are not included in the statistics (following the agreed methodology).</w:t>
      </w:r>
    </w:p>
    <w:p>
      <w:pPr>
        <w:pStyle w:val="B1"/>
        <w:rPr/>
      </w:pPr>
      <w:r>
        <w:rPr>
          <w:lang w:val="en-US"/>
        </w:rPr>
        <w:t>-</w:t>
        <w:tab/>
        <w:t>Latency of Downlink Transmissions (section ZF.7.1.3.2.3)</w:t>
      </w:r>
    </w:p>
    <w:p>
      <w:pPr>
        <w:pStyle w:val="B2"/>
        <w:rPr/>
      </w:pPr>
      <w:r>
        <w:rPr>
          <w:lang w:val="en-US"/>
        </w:rPr>
        <w:t>-</w:t>
        <w:tab/>
        <w:t>The latency includes time to transfer the message The results are presented as CDFs of the delay at the target traffic load (5.4 users per cell and second), see Figure ZF.7.1-2.</w:t>
      </w:r>
    </w:p>
    <w:p>
      <w:pPr>
        <w:pStyle w:val="B1"/>
        <w:rPr/>
      </w:pPr>
      <w:r>
        <w:rPr>
          <w:lang w:val="en-US"/>
        </w:rPr>
        <w:t>-</w:t>
        <w:tab/>
        <w:t>Failed attempts (section ZF.7.1.3.2.4)</w:t>
      </w:r>
    </w:p>
    <w:p>
      <w:pPr>
        <w:pStyle w:val="B2"/>
        <w:rPr/>
      </w:pPr>
      <w:r>
        <w:rPr>
          <w:lang w:val="en-US"/>
        </w:rPr>
        <w:t>-</w:t>
        <w:tab/>
        <w:t>This represents the percentage of the attempts that were not successful, i.e. did not manage to get the report through during 20 seconds.</w:t>
      </w:r>
    </w:p>
    <w:p>
      <w:pPr>
        <w:pStyle w:val="B1"/>
        <w:rPr/>
      </w:pPr>
      <w:r>
        <w:rPr>
          <w:lang w:val="en-US"/>
        </w:rPr>
        <w:t>-</w:t>
        <w:tab/>
        <w:t>Capacity (section ZF.7.1.3.2.5)</w:t>
      </w:r>
    </w:p>
    <w:p>
      <w:pPr>
        <w:pStyle w:val="B2"/>
        <w:rPr>
          <w:lang w:val="en-US"/>
        </w:rPr>
      </w:pPr>
      <w:r>
        <w:rPr>
          <w:lang w:val="en-US"/>
        </w:rPr>
        <w:t>-</w:t>
        <w:tab/>
        <w:t>Capacity is defined as "spectral efficiency in number of reports/200 kHz/hour". Results are shown in Table ZF.7.1-5.</w:t>
      </w:r>
    </w:p>
    <w:p>
      <w:pPr>
        <w:pStyle w:val="FP"/>
        <w:rPr>
          <w:lang w:val="en-US"/>
        </w:rPr>
      </w:pPr>
      <w:r>
        <w:rPr>
          <w:lang w:val="en-US"/>
        </w:rPr>
      </w:r>
    </w:p>
    <w:p>
      <w:pPr>
        <w:pStyle w:val="Heading5"/>
        <w:ind w:left="1701" w:hanging="1701"/>
        <w:rPr/>
      </w:pPr>
      <w:bookmarkStart w:id="1110" w:name="__RefHeading___Toc518036389"/>
      <w:bookmarkEnd w:id="1110"/>
      <w:r>
        <w:rPr>
          <w:lang w:val="en-US"/>
        </w:rPr>
        <w:t>ZF.7.1.3.2.1</w:t>
        <w:tab/>
        <w:t>Time Slot Usage</w:t>
      </w:r>
    </w:p>
    <w:p>
      <w:pPr>
        <w:pStyle w:val="Normal"/>
        <w:rPr/>
      </w:pPr>
      <w:r>
        <w:rPr>
          <w:lang w:val="en-US"/>
        </w:rPr>
        <w:t>The TS Usage is shown in Table</w:t>
      </w:r>
      <w:r>
        <w:rPr/>
        <w:t xml:space="preserve"> </w:t>
      </w:r>
      <w:r>
        <w:rPr>
          <w:lang w:val="en-US"/>
        </w:rPr>
        <w:t xml:space="preserve">ZF.7.1-3 for the downlink and uplink respectively. On the downlink, the TS Usage increases with roughly 12% from 0.26 to 0.29 when the re-use is changed from 9 to 3, and on the UL with 2%. </w:t>
      </w:r>
    </w:p>
    <w:p>
      <w:pPr>
        <w:pStyle w:val="TH"/>
        <w:rPr/>
      </w:pPr>
      <w:r>
        <w:rPr>
          <w:lang w:val="en-US"/>
        </w:rPr>
        <w:t>Table ZF.7.1-3: TS Usage for the downlink an</w:t>
      </w:r>
      <w:r>
        <w:rPr/>
        <w:t xml:space="preserve">d uplink  </w:t>
      </w:r>
    </w:p>
    <w:tbl>
      <w:tblPr>
        <w:tblW w:w="4997" w:type="dxa"/>
        <w:jc w:val="center"/>
        <w:tblInd w:w="0" w:type="dxa"/>
        <w:tblLayout w:type="fixed"/>
        <w:tblCellMar>
          <w:top w:w="0" w:type="dxa"/>
          <w:left w:w="108" w:type="dxa"/>
          <w:bottom w:w="0" w:type="dxa"/>
          <w:right w:w="108" w:type="dxa"/>
        </w:tblCellMar>
      </w:tblPr>
      <w:tblGrid>
        <w:gridCol w:w="1023"/>
        <w:gridCol w:w="1987"/>
        <w:gridCol w:w="1987"/>
      </w:tblGrid>
      <w:tr>
        <w:trPr/>
        <w:tc>
          <w:tcPr>
            <w:tcW w:w="102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198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TS usage DL [#TS]</w:t>
            </w:r>
          </w:p>
        </w:tc>
        <w:tc>
          <w:tcPr>
            <w:tcW w:w="198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TS usage UL [#TS]</w:t>
            </w:r>
          </w:p>
        </w:tc>
      </w:tr>
      <w:tr>
        <w:trPr/>
        <w:tc>
          <w:tcPr>
            <w:tcW w:w="10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0.26</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0.89</w:t>
            </w:r>
          </w:p>
        </w:tc>
      </w:tr>
      <w:tr>
        <w:trPr/>
        <w:tc>
          <w:tcPr>
            <w:tcW w:w="10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0.26</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0.89</w:t>
            </w:r>
          </w:p>
        </w:tc>
      </w:tr>
      <w:tr>
        <w:trPr/>
        <w:tc>
          <w:tcPr>
            <w:tcW w:w="102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0.29</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0.91</w:t>
            </w:r>
          </w:p>
        </w:tc>
      </w:tr>
    </w:tbl>
    <w:p>
      <w:pPr>
        <w:pStyle w:val="Normal"/>
        <w:rPr>
          <w:lang w:val="en-US"/>
        </w:rPr>
      </w:pPr>
      <w:r>
        <w:rPr>
          <w:lang w:val="en-US"/>
        </w:rPr>
      </w:r>
    </w:p>
    <w:p>
      <w:pPr>
        <w:pStyle w:val="Normal"/>
        <w:rPr>
          <w:lang w:val="en-US"/>
        </w:rPr>
      </w:pPr>
      <w:r>
        <w:rPr>
          <w:lang w:val="en-US"/>
        </w:rPr>
        <w:t xml:space="preserve">For the uplink, the TS Utilization also increases only marginally from 0.89 to 0.91 when the re-use is changed from 9 to 3. </w:t>
      </w:r>
    </w:p>
    <w:p>
      <w:pPr>
        <w:pStyle w:val="Heading5"/>
        <w:ind w:left="1701" w:hanging="1701"/>
        <w:rPr/>
      </w:pPr>
      <w:bookmarkStart w:id="1111" w:name="__RefHeading___Toc518036390"/>
      <w:bookmarkEnd w:id="1111"/>
      <w:r>
        <w:rPr>
          <w:lang w:val="en-US"/>
        </w:rPr>
        <w:t>ZF.7.1.3.2.2</w:t>
        <w:tab/>
        <w:t>Latency of Uplink Transmissions</w:t>
      </w:r>
    </w:p>
    <w:p>
      <w:pPr>
        <w:pStyle w:val="Normal"/>
        <w:rPr/>
      </w:pPr>
      <w:r>
        <w:rPr>
          <w:lang w:val="en-US"/>
        </w:rPr>
        <w:t>The latency of Uplink transmissions is represented by the latency of the data transfer, i.e. the common control signaling delay is not included. A few users will experience an increased delay as seen in Figure ZF.7.1-1. The delays are increasing with tighter frequency re-use.</w:t>
      </w:r>
    </w:p>
    <w:p>
      <w:pPr>
        <w:pStyle w:val="TH"/>
        <w:rPr>
          <w:lang w:val="en-US"/>
        </w:rPr>
      </w:pPr>
      <w:r>
        <w:rPr>
          <w:lang w:val="en-US" w:eastAsia="en-US"/>
        </w:rPr>
        <w:drawing>
          <wp:inline distT="0" distB="0" distL="0" distR="0">
            <wp:extent cx="3780790" cy="2518410"/>
            <wp:effectExtent l="0" t="0" r="0" b="0"/>
            <wp:docPr id="33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37" descr=""/>
                    <pic:cNvPicPr>
                      <a:picLocks noChangeAspect="1" noChangeArrowheads="1"/>
                    </pic:cNvPicPr>
                  </pic:nvPicPr>
                  <pic:blipFill>
                    <a:blip r:embed="rId344"/>
                    <a:srcRect l="-5" t="-8" r="-5" b="-8"/>
                    <a:stretch>
                      <a:fillRect/>
                    </a:stretch>
                  </pic:blipFill>
                  <pic:spPr bwMode="auto">
                    <a:xfrm>
                      <a:off x="0" y="0"/>
                      <a:ext cx="3780790" cy="2518410"/>
                    </a:xfrm>
                    <a:prstGeom prst="rect">
                      <a:avLst/>
                    </a:prstGeom>
                  </pic:spPr>
                </pic:pic>
              </a:graphicData>
            </a:graphic>
          </wp:inline>
        </w:drawing>
      </w:r>
    </w:p>
    <w:p>
      <w:pPr>
        <w:pStyle w:val="TF"/>
        <w:rPr/>
      </w:pPr>
      <w:r>
        <w:rPr/>
        <w:t>Figure ZF.7.1-1: Uplink Transmission Delay</w:t>
      </w:r>
    </w:p>
    <w:p>
      <w:pPr>
        <w:pStyle w:val="Normal"/>
        <w:rPr/>
      </w:pPr>
      <w:r>
        <w:rPr>
          <w:lang w:val="en-US"/>
        </w:rPr>
        <w:t>The "knees" in the distribution are due to the three different packet sizes used in the traffic model. In the figure only the impact from the two biggest packet sizes can be seen, but there is also a small "knee" just below 30% for the smallest packet size.</w:t>
      </w:r>
    </w:p>
    <w:p>
      <w:pPr>
        <w:pStyle w:val="Heading5"/>
        <w:ind w:left="1701" w:hanging="1701"/>
        <w:rPr/>
      </w:pPr>
      <w:bookmarkStart w:id="1112" w:name="__RefHeading___Toc518036391"/>
      <w:bookmarkEnd w:id="1112"/>
      <w:r>
        <w:rPr>
          <w:lang w:val="en-US"/>
        </w:rPr>
        <w:t>ZF.7.1.3.2.3</w:t>
        <w:tab/>
        <w:t>Latency of Downlink Transmissions</w:t>
      </w:r>
    </w:p>
    <w:p>
      <w:pPr>
        <w:pStyle w:val="Normal"/>
        <w:rPr/>
      </w:pPr>
      <w:r>
        <w:rPr>
          <w:lang w:val="en-US"/>
        </w:rPr>
        <w:t>A few users will experience an increased delay as seen in Figure</w:t>
      </w:r>
      <w:r>
        <w:rPr/>
        <w:t xml:space="preserve"> </w:t>
      </w:r>
      <w:r>
        <w:rPr>
          <w:lang w:val="en-US"/>
        </w:rPr>
        <w:t>ZF.7.1-2. Also in this case, the delay is increased with tighter frequency re-use.</w:t>
      </w:r>
    </w:p>
    <w:p>
      <w:pPr>
        <w:pStyle w:val="TH"/>
        <w:rPr>
          <w:lang w:val="en-US"/>
        </w:rPr>
      </w:pPr>
      <w:r>
        <w:rPr>
          <w:lang w:val="en-US" w:eastAsia="en-US"/>
        </w:rPr>
        <w:drawing>
          <wp:inline distT="0" distB="0" distL="0" distR="0">
            <wp:extent cx="3780790" cy="2518410"/>
            <wp:effectExtent l="0" t="0" r="0" b="0"/>
            <wp:docPr id="33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8" descr=""/>
                    <pic:cNvPicPr>
                      <a:picLocks noChangeAspect="1" noChangeArrowheads="1"/>
                    </pic:cNvPicPr>
                  </pic:nvPicPr>
                  <pic:blipFill>
                    <a:blip r:embed="rId345"/>
                    <a:srcRect l="-5" t="-8" r="-5" b="-8"/>
                    <a:stretch>
                      <a:fillRect/>
                    </a:stretch>
                  </pic:blipFill>
                  <pic:spPr bwMode="auto">
                    <a:xfrm>
                      <a:off x="0" y="0"/>
                      <a:ext cx="3780790" cy="2518410"/>
                    </a:xfrm>
                    <a:prstGeom prst="rect">
                      <a:avLst/>
                    </a:prstGeom>
                  </pic:spPr>
                </pic:pic>
              </a:graphicData>
            </a:graphic>
          </wp:inline>
        </w:drawing>
      </w:r>
    </w:p>
    <w:p>
      <w:pPr>
        <w:pStyle w:val="TF"/>
        <w:rPr/>
      </w:pPr>
      <w:r>
        <w:rPr/>
        <w:t>Figure ZF.7.1-2: Downlink Transmission Delay</w:t>
      </w:r>
    </w:p>
    <w:p>
      <w:pPr>
        <w:pStyle w:val="Heading5"/>
        <w:ind w:left="1701" w:hanging="1701"/>
        <w:rPr/>
      </w:pPr>
      <w:bookmarkStart w:id="1113" w:name="__RefHeading___Toc518036392"/>
      <w:bookmarkEnd w:id="1113"/>
      <w:r>
        <w:rPr>
          <w:lang w:val="en-US"/>
        </w:rPr>
        <w:t>ZF.7.1.3.2.4</w:t>
        <w:tab/>
        <w:t>Failed Attempts</w:t>
      </w:r>
    </w:p>
    <w:p>
      <w:pPr>
        <w:pStyle w:val="Normal"/>
        <w:rPr/>
      </w:pPr>
      <w:r>
        <w:rPr>
          <w:lang w:val="en-US"/>
        </w:rPr>
        <w:t>At the traffic load 5.4 events per cell and second, the percentage of failed attempts (i.e., the report did not get delivered within 20 seconds) is found to be 0 % in the 12, 9 and 3 re-use scenarios. Failed attempts are shown in Table ZF.7.1-4.</w:t>
      </w:r>
    </w:p>
    <w:p>
      <w:pPr>
        <w:pStyle w:val="TH"/>
        <w:rPr/>
      </w:pPr>
      <w:bookmarkStart w:id="1114" w:name="_Ref440010922"/>
      <w:r>
        <w:rPr>
          <w:lang w:val="en-US"/>
        </w:rPr>
        <w:t>Table ZF.7.1-</w:t>
      </w:r>
      <w:bookmarkEnd w:id="1114"/>
      <w:r>
        <w:rPr>
          <w:lang w:val="en-US"/>
        </w:rPr>
        <w:t>4</w:t>
      </w:r>
      <w:r>
        <w:rPr/>
        <w:t xml:space="preserve">: Failed attempts </w:t>
      </w:r>
    </w:p>
    <w:tbl>
      <w:tblPr>
        <w:tblW w:w="3588" w:type="dxa"/>
        <w:jc w:val="center"/>
        <w:tblInd w:w="0" w:type="dxa"/>
        <w:tblLayout w:type="fixed"/>
        <w:tblCellMar>
          <w:top w:w="0" w:type="dxa"/>
          <w:left w:w="108" w:type="dxa"/>
          <w:bottom w:w="0" w:type="dxa"/>
          <w:right w:w="108" w:type="dxa"/>
        </w:tblCellMar>
      </w:tblPr>
      <w:tblGrid>
        <w:gridCol w:w="1524"/>
        <w:gridCol w:w="2064"/>
      </w:tblGrid>
      <w:tr>
        <w:trPr/>
        <w:tc>
          <w:tcPr>
            <w:tcW w:w="152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BCCH  Re-use</w:t>
            </w:r>
          </w:p>
        </w:tc>
        <w:tc>
          <w:tcPr>
            <w:tcW w:w="206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Failed attempts [%]</w:t>
            </w:r>
          </w:p>
        </w:tc>
      </w:tr>
      <w:tr>
        <w:trPr/>
        <w:tc>
          <w:tcPr>
            <w:tcW w:w="1524"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2064"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r>
      <w:tr>
        <w:trPr/>
        <w:tc>
          <w:tcPr>
            <w:tcW w:w="1524"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2064"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r>
      <w:tr>
        <w:trPr/>
        <w:tc>
          <w:tcPr>
            <w:tcW w:w="1524"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2064"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w:t>
            </w:r>
          </w:p>
        </w:tc>
      </w:tr>
    </w:tbl>
    <w:p>
      <w:pPr>
        <w:pStyle w:val="FP"/>
        <w:rPr>
          <w:lang w:val="en-US"/>
        </w:rPr>
      </w:pPr>
      <w:r>
        <w:rPr>
          <w:lang w:val="en-US"/>
        </w:rPr>
      </w:r>
    </w:p>
    <w:p>
      <w:pPr>
        <w:pStyle w:val="Heading5"/>
        <w:ind w:left="1701" w:hanging="1701"/>
        <w:rPr/>
      </w:pPr>
      <w:bookmarkStart w:id="1115" w:name="__RefHeading___Toc518036393"/>
      <w:bookmarkEnd w:id="1115"/>
      <w:r>
        <w:rPr>
          <w:lang w:val="en-US"/>
        </w:rPr>
        <w:t>ZF.7.1.3.2.5</w:t>
        <w:tab/>
        <w:t>Capacity</w:t>
      </w:r>
    </w:p>
    <w:p>
      <w:pPr>
        <w:pStyle w:val="Normal"/>
        <w:rPr/>
      </w:pPr>
      <w:r>
        <w:rPr>
          <w:lang w:val="en-US"/>
        </w:rPr>
        <w:t>In 3GPP TR 45.820 the capacity is defined as "spectral efficiency in number of reports/200 kHz/hour". This definition is made with a standalone CIoT system in mind. The system in this evaluation serves only one traffic type (MTC traffic), but the event intensities and packet sizes differ on the downlink and uplink. On the downlink all packet sizes are the same (45 bytes), and have the intensity of 1.4 reports per sector and second. On the uplink the packet sizes are 'randomly' picked from 40, 150 or 1200 bytes and have the intensity of 3 reports per sector and second. Due to the mix of packet sizes and different intensities on uplink and downlink the capacity definition may be less meaningful, but anyway an attempt has been made to present the capacity for the combined intensity of 5.4 reports per sector and second. It should be noted that the measure is not really a capacity measure since it does not reflect the capacity limit of the system but rather at an assumed fixed load.</w:t>
      </w:r>
    </w:p>
    <w:p>
      <w:pPr>
        <w:pStyle w:val="Normal"/>
        <w:rPr/>
      </w:pPr>
      <w:r>
        <w:rPr>
          <w:lang w:val="en-US"/>
        </w:rPr>
        <w:t xml:space="preserve">Capacity is here calculated as </w:t>
      </w:r>
    </w:p>
    <w:p>
      <w:pPr>
        <w:pStyle w:val="Normal"/>
        <w:ind w:firstLine="284"/>
        <w:rPr>
          <w:lang w:val="en-US"/>
        </w:rPr>
      </w:pPr>
      <w:r>
        <w:rPr>
          <w:lang w:val="en-US"/>
        </w:rPr>
        <w:t>(#sent reports per sector per hour)*(1 - failed attempts)/reuse</w:t>
      </w:r>
    </w:p>
    <w:p>
      <w:pPr>
        <w:pStyle w:val="Normal"/>
        <w:rPr/>
      </w:pPr>
      <w:r>
        <w:rPr>
          <w:lang w:val="en-US"/>
        </w:rPr>
        <w:t>The capacity is shown in Table ZF.7.1-5 for the simulated scenarios.</w:t>
      </w:r>
    </w:p>
    <w:p>
      <w:pPr>
        <w:pStyle w:val="TH"/>
        <w:rPr/>
      </w:pPr>
      <w:bookmarkStart w:id="1116" w:name="_Ref435547887"/>
      <w:r>
        <w:rPr>
          <w:lang w:val="en-US"/>
        </w:rPr>
        <w:t xml:space="preserve">Table </w:t>
      </w:r>
      <w:bookmarkEnd w:id="1116"/>
      <w:r>
        <w:rPr>
          <w:lang w:val="en-US"/>
        </w:rPr>
        <w:t>ZF.7.1-5</w:t>
      </w:r>
      <w:r>
        <w:rPr/>
        <w:t>: Capacity</w:t>
      </w:r>
    </w:p>
    <w:tbl>
      <w:tblPr>
        <w:tblW w:w="3213" w:type="dxa"/>
        <w:jc w:val="center"/>
        <w:tblInd w:w="0" w:type="dxa"/>
        <w:tblLayout w:type="fixed"/>
        <w:tblCellMar>
          <w:top w:w="0" w:type="dxa"/>
          <w:left w:w="108" w:type="dxa"/>
          <w:bottom w:w="0" w:type="dxa"/>
          <w:right w:w="108" w:type="dxa"/>
        </w:tblCellMar>
      </w:tblPr>
      <w:tblGrid>
        <w:gridCol w:w="870"/>
        <w:gridCol w:w="2343"/>
      </w:tblGrid>
      <w:tr>
        <w:trPr/>
        <w:tc>
          <w:tcPr>
            <w:tcW w:w="87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BCCH</w:t>
            </w:r>
          </w:p>
          <w:p>
            <w:pPr>
              <w:pStyle w:val="TAH"/>
              <w:rPr>
                <w:lang w:val="en-US" w:eastAsia="en-US"/>
              </w:rPr>
            </w:pPr>
            <w:r>
              <w:rPr>
                <w:lang w:val="en-US" w:eastAsia="en-US"/>
              </w:rPr>
              <w:t>Re-use</w:t>
            </w:r>
          </w:p>
        </w:tc>
        <w:tc>
          <w:tcPr>
            <w:tcW w:w="234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Capacity</w:t>
            </w:r>
          </w:p>
          <w:p>
            <w:pPr>
              <w:pStyle w:val="TAH"/>
              <w:rPr>
                <w:lang w:val="en-US" w:eastAsia="en-US"/>
              </w:rPr>
            </w:pPr>
            <w:r>
              <w:rPr>
                <w:lang w:val="en-US" w:eastAsia="en-US"/>
              </w:rPr>
              <w:t>[reports/200kHz/hour]</w:t>
            </w:r>
          </w:p>
        </w:tc>
      </w:tr>
      <w:tr>
        <w:trPr/>
        <w:tc>
          <w:tcPr>
            <w:tcW w:w="8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234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1620</w:t>
            </w:r>
          </w:p>
        </w:tc>
      </w:tr>
      <w:tr>
        <w:trPr/>
        <w:tc>
          <w:tcPr>
            <w:tcW w:w="8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234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2160</w:t>
            </w:r>
          </w:p>
        </w:tc>
      </w:tr>
      <w:tr>
        <w:trPr/>
        <w:tc>
          <w:tcPr>
            <w:tcW w:w="87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234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6480</w:t>
            </w:r>
          </w:p>
        </w:tc>
      </w:tr>
    </w:tbl>
    <w:p>
      <w:pPr>
        <w:pStyle w:val="Normal"/>
        <w:rPr>
          <w:lang w:val="en-US"/>
        </w:rPr>
      </w:pPr>
      <w:r>
        <w:rPr>
          <w:lang w:val="en-US"/>
        </w:rPr>
      </w:r>
    </w:p>
    <w:p>
      <w:pPr>
        <w:pStyle w:val="Normal"/>
        <w:rPr/>
      </w:pPr>
      <w:r>
        <w:rPr>
          <w:lang w:val="en-US"/>
        </w:rPr>
        <w:t>As can be seen from the table, the 3-reuse scenario has three times higher capacity than the 9-reuse scenario, as expected considering the change in re-use factor, and the fact that no reports fails to be delivered.</w:t>
      </w:r>
    </w:p>
    <w:p>
      <w:pPr>
        <w:pStyle w:val="Heading3"/>
        <w:rPr/>
      </w:pPr>
      <w:bookmarkStart w:id="1117" w:name="__RefHeading___Toc518036394"/>
      <w:bookmarkEnd w:id="1117"/>
      <w:r>
        <w:rPr>
          <w:lang w:val="en-US"/>
        </w:rPr>
        <w:t>ZF.7.1.4</w:t>
        <w:tab/>
        <w:t>Discussion and conclusions</w:t>
      </w:r>
    </w:p>
    <w:p>
      <w:pPr>
        <w:pStyle w:val="Normal"/>
        <w:rPr/>
      </w:pPr>
      <w:r>
        <w:rPr>
          <w:lang w:val="en-US"/>
        </w:rPr>
        <w:t>This paper shows that legacy MTC services may be accommodated on as low BCCH spectrum allocations as 600 kHz with a very marginal increase in TS utilization compared to 1.8 MHz. The transmission delays are increased for some devices; the effect is however rather small compared to the 67% reduction of the required frequency spectrum, corresponding to three times the spectral efficiency. For the 600 kHz spectrum allocation, the network interference levels may need to be controlled by efficient GPRS/EGPRS MS power control settings and BCCH Power Savings.</w:t>
      </w:r>
    </w:p>
    <w:p>
      <w:pPr>
        <w:pStyle w:val="Heading2"/>
        <w:rPr>
          <w:lang w:val="en-US"/>
        </w:rPr>
      </w:pPr>
      <w:bookmarkStart w:id="1118" w:name="__RefHeading___Toc518036395"/>
      <w:bookmarkEnd w:id="1118"/>
      <w:r>
        <w:rPr>
          <w:lang w:val="en-US"/>
        </w:rPr>
        <w:t>ZF.7.2</w:t>
        <w:tab/>
        <w:t>EC-GSM-IoT</w:t>
      </w:r>
    </w:p>
    <w:p>
      <w:pPr>
        <w:pStyle w:val="Heading3"/>
        <w:rPr/>
      </w:pPr>
      <w:bookmarkStart w:id="1119" w:name="__RefHeading___Toc518036396"/>
      <w:bookmarkEnd w:id="1119"/>
      <w:r>
        <w:rPr>
          <w:lang w:val="en-US"/>
        </w:rPr>
        <w:t>ZF.7.2.1</w:t>
        <w:tab/>
        <w:t>Assumptions</w:t>
      </w:r>
    </w:p>
    <w:p>
      <w:pPr>
        <w:pStyle w:val="Heading4"/>
        <w:ind w:left="1418" w:hanging="1418"/>
        <w:rPr/>
      </w:pPr>
      <w:bookmarkStart w:id="1120" w:name="__RefHeading___Toc518036397"/>
      <w:bookmarkEnd w:id="1120"/>
      <w:r>
        <w:rPr>
          <w:lang w:val="en-US"/>
        </w:rPr>
        <w:t>ZF.7.2.1.1</w:t>
        <w:tab/>
        <w:t>Traffic generation</w:t>
      </w:r>
    </w:p>
    <w:p>
      <w:pPr>
        <w:pStyle w:val="Normal"/>
        <w:rPr/>
      </w:pPr>
      <w:r>
        <w:rPr>
          <w:lang w:val="en-US"/>
        </w:rPr>
        <w:t>MTC traffic is generated according to the MAR periodic reporting and Network Command traffic models in 3GPP TR 45.820. The split between these is 80 % MAR periodic and 20 % Network command.</w:t>
      </w:r>
    </w:p>
    <w:p>
      <w:pPr>
        <w:pStyle w:val="Heading4"/>
        <w:ind w:left="1418" w:hanging="1418"/>
        <w:rPr/>
      </w:pPr>
      <w:bookmarkStart w:id="1121" w:name="__RefHeading___Toc518036398"/>
      <w:bookmarkEnd w:id="1121"/>
      <w:r>
        <w:rPr>
          <w:lang w:val="en-US"/>
        </w:rPr>
        <w:t>ZF.7.2.1.2</w:t>
        <w:tab/>
        <w:t>EC-RACH interference</w:t>
      </w:r>
    </w:p>
    <w:p>
      <w:pPr>
        <w:pStyle w:val="Normal"/>
        <w:rPr/>
      </w:pPr>
      <w:r>
        <w:rPr>
          <w:lang w:val="en-US"/>
        </w:rPr>
        <w:t>Interference from EC-RACH without power control has been modelled.</w:t>
      </w:r>
    </w:p>
    <w:p>
      <w:pPr>
        <w:pStyle w:val="Heading4"/>
        <w:ind w:left="1418" w:hanging="1418"/>
        <w:rPr/>
      </w:pPr>
      <w:bookmarkStart w:id="1122" w:name="__RefHeading___Toc518036399"/>
      <w:bookmarkEnd w:id="1122"/>
      <w:r>
        <w:rPr>
          <w:lang w:val="en-US"/>
        </w:rPr>
        <w:t>ZF.7.2.1.3</w:t>
        <w:tab/>
        <w:t>BCCH Power Savings</w:t>
      </w:r>
    </w:p>
    <w:p>
      <w:pPr>
        <w:pStyle w:val="Normal"/>
        <w:rPr/>
      </w:pPr>
      <w:r>
        <w:rPr>
          <w:lang w:val="en-US"/>
        </w:rPr>
        <w:t xml:space="preserve">BCCH power savings can be used to reduce interference on the BCCH frequency layer.  With tighter BCCH frequency re-use the importance of this functionality increases. BCCH power savings can be used with various levels of reduction and selections of what timeslots and channels it should be applied to. For simulator implementation a simple implementation for BCCH PS was used with a reduction of 6 dB for timeslots not used for EC-PDTCH or EC-PACCH. </w:t>
      </w:r>
    </w:p>
    <w:p>
      <w:pPr>
        <w:pStyle w:val="Heading4"/>
        <w:ind w:left="1418" w:hanging="1418"/>
        <w:rPr/>
      </w:pPr>
      <w:bookmarkStart w:id="1123" w:name="__RefHeading___Toc518036400"/>
      <w:bookmarkEnd w:id="1123"/>
      <w:r>
        <w:rPr>
          <w:lang w:val="en-US"/>
        </w:rPr>
        <w:t>ZF.7.2.1.4</w:t>
        <w:tab/>
        <w:t>Uplink Power Backoff</w:t>
      </w:r>
    </w:p>
    <w:p>
      <w:pPr>
        <w:pStyle w:val="Normal"/>
        <w:rPr>
          <w:lang w:val="en-US"/>
        </w:rPr>
      </w:pPr>
      <w:r>
        <w:rPr>
          <w:lang w:val="en-US"/>
        </w:rPr>
        <w:t>A power backoff of maximum 4 dB is used on EC-PDTCH and EC-PACCH in uplink. This power regulation is based on signal strength measurements. It is worth to note the following:</w:t>
      </w:r>
    </w:p>
    <w:p>
      <w:pPr>
        <w:pStyle w:val="B1"/>
        <w:rPr/>
      </w:pPr>
      <w:r>
        <w:rPr>
          <w:lang w:val="en-US"/>
        </w:rPr>
        <w:t>-</w:t>
        <w:tab/>
        <w:t xml:space="preserve">The applied model follows the information provided in the EC-EGPRS CHANNEL REQUEST, see 3GPP TS 44.018. </w:t>
      </w:r>
    </w:p>
    <w:p>
      <w:pPr>
        <w:pStyle w:val="Heading3"/>
        <w:rPr/>
      </w:pPr>
      <w:bookmarkStart w:id="1124" w:name="__RefHeading___Toc518036401"/>
      <w:bookmarkEnd w:id="1124"/>
      <w:r>
        <w:rPr>
          <w:lang w:val="en-US"/>
        </w:rPr>
        <w:t>ZF.7.2.2</w:t>
        <w:tab/>
        <w:t>Simulations</w:t>
      </w:r>
    </w:p>
    <w:p>
      <w:pPr>
        <w:pStyle w:val="Heading4"/>
        <w:ind w:left="1418" w:hanging="1418"/>
        <w:rPr/>
      </w:pPr>
      <w:bookmarkStart w:id="1125" w:name="__RefHeading___Toc518036402"/>
      <w:bookmarkEnd w:id="1125"/>
      <w:r>
        <w:rPr>
          <w:lang w:val="en-US"/>
        </w:rPr>
        <w:t>ZF.7.2.2.1</w:t>
        <w:tab/>
        <w:t>Simulation assumptions</w:t>
      </w:r>
    </w:p>
    <w:p>
      <w:pPr>
        <w:pStyle w:val="Normal"/>
        <w:rPr>
          <w:lang w:val="en-US"/>
        </w:rPr>
      </w:pPr>
      <w:r>
        <w:rPr>
          <w:lang w:val="en-US"/>
        </w:rPr>
        <w:t>The system level simulation assumptions in Annex ZF.1 have been followed. Other specific assumptions are shown in Table ZF.7.2</w:t>
        <w:noBreakHyphen/>
        <w:t>1.</w:t>
      </w:r>
    </w:p>
    <w:p>
      <w:pPr>
        <w:pStyle w:val="Heading5"/>
        <w:ind w:left="1701" w:hanging="1701"/>
        <w:rPr>
          <w:lang w:val="en-US"/>
        </w:rPr>
      </w:pPr>
      <w:bookmarkStart w:id="1126" w:name="__RefHeading___Toc518036403"/>
      <w:bookmarkEnd w:id="1126"/>
      <w:r>
        <w:rPr>
          <w:lang w:val="en-US"/>
        </w:rPr>
        <w:t>ZF.7.2.2.1.1</w:t>
        <w:tab/>
        <w:t>System parameters</w:t>
      </w:r>
    </w:p>
    <w:p>
      <w:pPr>
        <w:pStyle w:val="TH"/>
        <w:rPr>
          <w:lang w:val="en-US"/>
        </w:rPr>
      </w:pPr>
      <w:r>
        <w:rPr>
          <w:lang w:val="en-US"/>
        </w:rPr>
        <w:t>Table ZF.7.2-1: Simulation assumptions, in addition to Annex ZF.1</w:t>
      </w:r>
    </w:p>
    <w:tbl>
      <w:tblPr>
        <w:tblW w:w="7268" w:type="dxa"/>
        <w:jc w:val="center"/>
        <w:tblInd w:w="0" w:type="dxa"/>
        <w:tblLayout w:type="fixed"/>
        <w:tblCellMar>
          <w:top w:w="0" w:type="dxa"/>
          <w:left w:w="108" w:type="dxa"/>
          <w:bottom w:w="0" w:type="dxa"/>
          <w:right w:w="108" w:type="dxa"/>
        </w:tblCellMar>
      </w:tblPr>
      <w:tblGrid>
        <w:gridCol w:w="2808"/>
        <w:gridCol w:w="4460"/>
      </w:tblGrid>
      <w:tr>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Parameter</w:t>
            </w:r>
          </w:p>
        </w:tc>
        <w:tc>
          <w:tcPr>
            <w:tcW w:w="446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Value</w:t>
            </w:r>
          </w:p>
        </w:tc>
      </w:tr>
      <w:tr>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General</w:t>
            </w:r>
          </w:p>
        </w:tc>
        <w:tc>
          <w:tcPr>
            <w:tcW w:w="446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rPr>
            </w:pPr>
            <w:r>
              <w:rPr>
                <w:lang w:val="en-US"/>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Simulation time</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100 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System size</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108 cells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(all frequency re-uses)</w:t>
            </w:r>
          </w:p>
        </w:tc>
        <w:tc>
          <w:tcPr>
            <w:tcW w:w="44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Direction</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UL and DL</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Frequency band</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900 MHz</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Layer</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BCCH</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Frequency re-use</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4/12, 3/9, 1/3</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BTS antenna diversity</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MRC</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BTS output power</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43 dBm</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Cell radius</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577.33 m</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EC-GSM-IoT MTC parameters</w:t>
            </w:r>
          </w:p>
        </w:tc>
        <w:tc>
          <w:tcPr>
            <w:tcW w:w="44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Number of repetitions</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1, 4, 8 and 16</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EC-PDTCH timeslots per cell</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6 PDCH(note 1)</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EC-GSM-IoT MTC arrival rate per cell and second</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6.8 (100%)(note 2)</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Fixed UL allocation</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On</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BT_Threshold_DL</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-92, -101 and -103 dBm for carrier CC DL</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 dB for SINR CC DL</w:t>
            </w:r>
          </w:p>
        </w:tc>
        <w:tc>
          <w:tcPr>
            <w:tcW w:w="44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X (DL_Signal_Strength_Step_Size used in the channel request)</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3 and 6 dB</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BT_Threshold_UL</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-101 dBm</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Coding schemes in DL</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MCS-1, MCS-2, MCS-3 and MCS-4</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Coding scheme in UL</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MCS-1</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EGPRS L2S model</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Approximated by EGPRS L2S (MCS-1) with IR on the UL and without IR on the DL, see Annex ZF.4</w:t>
            </w:r>
          </w:p>
          <w:p>
            <w:pPr>
              <w:pStyle w:val="TAL"/>
              <w:rPr>
                <w:lang w:val="en-US"/>
              </w:rPr>
            </w:pPr>
            <w:r>
              <w:rPr>
                <w:lang w:val="en-US"/>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Minimum delay between subsequent transmissions on EC-PDTCH and EC-PACCH</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1 radio block</w:t>
            </w:r>
          </w:p>
        </w:tc>
      </w:tr>
      <w:tr>
        <w:trPr>
          <w:trHeight w:val="465" w:hRule="atLeast"/>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Incremental Redundancy</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GB"/>
              </w:rPr>
              <w:t>On (UL)</w:t>
            </w:r>
          </w:p>
          <w:p>
            <w:pPr>
              <w:pStyle w:val="TAL"/>
              <w:rPr>
                <w:lang w:val="en-US"/>
              </w:rPr>
            </w:pPr>
            <w:r>
              <w:rPr>
                <w:lang w:val="en-GB"/>
              </w:rPr>
              <w:t>Off (DL)</w:t>
            </w:r>
          </w:p>
        </w:tc>
      </w:tr>
      <w:tr>
        <w:trPr>
          <w:trHeight w:val="1155" w:hRule="atLeast"/>
        </w:trPr>
        <w:tc>
          <w:tcPr>
            <w:tcW w:w="280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Power control</w:t>
            </w:r>
          </w:p>
        </w:tc>
        <w:tc>
          <w:tcPr>
            <w:tcW w:w="44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UL</w:t>
            </w:r>
          </w:p>
          <w:p>
            <w:pPr>
              <w:pStyle w:val="TAL"/>
              <w:rPr>
                <w:lang w:val="en-US"/>
              </w:rPr>
            </w:pPr>
            <w:r>
              <w:rPr>
                <w:lang w:val="en-GB"/>
              </w:rPr>
              <w:t xml:space="preserve">- Off. </w:t>
            </w:r>
          </w:p>
          <w:p>
            <w:pPr>
              <w:pStyle w:val="TAL"/>
              <w:rPr>
                <w:lang w:val="en-US"/>
              </w:rPr>
            </w:pPr>
            <w:r>
              <w:rPr>
                <w:lang w:val="en-GB"/>
              </w:rPr>
              <w:t>- Power savings 6 dB DL if nothing to transmit on BCCH TS2-TS7.</w:t>
            </w:r>
          </w:p>
          <w:p>
            <w:pPr>
              <w:pStyle w:val="TAL"/>
              <w:rPr>
                <w:lang w:val="en-US"/>
              </w:rPr>
            </w:pPr>
            <w:r>
              <w:rPr>
                <w:lang w:val="en-US"/>
              </w:rPr>
              <w:t>DL:</w:t>
            </w:r>
          </w:p>
          <w:p>
            <w:pPr>
              <w:pStyle w:val="TAL"/>
              <w:rPr>
                <w:lang w:val="en-US"/>
              </w:rPr>
            </w:pPr>
            <w:r>
              <w:rPr>
                <w:lang w:val="en-US"/>
              </w:rPr>
              <w:t xml:space="preserve">- On </w:t>
            </w:r>
          </w:p>
          <w:p>
            <w:pPr>
              <w:pStyle w:val="TAL"/>
              <w:rPr>
                <w:lang w:val="en-US"/>
              </w:rPr>
            </w:pPr>
            <w:r>
              <w:rPr>
                <w:lang w:val="en-US"/>
              </w:rPr>
              <w:t xml:space="preserve">- </w:t>
            </w:r>
            <w:r>
              <w:rPr>
                <w:lang w:val="en-GB"/>
              </w:rPr>
              <w:t>0, 2 and 4 dB for EC-PDTCH/U and EC-PACCH/U depending on content of channel request</w:t>
            </w:r>
          </w:p>
        </w:tc>
      </w:tr>
      <w:tr>
        <w:trPr/>
        <w:tc>
          <w:tcPr>
            <w:tcW w:w="7268" w:type="dxa"/>
            <w:gridSpan w:val="2"/>
            <w:tcBorders>
              <w:top w:val="single" w:sz="4" w:space="0" w:color="000000"/>
              <w:left w:val="single" w:sz="4" w:space="0" w:color="000000"/>
              <w:bottom w:val="single" w:sz="4" w:space="0" w:color="000000"/>
              <w:right w:val="single" w:sz="4" w:space="0" w:color="000000"/>
            </w:tcBorders>
            <w:vAlign w:val="center"/>
          </w:tcPr>
          <w:p>
            <w:pPr>
              <w:pStyle w:val="TAN"/>
              <w:rPr/>
            </w:pPr>
            <w:r>
              <w:rPr>
                <w:lang w:val="en-US"/>
              </w:rPr>
              <w:t>NOTE 1:</w:t>
              <w:tab/>
              <w:t xml:space="preserve">The system simulator uses a network wide timeslot alignment with a random timeslot offset between cells. </w:t>
            </w:r>
          </w:p>
          <w:p>
            <w:pPr>
              <w:pStyle w:val="TAN"/>
              <w:rPr>
                <w:lang w:val="en-US"/>
              </w:rPr>
            </w:pPr>
            <w:r>
              <w:rPr>
                <w:lang w:val="en-US"/>
              </w:rPr>
              <w:t>NOTE 2:</w:t>
              <w:tab/>
              <w:t>Derived from traffic models in 3GPP TR 45.820. 6.8 reports/commands per cell and second corresponds to the targeted number of devices per sector in the study.</w:t>
            </w:r>
          </w:p>
        </w:tc>
      </w:tr>
    </w:tbl>
    <w:p>
      <w:pPr>
        <w:pStyle w:val="FP"/>
        <w:rPr>
          <w:lang w:val="en-US"/>
        </w:rPr>
      </w:pPr>
      <w:r>
        <w:rPr>
          <w:lang w:val="en-US"/>
        </w:rPr>
      </w:r>
    </w:p>
    <w:p>
      <w:pPr>
        <w:pStyle w:val="Heading5"/>
        <w:ind w:left="1701" w:hanging="1701"/>
        <w:rPr/>
      </w:pPr>
      <w:bookmarkStart w:id="1127" w:name="__RefHeading___Toc518036404"/>
      <w:bookmarkEnd w:id="1127"/>
      <w:r>
        <w:rPr>
          <w:lang w:val="en-US"/>
        </w:rPr>
        <w:t>ZF.7.2.2.1.2</w:t>
        <w:tab/>
        <w:t>Cell selection and uplink coverage class selection</w:t>
      </w:r>
    </w:p>
    <w:p>
      <w:pPr>
        <w:pStyle w:val="Normal"/>
        <w:rPr/>
      </w:pPr>
      <w:r>
        <w:rPr>
          <w:lang w:val="en-US"/>
        </w:rPr>
        <w:t xml:space="preserve">Cell selection and uplink coverage class selection was based on carrier measurements according to the simulator model in Annex ZF.9 taking 5 samples per measured cell over 5 seconds. </w:t>
      </w:r>
    </w:p>
    <w:p>
      <w:pPr>
        <w:pStyle w:val="Normal"/>
        <w:rPr/>
      </w:pPr>
      <w:r>
        <w:rPr>
          <w:lang w:val="en-US"/>
        </w:rPr>
        <w:t>No cell re-selection has been modeled. The users arrive in the system, perform measurements in idle mode to select a cell to camp on, and then connect to the network. As per the EC-GSM-IoT specification, no measurements for cell reselection are performed in packet transfer mode (PTM), and consequently no cell reselection is performed in PTM.</w:t>
      </w:r>
    </w:p>
    <w:p>
      <w:pPr>
        <w:pStyle w:val="Heading5"/>
        <w:ind w:left="1701" w:hanging="1701"/>
        <w:rPr/>
      </w:pPr>
      <w:bookmarkStart w:id="1128" w:name="__RefHeading___Toc518036405"/>
      <w:bookmarkEnd w:id="1128"/>
      <w:r>
        <w:rPr>
          <w:lang w:val="en-US"/>
        </w:rPr>
        <w:t>ZF.7.2.2.1.3</w:t>
        <w:tab/>
        <w:t>Downlink coverage class selection and coding scheme selection</w:t>
      </w:r>
    </w:p>
    <w:p>
      <w:pPr>
        <w:pStyle w:val="Normal"/>
        <w:rPr/>
      </w:pPr>
      <w:r>
        <w:rPr>
          <w:lang w:val="en-US"/>
        </w:rPr>
        <w:t>Downlink coverage class selection was based on either SINR or carrier measurements according to the model in Annex ZF.9 taking 5 samples per measured cell over 5 seconds. The BT_Threshold_DL and X used for the simulations are reported in Table ZF.7.2</w:t>
        <w:noBreakHyphen/>
        <w:t>2.</w:t>
      </w:r>
    </w:p>
    <w:p>
      <w:pPr>
        <w:pStyle w:val="TH"/>
        <w:rPr>
          <w:lang w:val="en-US"/>
        </w:rPr>
      </w:pPr>
      <w:r>
        <w:rPr>
          <w:lang w:val="en-US"/>
        </w:rPr>
        <w:t>Table ZF.7.2-2: BT_Threshold_DL and X for Carrier and SINR CC DL.</w:t>
      </w:r>
    </w:p>
    <w:tbl>
      <w:tblPr>
        <w:tblW w:w="9570" w:type="dxa"/>
        <w:jc w:val="center"/>
        <w:tblInd w:w="0" w:type="dxa"/>
        <w:tblLayout w:type="fixed"/>
        <w:tblCellMar>
          <w:top w:w="0" w:type="dxa"/>
          <w:left w:w="108" w:type="dxa"/>
          <w:bottom w:w="0" w:type="dxa"/>
          <w:right w:w="108" w:type="dxa"/>
        </w:tblCellMar>
      </w:tblPr>
      <w:tblGrid>
        <w:gridCol w:w="1767"/>
        <w:gridCol w:w="2169"/>
        <w:gridCol w:w="1878"/>
        <w:gridCol w:w="1878"/>
        <w:gridCol w:w="1878"/>
      </w:tblGrid>
      <w:tr>
        <w:trPr/>
        <w:tc>
          <w:tcPr>
            <w:tcW w:w="176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BCCH re-use</w:t>
            </w:r>
          </w:p>
        </w:tc>
        <w:tc>
          <w:tcPr>
            <w:tcW w:w="4047"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Carrier CC DL</w:t>
            </w:r>
          </w:p>
        </w:tc>
        <w:tc>
          <w:tcPr>
            <w:tcW w:w="3756"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SINR CC DL</w:t>
            </w:r>
          </w:p>
        </w:tc>
      </w:tr>
      <w:tr>
        <w:trPr/>
        <w:tc>
          <w:tcPr>
            <w:tcW w:w="176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Arial" w:hAnsi="Arial" w:cs="Arial"/>
                <w:b/>
                <w:b/>
                <w:sz w:val="18"/>
                <w:lang w:val="en-US" w:eastAsia="en-US"/>
              </w:rPr>
            </w:pPr>
            <w:r>
              <w:rPr>
                <w:rFonts w:cs="Arial"/>
                <w:b/>
                <w:sz w:val="18"/>
                <w:lang w:val="en-US" w:eastAsia="en-US"/>
              </w:rPr>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BT_Threshold_DL</w:t>
            </w:r>
          </w:p>
          <w:p>
            <w:pPr>
              <w:pStyle w:val="TAC"/>
              <w:rPr>
                <w:lang w:val="en-US"/>
              </w:rPr>
            </w:pPr>
            <w:r>
              <w:rPr>
                <w:lang w:val="en-US"/>
              </w:rPr>
              <w:t>[dBm]</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p>
            <w:pPr>
              <w:pStyle w:val="TAC"/>
              <w:rPr>
                <w:lang w:val="en-US"/>
              </w:rPr>
            </w:pPr>
            <w:r>
              <w:rPr>
                <w:lang w:val="en-US"/>
              </w:rPr>
              <w:t>[dB]</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BT_Threshold_UL</w:t>
            </w:r>
          </w:p>
          <w:p>
            <w:pPr>
              <w:pStyle w:val="TAC"/>
              <w:rPr>
                <w:lang w:val="en-US"/>
              </w:rPr>
            </w:pPr>
            <w:r>
              <w:rPr>
                <w:lang w:val="en-US"/>
              </w:rPr>
              <w:t>[dB]</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X</w:t>
            </w:r>
          </w:p>
          <w:p>
            <w:pPr>
              <w:pStyle w:val="TAC"/>
              <w:rPr>
                <w:lang w:val="en-US"/>
              </w:rPr>
            </w:pPr>
            <w:r>
              <w:rPr>
                <w:lang w:val="en-US"/>
              </w:rPr>
              <w:t>[dB]</w:t>
            </w:r>
          </w:p>
        </w:tc>
      </w:tr>
      <w:tr>
        <w:trPr/>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4/12 re-use</w:t>
            </w:r>
          </w:p>
        </w:tc>
        <w:tc>
          <w:tcPr>
            <w:tcW w:w="216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-103</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r>
      <w:tr>
        <w:trPr/>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3/9 re-use</w:t>
            </w:r>
          </w:p>
        </w:tc>
        <w:tc>
          <w:tcPr>
            <w:tcW w:w="216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-101</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r>
      <w:tr>
        <w:trPr/>
        <w:tc>
          <w:tcPr>
            <w:tcW w:w="176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1/3 re-use</w:t>
            </w:r>
          </w:p>
        </w:tc>
        <w:tc>
          <w:tcPr>
            <w:tcW w:w="2169"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-92</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6</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w:t>
            </w:r>
          </w:p>
        </w:tc>
        <w:tc>
          <w:tcPr>
            <w:tcW w:w="1878"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w:t>
            </w:r>
          </w:p>
        </w:tc>
      </w:tr>
    </w:tbl>
    <w:p>
      <w:pPr>
        <w:pStyle w:val="Normal"/>
        <w:rPr>
          <w:lang w:val="en-US"/>
        </w:rPr>
      </w:pPr>
      <w:r>
        <w:rPr>
          <w:lang w:val="en-US"/>
        </w:rPr>
      </w:r>
    </w:p>
    <w:p>
      <w:pPr>
        <w:pStyle w:val="Normal"/>
        <w:rPr/>
      </w:pPr>
      <w:r>
        <w:rPr>
          <w:lang w:val="en-US"/>
        </w:rPr>
        <w:t>In the simulations no link adaptation was used. Instead the coding scheme was intially selected to MCS-1, MCS-2, MCS-3 or MCS-4 depending on the measured SINR or carrier value reported in the EC-EGPRS CHANNEL REQUEST by the MS, see 3GPP TS 44.018, and remained the same throughout the duration of the EC TBF. The MCS choice for carrier based and SINR based downlink coverage class selection are reported in Table ZF.7.2</w:t>
        <w:noBreakHyphen/>
        <w:t>3 and Table ZF.7.2</w:t>
        <w:noBreakHyphen/>
        <w:t xml:space="preserve">4 respectively and are based on the "DL Coverage Class" field reported by the MS in the channel request. This is a 3-bit field and hence 8 different code points can be communicated. The code points for the DL Coverage Class field are referred to as "CC CP".  </w:t>
      </w:r>
    </w:p>
    <w:p>
      <w:pPr>
        <w:pStyle w:val="TH"/>
        <w:rPr>
          <w:lang w:val="en-US"/>
        </w:rPr>
      </w:pPr>
      <w:r>
        <w:rPr>
          <w:lang w:val="en-US"/>
        </w:rPr>
        <w:t>Table ZF.7.2-3: MCS choice for carrier based downlink coverage class selection.</w:t>
      </w:r>
    </w:p>
    <w:tbl>
      <w:tblPr>
        <w:tblW w:w="9806" w:type="dxa"/>
        <w:jc w:val="center"/>
        <w:tblInd w:w="0" w:type="dxa"/>
        <w:tblLayout w:type="fixed"/>
        <w:tblCellMar>
          <w:top w:w="0" w:type="dxa"/>
          <w:left w:w="108" w:type="dxa"/>
          <w:bottom w:w="0" w:type="dxa"/>
          <w:right w:w="108" w:type="dxa"/>
        </w:tblCellMar>
      </w:tblPr>
      <w:tblGrid>
        <w:gridCol w:w="1235"/>
        <w:gridCol w:w="1200"/>
        <w:gridCol w:w="1053"/>
        <w:gridCol w:w="1053"/>
        <w:gridCol w:w="1053"/>
        <w:gridCol w:w="1053"/>
        <w:gridCol w:w="1053"/>
        <w:gridCol w:w="1053"/>
        <w:gridCol w:w="1053"/>
      </w:tblGrid>
      <w:tr>
        <w:trPr/>
        <w:tc>
          <w:tcPr>
            <w:tcW w:w="1235"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CC CP</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0</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1</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2</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3</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4</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5</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6</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7</w:t>
            </w:r>
          </w:p>
        </w:tc>
      </w:tr>
      <w:tr>
        <w:trPr/>
        <w:tc>
          <w:tcPr>
            <w:tcW w:w="123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4/12 re-use</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2</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4</w:t>
            </w:r>
          </w:p>
        </w:tc>
      </w:tr>
      <w:tr>
        <w:trPr/>
        <w:tc>
          <w:tcPr>
            <w:tcW w:w="123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3/9 re-use</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2</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4</w:t>
            </w:r>
          </w:p>
        </w:tc>
      </w:tr>
      <w:tr>
        <w:trPr/>
        <w:tc>
          <w:tcPr>
            <w:tcW w:w="123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1/3 re-use</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2</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3</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4</w:t>
            </w:r>
          </w:p>
        </w:tc>
      </w:tr>
    </w:tbl>
    <w:p>
      <w:pPr>
        <w:pStyle w:val="FP"/>
        <w:rPr>
          <w:lang w:val="en-US"/>
        </w:rPr>
      </w:pPr>
      <w:r>
        <w:rPr>
          <w:lang w:val="en-US"/>
        </w:rPr>
      </w:r>
    </w:p>
    <w:p>
      <w:pPr>
        <w:pStyle w:val="TH"/>
        <w:rPr>
          <w:lang w:val="en-US"/>
        </w:rPr>
      </w:pPr>
      <w:r>
        <w:rPr>
          <w:lang w:val="en-US"/>
        </w:rPr>
        <w:t>Table ZF.7.2-4: MCS choice for carrier based downlink coverage class selection.</w:t>
      </w:r>
    </w:p>
    <w:tbl>
      <w:tblPr>
        <w:tblW w:w="9806" w:type="dxa"/>
        <w:jc w:val="center"/>
        <w:tblInd w:w="0" w:type="dxa"/>
        <w:tblLayout w:type="fixed"/>
        <w:tblCellMar>
          <w:top w:w="0" w:type="dxa"/>
          <w:left w:w="108" w:type="dxa"/>
          <w:bottom w:w="0" w:type="dxa"/>
          <w:right w:w="108" w:type="dxa"/>
        </w:tblCellMar>
      </w:tblPr>
      <w:tblGrid>
        <w:gridCol w:w="1235"/>
        <w:gridCol w:w="1200"/>
        <w:gridCol w:w="1053"/>
        <w:gridCol w:w="1053"/>
        <w:gridCol w:w="1053"/>
        <w:gridCol w:w="1053"/>
        <w:gridCol w:w="1053"/>
        <w:gridCol w:w="1053"/>
        <w:gridCol w:w="1053"/>
      </w:tblGrid>
      <w:tr>
        <w:trPr/>
        <w:tc>
          <w:tcPr>
            <w:tcW w:w="1235"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CC CP</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0</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1</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2</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3</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4</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5</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6</w:t>
            </w:r>
          </w:p>
        </w:tc>
        <w:tc>
          <w:tcPr>
            <w:tcW w:w="105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7</w:t>
            </w:r>
          </w:p>
        </w:tc>
      </w:tr>
      <w:tr>
        <w:trPr/>
        <w:tc>
          <w:tcPr>
            <w:tcW w:w="123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4/12 re-use</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2</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4</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4</w:t>
            </w:r>
          </w:p>
        </w:tc>
      </w:tr>
      <w:tr>
        <w:trPr/>
        <w:tc>
          <w:tcPr>
            <w:tcW w:w="123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3/9 re-use</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2</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4</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4</w:t>
            </w:r>
          </w:p>
        </w:tc>
      </w:tr>
      <w:tr>
        <w:trPr/>
        <w:tc>
          <w:tcPr>
            <w:tcW w:w="1235"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1/3 re-use</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1</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2</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3</w:t>
            </w:r>
          </w:p>
        </w:tc>
        <w:tc>
          <w:tcPr>
            <w:tcW w:w="105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MCS 4</w:t>
            </w:r>
          </w:p>
        </w:tc>
      </w:tr>
    </w:tbl>
    <w:p>
      <w:pPr>
        <w:pStyle w:val="Normal"/>
        <w:rPr>
          <w:lang w:val="en-US"/>
        </w:rPr>
      </w:pPr>
      <w:r>
        <w:rPr>
          <w:lang w:val="en-US"/>
        </w:rPr>
      </w:r>
    </w:p>
    <w:p>
      <w:pPr>
        <w:pStyle w:val="Heading5"/>
        <w:ind w:left="1701" w:hanging="1701"/>
        <w:rPr/>
      </w:pPr>
      <w:bookmarkStart w:id="1129" w:name="__RefHeading___Toc518036406"/>
      <w:bookmarkEnd w:id="1129"/>
      <w:r>
        <w:rPr>
          <w:lang w:val="en-US"/>
        </w:rPr>
        <w:t>ZF.7.2.2.1.4</w:t>
        <w:tab/>
        <w:t>Control signaling</w:t>
      </w:r>
    </w:p>
    <w:p>
      <w:pPr>
        <w:pStyle w:val="Normal"/>
        <w:rPr/>
      </w:pPr>
      <w:r>
        <w:rPr>
          <w:lang w:val="en-US"/>
        </w:rPr>
        <w:t>Packet uplink ACK/NACK (PUAN) is sent on EC-PACCH/D to (negatively) acknowledge data sent in the UL and assign fixed allocations to the MS. If a PUAN is unsuccessfully received the negative acknowledged blocks will not be transmitted, i.e. the allocated MS will not transmit anything, but the radio block resources are consumed and logged as such, contributing to the overall resource usage.</w:t>
      </w:r>
    </w:p>
    <w:p>
      <w:pPr>
        <w:pStyle w:val="Normal"/>
        <w:rPr>
          <w:lang w:val="en-US"/>
        </w:rPr>
      </w:pPr>
      <w:r>
        <w:rPr>
          <w:lang w:val="en-US"/>
        </w:rPr>
        <w:t>Packet downlink ACK/NACK (PDAN) is sent on EC-PACCH/U to (negatively) acknowledge data sent in the DL.</w:t>
      </w:r>
    </w:p>
    <w:p>
      <w:pPr>
        <w:pStyle w:val="Normal"/>
        <w:rPr>
          <w:lang w:val="en-US"/>
        </w:rPr>
      </w:pPr>
      <w:r>
        <w:rPr>
          <w:lang w:val="en-US"/>
        </w:rPr>
        <w:t>EC-PACCH specific Link to System mappings has been used for EC-PACCH/D and EC-PACCH/U.</w:t>
      </w:r>
    </w:p>
    <w:p>
      <w:pPr>
        <w:pStyle w:val="Heading5"/>
        <w:ind w:left="1701" w:hanging="1701"/>
        <w:rPr>
          <w:lang w:val="en-US"/>
        </w:rPr>
      </w:pPr>
      <w:bookmarkStart w:id="1130" w:name="__RefHeading___Toc518036407"/>
      <w:bookmarkEnd w:id="1130"/>
      <w:r>
        <w:rPr>
          <w:lang w:val="en-US"/>
        </w:rPr>
        <w:t>ZF.7.2.2.1.5</w:t>
        <w:tab/>
        <w:t>Simulated scenarios</w:t>
      </w:r>
    </w:p>
    <w:p>
      <w:pPr>
        <w:pStyle w:val="Normal"/>
        <w:rPr/>
      </w:pPr>
      <w:r>
        <w:rPr>
          <w:lang w:val="en-US"/>
        </w:rPr>
        <w:t xml:space="preserve">The simulated scenarios are for downlink coverage class selection based on measured SINR and carrier signal strength for 4/12, 3/9 and 1/3 re-use, and tables and figures are presented in section ZF.7.2.3.2.  The thresholds and the coverage class code point dependent DL MCS choice both for the SINR and carrier scenarios have been optimized to give low timeslot utilization, short delay and high capacity while aiming for an EC-PDTCH DL BLER target of 20 % for MCS-1 in order to ensure robustness of the system. For higher MCSs a higher BLER has been allowed, considering that the RCL/MAC header would still experience a low BLER level at the SINR where the higher MCSs are used. </w:t>
      </w:r>
    </w:p>
    <w:p>
      <w:pPr>
        <w:pStyle w:val="Heading4"/>
        <w:ind w:left="1418" w:hanging="1418"/>
        <w:rPr/>
      </w:pPr>
      <w:bookmarkStart w:id="1131" w:name="__RefHeading___Toc518036408"/>
      <w:bookmarkEnd w:id="1131"/>
      <w:r>
        <w:rPr>
          <w:lang w:val="en-US"/>
        </w:rPr>
        <w:t>ZF.7.2.2.2</w:t>
        <w:tab/>
        <w:t>Results</w:t>
      </w:r>
    </w:p>
    <w:p>
      <w:pPr>
        <w:pStyle w:val="Normal"/>
        <w:rPr>
          <w:lang w:val="en-US"/>
        </w:rPr>
      </w:pPr>
      <w:r>
        <w:rPr>
          <w:lang w:val="en-US"/>
        </w:rPr>
        <w:t>The results presented are:</w:t>
      </w:r>
    </w:p>
    <w:p>
      <w:pPr>
        <w:pStyle w:val="B1"/>
        <w:rPr/>
      </w:pPr>
      <w:r>
        <w:rPr>
          <w:lang w:val="fr-FR"/>
        </w:rPr>
        <w:t>-</w:t>
        <w:tab/>
        <w:t>Resource (TS) Usage (section ZF.7.2.3.2.1)</w:t>
      </w:r>
    </w:p>
    <w:p>
      <w:pPr>
        <w:pStyle w:val="B2"/>
        <w:rPr/>
      </w:pPr>
      <w:r>
        <w:rPr>
          <w:lang w:val="en-US"/>
        </w:rPr>
        <w:t>-</w:t>
        <w:tab/>
        <w:t>This represents the average amount of EC-PDTCH DL and UL TS resources required on average per cell in the system, for the different scenarios, see Table ZF.7.2</w:t>
        <w:noBreakHyphen/>
        <w:t>5.</w:t>
      </w:r>
    </w:p>
    <w:p>
      <w:pPr>
        <w:pStyle w:val="B1"/>
        <w:rPr/>
      </w:pPr>
      <w:r>
        <w:rPr>
          <w:lang w:val="en-US"/>
        </w:rPr>
        <w:t>-</w:t>
        <w:tab/>
        <w:t>Latency of MAR periodic reports (section ZF.7.2.3.2.2)</w:t>
      </w:r>
    </w:p>
    <w:p>
      <w:pPr>
        <w:pStyle w:val="B2"/>
        <w:rPr/>
      </w:pPr>
      <w:r>
        <w:rPr>
          <w:lang w:val="en-US"/>
        </w:rPr>
        <w:t>-</w:t>
        <w:tab/>
        <w:t xml:space="preserve">The latency includes time to transfer the message excluding common control signaling delay (presented in a separate evaluation, see Annex ZF.3). </w:t>
      </w:r>
    </w:p>
    <w:p>
      <w:pPr>
        <w:pStyle w:val="B2"/>
        <w:rPr/>
      </w:pPr>
      <w:r>
        <w:rPr>
          <w:lang w:val="en-US"/>
        </w:rPr>
        <w:t>-</w:t>
        <w:tab/>
        <w:t>The results are presented as CDFs of the delay at the target traffic load (6.81 users per cell and second).</w:t>
      </w:r>
    </w:p>
    <w:p>
      <w:pPr>
        <w:pStyle w:val="B2"/>
        <w:rPr/>
      </w:pPr>
      <w:r>
        <w:rPr>
          <w:lang w:val="en-US"/>
        </w:rPr>
        <w:t>-</w:t>
        <w:tab/>
        <w:t>Failed attempts are not included in the statistics (following the agreed methodology).</w:t>
      </w:r>
    </w:p>
    <w:p>
      <w:pPr>
        <w:pStyle w:val="B1"/>
        <w:rPr/>
      </w:pPr>
      <w:r>
        <w:rPr>
          <w:lang w:val="en-US"/>
        </w:rPr>
        <w:t>-</w:t>
        <w:tab/>
        <w:t>Latency of DL application Ack (section ZF.7.2.3.2.3)</w:t>
      </w:r>
    </w:p>
    <w:p>
      <w:pPr>
        <w:pStyle w:val="B2"/>
        <w:rPr/>
      </w:pPr>
      <w:r>
        <w:rPr>
          <w:lang w:val="en-US"/>
        </w:rPr>
        <w:t>-</w:t>
        <w:tab/>
        <w:t>Latency is measured from the time an application layer DL ACK is received at the base station till the time when the device has successfully received the application layer DL ACK</w:t>
      </w:r>
    </w:p>
    <w:p>
      <w:pPr>
        <w:pStyle w:val="B2"/>
        <w:rPr/>
      </w:pPr>
      <w:r>
        <w:rPr>
          <w:lang w:val="en-US"/>
        </w:rPr>
        <w:t>-</w:t>
        <w:tab/>
        <w:t>The results are presented as CDFs of the delay at the target traffic load (6.8 users per cell and second).</w:t>
      </w:r>
    </w:p>
    <w:p>
      <w:pPr>
        <w:pStyle w:val="B1"/>
        <w:rPr/>
      </w:pPr>
      <w:r>
        <w:rPr>
          <w:lang w:val="en-US"/>
        </w:rPr>
        <w:t>-</w:t>
        <w:tab/>
        <w:t>Failed attempts (section ZF.7.2.3.2.4)</w:t>
      </w:r>
    </w:p>
    <w:p>
      <w:pPr>
        <w:pStyle w:val="B2"/>
        <w:rPr/>
      </w:pPr>
      <w:r>
        <w:rPr>
          <w:lang w:val="en-US"/>
        </w:rPr>
        <w:t>-</w:t>
        <w:tab/>
        <w:t>This represents the percentage of the attempts that were not successful, i.e. did not manage to get the report through during 20 seconds.</w:t>
      </w:r>
    </w:p>
    <w:p>
      <w:pPr>
        <w:pStyle w:val="B1"/>
        <w:rPr/>
      </w:pPr>
      <w:r>
        <w:rPr>
          <w:lang w:val="en-US"/>
        </w:rPr>
        <w:t>-</w:t>
        <w:tab/>
        <w:t>Uplink capacity (section ZF.7.2.3.2.5)</w:t>
      </w:r>
    </w:p>
    <w:p>
      <w:pPr>
        <w:pStyle w:val="B2"/>
        <w:rPr/>
      </w:pPr>
      <w:r>
        <w:rPr>
          <w:lang w:val="en-US"/>
        </w:rPr>
        <w:t>-</w:t>
        <w:tab/>
        <w:t>Uplink capacity is defined as "spectral efficiency in number of reports/200 kHz/hour". Results are shown in Table ZF.7.2</w:t>
        <w:noBreakHyphen/>
        <w:t>6.</w:t>
      </w:r>
    </w:p>
    <w:p>
      <w:pPr>
        <w:pStyle w:val="Heading5"/>
        <w:ind w:left="1701" w:hanging="1701"/>
        <w:rPr/>
      </w:pPr>
      <w:bookmarkStart w:id="1132" w:name="__RefHeading___Toc518036409"/>
      <w:bookmarkEnd w:id="1132"/>
      <w:r>
        <w:rPr>
          <w:lang w:val="en-US"/>
        </w:rPr>
        <w:t>ZF.7.2.2.2.1</w:t>
        <w:tab/>
        <w:t>TS Usage</w:t>
      </w:r>
    </w:p>
    <w:p>
      <w:pPr>
        <w:pStyle w:val="Normal"/>
        <w:rPr>
          <w:lang w:val="en-US"/>
        </w:rPr>
      </w:pPr>
      <w:r>
        <w:rPr>
          <w:lang w:val="en-US"/>
        </w:rPr>
        <w:t>The TS Usage is shown in Table ZF.7.2</w:t>
        <w:noBreakHyphen/>
        <w:t>5 for the downlink and uplink. On the downlink, the TS Usage increases from 0.35 TS to 0.70 TS for SINR based downlink coverage class selection and to 0.77 TS for carrier based downlink coverage class when the reuse is changed from 4/12 to 1/3. Thus, the timeslot utilization increases approximately 2.0 times for SINR and 2.2 times for carrier based downlink coverage class selection while the used frequency bandwidth is reduced four times.</w:t>
      </w:r>
    </w:p>
    <w:p>
      <w:pPr>
        <w:pStyle w:val="TH"/>
        <w:rPr/>
      </w:pPr>
      <w:r>
        <w:rPr>
          <w:lang w:val="en-US"/>
        </w:rPr>
        <w:t xml:space="preserve">Table ZF7.2-5: PDCH resource usage for EC-GSM-IoT on the downlink and uplink, 33 / 23 </w:t>
      </w:r>
      <w:r>
        <w:rPr/>
        <w:t>dBm</w:t>
      </w:r>
    </w:p>
    <w:tbl>
      <w:tblPr>
        <w:tblW w:w="7813" w:type="dxa"/>
        <w:jc w:val="center"/>
        <w:tblInd w:w="0" w:type="dxa"/>
        <w:tblLayout w:type="fixed"/>
        <w:tblCellMar>
          <w:top w:w="0" w:type="dxa"/>
          <w:left w:w="108" w:type="dxa"/>
          <w:bottom w:w="0" w:type="dxa"/>
          <w:right w:w="108" w:type="dxa"/>
        </w:tblCellMar>
      </w:tblPr>
      <w:tblGrid>
        <w:gridCol w:w="973"/>
        <w:gridCol w:w="1710"/>
        <w:gridCol w:w="1710"/>
        <w:gridCol w:w="1710"/>
        <w:gridCol w:w="1710"/>
      </w:tblGrid>
      <w:tr>
        <w:trPr/>
        <w:tc>
          <w:tcPr>
            <w:tcW w:w="97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3420"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 xml:space="preserve">Resource usage </w:t>
              <w:br/>
              <w:t>DL [#TS]</w:t>
            </w:r>
          </w:p>
        </w:tc>
        <w:tc>
          <w:tcPr>
            <w:tcW w:w="3420"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 xml:space="preserve">Resource usage </w:t>
              <w:br/>
              <w:t>UL [#TS]</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SINR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Carrier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SINR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Carrier CC DL</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0.35 / 0.35</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0.35 / 0.36</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0.85 / 1.60</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0.84 / 1.59</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0.37 / 0.37</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0.37 / 0.38</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0.85 / 1.59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0.85 / 1.60</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0.70 / 0.68</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0.75 / 0.73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0.91 / 1.69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0.92 / 1.68</w:t>
            </w:r>
          </w:p>
        </w:tc>
      </w:tr>
    </w:tbl>
    <w:p>
      <w:pPr>
        <w:pStyle w:val="Normal"/>
        <w:rPr>
          <w:lang w:val="en-US"/>
        </w:rPr>
      </w:pPr>
      <w:r>
        <w:rPr>
          <w:lang w:val="en-US"/>
        </w:rPr>
      </w:r>
    </w:p>
    <w:p>
      <w:pPr>
        <w:pStyle w:val="Normal"/>
        <w:rPr/>
      </w:pPr>
      <w:r>
        <w:rPr>
          <w:lang w:val="en-US"/>
        </w:rPr>
        <w:t>It can be noted that the resource increase for the carrier based CC selection is mainly due to more conservative settings (see Table ZF.7.2</w:t>
        <w:noBreakHyphen/>
        <w:t>2) when switching between coverage classes with the aim to roughly operate in the same BLER region irrespective of re-use. Generally it applies that the tighter the re-use the more interference in the system, the more conservative the coverage class thresholds (to lower operative BLER points by using blind transmissions), and the more resources are used. For SINR the same thresholds are used in all simulations (see Table ZF.7.2</w:t>
        <w:noBreakHyphen/>
        <w:t>2) which will shift the coverage class distribution to more users in CC2 and above, when increasing the interference levels in the system (going to a tighter re-use).</w:t>
      </w:r>
    </w:p>
    <w:p>
      <w:pPr>
        <w:pStyle w:val="Normal"/>
        <w:rPr/>
      </w:pPr>
      <w:r>
        <w:rPr>
          <w:lang w:val="en-US"/>
        </w:rPr>
        <w:t>Further, it can be noted that carrier based downlink coverage class selection gives approximately 7 % higher downlink TS usage than SINR based downlink coverage class selection in 1/3 re-use. This is however not the only benefit seen, as will be seen below. In actuality there is a trade-off between all metrics presented in this paper, e.g. a lower resource usage would have an impact on latency, CC distribution and failed attempts. All output need to be analyzed jointly.</w:t>
      </w:r>
    </w:p>
    <w:p>
      <w:pPr>
        <w:pStyle w:val="Heading5"/>
        <w:ind w:left="1701" w:hanging="1701"/>
        <w:rPr/>
      </w:pPr>
      <w:bookmarkStart w:id="1133" w:name="__RefHeading___Toc518036410"/>
      <w:bookmarkEnd w:id="1133"/>
      <w:r>
        <w:rPr>
          <w:lang w:val="en-US"/>
        </w:rPr>
        <w:t>ZF.7.2.2.2.2</w:t>
        <w:tab/>
        <w:t>Latency of MAR periodic reports</w:t>
      </w:r>
    </w:p>
    <w:p>
      <w:pPr>
        <w:pStyle w:val="Normal"/>
        <w:rPr>
          <w:lang w:val="en-US"/>
        </w:rPr>
      </w:pPr>
      <w:r>
        <w:rPr>
          <w:lang w:val="en-US"/>
        </w:rPr>
        <w:t>The latency of MAR periodic reports is represented by the latency of the data transfer, i.e. the common control signaling delay is not included. A few users will experience an increased delay as seen in Figure ZF.7.2-1. The delays are increasing with tighter frequency re-use.</w:t>
      </w:r>
    </w:p>
    <w:p>
      <w:pPr>
        <w:pStyle w:val="TH"/>
        <w:rPr>
          <w:lang w:val="en-US" w:eastAsia="en-US"/>
        </w:rPr>
      </w:pPr>
      <w:r>
        <w:rPr>
          <w:lang w:val="en-US" w:eastAsia="en-US"/>
        </w:rPr>
        <w:drawing>
          <wp:inline distT="0" distB="0" distL="0" distR="0">
            <wp:extent cx="2926080" cy="2201545"/>
            <wp:effectExtent l="0" t="0" r="0" b="0"/>
            <wp:docPr id="33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39" descr=""/>
                    <pic:cNvPicPr>
                      <a:picLocks noChangeAspect="1" noChangeArrowheads="1"/>
                    </pic:cNvPicPr>
                  </pic:nvPicPr>
                  <pic:blipFill>
                    <a:blip r:embed="rId346"/>
                    <a:srcRect l="-11" t="-14" r="-11" b="-14"/>
                    <a:stretch>
                      <a:fillRect/>
                    </a:stretch>
                  </pic:blipFill>
                  <pic:spPr bwMode="auto">
                    <a:xfrm>
                      <a:off x="0" y="0"/>
                      <a:ext cx="2926080" cy="2201545"/>
                    </a:xfrm>
                    <a:prstGeom prst="rect">
                      <a:avLst/>
                    </a:prstGeom>
                  </pic:spPr>
                </pic:pic>
              </a:graphicData>
            </a:graphic>
          </wp:inline>
        </w:drawing>
      </w:r>
      <w:r>
        <w:rPr>
          <w:lang w:val="en-US" w:eastAsia="en-US"/>
        </w:rPr>
        <w:drawing>
          <wp:inline distT="0" distB="0" distL="0" distR="0">
            <wp:extent cx="2929255" cy="2204085"/>
            <wp:effectExtent l="0" t="0" r="0" b="0"/>
            <wp:docPr id="33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0" descr=""/>
                    <pic:cNvPicPr>
                      <a:picLocks noChangeAspect="1" noChangeArrowheads="1"/>
                    </pic:cNvPicPr>
                  </pic:nvPicPr>
                  <pic:blipFill>
                    <a:blip r:embed="rId347"/>
                    <a:srcRect l="-11" t="-14" r="-11" b="-14"/>
                    <a:stretch>
                      <a:fillRect/>
                    </a:stretch>
                  </pic:blipFill>
                  <pic:spPr bwMode="auto">
                    <a:xfrm>
                      <a:off x="0" y="0"/>
                      <a:ext cx="2929255" cy="2204085"/>
                    </a:xfrm>
                    <a:prstGeom prst="rect">
                      <a:avLst/>
                    </a:prstGeom>
                  </pic:spPr>
                </pic:pic>
              </a:graphicData>
            </a:graphic>
          </wp:inline>
        </w:drawing>
      </w:r>
    </w:p>
    <w:p>
      <w:pPr>
        <w:pStyle w:val="TF"/>
        <w:rPr>
          <w:lang w:val="en-US"/>
        </w:rPr>
      </w:pPr>
      <w:r>
        <w:rPr>
          <w:lang w:val="en-US" w:eastAsia="en-US"/>
        </w:rPr>
        <w:t xml:space="preserve">Figure ZF.7.2-1: Uplink transmission delay for </w:t>
      </w:r>
      <w:r>
        <w:rPr>
          <w:lang w:val="en-US"/>
        </w:rPr>
        <w:t>33 dBm (left) and 23 dBm (right)</w:t>
      </w:r>
    </w:p>
    <w:p>
      <w:pPr>
        <w:pStyle w:val="FP"/>
        <w:rPr>
          <w:lang w:val="en-US"/>
        </w:rPr>
      </w:pPr>
      <w:r>
        <w:rPr>
          <w:lang w:val="en-US"/>
        </w:rPr>
      </w:r>
    </w:p>
    <w:p>
      <w:pPr>
        <w:pStyle w:val="Heading5"/>
        <w:ind w:left="1701" w:hanging="1701"/>
        <w:rPr/>
      </w:pPr>
      <w:bookmarkStart w:id="1134" w:name="__RefHeading___Toc518036411"/>
      <w:bookmarkEnd w:id="1134"/>
      <w:r>
        <w:rPr>
          <w:lang w:val="en-US"/>
        </w:rPr>
        <w:t>ZF.7.2.2.2.3</w:t>
        <w:tab/>
        <w:t>Latency of Downlink Application Ack</w:t>
      </w:r>
    </w:p>
    <w:p>
      <w:pPr>
        <w:pStyle w:val="Normal"/>
        <w:rPr>
          <w:lang w:val="en-US"/>
        </w:rPr>
      </w:pPr>
      <w:r>
        <w:rPr>
          <w:lang w:val="en-US"/>
        </w:rPr>
        <w:t>A few users will experience an increased Downlink Application Ack delay when going to tighter re-use as seen in Figure ZF.7.2</w:t>
        <w:noBreakHyphen/>
        <w:t>2. It can be noted that the Downlink Application Ack delay for 3/9 and 4/12 re-use is almost the same for the two downlink coverage class selection cases. However, for 1/3 re-use the delay is larger with carrier based selection compared to the SINR based selection.</w:t>
      </w:r>
    </w:p>
    <w:p>
      <w:pPr>
        <w:pStyle w:val="TH"/>
        <w:rPr>
          <w:lang w:val="en-US" w:eastAsia="en-US"/>
        </w:rPr>
      </w:pPr>
      <w:r>
        <w:rPr>
          <w:lang w:val="en-US" w:eastAsia="en-US"/>
        </w:rPr>
        <w:drawing>
          <wp:inline distT="0" distB="0" distL="0" distR="0">
            <wp:extent cx="2932430" cy="2206625"/>
            <wp:effectExtent l="0" t="0" r="0" b="0"/>
            <wp:docPr id="33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41" descr=""/>
                    <pic:cNvPicPr>
                      <a:picLocks noChangeAspect="1" noChangeArrowheads="1"/>
                    </pic:cNvPicPr>
                  </pic:nvPicPr>
                  <pic:blipFill>
                    <a:blip r:embed="rId348"/>
                    <a:srcRect l="-11" t="-14" r="-11" b="-14"/>
                    <a:stretch>
                      <a:fillRect/>
                    </a:stretch>
                  </pic:blipFill>
                  <pic:spPr bwMode="auto">
                    <a:xfrm>
                      <a:off x="0" y="0"/>
                      <a:ext cx="2932430" cy="2206625"/>
                    </a:xfrm>
                    <a:prstGeom prst="rect">
                      <a:avLst/>
                    </a:prstGeom>
                  </pic:spPr>
                </pic:pic>
              </a:graphicData>
            </a:graphic>
          </wp:inline>
        </w:drawing>
      </w:r>
      <w:r>
        <w:rPr>
          <w:lang w:val="en-US" w:eastAsia="en-US"/>
        </w:rPr>
        <w:drawing>
          <wp:inline distT="0" distB="0" distL="0" distR="0">
            <wp:extent cx="2932430" cy="2206625"/>
            <wp:effectExtent l="0" t="0" r="0" b="0"/>
            <wp:docPr id="33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42" descr=""/>
                    <pic:cNvPicPr>
                      <a:picLocks noChangeAspect="1" noChangeArrowheads="1"/>
                    </pic:cNvPicPr>
                  </pic:nvPicPr>
                  <pic:blipFill>
                    <a:blip r:embed="rId349"/>
                    <a:srcRect l="-11" t="-14" r="-11" b="-14"/>
                    <a:stretch>
                      <a:fillRect/>
                    </a:stretch>
                  </pic:blipFill>
                  <pic:spPr bwMode="auto">
                    <a:xfrm>
                      <a:off x="0" y="0"/>
                      <a:ext cx="2932430" cy="2206625"/>
                    </a:xfrm>
                    <a:prstGeom prst="rect">
                      <a:avLst/>
                    </a:prstGeom>
                  </pic:spPr>
                </pic:pic>
              </a:graphicData>
            </a:graphic>
          </wp:inline>
        </w:drawing>
      </w:r>
    </w:p>
    <w:p>
      <w:pPr>
        <w:pStyle w:val="TF"/>
        <w:rPr>
          <w:lang w:val="en-US"/>
        </w:rPr>
      </w:pPr>
      <w:r>
        <w:rPr>
          <w:lang w:val="en-US" w:eastAsia="en-US"/>
        </w:rPr>
        <w:t xml:space="preserve">Figure ZF.7.2-2: Downlink Application Ack delay for </w:t>
      </w:r>
      <w:r>
        <w:rPr>
          <w:lang w:val="en-US"/>
        </w:rPr>
        <w:t>33 dBm (left) and 23 dBm (right)</w:t>
      </w:r>
    </w:p>
    <w:p>
      <w:pPr>
        <w:pStyle w:val="FP"/>
        <w:rPr>
          <w:lang w:val="en-US"/>
        </w:rPr>
      </w:pPr>
      <w:r>
        <w:rPr>
          <w:lang w:val="en-US"/>
        </w:rPr>
      </w:r>
    </w:p>
    <w:p>
      <w:pPr>
        <w:pStyle w:val="Heading5"/>
        <w:ind w:left="1701" w:hanging="1701"/>
        <w:rPr/>
      </w:pPr>
      <w:bookmarkStart w:id="1135" w:name="__RefHeading___Toc518036412"/>
      <w:bookmarkEnd w:id="1135"/>
      <w:r>
        <w:rPr>
          <w:lang w:val="en-US"/>
        </w:rPr>
        <w:t>ZF.7.2.2.2.4</w:t>
        <w:tab/>
        <w:t>Failed Attempts</w:t>
      </w:r>
    </w:p>
    <w:p>
      <w:pPr>
        <w:pStyle w:val="Normal"/>
        <w:rPr/>
      </w:pPr>
      <w:r>
        <w:rPr>
          <w:lang w:val="en-US"/>
        </w:rPr>
        <w:t>At the traffic load 6.8 users per cell and second and device output power of 33 dBm, the percentage of failed attempts (i.e., the report did not get delivered within 20 seconds) is found to be less than 0.1 % in all scenarios.</w:t>
      </w:r>
    </w:p>
    <w:p>
      <w:pPr>
        <w:pStyle w:val="Heading5"/>
        <w:ind w:left="1701" w:hanging="1701"/>
        <w:rPr/>
      </w:pPr>
      <w:bookmarkStart w:id="1136" w:name="__RefHeading___Toc518036413"/>
      <w:bookmarkEnd w:id="1136"/>
      <w:r>
        <w:rPr>
          <w:lang w:val="en-US"/>
        </w:rPr>
        <w:t>ZF.7.2.2.2.5</w:t>
        <w:tab/>
        <w:t>Capacity</w:t>
      </w:r>
    </w:p>
    <w:p>
      <w:pPr>
        <w:pStyle w:val="Normal"/>
        <w:rPr/>
      </w:pPr>
      <w:r>
        <w:rPr>
          <w:lang w:val="en-US"/>
        </w:rPr>
        <w:t xml:space="preserve">In 3GPP TR 45.820 capacity is defined as "spectral efficiency in number of reports/200 kHz/hour". This definition is made with a standalone CIoT system in mind. Since the system in this evaluation serves only one traffic type (MTC traffic), the capacity definition is more meaningful in this case than in the previous EC-GSM-IoT investigations in which mixed services were assumed. Still it should be noted that the measure is not really a capacity measure since it does not reflect the capacity limit of the system but rather at an assumed fixed load. </w:t>
      </w:r>
    </w:p>
    <w:p>
      <w:pPr>
        <w:pStyle w:val="Normal"/>
        <w:rPr/>
      </w:pPr>
      <w:r>
        <w:rPr>
          <w:lang w:val="en-US"/>
        </w:rPr>
        <w:t>Capacity is here calculated as</w:t>
      </w:r>
    </w:p>
    <w:p>
      <w:pPr>
        <w:pStyle w:val="Normal"/>
        <w:rPr>
          <w:lang w:val="en-US"/>
        </w:rPr>
      </w:pPr>
      <w:r>
        <w:rPr>
          <w:lang w:val="en-US"/>
        </w:rPr>
        <w:t xml:space="preserve">(#sent reports per sector per hour)*(1 - failed attempts)/reuse </w:t>
      </w:r>
    </w:p>
    <w:p>
      <w:pPr>
        <w:pStyle w:val="Normal"/>
        <w:rPr/>
      </w:pPr>
      <w:r>
        <w:rPr>
          <w:lang w:val="en-US"/>
        </w:rPr>
        <w:t>The capacity is shown in Table ZF.7.2</w:t>
        <w:noBreakHyphen/>
        <w:t>6 for the simulated scenarios.</w:t>
      </w:r>
    </w:p>
    <w:p>
      <w:pPr>
        <w:pStyle w:val="TH"/>
        <w:rPr>
          <w:lang w:val="en-US"/>
        </w:rPr>
      </w:pPr>
      <w:r>
        <w:rPr>
          <w:lang w:val="en-US"/>
        </w:rPr>
        <w:t>Table ZF.7.2-6: Capacity for EC-GSM-IoT at 6.81 users per cell and second</w:t>
      </w:r>
    </w:p>
    <w:tbl>
      <w:tblPr>
        <w:tblW w:w="7813" w:type="dxa"/>
        <w:jc w:val="center"/>
        <w:tblInd w:w="0" w:type="dxa"/>
        <w:tblLayout w:type="fixed"/>
        <w:tblCellMar>
          <w:top w:w="0" w:type="dxa"/>
          <w:left w:w="108" w:type="dxa"/>
          <w:bottom w:w="0" w:type="dxa"/>
          <w:right w:w="108" w:type="dxa"/>
        </w:tblCellMar>
      </w:tblPr>
      <w:tblGrid>
        <w:gridCol w:w="973"/>
        <w:gridCol w:w="1710"/>
        <w:gridCol w:w="1710"/>
        <w:gridCol w:w="1710"/>
        <w:gridCol w:w="1710"/>
      </w:tblGrid>
      <w:tr>
        <w:trPr/>
        <w:tc>
          <w:tcPr>
            <w:tcW w:w="973"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3420"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Capacity for 33 dBm devices</w:t>
            </w:r>
          </w:p>
          <w:p>
            <w:pPr>
              <w:pStyle w:val="TAH"/>
              <w:rPr/>
            </w:pPr>
            <w:r>
              <w:rPr>
                <w:lang w:val="en-US" w:eastAsia="en-US"/>
              </w:rPr>
              <w:t>[reports/200kHz/hour]</w:t>
            </w:r>
          </w:p>
        </w:tc>
        <w:tc>
          <w:tcPr>
            <w:tcW w:w="3420"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Capacity for 23 dBm devices</w:t>
            </w:r>
          </w:p>
          <w:p>
            <w:pPr>
              <w:pStyle w:val="TAH"/>
              <w:rPr/>
            </w:pPr>
            <w:r>
              <w:rPr>
                <w:lang w:val="en-US" w:eastAsia="en-US"/>
              </w:rPr>
              <w:t>[reports/200kHz/hour]</w:t>
            </w:r>
          </w:p>
        </w:tc>
      </w:tr>
      <w:tr>
        <w:trPr/>
        <w:tc>
          <w:tcPr>
            <w:tcW w:w="97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SINR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Carrier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SINR CC DL</w:t>
            </w:r>
          </w:p>
        </w:tc>
        <w:tc>
          <w:tcPr>
            <w:tcW w:w="1710" w:type="dxa"/>
            <w:tcBorders>
              <w:top w:val="single" w:sz="4" w:space="0" w:color="000000"/>
              <w:left w:val="single" w:sz="4" w:space="0" w:color="000000"/>
              <w:bottom w:val="single" w:sz="4" w:space="0" w:color="000000"/>
              <w:right w:val="single" w:sz="4" w:space="0" w:color="000000"/>
            </w:tcBorders>
          </w:tcPr>
          <w:p>
            <w:pPr>
              <w:pStyle w:val="TAC"/>
              <w:rPr>
                <w:b/>
                <w:b/>
                <w:lang w:val="en-US"/>
              </w:rPr>
            </w:pPr>
            <w:r>
              <w:rPr>
                <w:b/>
                <w:lang w:val="en-US"/>
              </w:rPr>
              <w:t>Carrier CC DL</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2038</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2038</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2055</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2055</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2724</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2725</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2738</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2738</w:t>
            </w:r>
          </w:p>
        </w:tc>
      </w:tr>
      <w:tr>
        <w:trPr/>
        <w:tc>
          <w:tcPr>
            <w:tcW w:w="97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8150</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8150</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8220</w:t>
            </w:r>
          </w:p>
        </w:tc>
        <w:tc>
          <w:tcPr>
            <w:tcW w:w="1710"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8219</w:t>
            </w:r>
          </w:p>
        </w:tc>
      </w:tr>
    </w:tbl>
    <w:p>
      <w:pPr>
        <w:pStyle w:val="Normal"/>
        <w:rPr>
          <w:lang w:val="en-US"/>
        </w:rPr>
      </w:pPr>
      <w:r>
        <w:rPr>
          <w:lang w:val="en-US"/>
        </w:rPr>
      </w:r>
    </w:p>
    <w:p>
      <w:pPr>
        <w:pStyle w:val="Normal"/>
        <w:rPr/>
      </w:pPr>
      <w:r>
        <w:rPr>
          <w:lang w:val="en-US"/>
        </w:rPr>
        <w:t>As can be seen from the table, the 3-reuse scenario has four times capacity  than the 12-reuse scenario, as expected considering the change in re-use factor, and the fact that almost no reports fails to be delivered. The capacity for the 23 dBm is a little higher than the capacity for the 33 dBm case and even higher than the theoretical capacity of 8172 for 6.81 users per cell and second due to randomization.</w:t>
      </w:r>
    </w:p>
    <w:p>
      <w:pPr>
        <w:pStyle w:val="Heading4"/>
        <w:ind w:left="1418" w:hanging="1418"/>
        <w:rPr/>
      </w:pPr>
      <w:bookmarkStart w:id="1137" w:name="__RefHeading___Toc518036414"/>
      <w:bookmarkEnd w:id="1137"/>
      <w:r>
        <w:rPr>
          <w:lang w:val="en-US"/>
        </w:rPr>
        <w:t>ZF.7.2.2.3</w:t>
        <w:tab/>
        <w:t>DL and UL Coverage Class Distribution</w:t>
      </w:r>
    </w:p>
    <w:p>
      <w:pPr>
        <w:pStyle w:val="Normal"/>
        <w:rPr/>
      </w:pPr>
      <w:r>
        <w:rPr>
          <w:lang w:val="en-US"/>
        </w:rPr>
        <w:t>Table ZF.7.2</w:t>
        <w:noBreakHyphen/>
        <w:t>7 and Table ZF.7.2</w:t>
        <w:noBreakHyphen/>
        <w:t xml:space="preserve">8 summarizes the DL and UL CC distribution for the 4/12 and 1/3 re-use scenarios for both measured SINR and Carrier thresholds. Approximately 98 % and 97 % of all mobiles uses coverage class 1 in downlink for the 4/12 re-use and 3/9 re-use scenarios respectively. For 1/3 re-use only 79 % for SINR based and 87 % for carrier based downlink coverage class selection of all mobiles uses coverage class 1 in downlink. Approximately 98 % and 84 % of all 33 dBm and 23 dBm mobiles respectively uses coverage class 1 in uplink irrespective of the re-use. </w:t>
      </w:r>
    </w:p>
    <w:p>
      <w:pPr>
        <w:pStyle w:val="TH"/>
        <w:rPr>
          <w:lang w:val="en-US"/>
        </w:rPr>
      </w:pPr>
      <w:r>
        <w:rPr>
          <w:lang w:val="en-US"/>
        </w:rPr>
        <w:t>Table ZF.7.2-7: EC-PDTCH coverage class distribution for 33 dBm [%]</w:t>
      </w:r>
    </w:p>
    <w:tbl>
      <w:tblPr>
        <w:tblW w:w="8762" w:type="dxa"/>
        <w:jc w:val="center"/>
        <w:tblInd w:w="0" w:type="dxa"/>
        <w:tblLayout w:type="fixed"/>
        <w:tblCellMar>
          <w:top w:w="0" w:type="dxa"/>
          <w:left w:w="108" w:type="dxa"/>
          <w:bottom w:w="0" w:type="dxa"/>
          <w:right w:w="108" w:type="dxa"/>
        </w:tblCellMar>
      </w:tblPr>
      <w:tblGrid>
        <w:gridCol w:w="981"/>
        <w:gridCol w:w="1671"/>
        <w:gridCol w:w="1513"/>
        <w:gridCol w:w="1542"/>
        <w:gridCol w:w="1513"/>
        <w:gridCol w:w="1542"/>
      </w:tblGrid>
      <w:tr>
        <w:trPr/>
        <w:tc>
          <w:tcPr>
            <w:tcW w:w="981"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1671"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Coverage class</w:t>
            </w:r>
          </w:p>
        </w:tc>
        <w:tc>
          <w:tcPr>
            <w:tcW w:w="3055"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Distribution of users in DL</w:t>
            </w:r>
          </w:p>
          <w:p>
            <w:pPr>
              <w:pStyle w:val="TAH"/>
              <w:rPr/>
            </w:pPr>
            <w:r>
              <w:rPr>
                <w:lang w:val="en-US" w:eastAsia="en-US"/>
              </w:rPr>
              <w:t>[%]</w:t>
            </w:r>
          </w:p>
        </w:tc>
        <w:tc>
          <w:tcPr>
            <w:tcW w:w="3055"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Distribution of users in UL</w:t>
            </w:r>
          </w:p>
          <w:p>
            <w:pPr>
              <w:pStyle w:val="TAH"/>
              <w:rPr/>
            </w:pPr>
            <w:r>
              <w:rPr>
                <w:lang w:val="en-US" w:eastAsia="en-US"/>
              </w:rPr>
              <w:t>[%]</w:t>
            </w:r>
          </w:p>
        </w:tc>
      </w:tr>
      <w:tr>
        <w:trPr/>
        <w:tc>
          <w:tcPr>
            <w:tcW w:w="98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167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1513" w:type="dxa"/>
            <w:tcBorders>
              <w:top w:val="single" w:sz="4" w:space="0" w:color="000000"/>
              <w:left w:val="single" w:sz="4" w:space="0" w:color="000000"/>
              <w:bottom w:val="single" w:sz="12" w:space="0" w:color="000000"/>
              <w:right w:val="single" w:sz="4" w:space="0" w:color="000000"/>
            </w:tcBorders>
          </w:tcPr>
          <w:p>
            <w:pPr>
              <w:pStyle w:val="TAH"/>
              <w:rPr>
                <w:lang w:val="en-US" w:eastAsia="en-US"/>
              </w:rPr>
            </w:pPr>
            <w:r>
              <w:rPr>
                <w:lang w:val="en-US" w:eastAsia="en-US"/>
              </w:rPr>
              <w:t>SINR CC DL</w:t>
            </w:r>
          </w:p>
        </w:tc>
        <w:tc>
          <w:tcPr>
            <w:tcW w:w="1542" w:type="dxa"/>
            <w:tcBorders>
              <w:top w:val="single" w:sz="4" w:space="0" w:color="000000"/>
              <w:left w:val="single" w:sz="4" w:space="0" w:color="000000"/>
              <w:bottom w:val="single" w:sz="12" w:space="0" w:color="000000"/>
              <w:right w:val="single" w:sz="4" w:space="0" w:color="000000"/>
            </w:tcBorders>
          </w:tcPr>
          <w:p>
            <w:pPr>
              <w:pStyle w:val="TAH"/>
              <w:rPr>
                <w:lang w:val="en-US" w:eastAsia="en-US"/>
              </w:rPr>
            </w:pPr>
            <w:r>
              <w:rPr>
                <w:lang w:val="en-US" w:eastAsia="en-US"/>
              </w:rPr>
              <w:t>Carrier CC DL</w:t>
            </w:r>
          </w:p>
        </w:tc>
        <w:tc>
          <w:tcPr>
            <w:tcW w:w="1513" w:type="dxa"/>
            <w:tcBorders>
              <w:top w:val="single" w:sz="4" w:space="0" w:color="000000"/>
              <w:left w:val="single" w:sz="4" w:space="0" w:color="000000"/>
              <w:bottom w:val="single" w:sz="12" w:space="0" w:color="000000"/>
              <w:right w:val="single" w:sz="4" w:space="0" w:color="000000"/>
            </w:tcBorders>
          </w:tcPr>
          <w:p>
            <w:pPr>
              <w:pStyle w:val="TAH"/>
              <w:rPr>
                <w:lang w:val="en-US" w:eastAsia="en-US"/>
              </w:rPr>
            </w:pPr>
            <w:r>
              <w:rPr>
                <w:lang w:val="en-US" w:eastAsia="en-US"/>
              </w:rPr>
              <w:t>SINR CC DL</w:t>
            </w:r>
          </w:p>
        </w:tc>
        <w:tc>
          <w:tcPr>
            <w:tcW w:w="1542" w:type="dxa"/>
            <w:tcBorders>
              <w:top w:val="single" w:sz="4" w:space="0" w:color="000000"/>
              <w:left w:val="single" w:sz="4" w:space="0" w:color="000000"/>
              <w:bottom w:val="single" w:sz="12" w:space="0" w:color="000000"/>
              <w:right w:val="single" w:sz="4" w:space="0" w:color="000000"/>
            </w:tcBorders>
          </w:tcPr>
          <w:p>
            <w:pPr>
              <w:pStyle w:val="TAH"/>
              <w:rPr>
                <w:lang w:val="en-US" w:eastAsia="en-US"/>
              </w:rPr>
            </w:pPr>
            <w:r>
              <w:rPr>
                <w:lang w:val="en-US" w:eastAsia="en-US"/>
              </w:rPr>
              <w:t>Carrier CC DL</w:t>
            </w:r>
          </w:p>
        </w:tc>
      </w:tr>
      <w:tr>
        <w:trPr/>
        <w:tc>
          <w:tcPr>
            <w:tcW w:w="981"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98.2</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98.5</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1.5</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US"/>
              </w:rPr>
              <w:t>CC4</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0.2</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0.2</w:t>
            </w:r>
          </w:p>
        </w:tc>
      </w:tr>
      <w:tr>
        <w:trPr/>
        <w:tc>
          <w:tcPr>
            <w:tcW w:w="981"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97.0</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97.5</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3.0</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2.3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1.8</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0.13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US"/>
              </w:rPr>
              <w:t>CC4</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0.2</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0.2</w:t>
            </w:r>
          </w:p>
        </w:tc>
      </w:tr>
      <w:tr>
        <w:trPr/>
        <w:tc>
          <w:tcPr>
            <w:tcW w:w="981"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78.3</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86.4</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97.6</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97.6</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21.6</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11.1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1.7</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1.7</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0.13</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0.5</w:t>
            </w:r>
          </w:p>
        </w:tc>
      </w:tr>
      <w:tr>
        <w:trPr/>
        <w:tc>
          <w:tcPr>
            <w:tcW w:w="981"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CC4</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0.2</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0.2</w:t>
            </w:r>
          </w:p>
        </w:tc>
      </w:tr>
    </w:tbl>
    <w:p>
      <w:pPr>
        <w:pStyle w:val="Normal"/>
        <w:rPr>
          <w:lang w:val="en-US"/>
        </w:rPr>
      </w:pPr>
      <w:r>
        <w:rPr>
          <w:lang w:val="en-US"/>
        </w:rPr>
      </w:r>
    </w:p>
    <w:p>
      <w:pPr>
        <w:pStyle w:val="TH"/>
        <w:rPr>
          <w:lang w:val="en-US"/>
        </w:rPr>
      </w:pPr>
      <w:r>
        <w:rPr>
          <w:lang w:val="en-US"/>
        </w:rPr>
        <w:t>Table ZF.7.2-8: EC-PDTCH coverage class distribution for 23 dBm [%]</w:t>
      </w:r>
    </w:p>
    <w:tbl>
      <w:tblPr>
        <w:tblW w:w="8690" w:type="dxa"/>
        <w:jc w:val="center"/>
        <w:tblInd w:w="0" w:type="dxa"/>
        <w:tblLayout w:type="fixed"/>
        <w:tblCellMar>
          <w:top w:w="0" w:type="dxa"/>
          <w:left w:w="108" w:type="dxa"/>
          <w:bottom w:w="0" w:type="dxa"/>
          <w:right w:w="108" w:type="dxa"/>
        </w:tblCellMar>
      </w:tblPr>
      <w:tblGrid>
        <w:gridCol w:w="909"/>
        <w:gridCol w:w="1671"/>
        <w:gridCol w:w="1513"/>
        <w:gridCol w:w="1542"/>
        <w:gridCol w:w="1513"/>
        <w:gridCol w:w="1542"/>
      </w:tblGrid>
      <w:tr>
        <w:trPr/>
        <w:tc>
          <w:tcPr>
            <w:tcW w:w="909"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BCCH </w:t>
              <w:br/>
              <w:t>Re-use</w:t>
            </w:r>
          </w:p>
        </w:tc>
        <w:tc>
          <w:tcPr>
            <w:tcW w:w="1671"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Coverage class</w:t>
            </w:r>
          </w:p>
        </w:tc>
        <w:tc>
          <w:tcPr>
            <w:tcW w:w="3055"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Distribution of users in DL</w:t>
            </w:r>
          </w:p>
          <w:p>
            <w:pPr>
              <w:pStyle w:val="TAH"/>
              <w:rPr/>
            </w:pPr>
            <w:r>
              <w:rPr>
                <w:lang w:val="en-US" w:eastAsia="en-US"/>
              </w:rPr>
              <w:t>[%]</w:t>
            </w:r>
          </w:p>
        </w:tc>
        <w:tc>
          <w:tcPr>
            <w:tcW w:w="3055"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Distribution of users in UL</w:t>
            </w:r>
          </w:p>
          <w:p>
            <w:pPr>
              <w:pStyle w:val="TAH"/>
              <w:rPr/>
            </w:pPr>
            <w:r>
              <w:rPr>
                <w:lang w:val="en-US" w:eastAsia="en-US"/>
              </w:rPr>
              <w:t>[%]</w:t>
            </w:r>
          </w:p>
        </w:tc>
      </w:tr>
      <w:tr>
        <w:trPr/>
        <w:tc>
          <w:tcPr>
            <w:tcW w:w="9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6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b/>
                <w:b/>
                <w:lang w:val="en-US"/>
              </w:rPr>
            </w:pPr>
            <w:r>
              <w:rPr>
                <w:b/>
                <w:lang w:val="en-US"/>
              </w:rPr>
            </w:r>
          </w:p>
        </w:tc>
        <w:tc>
          <w:tcPr>
            <w:tcW w:w="1513" w:type="dxa"/>
            <w:tcBorders>
              <w:top w:val="single" w:sz="4" w:space="0" w:color="000000"/>
              <w:left w:val="single" w:sz="4" w:space="0" w:color="000000"/>
              <w:bottom w:val="single" w:sz="12" w:space="0" w:color="000000"/>
              <w:right w:val="single" w:sz="4" w:space="0" w:color="000000"/>
            </w:tcBorders>
          </w:tcPr>
          <w:p>
            <w:pPr>
              <w:pStyle w:val="TAC"/>
              <w:rPr>
                <w:b/>
                <w:b/>
                <w:lang w:val="en-US"/>
              </w:rPr>
            </w:pPr>
            <w:r>
              <w:rPr>
                <w:b/>
                <w:lang w:val="en-US"/>
              </w:rPr>
              <w:t>SINR CC DL</w:t>
            </w:r>
          </w:p>
        </w:tc>
        <w:tc>
          <w:tcPr>
            <w:tcW w:w="1542" w:type="dxa"/>
            <w:tcBorders>
              <w:top w:val="single" w:sz="4" w:space="0" w:color="000000"/>
              <w:left w:val="single" w:sz="4" w:space="0" w:color="000000"/>
              <w:bottom w:val="single" w:sz="12" w:space="0" w:color="000000"/>
              <w:right w:val="single" w:sz="4" w:space="0" w:color="000000"/>
            </w:tcBorders>
          </w:tcPr>
          <w:p>
            <w:pPr>
              <w:pStyle w:val="TAC"/>
              <w:rPr>
                <w:b/>
                <w:b/>
                <w:lang w:val="en-US"/>
              </w:rPr>
            </w:pPr>
            <w:r>
              <w:rPr>
                <w:b/>
                <w:lang w:val="en-US"/>
              </w:rPr>
              <w:t>Carrier CC DL</w:t>
            </w:r>
          </w:p>
        </w:tc>
        <w:tc>
          <w:tcPr>
            <w:tcW w:w="1513" w:type="dxa"/>
            <w:tcBorders>
              <w:top w:val="single" w:sz="4" w:space="0" w:color="000000"/>
              <w:left w:val="single" w:sz="4" w:space="0" w:color="000000"/>
              <w:bottom w:val="single" w:sz="12" w:space="0" w:color="000000"/>
              <w:right w:val="single" w:sz="4" w:space="0" w:color="000000"/>
            </w:tcBorders>
          </w:tcPr>
          <w:p>
            <w:pPr>
              <w:pStyle w:val="TAC"/>
              <w:rPr>
                <w:b/>
                <w:b/>
                <w:lang w:val="en-US"/>
              </w:rPr>
            </w:pPr>
            <w:r>
              <w:rPr>
                <w:b/>
                <w:lang w:val="en-US"/>
              </w:rPr>
              <w:t>SINR CC DL</w:t>
            </w:r>
          </w:p>
        </w:tc>
        <w:tc>
          <w:tcPr>
            <w:tcW w:w="1542" w:type="dxa"/>
            <w:tcBorders>
              <w:top w:val="single" w:sz="4" w:space="0" w:color="000000"/>
              <w:left w:val="single" w:sz="4" w:space="0" w:color="000000"/>
              <w:bottom w:val="single" w:sz="12" w:space="0" w:color="000000"/>
              <w:right w:val="single" w:sz="4" w:space="0" w:color="000000"/>
            </w:tcBorders>
          </w:tcPr>
          <w:p>
            <w:pPr>
              <w:pStyle w:val="TAC"/>
              <w:rPr>
                <w:b/>
                <w:b/>
                <w:lang w:val="en-US"/>
              </w:rPr>
            </w:pPr>
            <w:r>
              <w:rPr>
                <w:b/>
                <w:lang w:val="en-US"/>
              </w:rPr>
              <w:t>Carrier CC DL</w:t>
            </w:r>
          </w:p>
        </w:tc>
      </w:tr>
      <w:tr>
        <w:trPr/>
        <w:tc>
          <w:tcPr>
            <w:tcW w:w="909"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12</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98.3</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98.6</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83.8</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83.8</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1.7</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1.4</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9.2</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9.2</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3.9</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3.9</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US"/>
              </w:rPr>
              <w:t>CC4</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3.1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3.1</w:t>
            </w:r>
          </w:p>
        </w:tc>
      </w:tr>
      <w:tr>
        <w:trPr/>
        <w:tc>
          <w:tcPr>
            <w:tcW w:w="909"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9</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97.0</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97.6</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84.1</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84.1</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3.0</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2.3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9.0</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9.0</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3.9</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US"/>
              </w:rPr>
              <w:t>CC4</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&lt;0.1</w:t>
            </w:r>
          </w:p>
        </w:tc>
        <w:tc>
          <w:tcPr>
            <w:tcW w:w="1513"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3.1</w:t>
            </w:r>
          </w:p>
        </w:tc>
        <w:tc>
          <w:tcPr>
            <w:tcW w:w="1542" w:type="dxa"/>
            <w:tcBorders>
              <w:top w:val="single" w:sz="4" w:space="0" w:color="000000"/>
              <w:left w:val="single" w:sz="4" w:space="0" w:color="000000"/>
              <w:bottom w:val="single" w:sz="12" w:space="0" w:color="000000"/>
              <w:right w:val="single" w:sz="4" w:space="0" w:color="000000"/>
            </w:tcBorders>
          </w:tcPr>
          <w:p>
            <w:pPr>
              <w:pStyle w:val="TAC"/>
              <w:rPr>
                <w:lang w:val="en-US"/>
              </w:rPr>
            </w:pPr>
            <w:r>
              <w:rPr>
                <w:lang w:val="en-GB"/>
              </w:rPr>
              <w:t>3.0</w:t>
            </w:r>
          </w:p>
        </w:tc>
      </w:tr>
      <w:tr>
        <w:trPr/>
        <w:tc>
          <w:tcPr>
            <w:tcW w:w="909" w:type="dxa"/>
            <w:vMerge w:val="restart"/>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3</w:t>
            </w:r>
          </w:p>
        </w:tc>
        <w:tc>
          <w:tcPr>
            <w:tcW w:w="1671"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US"/>
              </w:rPr>
              <w:t>CC1</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78.7</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86.5</w:t>
            </w:r>
          </w:p>
        </w:tc>
        <w:tc>
          <w:tcPr>
            <w:tcW w:w="1513"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84.5</w:t>
            </w:r>
          </w:p>
        </w:tc>
        <w:tc>
          <w:tcPr>
            <w:tcW w:w="1542" w:type="dxa"/>
            <w:tcBorders>
              <w:top w:val="single" w:sz="12" w:space="0" w:color="000000"/>
              <w:left w:val="single" w:sz="4" w:space="0" w:color="000000"/>
              <w:bottom w:val="single" w:sz="4" w:space="0" w:color="000000"/>
              <w:right w:val="single" w:sz="4" w:space="0" w:color="000000"/>
            </w:tcBorders>
          </w:tcPr>
          <w:p>
            <w:pPr>
              <w:pStyle w:val="TAC"/>
              <w:rPr>
                <w:lang w:val="en-US"/>
              </w:rPr>
            </w:pPr>
            <w:r>
              <w:rPr>
                <w:lang w:val="en-GB"/>
              </w:rPr>
              <w:t>84.4</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CC2</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21.2</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11.1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8.8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8.9</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1.3</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3.8</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3.8</w:t>
            </w:r>
          </w:p>
        </w:tc>
      </w:tr>
      <w:tr>
        <w:trPr/>
        <w:tc>
          <w:tcPr>
            <w:tcW w:w="909" w:type="dxa"/>
            <w:vMerge w:val="continue"/>
            <w:tcBorders>
              <w:top w:val="single" w:sz="12"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1671"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CC4</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&lt;0.1</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1.1</w:t>
            </w:r>
          </w:p>
        </w:tc>
        <w:tc>
          <w:tcPr>
            <w:tcW w:w="1513"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2.9</w:t>
            </w:r>
          </w:p>
        </w:tc>
        <w:tc>
          <w:tcPr>
            <w:tcW w:w="154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GB"/>
              </w:rPr>
              <w:t>2.9</w:t>
            </w:r>
          </w:p>
        </w:tc>
      </w:tr>
    </w:tbl>
    <w:p>
      <w:pPr>
        <w:pStyle w:val="Normal"/>
        <w:rPr>
          <w:lang w:val="en-US"/>
        </w:rPr>
      </w:pPr>
      <w:r>
        <w:rPr>
          <w:lang w:val="en-US"/>
        </w:rPr>
        <w:t xml:space="preserve"> </w:t>
      </w:r>
    </w:p>
    <w:p>
      <w:pPr>
        <w:pStyle w:val="Heading3"/>
        <w:rPr/>
      </w:pPr>
      <w:bookmarkStart w:id="1138" w:name="__RefHeading___Toc518036415"/>
      <w:bookmarkEnd w:id="1138"/>
      <w:r>
        <w:rPr>
          <w:lang w:val="en-US"/>
        </w:rPr>
        <w:t>ZF.7.2.3</w:t>
        <w:tab/>
        <w:t>Discussion and conclusions</w:t>
      </w:r>
    </w:p>
    <w:p>
      <w:pPr>
        <w:pStyle w:val="Heading4"/>
        <w:ind w:left="1418" w:hanging="1418"/>
        <w:rPr/>
      </w:pPr>
      <w:bookmarkStart w:id="1139" w:name="__RefHeading___Toc518036416"/>
      <w:bookmarkEnd w:id="1139"/>
      <w:r>
        <w:rPr>
          <w:lang w:val="en-US"/>
        </w:rPr>
        <w:t>ZF.7.2.3.1</w:t>
        <w:tab/>
        <w:t>Impact from frequency re-use</w:t>
      </w:r>
    </w:p>
    <w:p>
      <w:pPr>
        <w:pStyle w:val="Normal"/>
        <w:rPr/>
      </w:pPr>
      <w:r>
        <w:rPr>
          <w:lang w:val="en-US"/>
        </w:rPr>
        <w:t>This paper adds simulation results for 1/3 re-use and shows that EC-GSM-IoT MTC services may be accommodated on the PDCH of a single BCCH carrier network on as low BCCH spectrum allocations as 600 kHz. For 600 kHz there is less than 2.2 times increase in Downlink TS utilization compared to 2.4 MHz. The transmission delays are increased when going to a tighter re-use. The effect is however rather moderate compared to the 75% reduction of the required frequency spectrum, corresponding to four times the spectral efficiency. Failed rates are in all scenarios kept at a low level.</w:t>
      </w:r>
    </w:p>
    <w:p>
      <w:pPr>
        <w:pStyle w:val="Heading4"/>
        <w:ind w:left="1418" w:hanging="1418"/>
        <w:rPr/>
      </w:pPr>
      <w:bookmarkStart w:id="1140" w:name="__RefHeading___Toc518036417"/>
      <w:bookmarkEnd w:id="1140"/>
      <w:r>
        <w:rPr>
          <w:lang w:val="en-US"/>
        </w:rPr>
        <w:t>ZF.7.2.3.2</w:t>
        <w:tab/>
        <w:t>SINR vs carrier based measurements</w:t>
      </w:r>
    </w:p>
    <w:p>
      <w:pPr>
        <w:pStyle w:val="Heading5"/>
        <w:ind w:left="1701" w:hanging="1701"/>
        <w:rPr/>
      </w:pPr>
      <w:bookmarkStart w:id="1141" w:name="__RefHeading___Toc518036418"/>
      <w:bookmarkEnd w:id="1141"/>
      <w:r>
        <w:rPr>
          <w:lang w:val="en-US"/>
        </w:rPr>
        <w:t>ZF.7.2.3.2.1</w:t>
        <w:tab/>
        <w:t>General</w:t>
      </w:r>
    </w:p>
    <w:p>
      <w:pPr>
        <w:pStyle w:val="Normal"/>
        <w:rPr/>
      </w:pPr>
      <w:r>
        <w:rPr>
          <w:lang w:val="en-US"/>
        </w:rPr>
        <w:t>This paper also compares performance between SINR based and carrier signal strength based downlink coverage class selection methods. It shows that downlink coverage class selection based on SINR has more potential than signal strength measurements, specifically in the 1/3 re-use. For 4/12 re-use the downlink TS utilization is the same for both selection methods, but also here there is a visible difference in the delay of the DL delivered reports. For 1/3 re-use, carrier based downlink coverage class selection gives approximately 7 % higher downlink TS utilization compared to SINR based downlink coverage class selection.</w:t>
      </w:r>
    </w:p>
    <w:p>
      <w:pPr>
        <w:pStyle w:val="Normal"/>
        <w:rPr/>
      </w:pPr>
      <w:r>
        <w:rPr>
          <w:lang w:val="en-US"/>
        </w:rPr>
        <w:t>It should be mentioned that carrier based measurements and SINR based measurements need to be compared taking the full system impact into account. The coverage class settings will be different, and influence how devices behave in the network. Hence, all metrics investigated will be influenced when changing the CC selection method.</w:t>
      </w:r>
    </w:p>
    <w:p>
      <w:pPr>
        <w:pStyle w:val="Heading5"/>
        <w:ind w:left="1701" w:hanging="1701"/>
        <w:rPr/>
      </w:pPr>
      <w:bookmarkStart w:id="1142" w:name="__RefHeading___Toc518036419"/>
      <w:bookmarkEnd w:id="1142"/>
      <w:r>
        <w:rPr>
          <w:lang w:val="en-US"/>
        </w:rPr>
        <w:t>ZF.7.2.3.2.2</w:t>
        <w:tab/>
        <w:t>Coverage class distribution</w:t>
      </w:r>
    </w:p>
    <w:p>
      <w:pPr>
        <w:pStyle w:val="Normal"/>
        <w:rPr/>
      </w:pPr>
      <w:r>
        <w:rPr>
          <w:lang w:val="en-US"/>
        </w:rPr>
        <w:t>The main intention to go from carrier based measurements to SINR based measurements is to get a more accurate CC selection that better reflects the experienced SINR when transmitting the block (although the measurement to base the SINR CC selection on is taken at another point in time). In contrast, for carrier based selection, the selection will not take interference into account, and hence the thresholds need to be set more conservatively (more users in higher CC) when interference is increased in order to keep the timeslot utilization and delays low.</w:t>
      </w:r>
    </w:p>
    <w:p>
      <w:pPr>
        <w:pStyle w:val="Normal"/>
        <w:rPr/>
      </w:pPr>
      <w:r>
        <w:rPr>
          <w:lang w:val="en-US"/>
        </w:rPr>
        <w:t>In Figure ZF.7.2</w:t>
        <w:noBreakHyphen/>
        <w:t>3 and Figure ZF.7.2</w:t>
        <w:noBreakHyphen/>
        <w:t>6 the coverage class distribution between carrier based and SINR based measurements are shown. As can be seen in Figure ZF.7.2</w:t>
        <w:noBreakHyphen/>
        <w:t>3 and Figure ZF.7.2</w:t>
        <w:noBreakHyphen/>
        <w:t>6 the downlink coverage class and coverage class code point distribution over experienced SINR is much wider for carrier measurement based than SINR measurement based downlink coverage class selection. That means that more mobiles will make a better downlink coverage class selection if SINR measurement based downlink coverage class selection is used.</w:t>
      </w:r>
    </w:p>
    <w:p>
      <w:pPr>
        <w:pStyle w:val="Normal"/>
        <w:rPr>
          <w:lang w:val="en-US"/>
        </w:rPr>
      </w:pPr>
      <w:r>
        <w:rPr>
          <w:lang w:val="en-US"/>
        </w:rPr>
        <w:t xml:space="preserve">It can be noted that for carrier measurements approximately 10 % of the mobiles experiencing a downlink SINR of only 0 dB will flag the highest coverage class code point 7. </w:t>
      </w:r>
    </w:p>
    <w:p>
      <w:pPr>
        <w:pStyle w:val="Normal"/>
        <w:rPr>
          <w:lang w:val="en-US"/>
        </w:rPr>
      </w:pPr>
      <w:r>
        <w:rPr>
          <w:lang w:val="en-US"/>
        </w:rPr>
        <w:t>It can also be noted that the width at half height for the distribution of coverage class code point 3 to 6 is approximately 7 to 8 dB for SINR measurements.</w:t>
      </w:r>
    </w:p>
    <w:p>
      <w:pPr>
        <w:pStyle w:val="FP"/>
        <w:rPr>
          <w:lang w:val="en-US"/>
        </w:rPr>
      </w:pPr>
      <w:r>
        <w:rPr>
          <w:lang w:val="en-US"/>
        </w:rPr>
      </w:r>
    </w:p>
    <w:p>
      <w:pPr>
        <w:pStyle w:val="TH"/>
        <w:rPr/>
      </w:pPr>
      <w:r>
        <w:rPr>
          <w:lang w:val="en-US" w:eastAsia="en-US"/>
        </w:rPr>
        <w:drawing>
          <wp:inline distT="0" distB="0" distL="0" distR="0">
            <wp:extent cx="2429510" cy="1818640"/>
            <wp:effectExtent l="0" t="0" r="0" b="0"/>
            <wp:docPr id="33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43" descr=""/>
                    <pic:cNvPicPr>
                      <a:picLocks noChangeAspect="1" noChangeArrowheads="1"/>
                    </pic:cNvPicPr>
                  </pic:nvPicPr>
                  <pic:blipFill>
                    <a:blip r:embed="rId350"/>
                    <a:srcRect l="-15" t="-20" r="-15" b="-20"/>
                    <a:stretch>
                      <a:fillRect/>
                    </a:stretch>
                  </pic:blipFill>
                  <pic:spPr bwMode="auto">
                    <a:xfrm>
                      <a:off x="0" y="0"/>
                      <a:ext cx="2429510" cy="1818640"/>
                    </a:xfrm>
                    <a:prstGeom prst="rect">
                      <a:avLst/>
                    </a:prstGeom>
                  </pic:spPr>
                </pic:pic>
              </a:graphicData>
            </a:graphic>
          </wp:inline>
        </w:drawing>
      </w:r>
      <w:r>
        <w:rPr>
          <w:lang w:val="en-US" w:eastAsia="en-US"/>
        </w:rPr>
        <w:drawing>
          <wp:inline distT="0" distB="0" distL="0" distR="0">
            <wp:extent cx="2429510" cy="1818640"/>
            <wp:effectExtent l="0" t="0" r="0" b="0"/>
            <wp:docPr id="34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44" descr=""/>
                    <pic:cNvPicPr>
                      <a:picLocks noChangeAspect="1" noChangeArrowheads="1"/>
                    </pic:cNvPicPr>
                  </pic:nvPicPr>
                  <pic:blipFill>
                    <a:blip r:embed="rId351"/>
                    <a:srcRect l="-15" t="-20" r="-15" b="-20"/>
                    <a:stretch>
                      <a:fillRect/>
                    </a:stretch>
                  </pic:blipFill>
                  <pic:spPr bwMode="auto">
                    <a:xfrm>
                      <a:off x="0" y="0"/>
                      <a:ext cx="2429510" cy="1818640"/>
                    </a:xfrm>
                    <a:prstGeom prst="rect">
                      <a:avLst/>
                    </a:prstGeom>
                  </pic:spPr>
                </pic:pic>
              </a:graphicData>
            </a:graphic>
          </wp:inline>
        </w:drawing>
      </w:r>
    </w:p>
    <w:p>
      <w:pPr>
        <w:pStyle w:val="TF"/>
        <w:rPr/>
      </w:pPr>
      <w:r>
        <w:rPr>
          <w:lang w:val="en-US" w:eastAsia="en-US"/>
        </w:rPr>
        <w:t>Figure ZF.7.2-3: Downlink Coverage class distribution for 33 dBm.</w:t>
      </w:r>
    </w:p>
    <w:p>
      <w:pPr>
        <w:pStyle w:val="TF"/>
        <w:rPr>
          <w:lang w:val="en-US"/>
        </w:rPr>
      </w:pPr>
      <w:r>
        <w:rPr>
          <w:lang w:val="en-US" w:eastAsia="en-US"/>
        </w:rPr>
        <w:t>Carrier SS based (left), SINR based (right)</w:t>
      </w:r>
    </w:p>
    <w:p>
      <w:pPr>
        <w:pStyle w:val="TH"/>
        <w:rPr/>
      </w:pPr>
      <w:r>
        <w:rPr>
          <w:lang w:val="en-US" w:eastAsia="en-US"/>
        </w:rPr>
        <w:drawing>
          <wp:inline distT="0" distB="0" distL="0" distR="0">
            <wp:extent cx="2425065" cy="1820545"/>
            <wp:effectExtent l="0" t="0" r="0" b="0"/>
            <wp:docPr id="34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45" descr=""/>
                    <pic:cNvPicPr>
                      <a:picLocks noChangeAspect="1" noChangeArrowheads="1"/>
                    </pic:cNvPicPr>
                  </pic:nvPicPr>
                  <pic:blipFill>
                    <a:blip r:embed="rId352"/>
                    <a:srcRect l="-15" t="-20" r="-15" b="-20"/>
                    <a:stretch>
                      <a:fillRect/>
                    </a:stretch>
                  </pic:blipFill>
                  <pic:spPr bwMode="auto">
                    <a:xfrm>
                      <a:off x="0" y="0"/>
                      <a:ext cx="2425065" cy="1820545"/>
                    </a:xfrm>
                    <a:prstGeom prst="rect">
                      <a:avLst/>
                    </a:prstGeom>
                  </pic:spPr>
                </pic:pic>
              </a:graphicData>
            </a:graphic>
          </wp:inline>
        </w:drawing>
      </w:r>
      <w:r>
        <w:rPr>
          <w:lang w:val="en-US" w:eastAsia="en-US"/>
        </w:rPr>
        <w:drawing>
          <wp:inline distT="0" distB="0" distL="0" distR="0">
            <wp:extent cx="2425065" cy="1820545"/>
            <wp:effectExtent l="0" t="0" r="0" b="0"/>
            <wp:docPr id="34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46" descr=""/>
                    <pic:cNvPicPr>
                      <a:picLocks noChangeAspect="1" noChangeArrowheads="1"/>
                    </pic:cNvPicPr>
                  </pic:nvPicPr>
                  <pic:blipFill>
                    <a:blip r:embed="rId353"/>
                    <a:srcRect l="-15" t="-20" r="-15" b="-20"/>
                    <a:stretch>
                      <a:fillRect/>
                    </a:stretch>
                  </pic:blipFill>
                  <pic:spPr bwMode="auto">
                    <a:xfrm>
                      <a:off x="0" y="0"/>
                      <a:ext cx="2425065" cy="1820545"/>
                    </a:xfrm>
                    <a:prstGeom prst="rect">
                      <a:avLst/>
                    </a:prstGeom>
                  </pic:spPr>
                </pic:pic>
              </a:graphicData>
            </a:graphic>
          </wp:inline>
        </w:drawing>
      </w:r>
    </w:p>
    <w:p>
      <w:pPr>
        <w:pStyle w:val="TF"/>
        <w:rPr/>
      </w:pPr>
      <w:r>
        <w:rPr>
          <w:lang w:val="en-US" w:eastAsia="en-US"/>
        </w:rPr>
        <w:t>Figure ZF.7.2-4: Downlink Coverage class distribution for 23 dBm.</w:t>
      </w:r>
    </w:p>
    <w:p>
      <w:pPr>
        <w:pStyle w:val="TF"/>
        <w:rPr>
          <w:lang w:val="en-US"/>
        </w:rPr>
      </w:pPr>
      <w:r>
        <w:rPr>
          <w:lang w:val="en-US" w:eastAsia="en-US"/>
        </w:rPr>
        <w:t>Carrier SS based (left), SINR based (right)</w:t>
      </w:r>
    </w:p>
    <w:p>
      <w:pPr>
        <w:pStyle w:val="Heading5"/>
        <w:ind w:left="1701" w:hanging="1701"/>
        <w:rPr/>
      </w:pPr>
      <w:bookmarkStart w:id="1143" w:name="__RefHeading___Toc518036420"/>
      <w:bookmarkEnd w:id="1143"/>
      <w:r>
        <w:rPr>
          <w:lang w:val="en-US"/>
        </w:rPr>
        <w:t>ZF.7.2.3.2.3</w:t>
        <w:tab/>
        <w:t>BLER</w:t>
      </w:r>
    </w:p>
    <w:p>
      <w:pPr>
        <w:pStyle w:val="Normal"/>
        <w:rPr>
          <w:lang w:val="en-US"/>
        </w:rPr>
      </w:pPr>
      <w:r>
        <w:rPr>
          <w:lang w:val="en-US"/>
        </w:rPr>
        <w:t>To understand the system behavior it is of interest to look at the BLER performance. One way to look at it is to investigate the BLER at different coupling loss. At high coupling loss close to the coverage limit, both C based selection and SINR based selection will use higher CCs (for C based selection a MS will estimate itself to be below BT_Threshold_DL, and for SINR based selection, the SINR will be low enough even without added interference). However, for lower coupling loss ranges, a difference is expected, depending on the coverage class threshold settings for the different approaches. In Figure ZF.7.2</w:t>
        <w:noBreakHyphen/>
        <w:t>5 the BLER versus Coupling Loss is shown at Coupling Loss 100 to 140 dB. As can be seen, even with a lower resource usage (as shown in Table ZF.7.2</w:t>
        <w:noBreakHyphen/>
        <w:t>5) for SINR based selection, the BLER is significantly lower compared to the C based selection.</w:t>
      </w:r>
    </w:p>
    <w:p>
      <w:pPr>
        <w:pStyle w:val="TH"/>
        <w:rPr>
          <w:lang w:val="en-US"/>
        </w:rPr>
      </w:pPr>
      <w:r>
        <w:rPr>
          <w:lang w:val="en-US" w:eastAsia="en-US"/>
        </w:rPr>
        <w:drawing>
          <wp:inline distT="0" distB="0" distL="0" distR="0">
            <wp:extent cx="3391535" cy="2543810"/>
            <wp:effectExtent l="0" t="0" r="0" b="0"/>
            <wp:docPr id="34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47" descr=""/>
                    <pic:cNvPicPr>
                      <a:picLocks noChangeAspect="1" noChangeArrowheads="1"/>
                    </pic:cNvPicPr>
                  </pic:nvPicPr>
                  <pic:blipFill>
                    <a:blip r:embed="rId354"/>
                    <a:srcRect l="-11" t="-14" r="-11" b="-14"/>
                    <a:stretch>
                      <a:fillRect/>
                    </a:stretch>
                  </pic:blipFill>
                  <pic:spPr bwMode="auto">
                    <a:xfrm>
                      <a:off x="0" y="0"/>
                      <a:ext cx="3391535" cy="2543810"/>
                    </a:xfrm>
                    <a:prstGeom prst="rect">
                      <a:avLst/>
                    </a:prstGeom>
                  </pic:spPr>
                </pic:pic>
              </a:graphicData>
            </a:graphic>
          </wp:inline>
        </w:drawing>
      </w:r>
    </w:p>
    <w:p>
      <w:pPr>
        <w:pStyle w:val="TF"/>
        <w:rPr>
          <w:lang w:val="en-US"/>
        </w:rPr>
      </w:pPr>
      <w:r>
        <w:rPr>
          <w:lang w:val="en-US" w:eastAsia="en-US"/>
        </w:rPr>
        <w:t>Figure ZF.7.2-5: Average downlink BLER vs Coupling Loss for 33 dBm</w:t>
      </w:r>
    </w:p>
    <w:p>
      <w:pPr>
        <w:pStyle w:val="Normal"/>
        <w:rPr/>
      </w:pPr>
      <w:r>
        <w:rPr>
          <w:lang w:val="en-US"/>
        </w:rPr>
        <w:t>One can see that the BLER level is for some coupling losses higher than the aimed for 20 %. However, in these regions MCS-4 can have been used, where the RLC/MAC header still would have a low BLER, and IR could be used (although not activated in the simulations). For SINR based selection, the BLER is low due to the limited MCSs usage (maximum MCS-4) and the limitation in power down-regulation on the BCCH carrier (max 6 dB). Hence, even if 8PSK MCSs have not been used in the simulations (MCS-5-9) the simulations show a potential of using these to minimize resource usage in the network and improve spectral efficiency also reducing resource usage further.</w:t>
      </w:r>
    </w:p>
    <w:p>
      <w:pPr>
        <w:pStyle w:val="Heading3"/>
        <w:rPr/>
      </w:pPr>
      <w:bookmarkStart w:id="1144" w:name="__RefHeading___Toc518036421"/>
      <w:bookmarkEnd w:id="1144"/>
      <w:r>
        <w:rPr>
          <w:lang w:val="en-US"/>
        </w:rPr>
        <w:t>ZF.7.2.4</w:t>
        <w:tab/>
        <w:t>Conclusion</w:t>
      </w:r>
    </w:p>
    <w:p>
      <w:pPr>
        <w:pStyle w:val="Normal"/>
        <w:rPr/>
      </w:pPr>
      <w:r>
        <w:rPr>
          <w:lang w:val="en-US"/>
        </w:rPr>
        <w:t>EC-GSM-IoT MTC services may be accommodated on the PDCH of a single BCCH carrier network on as low BCCH spectrum allocations as 600 kHz.</w:t>
      </w:r>
    </w:p>
    <w:p>
      <w:pPr>
        <w:pStyle w:val="Normal"/>
        <w:rPr>
          <w:lang w:val="en-US"/>
        </w:rPr>
      </w:pPr>
      <w:r>
        <w:rPr>
          <w:lang w:val="en-US"/>
        </w:rPr>
        <w:t>Downlink coverage class selection based on SINR has more potential than signal strength measurements, specifically in the 1/3 re-use. It gives lower downlink timeslot utilization and lower delays thanks to increased probability to choose a coverage class and MCS that matches the experienced SINR.</w:t>
      </w:r>
    </w:p>
    <w:p>
      <w:pPr>
        <w:pStyle w:val="Heading1"/>
        <w:ind w:left="1134" w:hanging="1134"/>
        <w:rPr>
          <w:lang w:val="en-US" w:eastAsia="en-US"/>
        </w:rPr>
      </w:pPr>
      <w:bookmarkStart w:id="1145" w:name="__RefHeading___Toc518036422"/>
      <w:r>
        <w:rPr>
          <w:lang w:val="en-US"/>
        </w:rPr>
        <w:t>ZF.8</w:t>
        <w:tab/>
      </w:r>
      <w:r>
        <w:rPr>
          <w:lang w:val="en-US" w:eastAsia="en-US"/>
        </w:rPr>
        <w:t>Traffic model for legacy GPRS MTC</w:t>
      </w:r>
      <w:bookmarkEnd w:id="1145"/>
      <w:r>
        <w:rPr>
          <w:lang w:val="en-US" w:eastAsia="en-US"/>
        </w:rPr>
        <w:t xml:space="preserve"> </w:t>
      </w:r>
    </w:p>
    <w:p>
      <w:pPr>
        <w:pStyle w:val="Heading2"/>
        <w:rPr/>
      </w:pPr>
      <w:bookmarkStart w:id="1146" w:name="__RefHeading___Toc518036423"/>
      <w:bookmarkEnd w:id="1146"/>
      <w:r>
        <w:rPr/>
        <w:t>ZF.8.1</w:t>
        <w:tab/>
        <w:t>Tdoc reference</w:t>
      </w:r>
    </w:p>
    <w:p>
      <w:pPr>
        <w:pStyle w:val="Normal"/>
        <w:rPr>
          <w:lang w:val="en-US"/>
        </w:rPr>
      </w:pPr>
      <w:r>
        <w:rPr>
          <w:lang w:val="en-US"/>
        </w:rPr>
        <w:t>3GPP TSG GERAN #69</w:t>
      </w:r>
    </w:p>
    <w:p>
      <w:pPr>
        <w:pStyle w:val="Normal"/>
        <w:rPr>
          <w:lang w:val="en-US"/>
        </w:rPr>
      </w:pPr>
      <w:r>
        <w:rPr>
          <w:lang w:val="en-US"/>
        </w:rPr>
        <w:t>GP-160060</w:t>
      </w:r>
    </w:p>
    <w:p>
      <w:pPr>
        <w:pStyle w:val="Normal"/>
        <w:rPr>
          <w:lang w:val="en-US"/>
        </w:rPr>
      </w:pPr>
      <w:r>
        <w:rPr>
          <w:lang w:val="en-US"/>
        </w:rPr>
        <w:t xml:space="preserve">Malta </w:t>
      </w:r>
    </w:p>
    <w:p>
      <w:pPr>
        <w:pStyle w:val="Normal"/>
        <w:rPr/>
      </w:pPr>
      <w:r>
        <w:rPr>
          <w:lang w:val="en-US"/>
        </w:rPr>
        <w:t>15</w:t>
      </w:r>
      <w:r>
        <w:rPr>
          <w:vertAlign w:val="superscript"/>
          <w:lang w:val="en-US"/>
        </w:rPr>
        <w:t>th</w:t>
      </w:r>
      <w:r>
        <w:rPr>
          <w:lang w:val="en-US"/>
        </w:rPr>
        <w:t xml:space="preserve"> – 19</w:t>
      </w:r>
      <w:r>
        <w:rPr>
          <w:vertAlign w:val="superscript"/>
          <w:lang w:val="en-US"/>
        </w:rPr>
        <w:t>th</w:t>
      </w:r>
      <w:r>
        <w:rPr>
          <w:lang w:val="en-US"/>
        </w:rPr>
        <w:t xml:space="preserve"> Feb, 2016</w:t>
      </w:r>
    </w:p>
    <w:p>
      <w:pPr>
        <w:pStyle w:val="Normal"/>
        <w:rPr>
          <w:lang w:val="en-US"/>
        </w:rPr>
      </w:pPr>
      <w:r>
        <w:rPr>
          <w:lang w:val="en-US"/>
        </w:rPr>
        <w:t>Source: Orange, Ericsson LM</w:t>
      </w:r>
    </w:p>
    <w:p>
      <w:pPr>
        <w:pStyle w:val="Normal"/>
        <w:rPr>
          <w:b/>
          <w:b/>
        </w:rPr>
      </w:pPr>
      <w:r>
        <w:rPr>
          <w:b/>
          <w:lang w:val="en-US"/>
        </w:rPr>
        <w:t xml:space="preserve">Title: </w:t>
      </w:r>
      <w:r>
        <w:rPr>
          <w:b/>
          <w:lang w:val="en-US" w:eastAsia="en-US"/>
        </w:rPr>
        <w:t>Traffic model for legacy GPRS MTC</w:t>
      </w:r>
    </w:p>
    <w:p>
      <w:pPr>
        <w:pStyle w:val="Heading2"/>
        <w:rPr/>
      </w:pPr>
      <w:bookmarkStart w:id="1147" w:name="__RefHeading___Toc518036424"/>
      <w:bookmarkEnd w:id="1147"/>
      <w:r>
        <w:rPr>
          <w:lang w:eastAsia="zh-CN"/>
        </w:rPr>
        <w:t>ZF.8.2</w:t>
        <w:tab/>
        <w:t>Legacy GRPS MTC uses cases and scenarios</w:t>
      </w:r>
    </w:p>
    <w:p>
      <w:pPr>
        <w:pStyle w:val="Normal"/>
        <w:rPr/>
      </w:pPr>
      <w:r>
        <w:rPr/>
        <w:t>Legacy GPRS, since the early years of M2M, is the most used access network for Machine to Machine application. As a consequence the number and the diversity of applications generating MTC traffic in a GSM/GPRS network is extremely large, even if they often imply only a very limited number of UE. Therefore, building a traffic model for all of them so that they can be taken into account in a generic MTC traffic model for legacy GPRS is seen as impossible.</w:t>
      </w:r>
    </w:p>
    <w:p>
      <w:pPr>
        <w:pStyle w:val="Normal"/>
        <w:rPr/>
      </w:pPr>
      <w:r>
        <w:rPr/>
        <w:t>This is the reason why the approach proposed in this document is rather to identify a limited set of representative application and uses cases that will be or are already typically operating over a GSM/GPRS network on a large scale, and to model them in a rather extreme situation. The resulting over-estimation is expected to reflect applications and use cases that weren't considered.</w:t>
      </w:r>
    </w:p>
    <w:p>
      <w:pPr>
        <w:pStyle w:val="Normal"/>
        <w:rPr/>
      </w:pPr>
      <w:r>
        <w:rPr/>
        <w:t xml:space="preserve">The set of considered use cases and the related parameters are summarized in Table </w:t>
      </w:r>
      <w:r>
        <w:rPr>
          <w:lang w:val="en-US" w:eastAsia="en-US"/>
        </w:rPr>
        <w:t>1</w:t>
      </w:r>
      <w:r>
        <w:rPr/>
        <w:t xml:space="preserve">. It includes: </w:t>
      </w:r>
    </w:p>
    <w:p>
      <w:pPr>
        <w:pStyle w:val="B1"/>
        <w:rPr/>
      </w:pPr>
      <w:r>
        <w:rPr/>
        <w:t>-</w:t>
        <w:tab/>
        <w:t xml:space="preserve">Pay as you drive </w:t>
      </w:r>
    </w:p>
    <w:p>
      <w:pPr>
        <w:pStyle w:val="B1"/>
        <w:rPr/>
      </w:pPr>
      <w:r>
        <w:rPr/>
        <w:t>-</w:t>
        <w:tab/>
        <w:t>Bike fleet management : This model reflect the use case of asset tracking</w:t>
      </w:r>
    </w:p>
    <w:p>
      <w:pPr>
        <w:pStyle w:val="B1"/>
        <w:rPr/>
      </w:pPr>
      <w:r>
        <w:rPr/>
        <w:t>-</w:t>
        <w:tab/>
        <w:t>Coffee Machine :This model reflect the use case of a remotely managed electrical appliance</w:t>
      </w:r>
    </w:p>
    <w:p>
      <w:pPr>
        <w:pStyle w:val="B1"/>
        <w:rPr/>
      </w:pPr>
      <w:r>
        <w:rPr/>
        <w:t>-</w:t>
        <w:tab/>
        <w:t xml:space="preserve">Smart-Grid: </w:t>
      </w:r>
    </w:p>
    <w:p>
      <w:pPr>
        <w:pStyle w:val="B2"/>
        <w:rPr/>
      </w:pPr>
      <w:r>
        <w:rPr/>
        <w:t>-</w:t>
        <w:tab/>
        <w:t>Reading: classical remote meter reading, adapted to electric metering</w:t>
      </w:r>
    </w:p>
    <w:p>
      <w:pPr>
        <w:pStyle w:val="B2"/>
        <w:rPr/>
      </w:pPr>
      <w:r>
        <w:rPr/>
        <w:t>-</w:t>
        <w:tab/>
        <w:t>Load monitoring: in addition to metering, utility usually retrieve statistical data on the daily electrical consumption to improve production management.</w:t>
      </w:r>
    </w:p>
    <w:p>
      <w:pPr>
        <w:pStyle w:val="Normal"/>
        <w:rPr/>
      </w:pPr>
      <w:r>
        <w:rPr>
          <w:lang w:val="en-US"/>
        </w:rPr>
        <w:t>Deployment hypotheses are those considered in 3GPP TR 45.820 [1]. Consequently the inter-site distance is 1732 meters, leading to cell area of 0,866 km</w:t>
      </w:r>
      <w:r>
        <w:rPr>
          <w:vertAlign w:val="superscript"/>
          <w:lang w:val="en-US"/>
        </w:rPr>
        <w:t>2</w:t>
      </w:r>
      <w:r>
        <w:rPr>
          <w:lang w:val="en-US"/>
        </w:rPr>
        <w:t>.</w:t>
      </w:r>
    </w:p>
    <w:p>
      <w:pPr>
        <w:pStyle w:val="Normal"/>
        <w:rPr>
          <w:lang w:val="en-US"/>
        </w:rPr>
      </w:pPr>
      <w:r>
        <w:rPr>
          <w:lang w:val="en-US"/>
        </w:rPr>
        <w:t>The number of UE has been calculated for this cell area and on the basis of the city of Paris which is a very dense city and with the hypothesis that all of the devices are served by a single PLMN having 100% market share.</w:t>
      </w:r>
    </w:p>
    <w:p>
      <w:pPr>
        <w:pStyle w:val="TH"/>
        <w:rPr>
          <w:rFonts w:ascii="Calibri" w:hAnsi="Calibri" w:cs="Calibri"/>
          <w:color w:val="1F497D"/>
          <w:sz w:val="22"/>
          <w:szCs w:val="22"/>
          <w:lang w:val="en-US"/>
        </w:rPr>
      </w:pPr>
      <w:bookmarkStart w:id="1148" w:name="_Ref442823486"/>
      <w:r>
        <w:rPr>
          <w:rFonts w:cs="Calibri" w:ascii="Calibri" w:hAnsi="Calibri"/>
          <w:color w:val="1F497D"/>
          <w:sz w:val="22"/>
          <w:szCs w:val="22"/>
          <w:lang w:val="en-US"/>
        </w:rPr>
        <w:t xml:space="preserve">Table </w:t>
      </w:r>
      <w:bookmarkEnd w:id="1148"/>
      <w:r>
        <w:rPr>
          <w:rFonts w:cs="Calibri" w:ascii="Calibri" w:hAnsi="Calibri"/>
          <w:color w:val="1F497D"/>
          <w:sz w:val="22"/>
          <w:szCs w:val="22"/>
          <w:lang w:val="en-US"/>
        </w:rPr>
        <w:t>ZF.8-</w:t>
      </w:r>
      <w:bookmarkStart w:id="1149" w:name="_Ref442823479"/>
      <w:r>
        <w:rPr>
          <w:rFonts w:cs="Calibri" w:ascii="Calibri" w:hAnsi="Calibri"/>
          <w:color w:val="1F497D"/>
          <w:sz w:val="22"/>
          <w:szCs w:val="22"/>
          <w:lang w:val="en-US"/>
        </w:rPr>
        <w:t>1: Traffic models for the selected applications and use cases</w:t>
      </w:r>
      <w:bookmarkEnd w:id="1149"/>
    </w:p>
    <w:tbl>
      <w:tblPr>
        <w:tblW w:w="9142" w:type="dxa"/>
        <w:jc w:val="left"/>
        <w:tblInd w:w="-10" w:type="dxa"/>
        <w:tblLayout w:type="fixed"/>
        <w:tblCellMar>
          <w:top w:w="80" w:type="dxa"/>
          <w:left w:w="80" w:type="dxa"/>
          <w:bottom w:w="80" w:type="dxa"/>
          <w:right w:w="80" w:type="dxa"/>
        </w:tblCellMar>
      </w:tblPr>
      <w:tblGrid>
        <w:gridCol w:w="2552"/>
        <w:gridCol w:w="1276"/>
        <w:gridCol w:w="1417"/>
        <w:gridCol w:w="1134"/>
        <w:gridCol w:w="1445"/>
        <w:gridCol w:w="1318"/>
      </w:tblGrid>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H"/>
              <w:jc w:val="right"/>
              <w:rPr>
                <w:lang w:val="en-US" w:eastAsia="en-US"/>
              </w:rPr>
            </w:pPr>
            <w:r>
              <w:rPr>
                <w:lang w:val="en-US" w:eastAsia="en-US"/>
              </w:rPr>
              <w:t>Use case</w:t>
            </w:r>
          </w:p>
        </w:tc>
        <w:tc>
          <w:tcPr>
            <w:tcW w:w="1276" w:type="dxa"/>
            <w:tcBorders>
              <w:top w:val="single" w:sz="8" w:space="0" w:color="A3A3A3"/>
              <w:left w:val="single" w:sz="8" w:space="0" w:color="A3A3A3"/>
              <w:bottom w:val="single" w:sz="8" w:space="0" w:color="A3A3A3"/>
              <w:right w:val="single" w:sz="8" w:space="0" w:color="A3A3A3"/>
            </w:tcBorders>
            <w:vAlign w:val="center"/>
          </w:tcPr>
          <w:p>
            <w:pPr>
              <w:pStyle w:val="TAH"/>
              <w:rPr>
                <w:lang w:val="en-US" w:eastAsia="en-US"/>
              </w:rPr>
            </w:pPr>
            <w:r>
              <w:rPr>
                <w:lang w:val="en-US" w:eastAsia="en-US"/>
              </w:rPr>
              <w:t>Pay as you drive</w:t>
            </w:r>
          </w:p>
        </w:tc>
        <w:tc>
          <w:tcPr>
            <w:tcW w:w="1417" w:type="dxa"/>
            <w:tcBorders>
              <w:top w:val="single" w:sz="8" w:space="0" w:color="A3A3A3"/>
              <w:left w:val="single" w:sz="8" w:space="0" w:color="A3A3A3"/>
              <w:bottom w:val="single" w:sz="8" w:space="0" w:color="A3A3A3"/>
              <w:right w:val="single" w:sz="8" w:space="0" w:color="A3A3A3"/>
            </w:tcBorders>
            <w:vAlign w:val="center"/>
          </w:tcPr>
          <w:p>
            <w:pPr>
              <w:pStyle w:val="TAH"/>
              <w:rPr>
                <w:lang w:val="en-US" w:eastAsia="en-US"/>
              </w:rPr>
            </w:pPr>
            <w:r>
              <w:rPr>
                <w:lang w:val="en-US" w:eastAsia="en-US"/>
              </w:rPr>
              <w:t>Bike fleet management</w:t>
            </w:r>
          </w:p>
        </w:tc>
        <w:tc>
          <w:tcPr>
            <w:tcW w:w="1134" w:type="dxa"/>
            <w:tcBorders>
              <w:top w:val="single" w:sz="8" w:space="0" w:color="A3A3A3"/>
              <w:left w:val="single" w:sz="8" w:space="0" w:color="A3A3A3"/>
              <w:bottom w:val="single" w:sz="8" w:space="0" w:color="A3A3A3"/>
              <w:right w:val="single" w:sz="8" w:space="0" w:color="A3A3A3"/>
            </w:tcBorders>
            <w:vAlign w:val="center"/>
          </w:tcPr>
          <w:p>
            <w:pPr>
              <w:pStyle w:val="TAH"/>
              <w:rPr/>
            </w:pPr>
            <w:r>
              <w:rPr>
                <w:lang w:val="en-US" w:eastAsia="en-US"/>
              </w:rPr>
              <w:t>Coffee machines</w:t>
            </w:r>
          </w:p>
        </w:tc>
        <w:tc>
          <w:tcPr>
            <w:tcW w:w="1445" w:type="dxa"/>
            <w:tcBorders>
              <w:top w:val="single" w:sz="8" w:space="0" w:color="A3A3A3"/>
              <w:left w:val="single" w:sz="8" w:space="0" w:color="A3A3A3"/>
              <w:bottom w:val="single" w:sz="8" w:space="0" w:color="A3A3A3"/>
              <w:right w:val="single" w:sz="8" w:space="0" w:color="A3A3A3"/>
            </w:tcBorders>
            <w:vAlign w:val="center"/>
          </w:tcPr>
          <w:p>
            <w:pPr>
              <w:pStyle w:val="TAH"/>
              <w:rPr>
                <w:lang w:val="en-US" w:eastAsia="en-US"/>
              </w:rPr>
            </w:pPr>
            <w:r>
              <w:rPr>
                <w:lang w:val="en-US" w:eastAsia="en-US"/>
              </w:rPr>
              <w:t>Smartgrid - load monitoring</w:t>
            </w:r>
          </w:p>
        </w:tc>
        <w:tc>
          <w:tcPr>
            <w:tcW w:w="1318" w:type="dxa"/>
            <w:tcBorders>
              <w:top w:val="single" w:sz="8" w:space="0" w:color="A3A3A3"/>
              <w:left w:val="single" w:sz="8" w:space="0" w:color="A3A3A3"/>
              <w:bottom w:val="single" w:sz="8" w:space="0" w:color="A3A3A3"/>
              <w:right w:val="single" w:sz="8" w:space="0" w:color="A3A3A3"/>
            </w:tcBorders>
            <w:vAlign w:val="center"/>
          </w:tcPr>
          <w:p>
            <w:pPr>
              <w:pStyle w:val="TAH"/>
              <w:rPr>
                <w:lang w:val="en-US" w:eastAsia="en-US"/>
              </w:rPr>
            </w:pPr>
            <w:r>
              <w:rPr>
                <w:lang w:val="en-US" w:eastAsia="en-US"/>
              </w:rPr>
              <w:t>Smartgrid - reading</w:t>
            </w:r>
          </w:p>
        </w:tc>
      </w:tr>
      <w:tr>
        <w:trPr/>
        <w:tc>
          <w:tcPr>
            <w:tcW w:w="2552" w:type="dxa"/>
            <w:tcBorders>
              <w:top w:val="single" w:sz="8" w:space="0" w:color="A3A3A3"/>
              <w:left w:val="single" w:sz="8" w:space="0" w:color="A3A3A3"/>
              <w:bottom w:val="single" w:sz="8" w:space="0" w:color="A3A3A3"/>
              <w:right w:val="single" w:sz="8" w:space="0" w:color="A3A3A3"/>
            </w:tcBorders>
          </w:tcPr>
          <w:p>
            <w:pPr>
              <w:pStyle w:val="TAR"/>
              <w:rPr/>
            </w:pPr>
            <w:r>
              <w:rPr>
                <w:lang w:val="en-US"/>
              </w:rPr>
              <w:t>Devices per cell</w:t>
            </w:r>
          </w:p>
        </w:tc>
        <w:tc>
          <w:tcPr>
            <w:tcW w:w="1276"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7967</w:t>
            </w:r>
          </w:p>
        </w:tc>
        <w:tc>
          <w:tcPr>
            <w:tcW w:w="1417"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173</w:t>
            </w:r>
          </w:p>
        </w:tc>
        <w:tc>
          <w:tcPr>
            <w:tcW w:w="1134"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169</w:t>
            </w:r>
          </w:p>
        </w:tc>
        <w:tc>
          <w:tcPr>
            <w:tcW w:w="1445"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8461</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8461</w:t>
            </w:r>
          </w:p>
        </w:tc>
      </w:tr>
      <w:tr>
        <w:trPr/>
        <w:tc>
          <w:tcPr>
            <w:tcW w:w="2552" w:type="dxa"/>
            <w:tcBorders>
              <w:top w:val="single" w:sz="8" w:space="0" w:color="A3A3A3"/>
              <w:left w:val="single" w:sz="8" w:space="0" w:color="A3A3A3"/>
              <w:bottom w:val="single" w:sz="8" w:space="0" w:color="A3A3A3"/>
              <w:right w:val="single" w:sz="8" w:space="0" w:color="A3A3A3"/>
            </w:tcBorders>
          </w:tcPr>
          <w:p>
            <w:pPr>
              <w:pStyle w:val="TAR"/>
              <w:rPr>
                <w:lang w:val="en-US"/>
              </w:rPr>
            </w:pPr>
            <w:r>
              <w:rPr>
                <w:lang w:val="en-US"/>
              </w:rPr>
              <w:t xml:space="preserve">Activity factor </w:t>
            </w:r>
          </w:p>
        </w:tc>
        <w:tc>
          <w:tcPr>
            <w:tcW w:w="1276" w:type="dxa"/>
            <w:tcBorders>
              <w:top w:val="single" w:sz="8" w:space="0" w:color="A3A3A3"/>
              <w:left w:val="single" w:sz="8" w:space="0" w:color="A3A3A3"/>
              <w:bottom w:val="single" w:sz="8" w:space="0" w:color="A3A3A3"/>
              <w:right w:val="single" w:sz="8" w:space="0" w:color="A3A3A3"/>
            </w:tcBorders>
          </w:tcPr>
          <w:p>
            <w:pPr>
              <w:pStyle w:val="TAC"/>
              <w:rPr/>
            </w:pPr>
            <w:r>
              <w:rPr>
                <w:lang w:val="en-US"/>
              </w:rPr>
              <w:t>0.2</w:t>
            </w:r>
          </w:p>
        </w:tc>
        <w:tc>
          <w:tcPr>
            <w:tcW w:w="1417"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w:t>
            </w:r>
          </w:p>
        </w:tc>
        <w:tc>
          <w:tcPr>
            <w:tcW w:w="1134"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w:t>
            </w:r>
          </w:p>
        </w:tc>
        <w:tc>
          <w:tcPr>
            <w:tcW w:w="1445"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w:t>
            </w:r>
          </w:p>
        </w:tc>
      </w:tr>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R"/>
              <w:rPr>
                <w:lang w:val="en-US"/>
              </w:rPr>
            </w:pPr>
            <w:r>
              <w:rPr>
                <w:lang w:val="en-US"/>
              </w:rPr>
              <w:t>Downlink</w:t>
            </w:r>
          </w:p>
        </w:tc>
        <w:tc>
          <w:tcPr>
            <w:tcW w:w="1276"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Keep alive once a day</w:t>
            </w:r>
          </w:p>
        </w:tc>
        <w:tc>
          <w:tcPr>
            <w:tcW w:w="1417" w:type="dxa"/>
            <w:tcBorders>
              <w:top w:val="single" w:sz="8" w:space="0" w:color="A3A3A3"/>
              <w:left w:val="single" w:sz="8" w:space="0" w:color="A3A3A3"/>
              <w:bottom w:val="single" w:sz="8" w:space="0" w:color="A3A3A3"/>
              <w:right w:val="single" w:sz="8" w:space="0" w:color="A3A3A3"/>
            </w:tcBorders>
          </w:tcPr>
          <w:p>
            <w:pPr>
              <w:pStyle w:val="TAC"/>
              <w:rPr/>
            </w:pPr>
            <w:r>
              <w:rPr>
                <w:lang w:val="en-US"/>
              </w:rPr>
              <w:t>A tracking request per 30 min</w:t>
            </w:r>
          </w:p>
        </w:tc>
        <w:tc>
          <w:tcPr>
            <w:tcW w:w="1134"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Keep alive once a day</w:t>
            </w:r>
          </w:p>
        </w:tc>
        <w:tc>
          <w:tcPr>
            <w:tcW w:w="1445" w:type="dxa"/>
            <w:tcBorders>
              <w:top w:val="single" w:sz="8" w:space="0" w:color="A3A3A3"/>
              <w:left w:val="single" w:sz="8" w:space="0" w:color="A3A3A3"/>
              <w:bottom w:val="single" w:sz="8" w:space="0" w:color="A3A3A3"/>
              <w:right w:val="single" w:sz="8" w:space="0" w:color="A3A3A3"/>
            </w:tcBorders>
          </w:tcPr>
          <w:p>
            <w:pPr>
              <w:pStyle w:val="TAC"/>
              <w:rPr/>
            </w:pPr>
            <w:r>
              <w:rPr>
                <w:lang w:val="en-US"/>
              </w:rPr>
              <w:t xml:space="preserve">One load request message per day </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One reading  per two hours</w:t>
            </w:r>
          </w:p>
        </w:tc>
      </w:tr>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R"/>
              <w:rPr>
                <w:lang w:val="en-US"/>
              </w:rPr>
            </w:pPr>
            <w:r>
              <w:rPr>
                <w:lang w:val="en-US"/>
              </w:rPr>
              <w:t>Packet size [bytes]</w:t>
            </w:r>
          </w:p>
        </w:tc>
        <w:tc>
          <w:tcPr>
            <w:tcW w:w="1276"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30</w:t>
            </w:r>
          </w:p>
        </w:tc>
        <w:tc>
          <w:tcPr>
            <w:tcW w:w="1417"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10</w:t>
            </w:r>
          </w:p>
        </w:tc>
        <w:tc>
          <w:tcPr>
            <w:tcW w:w="1134"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30</w:t>
            </w:r>
          </w:p>
        </w:tc>
        <w:tc>
          <w:tcPr>
            <w:tcW w:w="1445"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45</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45</w:t>
            </w:r>
          </w:p>
        </w:tc>
      </w:tr>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R"/>
              <w:rPr>
                <w:lang w:val="en-US"/>
              </w:rPr>
            </w:pPr>
            <w:r>
              <w:rPr>
                <w:lang w:val="en-US"/>
              </w:rPr>
              <w:t>Inter-arrival time [s]</w:t>
            </w:r>
          </w:p>
        </w:tc>
        <w:tc>
          <w:tcPr>
            <w:tcW w:w="1276"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86400</w:t>
            </w:r>
          </w:p>
        </w:tc>
        <w:tc>
          <w:tcPr>
            <w:tcW w:w="1417"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1800</w:t>
            </w:r>
          </w:p>
        </w:tc>
        <w:tc>
          <w:tcPr>
            <w:tcW w:w="1134"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86400</w:t>
            </w:r>
          </w:p>
        </w:tc>
        <w:tc>
          <w:tcPr>
            <w:tcW w:w="1445"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86400</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7200</w:t>
            </w:r>
          </w:p>
        </w:tc>
      </w:tr>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R"/>
              <w:rPr/>
            </w:pPr>
            <w:r>
              <w:rPr>
                <w:lang w:val="en-US"/>
              </w:rPr>
              <w:t>Events per cell per s [1/s]</w:t>
            </w:r>
          </w:p>
        </w:tc>
        <w:tc>
          <w:tcPr>
            <w:tcW w:w="1276" w:type="dxa"/>
            <w:tcBorders>
              <w:top w:val="single" w:sz="8" w:space="0" w:color="A3A3A3"/>
              <w:left w:val="single" w:sz="8" w:space="0" w:color="A3A3A3"/>
              <w:bottom w:val="single" w:sz="8" w:space="0" w:color="A3A3A3"/>
              <w:right w:val="single" w:sz="8" w:space="0" w:color="A3A3A3"/>
            </w:tcBorders>
          </w:tcPr>
          <w:p>
            <w:pPr>
              <w:pStyle w:val="TAC"/>
              <w:rPr/>
            </w:pPr>
            <w:r>
              <w:rPr>
                <w:lang w:val="en-US"/>
              </w:rPr>
              <w:t>0.018</w:t>
            </w:r>
          </w:p>
        </w:tc>
        <w:tc>
          <w:tcPr>
            <w:tcW w:w="1417" w:type="dxa"/>
            <w:tcBorders>
              <w:top w:val="single" w:sz="8" w:space="0" w:color="A3A3A3"/>
              <w:left w:val="single" w:sz="8" w:space="0" w:color="A3A3A3"/>
              <w:bottom w:val="single" w:sz="8" w:space="0" w:color="A3A3A3"/>
              <w:right w:val="single" w:sz="8" w:space="0" w:color="A3A3A3"/>
            </w:tcBorders>
          </w:tcPr>
          <w:p>
            <w:pPr>
              <w:pStyle w:val="TAC"/>
              <w:rPr/>
            </w:pPr>
            <w:r>
              <w:rPr>
                <w:lang w:val="en-US"/>
              </w:rPr>
              <w:t>0.096</w:t>
            </w:r>
          </w:p>
        </w:tc>
        <w:tc>
          <w:tcPr>
            <w:tcW w:w="1134" w:type="dxa"/>
            <w:tcBorders>
              <w:top w:val="single" w:sz="8" w:space="0" w:color="A3A3A3"/>
              <w:left w:val="single" w:sz="8" w:space="0" w:color="A3A3A3"/>
              <w:bottom w:val="single" w:sz="8" w:space="0" w:color="A3A3A3"/>
              <w:right w:val="single" w:sz="8" w:space="0" w:color="A3A3A3"/>
            </w:tcBorders>
          </w:tcPr>
          <w:p>
            <w:pPr>
              <w:pStyle w:val="TAC"/>
              <w:rPr/>
            </w:pPr>
            <w:r>
              <w:rPr>
                <w:lang w:val="en-US"/>
              </w:rPr>
              <w:t>0.002</w:t>
            </w:r>
          </w:p>
        </w:tc>
        <w:tc>
          <w:tcPr>
            <w:tcW w:w="1445" w:type="dxa"/>
            <w:tcBorders>
              <w:top w:val="single" w:sz="8" w:space="0" w:color="A3A3A3"/>
              <w:left w:val="single" w:sz="8" w:space="0" w:color="A3A3A3"/>
              <w:bottom w:val="single" w:sz="8" w:space="0" w:color="A3A3A3"/>
              <w:right w:val="single" w:sz="8" w:space="0" w:color="A3A3A3"/>
            </w:tcBorders>
          </w:tcPr>
          <w:p>
            <w:pPr>
              <w:pStyle w:val="TAC"/>
              <w:rPr/>
            </w:pPr>
            <w:r>
              <w:rPr>
                <w:lang w:val="en-US"/>
              </w:rPr>
              <w:t>0.098</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1.18</w:t>
            </w:r>
          </w:p>
        </w:tc>
      </w:tr>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R"/>
              <w:rPr>
                <w:lang w:val="en-US"/>
              </w:rPr>
            </w:pPr>
            <w:r>
              <w:rPr>
                <w:lang w:val="en-US"/>
              </w:rPr>
              <w:t>Uplink</w:t>
            </w:r>
          </w:p>
        </w:tc>
        <w:tc>
          <w:tcPr>
            <w:tcW w:w="1276" w:type="dxa"/>
            <w:tcBorders>
              <w:top w:val="single" w:sz="8" w:space="0" w:color="A3A3A3"/>
              <w:left w:val="single" w:sz="8" w:space="0" w:color="A3A3A3"/>
              <w:bottom w:val="single" w:sz="8" w:space="0" w:color="A3A3A3"/>
              <w:right w:val="single" w:sz="8" w:space="0" w:color="A3A3A3"/>
            </w:tcBorders>
          </w:tcPr>
          <w:p>
            <w:pPr>
              <w:pStyle w:val="TAC"/>
              <w:rPr/>
            </w:pPr>
            <w:r>
              <w:rPr>
                <w:lang w:val="en-US"/>
              </w:rPr>
              <w:t>One update every 10 min</w:t>
            </w:r>
          </w:p>
        </w:tc>
        <w:tc>
          <w:tcPr>
            <w:tcW w:w="1417"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Response to tracking request</w:t>
            </w:r>
          </w:p>
        </w:tc>
        <w:tc>
          <w:tcPr>
            <w:tcW w:w="1134" w:type="dxa"/>
            <w:tcBorders>
              <w:top w:val="single" w:sz="8" w:space="0" w:color="A3A3A3"/>
              <w:left w:val="single" w:sz="8" w:space="0" w:color="A3A3A3"/>
              <w:bottom w:val="single" w:sz="8" w:space="0" w:color="A3A3A3"/>
              <w:right w:val="single" w:sz="8" w:space="0" w:color="A3A3A3"/>
            </w:tcBorders>
          </w:tcPr>
          <w:p>
            <w:pPr>
              <w:pStyle w:val="TAC"/>
              <w:rPr/>
            </w:pPr>
            <w:r>
              <w:rPr>
                <w:lang w:val="en-US"/>
              </w:rPr>
              <w:t>A message per day</w:t>
            </w:r>
          </w:p>
        </w:tc>
        <w:tc>
          <w:tcPr>
            <w:tcW w:w="1445" w:type="dxa"/>
            <w:tcBorders>
              <w:top w:val="single" w:sz="8" w:space="0" w:color="A3A3A3"/>
              <w:left w:val="single" w:sz="8" w:space="0" w:color="A3A3A3"/>
              <w:bottom w:val="single" w:sz="8" w:space="0" w:color="A3A3A3"/>
              <w:right w:val="single" w:sz="8" w:space="0" w:color="A3A3A3"/>
            </w:tcBorders>
          </w:tcPr>
          <w:p>
            <w:pPr>
              <w:pStyle w:val="TAC"/>
              <w:rPr/>
            </w:pPr>
            <w:r>
              <w:rPr>
                <w:lang w:val="en-US"/>
              </w:rPr>
              <w:t>One data message every day</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One reading  per two hours</w:t>
            </w:r>
          </w:p>
        </w:tc>
      </w:tr>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R"/>
              <w:rPr>
                <w:lang w:val="en-US"/>
              </w:rPr>
            </w:pPr>
            <w:r>
              <w:rPr>
                <w:lang w:val="en-US"/>
              </w:rPr>
              <w:t>Packet size [bytes]</w:t>
            </w:r>
          </w:p>
        </w:tc>
        <w:tc>
          <w:tcPr>
            <w:tcW w:w="1276"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150</w:t>
            </w:r>
          </w:p>
        </w:tc>
        <w:tc>
          <w:tcPr>
            <w:tcW w:w="1417"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150</w:t>
            </w:r>
          </w:p>
        </w:tc>
        <w:tc>
          <w:tcPr>
            <w:tcW w:w="1134"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150</w:t>
            </w:r>
          </w:p>
        </w:tc>
        <w:tc>
          <w:tcPr>
            <w:tcW w:w="1445"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1200</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40</w:t>
            </w:r>
          </w:p>
        </w:tc>
      </w:tr>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R"/>
              <w:rPr>
                <w:lang w:val="en-US"/>
              </w:rPr>
            </w:pPr>
            <w:r>
              <w:rPr>
                <w:lang w:val="en-US"/>
              </w:rPr>
              <w:t>Inter-arrival time [s]</w:t>
            </w:r>
          </w:p>
        </w:tc>
        <w:tc>
          <w:tcPr>
            <w:tcW w:w="1276"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600</w:t>
            </w:r>
          </w:p>
        </w:tc>
        <w:tc>
          <w:tcPr>
            <w:tcW w:w="1417"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1800</w:t>
            </w:r>
          </w:p>
        </w:tc>
        <w:tc>
          <w:tcPr>
            <w:tcW w:w="1134"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86400</w:t>
            </w:r>
          </w:p>
        </w:tc>
        <w:tc>
          <w:tcPr>
            <w:tcW w:w="1445" w:type="dxa"/>
            <w:tcBorders>
              <w:top w:val="single" w:sz="8" w:space="0" w:color="A3A3A3"/>
              <w:left w:val="single" w:sz="8" w:space="0" w:color="A3A3A3"/>
              <w:bottom w:val="single" w:sz="8" w:space="0" w:color="A3A3A3"/>
              <w:right w:val="single" w:sz="8" w:space="0" w:color="A3A3A3"/>
            </w:tcBorders>
          </w:tcPr>
          <w:p>
            <w:pPr>
              <w:pStyle w:val="TAC"/>
              <w:rPr/>
            </w:pPr>
            <w:r>
              <w:rPr>
                <w:lang w:val="en-US"/>
              </w:rPr>
              <w:t>86400</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7200</w:t>
            </w:r>
          </w:p>
        </w:tc>
      </w:tr>
      <w:tr>
        <w:trPr/>
        <w:tc>
          <w:tcPr>
            <w:tcW w:w="2552" w:type="dxa"/>
            <w:tcBorders>
              <w:top w:val="single" w:sz="8" w:space="0" w:color="A3A3A3"/>
              <w:left w:val="single" w:sz="8" w:space="0" w:color="A3A3A3"/>
              <w:bottom w:val="single" w:sz="8" w:space="0" w:color="A3A3A3"/>
              <w:right w:val="single" w:sz="8" w:space="0" w:color="A3A3A3"/>
            </w:tcBorders>
            <w:vAlign w:val="center"/>
          </w:tcPr>
          <w:p>
            <w:pPr>
              <w:pStyle w:val="TAR"/>
              <w:rPr/>
            </w:pPr>
            <w:r>
              <w:rPr>
                <w:lang w:val="en-US"/>
              </w:rPr>
              <w:t>Events per cell per s [1/s]</w:t>
            </w:r>
          </w:p>
        </w:tc>
        <w:tc>
          <w:tcPr>
            <w:tcW w:w="1276"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2.66</w:t>
            </w:r>
          </w:p>
        </w:tc>
        <w:tc>
          <w:tcPr>
            <w:tcW w:w="1417" w:type="dxa"/>
            <w:tcBorders>
              <w:top w:val="single" w:sz="8" w:space="0" w:color="A3A3A3"/>
              <w:left w:val="single" w:sz="8" w:space="0" w:color="A3A3A3"/>
              <w:bottom w:val="single" w:sz="8" w:space="0" w:color="A3A3A3"/>
              <w:right w:val="single" w:sz="8" w:space="0" w:color="A3A3A3"/>
            </w:tcBorders>
          </w:tcPr>
          <w:p>
            <w:pPr>
              <w:pStyle w:val="TAC"/>
              <w:rPr/>
            </w:pPr>
            <w:r>
              <w:rPr>
                <w:lang w:val="en-US"/>
              </w:rPr>
              <w:t>0.096</w:t>
            </w:r>
          </w:p>
        </w:tc>
        <w:tc>
          <w:tcPr>
            <w:tcW w:w="1134" w:type="dxa"/>
            <w:tcBorders>
              <w:top w:val="single" w:sz="8" w:space="0" w:color="A3A3A3"/>
              <w:left w:val="single" w:sz="8" w:space="0" w:color="A3A3A3"/>
              <w:bottom w:val="single" w:sz="8" w:space="0" w:color="A3A3A3"/>
              <w:right w:val="single" w:sz="8" w:space="0" w:color="A3A3A3"/>
            </w:tcBorders>
          </w:tcPr>
          <w:p>
            <w:pPr>
              <w:pStyle w:val="TAC"/>
              <w:rPr/>
            </w:pPr>
            <w:r>
              <w:rPr>
                <w:lang w:val="en-US"/>
              </w:rPr>
              <w:t>0.002</w:t>
            </w:r>
          </w:p>
        </w:tc>
        <w:tc>
          <w:tcPr>
            <w:tcW w:w="1445" w:type="dxa"/>
            <w:tcBorders>
              <w:top w:val="single" w:sz="8" w:space="0" w:color="A3A3A3"/>
              <w:left w:val="single" w:sz="8" w:space="0" w:color="A3A3A3"/>
              <w:bottom w:val="single" w:sz="8" w:space="0" w:color="A3A3A3"/>
              <w:right w:val="single" w:sz="8" w:space="0" w:color="A3A3A3"/>
            </w:tcBorders>
          </w:tcPr>
          <w:p>
            <w:pPr>
              <w:pStyle w:val="TAC"/>
              <w:rPr/>
            </w:pPr>
            <w:r>
              <w:rPr>
                <w:lang w:val="en-US"/>
              </w:rPr>
              <w:t>0.098</w:t>
            </w:r>
          </w:p>
        </w:tc>
        <w:tc>
          <w:tcPr>
            <w:tcW w:w="1318" w:type="dxa"/>
            <w:tcBorders>
              <w:top w:val="single" w:sz="8" w:space="0" w:color="A3A3A3"/>
              <w:left w:val="single" w:sz="8" w:space="0" w:color="A3A3A3"/>
              <w:bottom w:val="single" w:sz="8" w:space="0" w:color="A3A3A3"/>
              <w:right w:val="single" w:sz="8" w:space="0" w:color="A3A3A3"/>
            </w:tcBorders>
          </w:tcPr>
          <w:p>
            <w:pPr>
              <w:pStyle w:val="TAC"/>
              <w:rPr>
                <w:lang w:val="en-US"/>
              </w:rPr>
            </w:pPr>
            <w:r>
              <w:rPr>
                <w:lang w:val="en-US"/>
              </w:rPr>
              <w:t>1.17</w:t>
            </w:r>
          </w:p>
        </w:tc>
      </w:tr>
      <w:tr>
        <w:trPr/>
        <w:tc>
          <w:tcPr>
            <w:tcW w:w="2552" w:type="dxa"/>
            <w:tcBorders>
              <w:top w:val="single" w:sz="8" w:space="0" w:color="A3A3A3"/>
              <w:left w:val="single" w:sz="8" w:space="0" w:color="A3A3A3"/>
              <w:bottom w:val="single" w:sz="12" w:space="0" w:color="A3A3A3"/>
              <w:right w:val="single" w:sz="8" w:space="0" w:color="A3A3A3"/>
            </w:tcBorders>
            <w:shd w:fill="FFFFFF" w:val="clear"/>
            <w:vAlign w:val="center"/>
          </w:tcPr>
          <w:p>
            <w:pPr>
              <w:pStyle w:val="TAR"/>
              <w:rPr/>
            </w:pPr>
            <w:r>
              <w:rPr>
                <w:lang w:val="en-US"/>
              </w:rPr>
              <w:t>Uplink transactions per cell per day</w:t>
            </w:r>
          </w:p>
        </w:tc>
        <w:tc>
          <w:tcPr>
            <w:tcW w:w="1276" w:type="dxa"/>
            <w:tcBorders>
              <w:top w:val="single" w:sz="8" w:space="0" w:color="A3A3A3"/>
              <w:left w:val="single" w:sz="8" w:space="0" w:color="A3A3A3"/>
              <w:bottom w:val="single" w:sz="12" w:space="0" w:color="A3A3A3"/>
              <w:right w:val="single" w:sz="8" w:space="0" w:color="A3A3A3"/>
            </w:tcBorders>
            <w:shd w:fill="FFFFFF" w:val="clear"/>
          </w:tcPr>
          <w:p>
            <w:pPr>
              <w:pStyle w:val="TAC"/>
              <w:rPr/>
            </w:pPr>
            <w:r>
              <w:rPr>
                <w:lang w:val="fr-FR"/>
              </w:rPr>
              <w:t>229450 (66.0%)</w:t>
            </w:r>
          </w:p>
        </w:tc>
        <w:tc>
          <w:tcPr>
            <w:tcW w:w="1417" w:type="dxa"/>
            <w:tcBorders>
              <w:top w:val="single" w:sz="8" w:space="0" w:color="A3A3A3"/>
              <w:left w:val="single" w:sz="8" w:space="0" w:color="A3A3A3"/>
              <w:bottom w:val="single" w:sz="12" w:space="0" w:color="A3A3A3"/>
              <w:right w:val="single" w:sz="8" w:space="0" w:color="A3A3A3"/>
            </w:tcBorders>
            <w:shd w:fill="FFFFFF" w:val="clear"/>
          </w:tcPr>
          <w:p>
            <w:pPr>
              <w:pStyle w:val="TAC"/>
              <w:rPr/>
            </w:pPr>
            <w:r>
              <w:rPr>
                <w:lang w:val="fr-FR"/>
              </w:rPr>
              <w:t>8304 (2.4%)</w:t>
            </w:r>
          </w:p>
          <w:p>
            <w:pPr>
              <w:pStyle w:val="TAC"/>
              <w:rPr>
                <w:lang w:val="fr-FR"/>
              </w:rPr>
            </w:pPr>
            <w:r>
              <w:rPr>
                <w:lang w:val="fr-FR"/>
              </w:rPr>
            </w:r>
          </w:p>
        </w:tc>
        <w:tc>
          <w:tcPr>
            <w:tcW w:w="1134" w:type="dxa"/>
            <w:tcBorders>
              <w:top w:val="single" w:sz="8" w:space="0" w:color="A3A3A3"/>
              <w:left w:val="single" w:sz="8" w:space="0" w:color="A3A3A3"/>
              <w:bottom w:val="single" w:sz="12" w:space="0" w:color="A3A3A3"/>
              <w:right w:val="single" w:sz="8" w:space="0" w:color="A3A3A3"/>
            </w:tcBorders>
            <w:shd w:fill="FFFFFF" w:val="clear"/>
          </w:tcPr>
          <w:p>
            <w:pPr>
              <w:pStyle w:val="TAC"/>
              <w:rPr/>
            </w:pPr>
            <w:r>
              <w:rPr>
                <w:lang w:val="fr-FR"/>
              </w:rPr>
              <w:t>169 (0.05%) </w:t>
            </w:r>
          </w:p>
        </w:tc>
        <w:tc>
          <w:tcPr>
            <w:tcW w:w="1445" w:type="dxa"/>
            <w:tcBorders>
              <w:top w:val="single" w:sz="8" w:space="0" w:color="A3A3A3"/>
              <w:left w:val="single" w:sz="8" w:space="0" w:color="A3A3A3"/>
              <w:bottom w:val="single" w:sz="12" w:space="0" w:color="A3A3A3"/>
              <w:right w:val="single" w:sz="8" w:space="0" w:color="A3A3A3"/>
            </w:tcBorders>
            <w:shd w:fill="FFFFFF" w:val="clear"/>
          </w:tcPr>
          <w:p>
            <w:pPr>
              <w:pStyle w:val="TAC"/>
              <w:rPr/>
            </w:pPr>
            <w:r>
              <w:rPr>
                <w:lang w:val="fr-FR"/>
              </w:rPr>
              <w:t>8461 (2.4%)</w:t>
            </w:r>
          </w:p>
        </w:tc>
        <w:tc>
          <w:tcPr>
            <w:tcW w:w="1318" w:type="dxa"/>
            <w:tcBorders>
              <w:top w:val="single" w:sz="8" w:space="0" w:color="A3A3A3"/>
              <w:left w:val="single" w:sz="8" w:space="0" w:color="A3A3A3"/>
              <w:bottom w:val="single" w:sz="12" w:space="0" w:color="A3A3A3"/>
              <w:right w:val="single" w:sz="8" w:space="0" w:color="A3A3A3"/>
            </w:tcBorders>
            <w:shd w:fill="FFFFFF" w:val="clear"/>
          </w:tcPr>
          <w:p>
            <w:pPr>
              <w:pStyle w:val="TAC"/>
              <w:rPr/>
            </w:pPr>
            <w:r>
              <w:rPr>
                <w:lang w:val="fr-FR"/>
              </w:rPr>
              <w:t>101532 (29.2%)</w:t>
            </w:r>
          </w:p>
        </w:tc>
      </w:tr>
    </w:tbl>
    <w:p>
      <w:pPr>
        <w:pStyle w:val="FP"/>
        <w:rPr>
          <w:lang w:val="en-US"/>
        </w:rPr>
      </w:pPr>
      <w:r>
        <w:rPr>
          <w:lang w:val="en-US"/>
        </w:rPr>
      </w:r>
    </w:p>
    <w:p>
      <w:pPr>
        <w:pStyle w:val="Heading2"/>
        <w:rPr>
          <w:lang w:val="en-US"/>
        </w:rPr>
      </w:pPr>
      <w:bookmarkStart w:id="1150" w:name="__RefHeading___Toc518036425"/>
      <w:bookmarkEnd w:id="1150"/>
      <w:r>
        <w:rPr>
          <w:lang w:val="en-US"/>
        </w:rPr>
        <w:t>ZF.8.3</w:t>
        <w:tab/>
        <w:t>Aggregated traffic model of MTC over Legacy GPRS</w:t>
      </w:r>
    </w:p>
    <w:p>
      <w:pPr>
        <w:pStyle w:val="Normal"/>
        <w:rPr/>
      </w:pPr>
      <w:r>
        <w:rPr>
          <w:lang w:val="en-US"/>
        </w:rPr>
        <w:t>The aforementioned per application traffic models are then aggregated to obtain a global traffic model for MTC traffic over legacy GPRS that could be used as a unique traffic model for MTC traffic over legacy GPRS.</w:t>
      </w:r>
    </w:p>
    <w:p>
      <w:pPr>
        <w:pStyle w:val="Normal"/>
        <w:rPr/>
      </w:pPr>
      <w:r>
        <w:rPr>
          <w:lang w:val="en-US"/>
        </w:rPr>
        <w:t>For the uplink, there is a large variation in the packet sizes between the per application models. In the aggregate model, the uplink packet size is therefore randomly picked among the packet sizes of the different per application traffic models. For the downlink, the packet sizes of the per application traffic models are more similar. Therefore, the downlink packet size is assumed to be fixed (always using the worst case packet size).</w:t>
      </w:r>
    </w:p>
    <w:p>
      <w:pPr>
        <w:pStyle w:val="Normal"/>
        <w:rPr>
          <w:lang w:val="en-US"/>
        </w:rPr>
      </w:pPr>
      <w:r>
        <w:rPr>
          <w:lang w:val="en-US"/>
        </w:rPr>
        <w:t>For simplicity, it is assumed that uplink and downlink packets are sent independently.</w:t>
      </w:r>
    </w:p>
    <w:p>
      <w:pPr>
        <w:pStyle w:val="Normal"/>
        <w:rPr/>
      </w:pPr>
      <w:r>
        <w:rPr>
          <w:lang w:val="en-US"/>
        </w:rPr>
        <w:t>Resulting parameters for this traffic model are given in table ZF.8-2.</w:t>
      </w:r>
    </w:p>
    <w:p>
      <w:pPr>
        <w:pStyle w:val="TH"/>
        <w:rPr>
          <w:rFonts w:ascii="Times New Roman" w:hAnsi="Times New Roman" w:cs="Times New Roman"/>
          <w:lang w:val="en-US"/>
        </w:rPr>
      </w:pPr>
      <w:bookmarkStart w:id="1151" w:name="_Ref442826284"/>
      <w:r>
        <w:rPr>
          <w:rFonts w:cs="Times New Roman" w:ascii="Times New Roman" w:hAnsi="Times New Roman"/>
          <w:lang w:val="en-US"/>
        </w:rPr>
        <w:t xml:space="preserve">Table </w:t>
      </w:r>
      <w:bookmarkEnd w:id="1151"/>
      <w:r>
        <w:rPr>
          <w:rFonts w:cs="Times New Roman" w:ascii="Times New Roman" w:hAnsi="Times New Roman"/>
          <w:lang w:val="en-US"/>
        </w:rPr>
        <w:t>ZF.8-2: Global traffic model for MTC traffic of legacy GPRS</w:t>
      </w:r>
    </w:p>
    <w:tbl>
      <w:tblPr>
        <w:tblW w:w="6379" w:type="dxa"/>
        <w:jc w:val="center"/>
        <w:tblInd w:w="0" w:type="dxa"/>
        <w:tblLayout w:type="fixed"/>
        <w:tblCellMar>
          <w:top w:w="0" w:type="dxa"/>
          <w:left w:w="108" w:type="dxa"/>
          <w:bottom w:w="0" w:type="dxa"/>
          <w:right w:w="108" w:type="dxa"/>
        </w:tblCellMar>
      </w:tblPr>
      <w:tblGrid>
        <w:gridCol w:w="2467"/>
        <w:gridCol w:w="3912"/>
      </w:tblGrid>
      <w:tr>
        <w:trPr/>
        <w:tc>
          <w:tcPr>
            <w:tcW w:w="6379" w:type="dxa"/>
            <w:gridSpan w:val="2"/>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Aggregated Legacy GPRS MTC model : 347916 transactions/day</w:t>
            </w:r>
          </w:p>
        </w:tc>
      </w:tr>
      <w:tr>
        <w:trPr/>
        <w:tc>
          <w:tcPr>
            <w:tcW w:w="2467" w:type="dxa"/>
            <w:vMerge w:val="restart"/>
            <w:tcBorders>
              <w:top w:val="single" w:sz="4" w:space="0" w:color="000000"/>
              <w:left w:val="single" w:sz="4" w:space="0" w:color="000000"/>
              <w:bottom w:val="single" w:sz="4" w:space="0" w:color="000000"/>
              <w:right w:val="single" w:sz="4" w:space="0" w:color="000000"/>
            </w:tcBorders>
            <w:vAlign w:val="center"/>
          </w:tcPr>
          <w:p>
            <w:pPr>
              <w:pStyle w:val="TAR"/>
              <w:rPr>
                <w:lang w:val="en-US"/>
              </w:rPr>
            </w:pPr>
            <w:r>
              <w:rPr>
                <w:lang w:val="en-US"/>
              </w:rPr>
              <w:t>Downlink</w:t>
            </w:r>
          </w:p>
        </w:tc>
        <w:tc>
          <w:tcPr>
            <w:tcW w:w="391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1.39 events/cell/s</w:t>
            </w:r>
          </w:p>
        </w:tc>
      </w:tr>
      <w:tr>
        <w:trPr/>
        <w:tc>
          <w:tcPr>
            <w:tcW w:w="2467" w:type="dxa"/>
            <w:vMerge w:val="continue"/>
            <w:tcBorders>
              <w:top w:val="single" w:sz="4" w:space="0" w:color="000000"/>
              <w:left w:val="single" w:sz="4" w:space="0" w:color="000000"/>
              <w:bottom w:val="single" w:sz="4" w:space="0" w:color="000000"/>
              <w:right w:val="single" w:sz="4" w:space="0" w:color="000000"/>
            </w:tcBorders>
            <w:vAlign w:val="center"/>
          </w:tcPr>
          <w:p>
            <w:pPr>
              <w:pStyle w:val="TAR"/>
              <w:snapToGrid w:val="false"/>
              <w:rPr>
                <w:lang w:val="en-US"/>
              </w:rPr>
            </w:pPr>
            <w:r>
              <w:rPr>
                <w:lang w:val="en-US"/>
              </w:rPr>
            </w:r>
          </w:p>
        </w:tc>
        <w:tc>
          <w:tcPr>
            <w:tcW w:w="391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Fixed packet size of 45 bytes</w:t>
            </w:r>
          </w:p>
        </w:tc>
      </w:tr>
      <w:tr>
        <w:trPr/>
        <w:tc>
          <w:tcPr>
            <w:tcW w:w="2467" w:type="dxa"/>
            <w:vMerge w:val="restart"/>
            <w:tcBorders>
              <w:top w:val="single" w:sz="4" w:space="0" w:color="000000"/>
              <w:left w:val="single" w:sz="4" w:space="0" w:color="000000"/>
              <w:bottom w:val="single" w:sz="4" w:space="0" w:color="000000"/>
              <w:right w:val="single" w:sz="4" w:space="0" w:color="000000"/>
            </w:tcBorders>
            <w:vAlign w:val="center"/>
          </w:tcPr>
          <w:p>
            <w:pPr>
              <w:pStyle w:val="TAR"/>
              <w:rPr>
                <w:lang w:val="en-US"/>
              </w:rPr>
            </w:pPr>
            <w:r>
              <w:rPr>
                <w:lang w:val="en-US"/>
              </w:rPr>
              <w:t>Uplink</w:t>
            </w:r>
          </w:p>
        </w:tc>
        <w:tc>
          <w:tcPr>
            <w:tcW w:w="3912"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4.03 events/cell/s</w:t>
            </w:r>
          </w:p>
        </w:tc>
      </w:tr>
      <w:tr>
        <w:trPr/>
        <w:tc>
          <w:tcPr>
            <w:tcW w:w="24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jc w:val="center"/>
              <w:rPr>
                <w:rFonts w:ascii="Calibri" w:hAnsi="Calibri" w:cs="Calibri"/>
                <w:sz w:val="22"/>
                <w:szCs w:val="22"/>
                <w:lang w:val="en-US"/>
              </w:rPr>
            </w:pPr>
            <w:r>
              <w:rPr>
                <w:rFonts w:cs="Calibri" w:ascii="Calibri" w:hAnsi="Calibri"/>
                <w:sz w:val="22"/>
                <w:szCs w:val="22"/>
                <w:lang w:val="en-US"/>
              </w:rPr>
            </w:r>
          </w:p>
        </w:tc>
        <w:tc>
          <w:tcPr>
            <w:tcW w:w="3912" w:type="dxa"/>
            <w:tcBorders>
              <w:top w:val="single" w:sz="4" w:space="0" w:color="000000"/>
              <w:left w:val="single" w:sz="4" w:space="0" w:color="000000"/>
              <w:bottom w:val="single" w:sz="4" w:space="0" w:color="000000"/>
              <w:right w:val="single" w:sz="4" w:space="0" w:color="000000"/>
            </w:tcBorders>
          </w:tcPr>
          <w:p>
            <w:pPr>
              <w:pStyle w:val="TAC"/>
              <w:rPr/>
            </w:pPr>
            <w:r>
              <w:rPr>
                <w:lang w:val="en-US"/>
              </w:rPr>
              <w:t xml:space="preserve">Packet size randomly picked from [40,150,1200] </w:t>
              <w:br/>
              <w:t xml:space="preserve">with probabilities </w:t>
              <w:br/>
              <w:t>[0.291, 0.684, 0.024].</w:t>
            </w:r>
          </w:p>
        </w:tc>
      </w:tr>
    </w:tbl>
    <w:p>
      <w:pPr>
        <w:pStyle w:val="FP"/>
        <w:rPr>
          <w:lang w:val="en-US"/>
        </w:rPr>
      </w:pPr>
      <w:r>
        <w:rPr>
          <w:lang w:val="en-US"/>
        </w:rPr>
      </w:r>
    </w:p>
    <w:p>
      <w:pPr>
        <w:pStyle w:val="Heading1"/>
        <w:ind w:left="1134" w:hanging="1134"/>
        <w:rPr>
          <w:lang w:val="en-US" w:eastAsia="en-US"/>
        </w:rPr>
      </w:pPr>
      <w:bookmarkStart w:id="1152" w:name="__RefHeading___Toc518036426"/>
      <w:bookmarkEnd w:id="1152"/>
      <w:r>
        <w:rPr>
          <w:lang w:val="en-US" w:eastAsia="en-US"/>
        </w:rPr>
        <w:t>ZF.9</w:t>
        <w:tab/>
      </w:r>
      <w:r>
        <w:rPr>
          <w:lang w:val="en-US"/>
        </w:rPr>
        <w:t>Simulator model for wanted signal level and SINR estimation error</w:t>
      </w:r>
    </w:p>
    <w:p>
      <w:pPr>
        <w:pStyle w:val="Heading2"/>
        <w:rPr>
          <w:lang w:val="en-US" w:eastAsia="en-US"/>
        </w:rPr>
      </w:pPr>
      <w:bookmarkStart w:id="1153" w:name="__RefHeading___Toc518036427"/>
      <w:bookmarkEnd w:id="1153"/>
      <w:r>
        <w:rPr>
          <w:lang w:val="en-US" w:eastAsia="en-US"/>
        </w:rPr>
        <w:t>ZF.9.1</w:t>
        <w:tab/>
        <w:t>Tdoc reference</w:t>
      </w:r>
    </w:p>
    <w:p>
      <w:pPr>
        <w:pStyle w:val="Normal"/>
        <w:rPr>
          <w:lang w:val="en-US"/>
        </w:rPr>
      </w:pPr>
      <w:r>
        <w:rPr>
          <w:lang w:val="en-US"/>
        </w:rPr>
        <w:t>3GPP TSG GERAN #69</w:t>
      </w:r>
    </w:p>
    <w:p>
      <w:pPr>
        <w:pStyle w:val="Normal"/>
        <w:rPr>
          <w:lang w:val="en-US"/>
        </w:rPr>
      </w:pPr>
      <w:r>
        <w:rPr>
          <w:lang w:val="en-US"/>
        </w:rPr>
        <w:t>GP-160033</w:t>
      </w:r>
    </w:p>
    <w:p>
      <w:pPr>
        <w:pStyle w:val="Normal"/>
        <w:rPr>
          <w:lang w:val="en-US"/>
        </w:rPr>
      </w:pPr>
      <w:r>
        <w:rPr>
          <w:lang w:val="en-US"/>
        </w:rPr>
        <w:t xml:space="preserve">Malta </w:t>
      </w:r>
    </w:p>
    <w:p>
      <w:pPr>
        <w:pStyle w:val="Normal"/>
        <w:rPr/>
      </w:pPr>
      <w:r>
        <w:rPr>
          <w:lang w:val="en-US"/>
        </w:rPr>
        <w:t>15</w:t>
      </w:r>
      <w:r>
        <w:rPr>
          <w:vertAlign w:val="superscript"/>
          <w:lang w:val="en-US"/>
        </w:rPr>
        <w:t>th</w:t>
      </w:r>
      <w:r>
        <w:rPr>
          <w:lang w:val="en-US"/>
        </w:rPr>
        <w:t xml:space="preserve"> – 19</w:t>
      </w:r>
      <w:r>
        <w:rPr>
          <w:vertAlign w:val="superscript"/>
          <w:lang w:val="en-US"/>
        </w:rPr>
        <w:t>th</w:t>
      </w:r>
      <w:r>
        <w:rPr>
          <w:lang w:val="en-US"/>
        </w:rPr>
        <w:t xml:space="preserve"> Feb, 2016</w:t>
      </w:r>
    </w:p>
    <w:p>
      <w:pPr>
        <w:pStyle w:val="Normal"/>
        <w:rPr>
          <w:lang w:val="en-US"/>
        </w:rPr>
      </w:pPr>
      <w:r>
        <w:rPr>
          <w:lang w:val="en-US"/>
        </w:rPr>
        <w:t>Source: Ericsson LM</w:t>
      </w:r>
    </w:p>
    <w:p>
      <w:pPr>
        <w:pStyle w:val="Normal"/>
        <w:rPr/>
      </w:pPr>
      <w:r>
        <w:rPr>
          <w:b/>
          <w:lang w:val="en-US"/>
        </w:rPr>
        <w:t xml:space="preserve">Title: </w:t>
      </w:r>
      <w:r>
        <w:rPr>
          <w:b/>
          <w:lang w:val="en-US" w:eastAsia="en-US"/>
        </w:rPr>
        <w:t>Received signal level measurements for EC-EGPRS (update of GP-151135)</w:t>
      </w:r>
    </w:p>
    <w:p>
      <w:pPr>
        <w:pStyle w:val="Heading2"/>
        <w:rPr>
          <w:lang w:val="en-US" w:eastAsia="en-US"/>
        </w:rPr>
      </w:pPr>
      <w:bookmarkStart w:id="1154" w:name="__RefHeading___Toc518036428"/>
      <w:bookmarkEnd w:id="1154"/>
      <w:r>
        <w:rPr>
          <w:lang w:val="en-US" w:eastAsia="en-US"/>
        </w:rPr>
        <w:t>ZF.9.2</w:t>
        <w:tab/>
        <w:t>Model</w:t>
      </w:r>
    </w:p>
    <w:p>
      <w:pPr>
        <w:pStyle w:val="Normal"/>
        <w:rPr/>
      </w:pPr>
      <w:r>
        <w:rPr>
          <w:lang w:val="en-US"/>
        </w:rPr>
        <w:t>In EC-GSM-IoT the MS measures the wanted received signal level on the FCCH and/or EC-SCH. To average out fast fading, the MS should take several (e.g. 5) measurement samples spread out in time (e.g. over 5 s). Further, SINR estimation is discussed above as an alternative or complement to signal level estimation.</w:t>
      </w:r>
    </w:p>
    <w:p>
      <w:pPr>
        <w:pStyle w:val="Normal"/>
        <w:rPr/>
      </w:pPr>
      <w:r>
        <w:rPr>
          <w:lang w:val="en-US"/>
        </w:rPr>
        <w:t xml:space="preserve">When studying EC-EGPRS performance in tight reuse networks, WA9.2 of Annex </w:t>
      </w:r>
      <w:r>
        <w:rPr/>
        <w:t>ZF.1</w:t>
      </w:r>
      <w:r>
        <w:rPr>
          <w:lang w:val="en-US"/>
        </w:rPr>
        <w:t>states that "Cell reselection shall be based on realistic models of neighbor cell measurements in idle mode [...]". Therefore, when modeling cell re-selection in system simulations for tight reuse networks, the measurement procedure of the MS should be accurately modelled. Since fast fading is typically modelled in the system simulator, the averaging across multiple samples spaced in time can be directly implemented. However, for the first step of taking measurement samples on the EC-SCH, the measurement inaccuracy needs to be taken into account in order not to overestimate the performance of cell re-selection. Unless the system simulator models the signals on I/Q sample level, a statistical measurement inaccuracy model is needed.</w:t>
      </w:r>
    </w:p>
    <w:p>
      <w:pPr>
        <w:pStyle w:val="Normal"/>
        <w:rPr>
          <w:lang w:val="en-US"/>
        </w:rPr>
      </w:pPr>
      <w:r>
        <w:rPr>
          <w:lang w:val="en-US"/>
        </w:rPr>
        <w:t>The proposed model is as follows:</w:t>
      </w:r>
    </w:p>
    <w:p>
      <w:pPr>
        <w:pStyle w:val="B1"/>
        <w:rPr/>
      </w:pPr>
      <w:r>
        <w:rPr>
          <w:lang w:val="en-US"/>
        </w:rPr>
        <w:t>-</w:t>
        <w:tab/>
        <w:t>For each measurement sample taken on one instance of the EC-SCH (up to 7 EC-SCH bursts)</w:t>
      </w:r>
    </w:p>
    <w:p>
      <w:pPr>
        <w:pStyle w:val="B1"/>
        <w:rPr>
          <w:lang w:val="en-US"/>
        </w:rPr>
      </w:pPr>
      <w:r>
        <w:rPr>
          <w:lang w:val="en-US"/>
        </w:rPr>
        <w:t>-</w:t>
        <w:tab/>
        <w:t>Calculate the true wanted signal level  and true SINR</w:t>
      </w:r>
    </w:p>
    <w:p>
      <w:pPr>
        <w:pStyle w:val="B1"/>
        <w:rPr>
          <w:lang w:val="en-US"/>
        </w:rPr>
      </w:pPr>
      <w:r>
        <w:rPr>
          <w:lang w:val="en-US"/>
        </w:rPr>
        <w:t>-</w:t>
        <w:tab/>
        <w:t>Add a random measurement error to the true wanted signal level, with a distribution depending on the true SINR</w:t>
      </w:r>
    </w:p>
    <w:p>
      <w:pPr>
        <w:pStyle w:val="B1"/>
        <w:rPr/>
      </w:pPr>
      <w:r>
        <w:rPr>
          <w:lang w:val="en-US"/>
        </w:rPr>
        <w:t>-</w:t>
        <w:tab/>
        <w:t>Average (e.g.) 5 measurement samples over time (e.g. 5 s).</w:t>
      </w:r>
    </w:p>
    <w:p>
      <w:pPr>
        <w:pStyle w:val="Normal"/>
        <w:rPr/>
      </w:pPr>
      <w:r>
        <w:rPr>
          <w:lang w:val="en-US"/>
        </w:rPr>
        <w:t>To derive a statistical distribution for the measurement inaccuracy in 1b, link simulations have been run. For each measurement (done as described in section 4.2 above), the true SINR and the estimated wanted signal level are logged. From this, the error distribution at each given instantaneous true wanted signal level is derived.</w:t>
      </w:r>
    </w:p>
    <w:p>
      <w:pPr>
        <w:pStyle w:val="Heading2"/>
        <w:rPr>
          <w:lang w:val="en-US"/>
        </w:rPr>
      </w:pPr>
      <w:bookmarkStart w:id="1155" w:name="__RefHeading___Toc518036429"/>
      <w:bookmarkEnd w:id="1155"/>
      <w:r>
        <w:rPr>
          <w:lang w:val="en-US"/>
        </w:rPr>
        <w:t>ZF.9.3</w:t>
        <w:tab/>
        <w:t>Noise-limited case</w:t>
      </w:r>
    </w:p>
    <w:p>
      <w:pPr>
        <w:pStyle w:val="Normal"/>
        <w:rPr>
          <w:lang w:val="en-US"/>
        </w:rPr>
      </w:pPr>
      <w:r>
        <w:rPr>
          <w:lang w:val="en-US"/>
        </w:rPr>
        <w:t xml:space="preserve">Distributions (PDFs) of the wanted signal level estimation error are shown in </w:t>
      </w:r>
      <w:r>
        <w:rPr/>
        <w:t>Figure ZF.9-1</w:t>
      </w:r>
      <w:r>
        <w:rPr>
          <w:lang w:val="en-US"/>
        </w:rPr>
        <w:t xml:space="preserve"> for different true SINRs (-15 dB, -5 dB and 0 dB) and different number of EC-SCH burst pairs used for signal level estimation (1 and 6). For comparison, a normal distribution with the same mean and standard deviation as the estimation error is shown.</w:t>
      </w:r>
    </w:p>
    <w:p>
      <w:pPr>
        <w:pStyle w:val="TH"/>
        <w:rPr/>
      </w:pPr>
      <w:r>
        <w:rPr>
          <w:lang w:val="en-US" w:eastAsia="en-US"/>
        </w:rPr>
        <w:drawing>
          <wp:inline distT="0" distB="0" distL="0" distR="0">
            <wp:extent cx="2529840" cy="1692275"/>
            <wp:effectExtent l="0" t="0" r="0" b="0"/>
            <wp:docPr id="344"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48" descr=""/>
                    <pic:cNvPicPr>
                      <a:picLocks noChangeAspect="1" noChangeArrowheads="1"/>
                    </pic:cNvPicPr>
                  </pic:nvPicPr>
                  <pic:blipFill>
                    <a:blip r:embed="rId355"/>
                    <a:srcRect l="-7" t="-10" r="-7" b="-10"/>
                    <a:stretch>
                      <a:fillRect/>
                    </a:stretch>
                  </pic:blipFill>
                  <pic:spPr bwMode="auto">
                    <a:xfrm>
                      <a:off x="0" y="0"/>
                      <a:ext cx="2529840" cy="1692275"/>
                    </a:xfrm>
                    <a:prstGeom prst="rect">
                      <a:avLst/>
                    </a:prstGeom>
                  </pic:spPr>
                </pic:pic>
              </a:graphicData>
            </a:graphic>
          </wp:inline>
        </w:drawing>
      </w:r>
      <w:r>
        <w:rPr>
          <w:lang w:val="en-US" w:eastAsia="en-US"/>
        </w:rPr>
        <w:drawing>
          <wp:inline distT="0" distB="0" distL="0" distR="0">
            <wp:extent cx="2529840" cy="1692275"/>
            <wp:effectExtent l="0" t="0" r="0" b="0"/>
            <wp:docPr id="34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49" descr=""/>
                    <pic:cNvPicPr>
                      <a:picLocks noChangeAspect="1" noChangeArrowheads="1"/>
                    </pic:cNvPicPr>
                  </pic:nvPicPr>
                  <pic:blipFill>
                    <a:blip r:embed="rId356"/>
                    <a:srcRect l="-7" t="-10" r="-7" b="-10"/>
                    <a:stretch>
                      <a:fillRect/>
                    </a:stretch>
                  </pic:blipFill>
                  <pic:spPr bwMode="auto">
                    <a:xfrm>
                      <a:off x="0" y="0"/>
                      <a:ext cx="2529840" cy="1692275"/>
                    </a:xfrm>
                    <a:prstGeom prst="rect">
                      <a:avLst/>
                    </a:prstGeom>
                  </pic:spPr>
                </pic:pic>
              </a:graphicData>
            </a:graphic>
          </wp:inline>
        </w:drawing>
      </w:r>
    </w:p>
    <w:p>
      <w:pPr>
        <w:pStyle w:val="TH"/>
        <w:rPr>
          <w:lang w:val="en-US" w:eastAsia="en-US"/>
        </w:rPr>
      </w:pPr>
      <w:r>
        <w:rPr>
          <w:color w:val="FF0000"/>
          <w:lang w:val="en-US" w:eastAsia="en-US"/>
        </w:rPr>
        <w:drawing>
          <wp:inline distT="0" distB="0" distL="0" distR="0">
            <wp:extent cx="2535555" cy="1692275"/>
            <wp:effectExtent l="0" t="0" r="0" b="0"/>
            <wp:docPr id="346"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50" descr=""/>
                    <pic:cNvPicPr>
                      <a:picLocks noChangeAspect="1" noChangeArrowheads="1"/>
                    </pic:cNvPicPr>
                  </pic:nvPicPr>
                  <pic:blipFill>
                    <a:blip r:embed="rId357"/>
                    <a:srcRect l="-7" t="-10" r="-7" b="-10"/>
                    <a:stretch>
                      <a:fillRect/>
                    </a:stretch>
                  </pic:blipFill>
                  <pic:spPr bwMode="auto">
                    <a:xfrm>
                      <a:off x="0" y="0"/>
                      <a:ext cx="2535555" cy="1692275"/>
                    </a:xfrm>
                    <a:prstGeom prst="rect">
                      <a:avLst/>
                    </a:prstGeom>
                  </pic:spPr>
                </pic:pic>
              </a:graphicData>
            </a:graphic>
          </wp:inline>
        </w:drawing>
      </w:r>
      <w:r>
        <w:rPr>
          <w:color w:val="FF0000"/>
          <w:lang w:val="en-US" w:eastAsia="en-US"/>
        </w:rPr>
        <w:drawing>
          <wp:inline distT="0" distB="0" distL="0" distR="0">
            <wp:extent cx="2535555" cy="1692275"/>
            <wp:effectExtent l="0" t="0" r="0" b="0"/>
            <wp:docPr id="347"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51" descr=""/>
                    <pic:cNvPicPr>
                      <a:picLocks noChangeAspect="1" noChangeArrowheads="1"/>
                    </pic:cNvPicPr>
                  </pic:nvPicPr>
                  <pic:blipFill>
                    <a:blip r:embed="rId358"/>
                    <a:srcRect l="-7" t="-10" r="-7" b="-10"/>
                    <a:stretch>
                      <a:fillRect/>
                    </a:stretch>
                  </pic:blipFill>
                  <pic:spPr bwMode="auto">
                    <a:xfrm>
                      <a:off x="0" y="0"/>
                      <a:ext cx="2535555" cy="1692275"/>
                    </a:xfrm>
                    <a:prstGeom prst="rect">
                      <a:avLst/>
                    </a:prstGeom>
                  </pic:spPr>
                </pic:pic>
              </a:graphicData>
            </a:graphic>
          </wp:inline>
        </w:drawing>
      </w:r>
    </w:p>
    <w:p>
      <w:pPr>
        <w:pStyle w:val="TH"/>
        <w:rPr>
          <w:lang w:val="en-US" w:eastAsia="en-US"/>
        </w:rPr>
      </w:pPr>
      <w:r>
        <w:rPr>
          <w:color w:val="FF0000"/>
          <w:lang w:val="en-US" w:eastAsia="en-US"/>
        </w:rPr>
        <w:drawing>
          <wp:inline distT="0" distB="0" distL="0" distR="0">
            <wp:extent cx="2535555" cy="1692275"/>
            <wp:effectExtent l="0" t="0" r="0" b="0"/>
            <wp:docPr id="34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52" descr=""/>
                    <pic:cNvPicPr>
                      <a:picLocks noChangeAspect="1" noChangeArrowheads="1"/>
                    </pic:cNvPicPr>
                  </pic:nvPicPr>
                  <pic:blipFill>
                    <a:blip r:embed="rId359"/>
                    <a:srcRect l="-7" t="-10" r="-7" b="-10"/>
                    <a:stretch>
                      <a:fillRect/>
                    </a:stretch>
                  </pic:blipFill>
                  <pic:spPr bwMode="auto">
                    <a:xfrm>
                      <a:off x="0" y="0"/>
                      <a:ext cx="2535555" cy="1692275"/>
                    </a:xfrm>
                    <a:prstGeom prst="rect">
                      <a:avLst/>
                    </a:prstGeom>
                  </pic:spPr>
                </pic:pic>
              </a:graphicData>
            </a:graphic>
          </wp:inline>
        </w:drawing>
      </w:r>
      <w:r>
        <w:rPr>
          <w:color w:val="FF0000"/>
          <w:lang w:val="en-US" w:eastAsia="en-US"/>
        </w:rPr>
        <w:drawing>
          <wp:inline distT="0" distB="0" distL="0" distR="0">
            <wp:extent cx="2535555" cy="1692275"/>
            <wp:effectExtent l="0" t="0" r="0" b="0"/>
            <wp:docPr id="349"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53" descr=""/>
                    <pic:cNvPicPr>
                      <a:picLocks noChangeAspect="1" noChangeArrowheads="1"/>
                    </pic:cNvPicPr>
                  </pic:nvPicPr>
                  <pic:blipFill>
                    <a:blip r:embed="rId360"/>
                    <a:srcRect l="-7" t="-10" r="-7" b="-10"/>
                    <a:stretch>
                      <a:fillRect/>
                    </a:stretch>
                  </pic:blipFill>
                  <pic:spPr bwMode="auto">
                    <a:xfrm>
                      <a:off x="0" y="0"/>
                      <a:ext cx="2535555" cy="1692275"/>
                    </a:xfrm>
                    <a:prstGeom prst="rect">
                      <a:avLst/>
                    </a:prstGeom>
                  </pic:spPr>
                </pic:pic>
              </a:graphicData>
            </a:graphic>
          </wp:inline>
        </w:drawing>
      </w:r>
    </w:p>
    <w:p>
      <w:pPr>
        <w:pStyle w:val="TF"/>
        <w:rPr/>
      </w:pPr>
      <w:bookmarkStart w:id="1156" w:name="_Ref440984570"/>
      <w:r>
        <w:rPr/>
        <w:t>Figure</w:t>
      </w:r>
      <w:bookmarkEnd w:id="1156"/>
      <w:r>
        <w:rPr/>
        <w:t xml:space="preserve"> ZF.9-1: PDF of wanted signal level estimation error. True SNR is  -15 dB (top), -5 dB (middle) and 0 dB (bottom), respectively. Either 1 correlation pair (left) or 6 correlation pairs (right) have been used.</w:t>
      </w:r>
    </w:p>
    <w:p>
      <w:pPr>
        <w:pStyle w:val="Normal"/>
        <w:rPr/>
      </w:pPr>
      <w:r>
        <w:rPr>
          <w:lang w:val="en-US"/>
        </w:rPr>
        <w:t>It can be seen that the estimation error is reasonably accurately modelled by a normal distribution.</w:t>
      </w:r>
    </w:p>
    <w:p>
      <w:pPr>
        <w:pStyle w:val="Normal"/>
        <w:rPr/>
      </w:pPr>
      <w:r>
        <w:rPr>
          <w:lang w:val="en-US"/>
        </w:rPr>
        <w:t xml:space="preserve">The mean and standard deviation of the wanted signal level estimation error is shown in </w:t>
      </w:r>
      <w:r>
        <w:rPr/>
        <w:t>figure ZF.9-2</w:t>
      </w:r>
      <w:r>
        <w:rPr>
          <w:lang w:val="en-US"/>
        </w:rPr>
        <w:t>.</w:t>
      </w:r>
    </w:p>
    <w:p>
      <w:pPr>
        <w:pStyle w:val="TH"/>
        <w:rPr>
          <w:lang w:val="en-US" w:eastAsia="en-US"/>
        </w:rPr>
      </w:pPr>
      <w:r>
        <w:rPr>
          <w:lang w:val="en-US" w:eastAsia="en-US"/>
        </w:rPr>
        <w:drawing>
          <wp:inline distT="0" distB="0" distL="0" distR="0">
            <wp:extent cx="4584065" cy="3060065"/>
            <wp:effectExtent l="0" t="0" r="0" b="0"/>
            <wp:docPr id="35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54" descr=""/>
                    <pic:cNvPicPr>
                      <a:picLocks noChangeAspect="1" noChangeArrowheads="1"/>
                    </pic:cNvPicPr>
                  </pic:nvPicPr>
                  <pic:blipFill>
                    <a:blip r:embed="rId361"/>
                    <a:srcRect l="-7" t="-10" r="-7" b="-10"/>
                    <a:stretch>
                      <a:fillRect/>
                    </a:stretch>
                  </pic:blipFill>
                  <pic:spPr bwMode="auto">
                    <a:xfrm>
                      <a:off x="0" y="0"/>
                      <a:ext cx="4584065" cy="3060065"/>
                    </a:xfrm>
                    <a:prstGeom prst="rect">
                      <a:avLst/>
                    </a:prstGeom>
                  </pic:spPr>
                </pic:pic>
              </a:graphicData>
            </a:graphic>
          </wp:inline>
        </w:drawing>
      </w:r>
    </w:p>
    <w:p>
      <w:pPr>
        <w:pStyle w:val="TF"/>
        <w:rPr/>
      </w:pPr>
      <w:bookmarkStart w:id="1157" w:name="_Ref440988824"/>
      <w:r>
        <w:rPr/>
        <w:t xml:space="preserve">Figure </w:t>
      </w:r>
      <w:bookmarkEnd w:id="1157"/>
      <w:r>
        <w:rPr/>
        <w:t>ZF.9-2: Mean and standard deviation of estimation error versus true SINR. Noise-limited case.</w:t>
      </w:r>
    </w:p>
    <w:p>
      <w:pPr>
        <w:pStyle w:val="Normal"/>
        <w:rPr>
          <w:lang w:val="en-US"/>
        </w:rPr>
      </w:pPr>
      <w:r>
        <w:rPr>
          <w:lang w:val="en-US"/>
        </w:rPr>
        <w:t>For SINR estimation, the SINR is calculated from wanted signal level and total signal level (see section 3). The total signal level estimation can be assumed to be error-free.</w:t>
      </w:r>
    </w:p>
    <w:p>
      <w:pPr>
        <w:pStyle w:val="Heading2"/>
        <w:rPr>
          <w:lang w:val="en-US"/>
        </w:rPr>
      </w:pPr>
      <w:bookmarkStart w:id="1158" w:name="__RefHeading___Toc518036430"/>
      <w:bookmarkEnd w:id="1158"/>
      <w:r>
        <w:rPr>
          <w:lang w:val="en-US"/>
        </w:rPr>
        <w:t>ZF.9.4</w:t>
        <w:tab/>
        <w:t>Interference-limited case</w:t>
      </w:r>
    </w:p>
    <w:p>
      <w:pPr>
        <w:pStyle w:val="Normal"/>
        <w:rPr/>
      </w:pPr>
      <w:r>
        <w:rPr>
          <w:lang w:val="en-US"/>
        </w:rPr>
        <w:t>The wanted signal level estimation error was found to be approximately normal distributed also in the interference limited case (not shown here). The mean and standard deviation of the wanted signal level estimation error is shown in figure ZF.9-3</w:t>
      </w:r>
    </w:p>
    <w:p>
      <w:pPr>
        <w:pStyle w:val="TH"/>
        <w:rPr>
          <w:lang w:val="en-US" w:eastAsia="en-US"/>
        </w:rPr>
      </w:pPr>
      <w:r>
        <w:rPr>
          <w:lang w:val="en-US" w:eastAsia="en-US"/>
        </w:rPr>
        <w:drawing>
          <wp:inline distT="0" distB="0" distL="0" distR="0">
            <wp:extent cx="4584065" cy="3060065"/>
            <wp:effectExtent l="0" t="0" r="0" b="0"/>
            <wp:docPr id="35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23" descr=""/>
                    <pic:cNvPicPr>
                      <a:picLocks noChangeAspect="1" noChangeArrowheads="1"/>
                    </pic:cNvPicPr>
                  </pic:nvPicPr>
                  <pic:blipFill>
                    <a:blip r:embed="rId362"/>
                    <a:srcRect l="-7" t="-10" r="-7" b="-10"/>
                    <a:stretch>
                      <a:fillRect/>
                    </a:stretch>
                  </pic:blipFill>
                  <pic:spPr bwMode="auto">
                    <a:xfrm>
                      <a:off x="0" y="0"/>
                      <a:ext cx="4584065" cy="3060065"/>
                    </a:xfrm>
                    <a:prstGeom prst="rect">
                      <a:avLst/>
                    </a:prstGeom>
                  </pic:spPr>
                </pic:pic>
              </a:graphicData>
            </a:graphic>
          </wp:inline>
        </w:drawing>
      </w:r>
    </w:p>
    <w:p>
      <w:pPr>
        <w:pStyle w:val="TF"/>
        <w:rPr/>
      </w:pPr>
      <w:r>
        <w:rPr/>
        <w:t>Figure ZF.9-3: Mean and standard deviation of estimation error versus true SINR. Interference-limited case.</w:t>
      </w:r>
    </w:p>
    <w:p>
      <w:pPr>
        <w:pStyle w:val="Heading2"/>
        <w:rPr/>
      </w:pPr>
      <w:bookmarkStart w:id="1159" w:name="__RefHeading___Toc518036431"/>
      <w:bookmarkEnd w:id="1159"/>
      <w:r>
        <w:rPr/>
        <w:t>ZF.9.5</w:t>
        <w:tab/>
        <w:t>Discussion and conclusions</w:t>
      </w:r>
    </w:p>
    <w:p>
      <w:pPr>
        <w:pStyle w:val="Normal"/>
        <w:rPr/>
      </w:pPr>
      <w:r>
        <w:rPr>
          <w:lang w:val="en-US"/>
        </w:rPr>
        <w:t xml:space="preserve">General principles of signal level estimation for EC-GSM-IoT have been outlined. The use of SINR as an alternative or complement to wanted signal level has been proposed to cope with cell e.g. re-selection and coverage class selection in interference limited situations. These principles have also been used when performing simulations, estimating the wanted signal level and SINR accuracy achievable over the EC-SCH repetitions. </w:t>
      </w:r>
    </w:p>
    <w:p>
      <w:pPr>
        <w:pStyle w:val="Normal"/>
        <w:rPr/>
      </w:pPr>
      <w:r>
        <w:rPr>
          <w:lang w:val="en-US"/>
        </w:rPr>
        <w:t xml:space="preserve">The FCCH is a natural channel to be used for signal level estimation considering its high PSD characteristics in extended coverage. This should help in refining the estimation results presented in this paper. </w:t>
      </w:r>
    </w:p>
    <w:p>
      <w:pPr>
        <w:pStyle w:val="Normal"/>
        <w:rPr/>
      </w:pPr>
      <w:r>
        <w:rPr>
          <w:lang w:val="en-US"/>
        </w:rPr>
        <w:t>A signal level estimation with an RMSE accuracy of lower than 2 dB was observed if averaging over 5 signal level samples, performing the averaging in the linear domain. Similar accuracy was observed for SINR estimation in the range -10 dB &lt; Average SINR &lt; 30 dB.</w:t>
      </w:r>
    </w:p>
    <w:p>
      <w:pPr>
        <w:pStyle w:val="Normal"/>
        <w:rPr/>
      </w:pPr>
      <w:r>
        <w:rPr>
          <w:lang w:val="en-US"/>
        </w:rPr>
        <w:t>Finally, a system simulator model for wanted signal level and SINR estimation errors has been outlined.</w:t>
      </w:r>
    </w:p>
    <w:p>
      <w:pPr>
        <w:pStyle w:val="Normal"/>
        <w:rPr>
          <w:lang w:val="en-US"/>
        </w:rPr>
      </w:pPr>
      <w:r>
        <w:rPr>
          <w:lang w:val="en-US"/>
        </w:rPr>
        <w:t>Considering the additional investigated SINR based estimator, this could be seen as a complement or replacement of a signal based estimator.</w:t>
      </w:r>
    </w:p>
    <w:p>
      <w:pPr>
        <w:pStyle w:val="FP"/>
        <w:rPr>
          <w:lang w:val="en-US" w:eastAsia="en-US"/>
        </w:rPr>
      </w:pPr>
      <w:r>
        <w:rPr>
          <w:lang w:val="en-US" w:eastAsia="en-US"/>
        </w:rPr>
      </w:r>
      <w:r>
        <w:br w:type="page"/>
      </w:r>
    </w:p>
    <w:p>
      <w:pPr>
        <w:pStyle w:val="Heading9"/>
        <w:rPr/>
      </w:pPr>
      <w:bookmarkStart w:id="1160" w:name="__RefHeading___Toc518036432"/>
      <w:bookmarkStart w:id="1161" w:name="historyclause"/>
      <w:bookmarkEnd w:id="1160"/>
      <w:bookmarkEnd w:id="1161"/>
      <w:r>
        <w:rPr/>
        <w:t>Annex ZG:</w:t>
        <w:br/>
        <w:t>Change history</w:t>
      </w:r>
    </w:p>
    <w:p>
      <w:pPr>
        <w:pStyle w:val="TH"/>
        <w:rPr/>
      </w:pPr>
      <w:r>
        <w:rPr/>
      </w:r>
      <w:bookmarkStart w:id="1162" w:name="historyclause"/>
      <w:bookmarkStart w:id="1163" w:name="historyclause"/>
      <w:bookmarkEnd w:id="1163"/>
    </w:p>
    <w:tbl>
      <w:tblPr>
        <w:tblW w:w="9639" w:type="dxa"/>
        <w:jc w:val="left"/>
        <w:tblInd w:w="-5" w:type="dxa"/>
        <w:tblLayout w:type="fixed"/>
        <w:tblCellMar>
          <w:top w:w="0" w:type="dxa"/>
          <w:left w:w="40" w:type="dxa"/>
          <w:bottom w:w="0" w:type="dxa"/>
          <w:right w:w="40" w:type="dxa"/>
        </w:tblCellMar>
      </w:tblPr>
      <w:tblGrid>
        <w:gridCol w:w="710"/>
        <w:gridCol w:w="635"/>
        <w:gridCol w:w="680"/>
        <w:gridCol w:w="500"/>
        <w:gridCol w:w="877"/>
        <w:gridCol w:w="948"/>
        <w:gridCol w:w="5289"/>
      </w:tblGrid>
      <w:tr>
        <w:trPr>
          <w:tblHeader w:val="true"/>
          <w:trHeight w:val="270" w:hRule="exact"/>
        </w:trPr>
        <w:tc>
          <w:tcPr>
            <w:tcW w:w="710" w:type="dxa"/>
            <w:tcBorders>
              <w:top w:val="single" w:sz="4" w:space="0" w:color="000000"/>
              <w:left w:val="single" w:sz="4" w:space="0" w:color="000000"/>
              <w:bottom w:val="single" w:sz="4" w:space="0" w:color="000000"/>
              <w:right w:val="single" w:sz="4" w:space="0" w:color="000000"/>
            </w:tcBorders>
            <w:shd w:fill="C0C0C0" w:val="clear"/>
          </w:tcPr>
          <w:p>
            <w:pPr>
              <w:pStyle w:val="TAH"/>
              <w:rPr>
                <w:lang w:eastAsia="en-US"/>
              </w:rPr>
            </w:pPr>
            <w:r>
              <w:rPr>
                <w:lang w:eastAsia="en-US"/>
              </w:rPr>
              <w:t>SPEC</w:t>
            </w:r>
          </w:p>
        </w:tc>
        <w:tc>
          <w:tcPr>
            <w:tcW w:w="635" w:type="dxa"/>
            <w:tcBorders>
              <w:top w:val="single" w:sz="4" w:space="0" w:color="000000"/>
              <w:left w:val="single" w:sz="4" w:space="0" w:color="000000"/>
              <w:bottom w:val="single" w:sz="4" w:space="0" w:color="000000"/>
              <w:right w:val="single" w:sz="4" w:space="0" w:color="000000"/>
            </w:tcBorders>
            <w:shd w:fill="C0C0C0" w:val="clear"/>
          </w:tcPr>
          <w:p>
            <w:pPr>
              <w:pStyle w:val="TAH"/>
              <w:rPr>
                <w:lang w:eastAsia="en-US"/>
              </w:rPr>
            </w:pPr>
            <w:r>
              <w:rPr>
                <w:lang w:eastAsia="en-US"/>
              </w:rPr>
              <w:t>SMG#</w:t>
            </w:r>
          </w:p>
        </w:tc>
        <w:tc>
          <w:tcPr>
            <w:tcW w:w="680" w:type="dxa"/>
            <w:tcBorders>
              <w:top w:val="single" w:sz="4" w:space="0" w:color="000000"/>
              <w:left w:val="single" w:sz="4" w:space="0" w:color="000000"/>
              <w:bottom w:val="single" w:sz="4" w:space="0" w:color="000000"/>
              <w:right w:val="single" w:sz="4" w:space="0" w:color="000000"/>
            </w:tcBorders>
            <w:shd w:fill="C0C0C0" w:val="clear"/>
          </w:tcPr>
          <w:p>
            <w:pPr>
              <w:pStyle w:val="TAH"/>
              <w:rPr>
                <w:lang w:eastAsia="en-US"/>
              </w:rPr>
            </w:pPr>
            <w:r>
              <w:rPr>
                <w:lang w:eastAsia="en-US"/>
              </w:rPr>
              <w:t>CR</w:t>
            </w:r>
          </w:p>
        </w:tc>
        <w:tc>
          <w:tcPr>
            <w:tcW w:w="500" w:type="dxa"/>
            <w:tcBorders>
              <w:top w:val="single" w:sz="4" w:space="0" w:color="000000"/>
              <w:left w:val="single" w:sz="4" w:space="0" w:color="000000"/>
              <w:bottom w:val="single" w:sz="4" w:space="0" w:color="000000"/>
              <w:right w:val="single" w:sz="4" w:space="0" w:color="000000"/>
            </w:tcBorders>
            <w:shd w:fill="C0C0C0" w:val="clear"/>
          </w:tcPr>
          <w:p>
            <w:pPr>
              <w:pStyle w:val="TAH"/>
              <w:rPr>
                <w:lang w:eastAsia="en-US"/>
              </w:rPr>
            </w:pPr>
            <w:r>
              <w:rPr>
                <w:lang w:eastAsia="en-US"/>
              </w:rPr>
              <w:t>PHASE</w:t>
            </w:r>
          </w:p>
        </w:tc>
        <w:tc>
          <w:tcPr>
            <w:tcW w:w="877" w:type="dxa"/>
            <w:tcBorders>
              <w:top w:val="single" w:sz="4" w:space="0" w:color="000000"/>
              <w:left w:val="single" w:sz="4" w:space="0" w:color="000000"/>
              <w:bottom w:val="single" w:sz="4" w:space="0" w:color="000000"/>
              <w:right w:val="single" w:sz="4" w:space="0" w:color="000000"/>
            </w:tcBorders>
            <w:shd w:fill="C0C0C0" w:val="clear"/>
          </w:tcPr>
          <w:p>
            <w:pPr>
              <w:pStyle w:val="TAH"/>
              <w:rPr>
                <w:lang w:eastAsia="en-US"/>
              </w:rPr>
            </w:pPr>
            <w:r>
              <w:rPr>
                <w:lang w:eastAsia="en-US"/>
              </w:rPr>
              <w:t>VERS</w:t>
            </w:r>
          </w:p>
        </w:tc>
        <w:tc>
          <w:tcPr>
            <w:tcW w:w="948" w:type="dxa"/>
            <w:tcBorders>
              <w:top w:val="single" w:sz="4" w:space="0" w:color="000000"/>
              <w:left w:val="single" w:sz="4" w:space="0" w:color="000000"/>
              <w:bottom w:val="single" w:sz="4" w:space="0" w:color="000000"/>
              <w:right w:val="single" w:sz="4" w:space="0" w:color="000000"/>
            </w:tcBorders>
            <w:shd w:fill="C0C0C0" w:val="clear"/>
          </w:tcPr>
          <w:p>
            <w:pPr>
              <w:pStyle w:val="TAH"/>
              <w:rPr>
                <w:lang w:eastAsia="en-US"/>
              </w:rPr>
            </w:pPr>
            <w:r>
              <w:rPr>
                <w:lang w:eastAsia="en-US"/>
              </w:rPr>
              <w:t>NEW_VERS</w:t>
            </w:r>
          </w:p>
        </w:tc>
        <w:tc>
          <w:tcPr>
            <w:tcW w:w="52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lang w:eastAsia="en-US"/>
              </w:rPr>
              <w:t>SUBJECT</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s26</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A006</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R98</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6.0.2</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7.0.0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Pico BTS Scenarios</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s29</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A007</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R98</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7.0.0</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7.1.0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Introduction of CTS system scenarios</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s30</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A010</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R98</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7.1.0</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7.2.0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AMR performance simulation</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s30</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A008</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R99</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7.2.0</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8.0.0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en-GB"/>
              </w:rPr>
              <w:t>EDGE 850 MHz and 1900 MHz mixed mode scenarios</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s30</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A009</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R99</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7.2.0</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8.0.0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Addition of GSM400 system scenarios into GSM 05.50</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s31</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A011</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R99</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8.0.0</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8.1.0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8-PSK scenarios in GSM 05.50</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s31</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A013</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R99</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8.0.0</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8.1.0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Background Information for LCS Requirements in GSM 05.05</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s31</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en-GB"/>
              </w:rPr>
              <w:t>A018</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R99</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8.0.0</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8.1.0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Update of GPRS background information</w:t>
            </w:r>
          </w:p>
        </w:tc>
      </w:tr>
      <w:tr>
        <w:trPr/>
        <w:tc>
          <w:tcPr>
            <w:tcW w:w="71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05.50</w:t>
            </w:r>
          </w:p>
        </w:tc>
        <w:tc>
          <w:tcPr>
            <w:tcW w:w="635"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s31b</w:t>
            </w:r>
          </w:p>
        </w:tc>
        <w:tc>
          <w:tcPr>
            <w:tcW w:w="68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A022</w:t>
            </w:r>
          </w:p>
        </w:tc>
        <w:tc>
          <w:tcPr>
            <w:tcW w:w="5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R99</w:t>
            </w:r>
          </w:p>
        </w:tc>
        <w:tc>
          <w:tcPr>
            <w:tcW w:w="877"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8.1.0</w:t>
            </w:r>
          </w:p>
        </w:tc>
        <w:tc>
          <w:tcPr>
            <w:tcW w:w="94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8.2.0</w:t>
            </w:r>
          </w:p>
        </w:tc>
        <w:tc>
          <w:tcPr>
            <w:tcW w:w="528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BTS Synchronisation, Location Accuracy and LMU update rates</w:t>
            </w:r>
          </w:p>
        </w:tc>
      </w:tr>
    </w:tbl>
    <w:p>
      <w:pPr>
        <w:pStyle w:val="FP"/>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618"/>
        <w:gridCol w:w="1083"/>
        <w:gridCol w:w="618"/>
        <w:gridCol w:w="425"/>
        <w:gridCol w:w="4678"/>
        <w:gridCol w:w="709"/>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61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TSG #</w:t>
            </w:r>
          </w:p>
        </w:tc>
        <w:tc>
          <w:tcPr>
            <w:tcW w:w="108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TSG Doc.</w:t>
            </w:r>
          </w:p>
        </w:tc>
        <w:tc>
          <w:tcPr>
            <w:tcW w:w="61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Old</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2001-04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4</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Version for Release 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4.0.0</w:t>
            </w:r>
          </w:p>
        </w:tc>
      </w:tr>
      <w:tr>
        <w:trPr/>
        <w:tc>
          <w:tcPr>
            <w:tcW w:w="800" w:type="dxa"/>
            <w:tcBorders>
              <w:top w:val="single" w:sz="6" w:space="0" w:color="000000"/>
              <w:left w:val="single" w:sz="6" w:space="0" w:color="000000"/>
              <w:right w:val="single" w:sz="6" w:space="0" w:color="000000"/>
            </w:tcBorders>
            <w:shd w:fill="FFFFFF" w:val="clear"/>
          </w:tcPr>
          <w:p>
            <w:pPr>
              <w:pStyle w:val="TAL"/>
              <w:rPr>
                <w:lang w:val="en-GB"/>
              </w:rPr>
            </w:pPr>
            <w:r>
              <w:rPr>
                <w:lang w:val="en-GB"/>
              </w:rPr>
              <w:t>2001-08</w:t>
            </w:r>
          </w:p>
        </w:tc>
        <w:tc>
          <w:tcPr>
            <w:tcW w:w="618" w:type="dxa"/>
            <w:tcBorders>
              <w:top w:val="single" w:sz="6" w:space="0" w:color="000000"/>
              <w:left w:val="single" w:sz="6" w:space="0" w:color="000000"/>
              <w:right w:val="single" w:sz="6" w:space="0" w:color="000000"/>
            </w:tcBorders>
            <w:shd w:fill="FFFFFF" w:val="clear"/>
          </w:tcPr>
          <w:p>
            <w:pPr>
              <w:pStyle w:val="TAL"/>
              <w:snapToGrid w:val="false"/>
              <w:jc w:val="center"/>
              <w:rPr>
                <w:lang w:val="en-GB"/>
              </w:rPr>
            </w:pPr>
            <w:r>
              <w:rPr>
                <w:lang w:val="en-GB"/>
              </w:rPr>
            </w:r>
          </w:p>
        </w:tc>
        <w:tc>
          <w:tcPr>
            <w:tcW w:w="1083" w:type="dxa"/>
            <w:tcBorders>
              <w:top w:val="single" w:sz="6" w:space="0" w:color="000000"/>
              <w:left w:val="single" w:sz="6" w:space="0" w:color="000000"/>
              <w:right w:val="single" w:sz="6" w:space="0" w:color="000000"/>
            </w:tcBorders>
            <w:shd w:fill="FFFFFF" w:val="clear"/>
          </w:tcPr>
          <w:p>
            <w:pPr>
              <w:pStyle w:val="TAL"/>
              <w:snapToGrid w:val="false"/>
              <w:rPr>
                <w:lang w:val="en-GB"/>
              </w:rPr>
            </w:pPr>
            <w:r>
              <w:rPr>
                <w:lang w:val="en-GB"/>
              </w:rPr>
            </w:r>
          </w:p>
        </w:tc>
        <w:tc>
          <w:tcPr>
            <w:tcW w:w="618" w:type="dxa"/>
            <w:tcBorders>
              <w:top w:val="single" w:sz="6" w:space="0" w:color="000000"/>
              <w:left w:val="single" w:sz="6" w:space="0" w:color="000000"/>
              <w:right w:val="single" w:sz="6" w:space="0" w:color="000000"/>
            </w:tcBorders>
            <w:shd w:fill="FFFFFF" w:val="clear"/>
          </w:tcPr>
          <w:p>
            <w:pPr>
              <w:pStyle w:val="TAL"/>
              <w:snapToGrid w:val="false"/>
              <w:rPr>
                <w:lang w:val="en-GB"/>
              </w:rPr>
            </w:pPr>
            <w:r>
              <w:rPr>
                <w:lang w:val="en-GB"/>
              </w:rPr>
            </w:r>
          </w:p>
        </w:tc>
        <w:tc>
          <w:tcPr>
            <w:tcW w:w="425" w:type="dxa"/>
            <w:tcBorders>
              <w:top w:val="single" w:sz="6" w:space="0" w:color="000000"/>
              <w:left w:val="single" w:sz="6" w:space="0" w:color="000000"/>
              <w:right w:val="single" w:sz="6" w:space="0" w:color="000000"/>
            </w:tcBorders>
            <w:shd w:fill="FFFFFF" w:val="clear"/>
          </w:tcPr>
          <w:p>
            <w:pPr>
              <w:pStyle w:val="TAL"/>
              <w:snapToGrid w:val="false"/>
              <w:jc w:val="both"/>
              <w:rPr>
                <w:lang w:val="en-GB"/>
              </w:rPr>
            </w:pPr>
            <w:r>
              <w:rPr>
                <w:lang w:val="en-GB"/>
              </w:rPr>
            </w:r>
          </w:p>
        </w:tc>
        <w:tc>
          <w:tcPr>
            <w:tcW w:w="4678" w:type="dxa"/>
            <w:tcBorders>
              <w:top w:val="single" w:sz="6" w:space="0" w:color="000000"/>
              <w:left w:val="single" w:sz="6" w:space="0" w:color="000000"/>
              <w:right w:val="single" w:sz="6" w:space="0" w:color="000000"/>
            </w:tcBorders>
            <w:shd w:fill="FFFFFF" w:val="clear"/>
          </w:tcPr>
          <w:p>
            <w:pPr>
              <w:pStyle w:val="TAL"/>
              <w:rPr>
                <w:lang w:val="en-GB"/>
              </w:rPr>
            </w:pPr>
            <w:r>
              <w:rPr>
                <w:lang w:val="en-GB"/>
              </w:rPr>
              <w:t>figures made legible</w:t>
            </w:r>
          </w:p>
        </w:tc>
        <w:tc>
          <w:tcPr>
            <w:tcW w:w="709" w:type="dxa"/>
            <w:tcBorders>
              <w:top w:val="single" w:sz="6" w:space="0" w:color="000000"/>
              <w:left w:val="single" w:sz="6" w:space="0" w:color="000000"/>
              <w:right w:val="single" w:sz="6" w:space="0" w:color="000000"/>
            </w:tcBorders>
            <w:shd w:fill="FFFFFF" w:val="clear"/>
          </w:tcPr>
          <w:p>
            <w:pPr>
              <w:pStyle w:val="TAL"/>
              <w:rPr>
                <w:lang w:val="en-GB"/>
              </w:rPr>
            </w:pPr>
            <w:r>
              <w:rPr>
                <w:lang w:val="en-GB"/>
              </w:rPr>
              <w:t>4.0.0</w:t>
            </w:r>
          </w:p>
        </w:tc>
        <w:tc>
          <w:tcPr>
            <w:tcW w:w="708" w:type="dxa"/>
            <w:tcBorders>
              <w:top w:val="single" w:sz="6" w:space="0" w:color="000000"/>
              <w:left w:val="single" w:sz="6" w:space="0" w:color="000000"/>
              <w:right w:val="single" w:sz="6" w:space="0" w:color="000000"/>
            </w:tcBorders>
            <w:shd w:fill="FFFFFF" w:val="clear"/>
          </w:tcPr>
          <w:p>
            <w:pPr>
              <w:pStyle w:val="TAL"/>
              <w:rPr>
                <w:lang w:val="en-GB"/>
              </w:rPr>
            </w:pPr>
            <w:r>
              <w:rPr>
                <w:lang w:val="en-GB"/>
              </w:rPr>
              <w:t>4.0.1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10</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GB"/>
              </w:rPr>
              <w:t>Version for Release 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GB"/>
              </w:rPr>
              <w:t>4.0.1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lang w:val="en-AU"/>
              </w:rPr>
            </w:pPr>
            <w:r>
              <w:rPr>
                <w:lang w:val="en-AU"/>
              </w:rPr>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Clean-up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2002-11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12</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GP-023320</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Implementation of new frequency ranges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22</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GP-042788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GB" w:eastAsia="en-US"/>
              </w:rPr>
              <w:t>Introduction of MBMS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6.0.0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2005-01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23</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GP-050036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eastAsia="en-US"/>
              </w:rPr>
            </w:pPr>
            <w:r>
              <w:rPr>
                <w:lang w:val="en-GB" w:eastAsia="en-US"/>
              </w:rPr>
              <w:t>Correction of figures for MBMS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6.1.0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2005-03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23</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eastAsia="en-US"/>
              </w:rPr>
            </w:pPr>
            <w:r>
              <w:rPr>
                <w:lang w:val="en-GB" w:eastAsia="en-US"/>
              </w:rPr>
              <w:t>Replacement of corrupted figure 7 in Annex 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6.2.0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6.2.1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26</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GP-051985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eastAsia="en-US"/>
              </w:rPr>
            </w:pPr>
            <w:r>
              <w:rPr>
                <w:lang w:val="en-GB"/>
              </w:rPr>
              <w:t>I</w:t>
            </w:r>
            <w:r>
              <w:rPr>
                <w:lang w:val="en-GB" w:eastAsia="zh-CN"/>
              </w:rPr>
              <w:t>ntroduction</w:t>
            </w:r>
            <w:r>
              <w:rPr>
                <w:lang w:val="en-GB"/>
              </w:rPr>
              <w:t xml:space="preserve"> of </w:t>
            </w:r>
            <w:r>
              <w:rPr>
                <w:lang w:val="en-GB" w:eastAsia="zh-CN"/>
              </w:rPr>
              <w:t>T-GSM810</w:t>
            </w:r>
            <w:r>
              <w:rPr>
                <w:lang w:val="en-GB"/>
              </w:rPr>
              <w:t xml:space="preserve"> </w:t>
            </w:r>
            <w:r>
              <w:rPr>
                <w:lang w:val="en-GB" w:eastAsia="zh-CN"/>
              </w:rPr>
              <w:t>scenarios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AU"/>
              </w:rPr>
              <w:t>6.2.1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38</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AU"/>
              </w:rPr>
              <w:t>GP-080516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Introduction of multicarrier BTS class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7.0.0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39</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GP-081427</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rFonts w:cs="Arial"/>
                <w:color w:val="000000"/>
                <w:lang w:val="en-GB"/>
              </w:rPr>
              <w:t>Introduction of MCBTS: transmitter part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2009-12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44</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lang w:val="en-GB"/>
              </w:rPr>
            </w:pPr>
            <w:r>
              <w:rPr>
                <w:lang w:val="en-GB"/>
              </w:rPr>
              <w:t>Version for Release 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2011-03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49</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Version for Release 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2012-09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55</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Version for Release 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10.0.0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2012-11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56</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GP-121267</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Introduction of Medium Range and Local Area multicarrier BTS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2013-08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59</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GP-130883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6</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TCRT: Introduction of ER-GSM band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2014-11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64</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GP-140997</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Introduction of extended TSC sets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2015-03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65</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GP-150125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eastAsia="en-US"/>
              </w:rPr>
              <w:t>Extended TSC sets correction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2015-12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68</w:t>
            </w:r>
          </w:p>
        </w:tc>
        <w:tc>
          <w:tcPr>
            <w:tcW w:w="10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Version for Release 13 (frozen at SP-70)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13.0.0</w:t>
            </w:r>
          </w:p>
        </w:tc>
      </w:tr>
    </w:tbl>
    <w:p>
      <w:pPr>
        <w:pStyle w:val="Normal"/>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760"/>
        <w:gridCol w:w="113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val="en-GB"/>
              </w:rPr>
            </w:pPr>
            <w:r>
              <w:rPr>
                <w:b/>
                <w:sz w:val="16"/>
                <w:lang w:val="en-GB"/>
              </w:rPr>
              <w:t>Date</w:t>
            </w:r>
          </w:p>
        </w:tc>
        <w:tc>
          <w:tcPr>
            <w:tcW w:w="76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val="en-GB"/>
              </w:rPr>
            </w:pPr>
            <w:r>
              <w:rPr>
                <w:b/>
                <w:sz w:val="16"/>
                <w:lang w:val="en-GB"/>
              </w:rPr>
              <w:t>Meeting</w:t>
            </w:r>
          </w:p>
        </w:tc>
        <w:tc>
          <w:tcPr>
            <w:tcW w:w="1134"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lang w:val="en-GB"/>
              </w:rPr>
            </w:pPr>
            <w:r>
              <w:rPr>
                <w:b/>
                <w:sz w:val="16"/>
                <w:lang w:val="en-GB"/>
              </w:rPr>
              <w:t>TDoc</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val="en-GB"/>
              </w:rPr>
            </w:pPr>
            <w:r>
              <w:rPr>
                <w:b/>
                <w:sz w:val="16"/>
                <w:lang w:val="en-GB"/>
              </w:rPr>
              <w:t>Rev</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val="en-GB"/>
              </w:rPr>
            </w:pPr>
            <w:r>
              <w:rPr>
                <w:b/>
                <w:sz w:val="16"/>
                <w:lang w:val="en-GB"/>
              </w:rPr>
              <w:t>Cat</w:t>
            </w:r>
          </w:p>
        </w:tc>
        <w:tc>
          <w:tcPr>
            <w:tcW w:w="482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t>2016-05</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Cs w:val="16"/>
                <w:lang w:val="en-GB"/>
              </w:rPr>
              <w:t>RP-70</w:t>
            </w:r>
          </w:p>
        </w:tc>
        <w:tc>
          <w:tcPr>
            <w:tcW w:w="1134"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t>GP-160471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0012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B</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Machine-type-communication (MTC) deployment, including EC-GSM-IoT, in a reduced BCCH spectrum allocation)</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t>13.1.0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2017-03</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szCs w:val="16"/>
                <w:lang w:val="en-GB"/>
              </w:rPr>
              <w:t>RP-75</w:t>
            </w:r>
          </w:p>
        </w:tc>
        <w:tc>
          <w:tcPr>
            <w:tcW w:w="1134"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lang w:val="en-GB"/>
              </w:rPr>
              <w:t>Version for Release 14 (frozen at TSG-75)</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2018-06</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RP-80</w:t>
            </w:r>
          </w:p>
        </w:tc>
        <w:tc>
          <w:tcPr>
            <w:tcW w:w="1134"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en-GB"/>
              </w:rPr>
              <w:t>Version for Release 15 (frozen at TSG-80)</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lang w:val="en-GB"/>
              </w:rPr>
              <w:t>2020-07</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RP-88e</w:t>
            </w:r>
          </w:p>
        </w:tc>
        <w:tc>
          <w:tcPr>
            <w:tcW w:w="1134"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szCs w:val="16"/>
                <w:lang w:val="en-GB"/>
              </w:rPr>
            </w:pPr>
            <w:r>
              <w:rPr>
                <w:szCs w:val="16"/>
                <w:lang w:val="en-GB"/>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GB"/>
              </w:rPr>
            </w:pPr>
            <w:r>
              <w:rPr>
                <w:rFonts w:cs="Arial"/>
                <w:sz w:val="16"/>
                <w:szCs w:val="16"/>
              </w:rPr>
              <w:t>Upgrade to Rel-16 version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bCs/>
                <w:lang w:val="en-GB"/>
              </w:rPr>
            </w:pPr>
            <w:r>
              <w:rPr>
                <w:bCs/>
                <w:lang w:val="en-GB"/>
              </w:rPr>
              <w:t>16.0.0</w:t>
            </w:r>
          </w:p>
        </w:tc>
      </w:tr>
    </w:tbl>
    <w:p>
      <w:pPr>
        <w:pStyle w:val="Normal"/>
        <w:widowControl/>
        <w:overflowPunct w:val="false"/>
        <w:autoSpaceDE w:val="false"/>
        <w:bidi w:val="0"/>
        <w:spacing w:before="0" w:after="180"/>
        <w:textAlignment w:val="baseline"/>
        <w:rPr/>
      </w:pPr>
      <w:r>
        <w:rPr/>
      </w:r>
    </w:p>
    <w:sectPr>
      <w:headerReference w:type="default" r:id="rId363"/>
      <w:footerReference w:type="default" r:id="rId364"/>
      <w:footnotePr>
        <w:numFmt w:val="decimal"/>
        <w:numRestart w:val="eachSect"/>
      </w:footnotePr>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Helvetica">
    <w:altName w:val="Arial"/>
    <w:charset w:val="00"/>
    <w:family w:val="swiss"/>
    <w:pitch w:val="variable"/>
  </w:font>
  <w:font w:name="Tahoma">
    <w:charset w:val="00"/>
    <w:family w:val="swiss"/>
    <w:pitch w:val="variable"/>
  </w:font>
  <w:font w:name="Calibri">
    <w:charset w:val="00"/>
    <w:family w:val="swiss"/>
    <w:pitch w:val="variable"/>
  </w:font>
  <w:font w:name="Times">
    <w:altName w:val="Times New Roman"/>
    <w:charset w:val="00"/>
    <w:family w:val="roman"/>
    <w:pitch w:val="variable"/>
  </w:font>
  <w:font w:name="CG Times (WN)">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keepLines/>
        <w:spacing w:before="0" w:after="180"/>
        <w:ind w:left="454" w:hanging="454"/>
        <w:rPr/>
      </w:pPr>
      <w:r>
        <w:rPr>
          <w:rStyle w:val="FootnoteCharacters"/>
        </w:rPr>
        <w:footnoteRef/>
      </w:r>
      <w:r>
        <w:rPr/>
        <w:tab/>
        <w:t xml:space="preserve"> </w:t>
      </w:r>
      <w:r>
        <w:rPr/>
        <w:t>The Inter Site Distance (ISD) equals 7500 meters.</w:t>
      </w:r>
    </w:p>
  </w:footnote>
  <w:footnote w:id="3">
    <w:p>
      <w:pPr>
        <w:pStyle w:val="Footnote"/>
        <w:spacing w:before="0" w:after="180"/>
        <w:jc w:val="both"/>
        <w:rPr/>
      </w:pPr>
      <w:r>
        <w:rPr>
          <w:rStyle w:val="FootnoteCharacters"/>
        </w:rPr>
        <w:footnoteRef/>
      </w:r>
      <w:r>
        <w:rPr/>
        <w:tab/>
        <w:t xml:space="preserve"> </w:t>
      </w:r>
      <w:r>
        <w:rPr>
          <w:sz w:val="20"/>
        </w:rPr>
        <w:t>NOTE1: Considering that the EC-RACH is based on slotted ALOHA, the resource usage per user cannot directly be translated to overall resource usage. Hence, the estimate should be considered an upper limit (in case no collisions occur)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882">
              <wp:simplePos x="0" y="0"/>
              <wp:positionH relativeFrom="margin">
                <wp:align>right</wp:align>
              </wp:positionH>
              <wp:positionV relativeFrom="paragraph">
                <wp:posOffset>635</wp:posOffset>
              </wp:positionV>
              <wp:extent cx="1824990" cy="131445"/>
              <wp:effectExtent l="0" t="0" r="0" b="0"/>
              <wp:wrapSquare wrapText="largest"/>
              <wp:docPr id="352"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45.050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45.050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91">
              <wp:simplePos x="0" y="0"/>
              <wp:positionH relativeFrom="margin">
                <wp:align>center</wp:align>
              </wp:positionH>
              <wp:positionV relativeFrom="paragraph">
                <wp:posOffset>635</wp:posOffset>
              </wp:positionV>
              <wp:extent cx="191770" cy="131445"/>
              <wp:effectExtent l="0" t="0" r="0" b="0"/>
              <wp:wrapSquare wrapText="largest"/>
              <wp:docPr id="353"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410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410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00">
              <wp:simplePos x="0" y="0"/>
              <wp:positionH relativeFrom="margin">
                <wp:align>left</wp:align>
              </wp:positionH>
              <wp:positionV relativeFrom="paragraph">
                <wp:posOffset>635</wp:posOffset>
              </wp:positionV>
              <wp:extent cx="591820" cy="131445"/>
              <wp:effectExtent l="0" t="0" r="0" b="0"/>
              <wp:wrapSquare wrapText="largest"/>
              <wp:docPr id="35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abstractNum>
  <w:abstractNum w:abstractNumId="3">
    <w:lvl w:ilvl="0">
      <w:start w:val="1"/>
      <w:numFmt w:val="bullet"/>
      <w:lvlText w:val=""/>
      <w:lvlJc w:val="left"/>
      <w:pPr>
        <w:tabs>
          <w:tab w:val="num" w:pos="1004"/>
        </w:tabs>
        <w:ind w:left="1004"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284"/>
  <w:autoHyphenation w:val="true"/>
  <w:footnotePr>
    <w:numFmt w:val="decimal"/>
    <w:numRestart w:val="eachSect"/>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Seitenzahl">
    <w:name w:val="Seitenzahl"/>
    <w:qFormat/>
    <w:rPr>
      <w:sz w:val="20"/>
    </w:rPr>
  </w:style>
  <w:style w:type="character" w:styleId="EquationCaption">
    <w:name w:val="_Equation Caption"/>
    <w:qFormat/>
    <w:rPr/>
  </w:style>
  <w:style w:type="character" w:styleId="Subscript">
    <w:name w:val="Subscript"/>
    <w:qFormat/>
    <w:rPr>
      <w:vertAlign w:val="subscript"/>
    </w:rPr>
  </w:style>
  <w:style w:type="character" w:styleId="NOChar">
    <w:name w:val="NO Char"/>
    <w:qFormat/>
    <w:rPr>
      <w:lang w:val="en-GB" w:bidi="ar-SA"/>
    </w:rPr>
  </w:style>
  <w:style w:type="character" w:styleId="B1Char">
    <w:name w:val="B1 Char"/>
    <w:qFormat/>
    <w:rPr>
      <w:lang w:val="en-GB" w:bidi="ar-SA"/>
    </w:rPr>
  </w:style>
  <w:style w:type="character" w:styleId="TACChar">
    <w:name w:val="TAC Char"/>
    <w:qFormat/>
    <w:rPr>
      <w:rFonts w:ascii="Arial" w:hAnsi="Arial" w:cs="Arial"/>
      <w:sz w:val="18"/>
    </w:rPr>
  </w:style>
  <w:style w:type="character" w:styleId="TALChar">
    <w:name w:val="TAL Char"/>
    <w:qFormat/>
    <w:rPr>
      <w:rFonts w:ascii="Arial" w:hAnsi="Arial" w:cs="Arial"/>
      <w:sz w:val="18"/>
    </w:rPr>
  </w:style>
  <w:style w:type="character" w:styleId="PropfontSuperscript8">
    <w:name w:val="Prop.font Superscript 8"/>
    <w:qFormat/>
    <w:rPr>
      <w:rFonts w:ascii="Helvetica" w:hAnsi="Helvetica" w:cs="Helvetica"/>
      <w:sz w:val="16"/>
      <w:vertAlign w:val="superscript"/>
    </w:rPr>
  </w:style>
  <w:style w:type="character" w:styleId="PageNumber">
    <w:name w:val="Page Number"/>
    <w:basedOn w:val="DefaultParagraphFont"/>
    <w:rPr/>
  </w:style>
  <w:style w:type="character" w:styleId="BodyTextIndent2Char">
    <w:name w:val="Body Text Indent 2 Char"/>
    <w:qFormat/>
    <w:rPr>
      <w:lang w:val="en-GB"/>
    </w:rPr>
  </w:style>
  <w:style w:type="character" w:styleId="EditorsNoteChar">
    <w:name w:val="Editor's Note Char"/>
    <w:qFormat/>
    <w:rPr>
      <w:color w:val="FF0000"/>
      <w:lang w:val="en-GB"/>
    </w:rPr>
  </w:style>
  <w:style w:type="character" w:styleId="B2Char">
    <w:name w:val="B2 Char"/>
    <w:qFormat/>
    <w:rPr>
      <w:lang w:val="en-GB"/>
    </w:rPr>
  </w:style>
  <w:style w:type="character" w:styleId="NOChar1">
    <w:name w:val="NO Char1"/>
    <w:qFormat/>
    <w:rPr>
      <w:rFonts w:cs="Times New Roman"/>
      <w:lang w:val="en-GB" w:bidi="ar-SA"/>
    </w:rPr>
  </w:style>
  <w:style w:type="character" w:styleId="B1Char1">
    <w:name w:val="B1 Char1"/>
    <w:qFormat/>
    <w:rPr>
      <w:rFonts w:eastAsia="MS Mincho;ＭＳ 明朝"/>
      <w:lang w:val="en-GB" w:bidi="ar-SA"/>
    </w:rPr>
  </w:style>
  <w:style w:type="character" w:styleId="THChar">
    <w:name w:val="TH Char"/>
    <w:qFormat/>
    <w:rPr>
      <w:rFonts w:ascii="Arial" w:hAnsi="Arial" w:cs="Arial"/>
      <w:b/>
      <w:lang w:val="en-GB"/>
    </w:rPr>
  </w:style>
  <w:style w:type="character" w:styleId="TAHChar">
    <w:name w:val="TAH Char"/>
    <w:qFormat/>
    <w:rPr>
      <w:rFonts w:ascii="Arial" w:hAnsi="Arial" w:cs="Arial"/>
      <w:b/>
      <w:sz w:val="18"/>
      <w:lang w:val="en-GB"/>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BodyTextChar">
    <w:name w:val="Body Text Char"/>
    <w:qFormat/>
    <w:rPr>
      <w:lang w:val="en-GB"/>
    </w:rPr>
  </w:style>
  <w:style w:type="character" w:styleId="Heading5Char">
    <w:name w:val="Heading 5 Char"/>
    <w:qFormat/>
    <w:rPr>
      <w:rFonts w:ascii="Arial" w:hAnsi="Arial" w:cs="Arial"/>
      <w:sz w:val="22"/>
      <w:lang w:val="en-GB"/>
    </w:rPr>
  </w:style>
  <w:style w:type="character" w:styleId="FootnoteTextChar">
    <w:name w:val="Footnote Text Char"/>
    <w:qFormat/>
    <w:rPr>
      <w:sz w:val="16"/>
      <w:lang w:val="en-GB"/>
    </w:rPr>
  </w:style>
  <w:style w:type="character" w:styleId="TitleChar">
    <w:name w:val="Title Char"/>
    <w:qFormat/>
    <w:rPr>
      <w:b/>
      <w:kern w:val="2"/>
      <w:sz w:val="40"/>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HeadingBase"/>
    <w:next w:val="Subtitle"/>
    <w:qFormat/>
    <w:pPr>
      <w:spacing w:lineRule="exact" w:line="560" w:before="360" w:after="240"/>
      <w:jc w:val="center"/>
    </w:pPr>
    <w:rPr>
      <w:sz w:val="40"/>
      <w:lang w:val="en-US"/>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lang w:val="en-G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9"/>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Figure">
    <w:name w:val="figure"/>
    <w:basedOn w:val="Normal"/>
    <w:next w:val="Normal"/>
    <w:qFormat/>
    <w:pPr>
      <w:overflowPunct w:val="false"/>
      <w:autoSpaceDE w:val="false"/>
      <w:spacing w:before="0" w:after="120"/>
      <w:jc w:val="center"/>
      <w:textAlignment w:val="baseline"/>
    </w:pPr>
    <w:rPr>
      <w:b/>
      <w:i/>
      <w:sz w:val="22"/>
      <w:lang w:val="fr-FR"/>
    </w:rPr>
  </w:style>
  <w:style w:type="paragraph" w:styleId="SectionHeading">
    <w:name w:val="Section Heading"/>
    <w:basedOn w:val="Normal"/>
    <w:qFormat/>
    <w:pPr>
      <w:keepNext w:val="true"/>
      <w:keepLines/>
      <w:overflowPunct w:val="false"/>
      <w:autoSpaceDE w:val="false"/>
      <w:spacing w:lineRule="exact" w:line="360" w:before="240" w:after="120"/>
      <w:textAlignment w:val="baseline"/>
    </w:pPr>
    <w:rPr>
      <w:b/>
      <w:kern w:val="2"/>
      <w:sz w:val="28"/>
      <w:lang w:val="en-US"/>
    </w:rPr>
  </w:style>
  <w:style w:type="paragraph" w:styleId="HeadingBase">
    <w:name w:val="Heading Base"/>
    <w:basedOn w:val="Normal"/>
    <w:next w:val="TextBody"/>
    <w:qFormat/>
    <w:pPr>
      <w:keepNext w:val="true"/>
      <w:keepLines/>
      <w:overflowPunct w:val="false"/>
      <w:autoSpaceDE w:val="false"/>
      <w:spacing w:lineRule="exact" w:line="360" w:before="360" w:after="120"/>
      <w:textAlignment w:val="baseline"/>
    </w:pPr>
    <w:rPr>
      <w:b/>
      <w:kern w:val="2"/>
      <w:sz w:val="28"/>
      <w:lang w:val="en-US"/>
    </w:rPr>
  </w:style>
  <w:style w:type="paragraph" w:styleId="Subtitle">
    <w:name w:val="Subtitle"/>
    <w:basedOn w:val="Heading"/>
    <w:next w:val="TextBody"/>
    <w:qFormat/>
    <w:pPr>
      <w:spacing w:lineRule="auto" w:line="240" w:before="0" w:after="240"/>
    </w:pPr>
    <w:rPr>
      <w:b w:val="false"/>
      <w:i/>
      <w:sz w:val="28"/>
    </w:rPr>
  </w:style>
  <w:style w:type="paragraph" w:styleId="Standard">
    <w:name w:val="Standard"/>
    <w:qFormat/>
    <w:pPr>
      <w:widowControl w:val="false"/>
      <w:bidi w:val="0"/>
    </w:pPr>
    <w:rPr>
      <w:rFonts w:ascii="Arial" w:hAnsi="Arial" w:eastAsia="Times New Roman" w:cs="Arial"/>
      <w:color w:val="auto"/>
      <w:sz w:val="20"/>
      <w:szCs w:val="20"/>
      <w:lang w:val="en-GB" w:bidi="ar-SA" w:eastAsia="zh-CN"/>
    </w:rPr>
  </w:style>
  <w:style w:type="paragraph" w:styleId="Verzeichnis1">
    <w:name w:val="Verzeichnis 1"/>
    <w:basedOn w:val="Standard"/>
    <w:next w:val="Standard"/>
    <w:qFormat/>
    <w:pPr>
      <w:tabs>
        <w:tab w:val="clear" w:pos="284"/>
        <w:tab w:val="right" w:pos="9071" w:leader="dot"/>
      </w:tabs>
      <w:spacing w:before="180" w:after="0"/>
    </w:pPr>
    <w:rPr/>
  </w:style>
  <w:style w:type="paragraph" w:styleId="Textkrper2">
    <w:name w:val="Textkörper 2"/>
    <w:basedOn w:val="Standard"/>
    <w:qFormat/>
    <w:pPr/>
    <w:rPr>
      <w:b/>
    </w:rPr>
  </w:style>
  <w:style w:type="paragraph" w:styleId="BodyText2">
    <w:name w:val="Body Text 2"/>
    <w:basedOn w:val="Normal"/>
    <w:qFormat/>
    <w:pPr>
      <w:overflowPunct w:val="false"/>
      <w:autoSpaceDE w:val="false"/>
      <w:jc w:val="both"/>
      <w:textAlignment w:val="baseline"/>
    </w:pPr>
    <w:rPr/>
  </w:style>
  <w:style w:type="paragraph" w:styleId="BodyText3">
    <w:name w:val="Body Text 3"/>
    <w:basedOn w:val="Normal"/>
    <w:qFormat/>
    <w:pPr>
      <w:overflowPunct w:val="false"/>
      <w:autoSpaceDE w:val="false"/>
      <w:jc w:val="center"/>
      <w:textAlignment w:val="baseline"/>
    </w:pPr>
    <w:rPr/>
  </w:style>
  <w:style w:type="paragraph" w:styleId="Table2">
    <w:name w:val="Table2"/>
    <w:basedOn w:val="Normal"/>
    <w:qFormat/>
    <w:pPr>
      <w:keepNext w:val="true"/>
      <w:keepLines/>
      <w:overflowPunct w:val="false"/>
      <w:autoSpaceDE w:val="false"/>
      <w:spacing w:before="0" w:after="0"/>
      <w:jc w:val="center"/>
      <w:textAlignment w:val="baseline"/>
    </w:pPr>
    <w:rPr>
      <w:rFonts w:ascii="Helvetica" w:hAnsi="Helvetica" w:cs="Helvetica"/>
      <w:lang w:val="en-US"/>
    </w:rPr>
  </w:style>
  <w:style w:type="paragraph" w:styleId="ZC">
    <w:name w:val="ZC"/>
    <w:qFormat/>
    <w:pPr>
      <w:widowControl/>
      <w:bidi w:val="0"/>
      <w:spacing w:lineRule="atLeast" w:line="360"/>
      <w:jc w:val="center"/>
    </w:pPr>
    <w:rPr>
      <w:rFonts w:ascii="Arial" w:hAnsi="Arial" w:eastAsia="Times New Roman" w:cs="Arial"/>
      <w:color w:val="auto"/>
      <w:sz w:val="20"/>
      <w:szCs w:val="20"/>
      <w:lang w:val="en-GB" w:bidi="ar-SA" w:eastAsia="zh-CN"/>
    </w:rPr>
  </w:style>
  <w:style w:type="paragraph" w:styleId="HE">
    <w:name w:val="HE"/>
    <w:basedOn w:val="Normal"/>
    <w:qFormat/>
    <w:pPr>
      <w:overflowPunct w:val="false"/>
      <w:autoSpaceDE w:val="false"/>
      <w:spacing w:before="0" w:after="0"/>
      <w:textAlignment w:val="baseline"/>
    </w:pPr>
    <w:rPr>
      <w:b/>
    </w:rPr>
  </w:style>
  <w:style w:type="paragraph" w:styleId="Reference">
    <w:name w:val="Reference"/>
    <w:basedOn w:val="Normal"/>
    <w:qFormat/>
    <w:pPr>
      <w:spacing w:before="120" w:after="0"/>
      <w:ind w:left="567" w:hanging="567"/>
    </w:pPr>
    <w:rPr>
      <w:sz w:val="24"/>
      <w:lang w:val="en-US"/>
    </w:rPr>
  </w:style>
  <w:style w:type="paragraph" w:styleId="TextBodyIndent">
    <w:name w:val="Body Text Indent"/>
    <w:basedOn w:val="Normal"/>
    <w:pPr>
      <w:overflowPunct w:val="false"/>
      <w:autoSpaceDE w:val="false"/>
      <w:ind w:left="567" w:hanging="0"/>
      <w:textAlignment w:val="baseline"/>
    </w:pPr>
    <w:rPr/>
  </w:style>
  <w:style w:type="paragraph" w:styleId="BlockText">
    <w:name w:val="Block Text"/>
    <w:basedOn w:val="Normal"/>
    <w:qFormat/>
    <w:pPr>
      <w:overflowPunct w:val="false"/>
      <w:autoSpaceDE w:val="false"/>
      <w:ind w:left="1440" w:right="720" w:hanging="0"/>
      <w:textAlignment w:val="baseline"/>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TableStyle">
    <w:name w:val="TableStyle"/>
    <w:qFormat/>
    <w:pPr>
      <w:widowControl/>
      <w:bidi w:val="0"/>
      <w:ind w:left="85" w:hanging="0"/>
    </w:pPr>
    <w:rPr>
      <w:rFonts w:ascii="Arial" w:hAnsi="Arial" w:eastAsia="Times New Roman" w:cs="Arial"/>
      <w:color w:val="auto"/>
      <w:sz w:val="22"/>
      <w:szCs w:val="20"/>
      <w:lang w:val="en-US" w:eastAsia="en-US" w:bidi="ar-SA"/>
    </w:rPr>
  </w:style>
  <w:style w:type="paragraph" w:styleId="IB3">
    <w:name w:val="IB3"/>
    <w:basedOn w:val="Normal"/>
    <w:qFormat/>
    <w:pPr>
      <w:tabs>
        <w:tab w:val="clear" w:pos="284"/>
        <w:tab w:val="left" w:pos="851" w:leader="none"/>
      </w:tabs>
      <w:ind w:left="851" w:hanging="567"/>
    </w:pPr>
    <w:rPr/>
  </w:style>
  <w:style w:type="paragraph" w:styleId="IB1">
    <w:name w:val="IB1"/>
    <w:basedOn w:val="Normal"/>
    <w:qFormat/>
    <w:pPr>
      <w:tabs>
        <w:tab w:val="left" w:pos="284" w:leader="none"/>
      </w:tabs>
      <w:ind w:left="284" w:hanging="284"/>
    </w:pPr>
    <w:rPr/>
  </w:style>
  <w:style w:type="paragraph" w:styleId="IB2">
    <w:name w:val="IB2"/>
    <w:basedOn w:val="Normal"/>
    <w:qFormat/>
    <w:pPr>
      <w:numPr>
        <w:ilvl w:val="0"/>
        <w:numId w:val="4"/>
      </w:numPr>
      <w:tabs>
        <w:tab w:val="clear" w:pos="284"/>
        <w:tab w:val="left" w:pos="567" w:leader="none"/>
      </w:tabs>
      <w:ind w:left="568" w:hanging="284"/>
    </w:pPr>
    <w:rPr/>
  </w:style>
  <w:style w:type="paragraph" w:styleId="IBN">
    <w:name w:val="IBN"/>
    <w:basedOn w:val="Normal"/>
    <w:qFormat/>
    <w:pPr>
      <w:numPr>
        <w:ilvl w:val="0"/>
        <w:numId w:val="2"/>
      </w:numPr>
      <w:tabs>
        <w:tab w:val="clear" w:pos="284"/>
        <w:tab w:val="left" w:pos="567" w:leader="none"/>
      </w:tabs>
      <w:ind w:left="568" w:hanging="284"/>
    </w:pPr>
    <w:rPr/>
  </w:style>
  <w:style w:type="paragraph" w:styleId="IBL">
    <w:name w:val="IBL"/>
    <w:basedOn w:val="Normal"/>
    <w:qFormat/>
    <w:pPr>
      <w:numPr>
        <w:ilvl w:val="0"/>
        <w:numId w:val="3"/>
      </w:numPr>
      <w:tabs>
        <w:tab w:val="left" w:pos="284" w:leader="none"/>
      </w:tabs>
    </w:pPr>
    <w:rPr/>
  </w:style>
  <w:style w:type="paragraph" w:styleId="Liste">
    <w:name w:val="Liste"/>
    <w:basedOn w:val="Normal"/>
    <w:qFormat/>
    <w:pPr>
      <w:ind w:left="568" w:hanging="284"/>
    </w:pPr>
    <w:rPr/>
  </w:style>
  <w:style w:type="paragraph" w:styleId="Pieddepage">
    <w:name w:val="Pied de page"/>
    <w:basedOn w:val="Normal"/>
    <w:qFormat/>
    <w:pPr/>
    <w:rPr/>
  </w:style>
  <w:style w:type="paragraph" w:styleId="HO">
    <w:name w:val="HO"/>
    <w:basedOn w:val="Normal"/>
    <w:qFormat/>
    <w:pPr>
      <w:spacing w:before="0" w:after="0"/>
      <w:jc w:val="right"/>
    </w:pPr>
    <w:rPr>
      <w:b/>
    </w:rPr>
  </w:style>
  <w:style w:type="paragraph" w:styleId="WP">
    <w:name w:val="WP"/>
    <w:basedOn w:val="Normal"/>
    <w:qFormat/>
    <w:pPr>
      <w:spacing w:before="0" w:after="0"/>
      <w:jc w:val="both"/>
    </w:pPr>
    <w:rPr>
      <w:rFonts w:ascii="Arial" w:hAnsi="Arial" w:cs="Arial"/>
    </w:rPr>
  </w:style>
  <w:style w:type="paragraph" w:styleId="B31">
    <w:name w:val="B3+"/>
    <w:basedOn w:val="Normal"/>
    <w:qFormat/>
    <w:pPr>
      <w:tabs>
        <w:tab w:val="clear" w:pos="284"/>
        <w:tab w:val="left" w:pos="851" w:leader="none"/>
        <w:tab w:val="left" w:pos="1134" w:leader="none"/>
      </w:tabs>
      <w:ind w:left="1135" w:hanging="284"/>
    </w:pPr>
    <w:rPr/>
  </w:style>
  <w:style w:type="paragraph" w:styleId="B11">
    <w:name w:val="B1+"/>
    <w:basedOn w:val="Normal"/>
    <w:qFormat/>
    <w:pPr>
      <w:tabs>
        <w:tab w:val="clear" w:pos="284"/>
        <w:tab w:val="left" w:pos="567" w:leader="none"/>
        <w:tab w:val="left" w:pos="644" w:leader="none"/>
      </w:tabs>
      <w:ind w:left="568" w:hanging="284"/>
    </w:pPr>
    <w:rPr/>
  </w:style>
  <w:style w:type="paragraph" w:styleId="B21">
    <w:name w:val="B2+"/>
    <w:basedOn w:val="Normal"/>
    <w:qFormat/>
    <w:pPr>
      <w:tabs>
        <w:tab w:val="clear" w:pos="284"/>
        <w:tab w:val="left" w:pos="567" w:leader="none"/>
        <w:tab w:val="left" w:pos="851" w:leader="none"/>
      </w:tabs>
      <w:ind w:left="851" w:hanging="284"/>
    </w:pPr>
    <w:rPr/>
  </w:style>
  <w:style w:type="paragraph" w:styleId="BL">
    <w:name w:val="BL"/>
    <w:basedOn w:val="Normal"/>
    <w:qFormat/>
    <w:pPr>
      <w:tabs>
        <w:tab w:val="clear" w:pos="284"/>
        <w:tab w:val="left" w:pos="851" w:leader="none"/>
      </w:tabs>
      <w:ind w:left="851" w:hanging="284"/>
    </w:pPr>
    <w:rPr/>
  </w:style>
  <w:style w:type="paragraph" w:styleId="BN">
    <w:name w:val="BN"/>
    <w:basedOn w:val="Normal"/>
    <w:qFormat/>
    <w:pPr>
      <w:tabs>
        <w:tab w:val="clear" w:pos="284"/>
        <w:tab w:val="left" w:pos="567" w:leader="none"/>
      </w:tabs>
      <w:ind w:left="568" w:hanging="284"/>
    </w:pPr>
    <w:rPr/>
  </w:style>
  <w:style w:type="paragraph" w:styleId="BodyTextIndent2">
    <w:name w:val="Body Text Indent 2"/>
    <w:basedOn w:val="Normal"/>
    <w:qFormat/>
    <w:pPr>
      <w:ind w:left="1134" w:hanging="850"/>
    </w:pPr>
    <w:rPr/>
  </w:style>
  <w:style w:type="paragraph" w:styleId="I1">
    <w:name w:val="I1"/>
    <w:basedOn w:val="List"/>
    <w:qFormat/>
    <w:pPr/>
    <w:rPr/>
  </w:style>
  <w:style w:type="paragraph" w:styleId="I2">
    <w:name w:val="I2"/>
    <w:basedOn w:val="List2"/>
    <w:qFormat/>
    <w:pPr/>
    <w:rPr/>
  </w:style>
  <w:style w:type="paragraph" w:styleId="I3">
    <w:name w:val="I3"/>
    <w:basedOn w:val="List3"/>
    <w:qFormat/>
    <w:pPr/>
    <w:rPr/>
  </w:style>
  <w:style w:type="paragraph" w:styleId="TableText">
    <w:name w:val="TableText"/>
    <w:basedOn w:val="TextBodyIndent"/>
    <w:qFormat/>
    <w:pPr>
      <w:keepNext w:val="true"/>
      <w:keepLines/>
      <w:spacing w:before="0" w:after="0"/>
      <w:ind w:left="0" w:hanging="0"/>
      <w:jc w:val="center"/>
    </w:pPr>
    <w:rPr>
      <w:kern w:val="2"/>
    </w:rPr>
  </w:style>
  <w:style w:type="paragraph" w:styleId="DefaultParagraphFontParaCharCharChar">
    <w:name w:val="Default Paragraph Font Para Char Char Char"/>
    <w:basedOn w:val="Normal"/>
    <w:qFormat/>
    <w:pPr>
      <w:overflowPunct w:val="true"/>
      <w:autoSpaceDE w:val="true"/>
      <w:spacing w:lineRule="exact" w:line="240" w:before="0" w:after="160"/>
      <w:textAlignment w:val="auto"/>
    </w:pPr>
    <w:rPr>
      <w:rFonts w:ascii="Arial" w:hAnsi="Arial" w:cs="Arial"/>
      <w:szCs w:val="22"/>
      <w:lang w:val="en-US"/>
    </w:rPr>
  </w:style>
  <w:style w:type="paragraph" w:styleId="CharChar1CharCharCharChar">
    <w:name w:val=" Char Char1 Char Char Char Char"/>
    <w:basedOn w:val="DocumentMap"/>
    <w:qFormat/>
    <w:pPr>
      <w:widowControl w:val="false"/>
      <w:overflowPunct w:val="true"/>
      <w:autoSpaceDE w:val="true"/>
      <w:spacing w:lineRule="exact" w:line="436" w:before="0" w:after="0"/>
      <w:ind w:left="357" w:firstLine="420"/>
      <w:textAlignment w:val="auto"/>
      <w:outlineLvl w:val="3"/>
    </w:pPr>
    <w:rPr>
      <w:rFonts w:eastAsia="SimSun;宋体"/>
      <w:b/>
      <w:kern w:val="2"/>
      <w:sz w:val="24"/>
      <w:szCs w:val="24"/>
      <w:lang w:val="en-US" w:eastAsia="zh-CN"/>
    </w:rPr>
  </w:style>
  <w:style w:type="paragraph" w:styleId="Normal1">
    <w:name w:val="Normal_"/>
    <w:basedOn w:val="Normal"/>
    <w:qFormat/>
    <w:pPr>
      <w:overflowPunct w:val="true"/>
      <w:autoSpaceDE w:val="true"/>
      <w:spacing w:lineRule="exact" w:line="240" w:before="0" w:after="160"/>
      <w:textAlignment w:val="auto"/>
    </w:pPr>
    <w:rPr>
      <w:rFonts w:ascii="Arial" w:hAnsi="Arial" w:eastAsia="SimSun;宋体" w:cs="Arial"/>
      <w:lang w:val="en-US"/>
    </w:rPr>
  </w:style>
  <w:style w:type="paragraph" w:styleId="StyleB3Left15cmHanging45cm1">
    <w:name w:val="Style B3 + Left:  15 cm Hanging:  45 cm1"/>
    <w:basedOn w:val="B3"/>
    <w:qFormat/>
    <w:pPr>
      <w:tabs>
        <w:tab w:val="clear" w:pos="284"/>
        <w:tab w:val="left" w:pos="2552" w:leader="none"/>
        <w:tab w:val="left" w:pos="2835" w:leader="none"/>
      </w:tabs>
      <w:ind w:left="3403" w:hanging="2552"/>
    </w:pPr>
    <w:rPr/>
  </w:style>
  <w:style w:type="paragraph" w:styleId="StyleB3Left15cmHanging45cm">
    <w:name w:val="Style B3 + Left:  15 cm Hanging:  45 cm"/>
    <w:basedOn w:val="StyleB3Left15cmHanging45cm1"/>
    <w:qFormat/>
    <w:pPr>
      <w:tabs>
        <w:tab w:val="clear" w:pos="2552"/>
        <w:tab w:val="clear" w:pos="2835"/>
        <w:tab w:val="left" w:pos="3119" w:leader="none"/>
        <w:tab w:val="left" w:pos="3402" w:leader="none"/>
      </w:tabs>
    </w:pPr>
    <w:rPr/>
  </w:style>
  <w:style w:type="paragraph" w:styleId="ListParagraph">
    <w:name w:val="List Paragraph"/>
    <w:basedOn w:val="Normal"/>
    <w:qFormat/>
    <w:pPr>
      <w:overflowPunct w:val="true"/>
      <w:autoSpaceDE w:val="true"/>
      <w:spacing w:lineRule="auto" w:line="276" w:before="0" w:after="200"/>
      <w:ind w:left="720" w:hanging="0"/>
      <w:contextualSpacing/>
      <w:textAlignment w:val="auto"/>
    </w:pPr>
    <w:rPr>
      <w:rFonts w:ascii="Calibri" w:hAnsi="Calibri" w:eastAsia="Calibri" w:cs="Calibri"/>
      <w:sz w:val="22"/>
      <w:szCs w:val="22"/>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Style5">
    <w:name w:val="文档标题"/>
    <w:basedOn w:val="Normal"/>
    <w:next w:val="Normal"/>
    <w:qFormat/>
    <w:pPr>
      <w:widowControl w:val="false"/>
      <w:tabs>
        <w:tab w:val="clear" w:pos="284"/>
        <w:tab w:val="left" w:pos="0" w:leader="none"/>
        <w:tab w:val="right" w:pos="9639" w:leader="none"/>
      </w:tabs>
      <w:overflowPunct w:val="true"/>
      <w:spacing w:before="0" w:after="480"/>
      <w:jc w:val="center"/>
      <w:textAlignment w:val="auto"/>
    </w:pPr>
    <w:rPr>
      <w:rFonts w:eastAsia="SimHei;黑体"/>
      <w:b/>
      <w:sz w:val="36"/>
      <w:szCs w:val="36"/>
      <w:lang w:val="en-US"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jpeg"/><Relationship Id="rId4" Type="http://schemas.openxmlformats.org/officeDocument/2006/relationships/image" Target="media/image1.wmf"/><Relationship Id="rId5" Type="http://schemas.openxmlformats.org/officeDocument/2006/relationships/image" Target="media/image2.jpe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wmf"/><Relationship Id="rId38" Type="http://schemas.openxmlformats.org/officeDocument/2006/relationships/image" Target="media/image33.wmf"/><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wmf"/><Relationship Id="rId45" Type="http://schemas.openxmlformats.org/officeDocument/2006/relationships/image" Target="media/image40.wmf"/><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image" Target="media/image43.wmf"/><Relationship Id="rId49" Type="http://schemas.openxmlformats.org/officeDocument/2006/relationships/image" Target="media/image44.wmf"/><Relationship Id="rId50" Type="http://schemas.openxmlformats.org/officeDocument/2006/relationships/image" Target="media/image45.wmf"/><Relationship Id="rId51" Type="http://schemas.openxmlformats.org/officeDocument/2006/relationships/oleObject" Target="embeddings/oleObject1.bin"/><Relationship Id="rId52" Type="http://schemas.openxmlformats.org/officeDocument/2006/relationships/image" Target="media/image46.emf"/><Relationship Id="rId53" Type="http://schemas.openxmlformats.org/officeDocument/2006/relationships/image" Target="media/image47.wmf"/><Relationship Id="rId54" Type="http://schemas.openxmlformats.org/officeDocument/2006/relationships/image" Target="media/image48.wmf"/><Relationship Id="rId55" Type="http://schemas.openxmlformats.org/officeDocument/2006/relationships/image" Target="media/image49.wmf"/><Relationship Id="rId56" Type="http://schemas.openxmlformats.org/officeDocument/2006/relationships/image" Target="media/image50.wmf"/><Relationship Id="rId57" Type="http://schemas.openxmlformats.org/officeDocument/2006/relationships/image" Target="media/image51.wmf"/><Relationship Id="rId58" Type="http://schemas.openxmlformats.org/officeDocument/2006/relationships/image" Target="media/image52.wmf"/><Relationship Id="rId59" Type="http://schemas.openxmlformats.org/officeDocument/2006/relationships/image" Target="media/image53.wmf"/><Relationship Id="rId60" Type="http://schemas.openxmlformats.org/officeDocument/2006/relationships/image" Target="media/image54.wmf"/><Relationship Id="rId61" Type="http://schemas.openxmlformats.org/officeDocument/2006/relationships/image" Target="media/image55.wmf"/><Relationship Id="rId62" Type="http://schemas.openxmlformats.org/officeDocument/2006/relationships/image" Target="media/image56.wmf"/><Relationship Id="rId63" Type="http://schemas.openxmlformats.org/officeDocument/2006/relationships/image" Target="media/image57.wmf"/><Relationship Id="rId64" Type="http://schemas.openxmlformats.org/officeDocument/2006/relationships/image" Target="media/image58.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wmf"/><Relationship Id="rId68" Type="http://schemas.openxmlformats.org/officeDocument/2006/relationships/image" Target="media/image61.wmf"/><Relationship Id="rId69" Type="http://schemas.openxmlformats.org/officeDocument/2006/relationships/image" Target="media/image62.wmf"/><Relationship Id="rId70" Type="http://schemas.openxmlformats.org/officeDocument/2006/relationships/image" Target="media/image63.wmf"/><Relationship Id="rId71" Type="http://schemas.openxmlformats.org/officeDocument/2006/relationships/image" Target="media/image64.wmf"/><Relationship Id="rId72" Type="http://schemas.openxmlformats.org/officeDocument/2006/relationships/image" Target="media/image65.wmf"/><Relationship Id="rId73" Type="http://schemas.openxmlformats.org/officeDocument/2006/relationships/image" Target="media/image66.wmf"/><Relationship Id="rId74" Type="http://schemas.openxmlformats.org/officeDocument/2006/relationships/image" Target="media/image67.wmf"/><Relationship Id="rId75" Type="http://schemas.openxmlformats.org/officeDocument/2006/relationships/image" Target="media/image68.wmf"/><Relationship Id="rId76" Type="http://schemas.openxmlformats.org/officeDocument/2006/relationships/image" Target="media/image69.wmf"/><Relationship Id="rId77" Type="http://schemas.openxmlformats.org/officeDocument/2006/relationships/image" Target="media/image70.wmf"/><Relationship Id="rId78" Type="http://schemas.openxmlformats.org/officeDocument/2006/relationships/image" Target="media/image71.wmf"/><Relationship Id="rId79" Type="http://schemas.openxmlformats.org/officeDocument/2006/relationships/image" Target="media/image72.wmf"/><Relationship Id="rId80" Type="http://schemas.openxmlformats.org/officeDocument/2006/relationships/image" Target="media/image73.wmf"/><Relationship Id="rId81" Type="http://schemas.openxmlformats.org/officeDocument/2006/relationships/image" Target="media/image74.wmf"/><Relationship Id="rId82" Type="http://schemas.openxmlformats.org/officeDocument/2006/relationships/image" Target="media/image75.wmf"/><Relationship Id="rId83" Type="http://schemas.openxmlformats.org/officeDocument/2006/relationships/image" Target="media/image76.wmf"/><Relationship Id="rId84" Type="http://schemas.openxmlformats.org/officeDocument/2006/relationships/image" Target="media/image77.wmf"/><Relationship Id="rId85" Type="http://schemas.openxmlformats.org/officeDocument/2006/relationships/image" Target="media/image78.wmf"/><Relationship Id="rId86" Type="http://schemas.openxmlformats.org/officeDocument/2006/relationships/image" Target="media/image79.wmf"/><Relationship Id="rId87" Type="http://schemas.openxmlformats.org/officeDocument/2006/relationships/image" Target="media/image80.wmf"/><Relationship Id="rId88" Type="http://schemas.openxmlformats.org/officeDocument/2006/relationships/image" Target="media/image81.wmf"/><Relationship Id="rId89" Type="http://schemas.openxmlformats.org/officeDocument/2006/relationships/image" Target="media/image82.wmf"/><Relationship Id="rId90" Type="http://schemas.openxmlformats.org/officeDocument/2006/relationships/image" Target="media/image83.wmf"/><Relationship Id="rId91" Type="http://schemas.openxmlformats.org/officeDocument/2006/relationships/image" Target="media/image84.wmf"/><Relationship Id="rId92" Type="http://schemas.openxmlformats.org/officeDocument/2006/relationships/image" Target="media/image85.wmf"/><Relationship Id="rId93" Type="http://schemas.openxmlformats.org/officeDocument/2006/relationships/image" Target="media/image86.wmf"/><Relationship Id="rId94" Type="http://schemas.openxmlformats.org/officeDocument/2006/relationships/image" Target="media/image87.wmf"/><Relationship Id="rId95" Type="http://schemas.openxmlformats.org/officeDocument/2006/relationships/image" Target="media/image88.wmf"/><Relationship Id="rId96" Type="http://schemas.openxmlformats.org/officeDocument/2006/relationships/image" Target="media/image89.wmf"/><Relationship Id="rId97" Type="http://schemas.openxmlformats.org/officeDocument/2006/relationships/image" Target="media/image90.wmf"/><Relationship Id="rId98" Type="http://schemas.openxmlformats.org/officeDocument/2006/relationships/image" Target="media/image91.wmf"/><Relationship Id="rId99" Type="http://schemas.openxmlformats.org/officeDocument/2006/relationships/image" Target="media/image92.wmf"/><Relationship Id="rId100" Type="http://schemas.openxmlformats.org/officeDocument/2006/relationships/image" Target="media/image93.wmf"/><Relationship Id="rId101" Type="http://schemas.openxmlformats.org/officeDocument/2006/relationships/image" Target="media/image94.wmf"/><Relationship Id="rId102" Type="http://schemas.openxmlformats.org/officeDocument/2006/relationships/image" Target="media/image95.wmf"/><Relationship Id="rId103" Type="http://schemas.openxmlformats.org/officeDocument/2006/relationships/image" Target="media/image96.wmf"/><Relationship Id="rId104" Type="http://schemas.openxmlformats.org/officeDocument/2006/relationships/image" Target="media/image97.wmf"/><Relationship Id="rId105" Type="http://schemas.openxmlformats.org/officeDocument/2006/relationships/image" Target="media/image98.wmf"/><Relationship Id="rId106" Type="http://schemas.openxmlformats.org/officeDocument/2006/relationships/image" Target="media/image99.wmf"/><Relationship Id="rId107" Type="http://schemas.openxmlformats.org/officeDocument/2006/relationships/image" Target="media/image100.wmf"/><Relationship Id="rId108" Type="http://schemas.openxmlformats.org/officeDocument/2006/relationships/image" Target="media/image101.wmf"/><Relationship Id="rId109" Type="http://schemas.openxmlformats.org/officeDocument/2006/relationships/image" Target="media/image102.wmf"/><Relationship Id="rId110" Type="http://schemas.openxmlformats.org/officeDocument/2006/relationships/image" Target="media/image103.wmf"/><Relationship Id="rId111" Type="http://schemas.openxmlformats.org/officeDocument/2006/relationships/image" Target="media/image104.wmf"/><Relationship Id="rId112" Type="http://schemas.openxmlformats.org/officeDocument/2006/relationships/image" Target="media/image105.wmf"/><Relationship Id="rId113" Type="http://schemas.openxmlformats.org/officeDocument/2006/relationships/image" Target="media/image106.wmf"/><Relationship Id="rId114" Type="http://schemas.openxmlformats.org/officeDocument/2006/relationships/image" Target="media/image107.wmf"/><Relationship Id="rId115" Type="http://schemas.openxmlformats.org/officeDocument/2006/relationships/image" Target="media/image108.wmf"/><Relationship Id="rId116" Type="http://schemas.openxmlformats.org/officeDocument/2006/relationships/image" Target="media/image109.wmf"/><Relationship Id="rId117" Type="http://schemas.openxmlformats.org/officeDocument/2006/relationships/oleObject" Target="embeddings/oleObject2.bin"/><Relationship Id="rId118" Type="http://schemas.openxmlformats.org/officeDocument/2006/relationships/image" Target="media/image110.wmf"/><Relationship Id="rId119" Type="http://schemas.openxmlformats.org/officeDocument/2006/relationships/image" Target="media/image111.wmf"/><Relationship Id="rId120" Type="http://schemas.openxmlformats.org/officeDocument/2006/relationships/image" Target="media/image112.wmf"/><Relationship Id="rId121" Type="http://schemas.openxmlformats.org/officeDocument/2006/relationships/image" Target="media/image111.wmf"/><Relationship Id="rId122" Type="http://schemas.openxmlformats.org/officeDocument/2006/relationships/image" Target="media/image113.wmf"/><Relationship Id="rId123" Type="http://schemas.openxmlformats.org/officeDocument/2006/relationships/image" Target="media/image114.wmf"/><Relationship Id="rId124" Type="http://schemas.openxmlformats.org/officeDocument/2006/relationships/image" Target="media/image115.wmf"/><Relationship Id="rId125" Type="http://schemas.openxmlformats.org/officeDocument/2006/relationships/image" Target="media/image116.wmf"/><Relationship Id="rId126" Type="http://schemas.openxmlformats.org/officeDocument/2006/relationships/image" Target="media/image117.wmf"/><Relationship Id="rId127" Type="http://schemas.openxmlformats.org/officeDocument/2006/relationships/image" Target="media/image118.wmf"/><Relationship Id="rId128" Type="http://schemas.openxmlformats.org/officeDocument/2006/relationships/image" Target="media/image119.wmf"/><Relationship Id="rId129" Type="http://schemas.openxmlformats.org/officeDocument/2006/relationships/image" Target="media/image120.wmf"/><Relationship Id="rId130" Type="http://schemas.openxmlformats.org/officeDocument/2006/relationships/image" Target="media/image121.wmf"/><Relationship Id="rId131" Type="http://schemas.openxmlformats.org/officeDocument/2006/relationships/image" Target="media/image122.wmf"/><Relationship Id="rId132" Type="http://schemas.openxmlformats.org/officeDocument/2006/relationships/image" Target="media/image123.wmf"/><Relationship Id="rId133" Type="http://schemas.openxmlformats.org/officeDocument/2006/relationships/image" Target="media/image124.wmf"/><Relationship Id="rId134" Type="http://schemas.openxmlformats.org/officeDocument/2006/relationships/image" Target="media/image125.wmf"/><Relationship Id="rId135" Type="http://schemas.openxmlformats.org/officeDocument/2006/relationships/image" Target="media/image126.wmf"/><Relationship Id="rId136" Type="http://schemas.openxmlformats.org/officeDocument/2006/relationships/image" Target="media/image127.wmf"/><Relationship Id="rId137" Type="http://schemas.openxmlformats.org/officeDocument/2006/relationships/image" Target="media/image25.png"/><Relationship Id="rId138" Type="http://schemas.openxmlformats.org/officeDocument/2006/relationships/image" Target="media/image128.wmf"/><Relationship Id="rId139" Type="http://schemas.openxmlformats.org/officeDocument/2006/relationships/image" Target="media/image129.wmf"/><Relationship Id="rId140" Type="http://schemas.openxmlformats.org/officeDocument/2006/relationships/image" Target="media/image130.wmf"/><Relationship Id="rId141" Type="http://schemas.openxmlformats.org/officeDocument/2006/relationships/image" Target="media/image131.wmf"/><Relationship Id="rId142" Type="http://schemas.openxmlformats.org/officeDocument/2006/relationships/image" Target="media/image132.wmf"/><Relationship Id="rId143" Type="http://schemas.openxmlformats.org/officeDocument/2006/relationships/image" Target="media/image133.wmf"/><Relationship Id="rId144" Type="http://schemas.openxmlformats.org/officeDocument/2006/relationships/image" Target="media/image134.wmf"/><Relationship Id="rId145" Type="http://schemas.openxmlformats.org/officeDocument/2006/relationships/image" Target="media/image135.wmf"/><Relationship Id="rId146" Type="http://schemas.openxmlformats.org/officeDocument/2006/relationships/image" Target="media/image136.wmf"/><Relationship Id="rId147" Type="http://schemas.openxmlformats.org/officeDocument/2006/relationships/image" Target="media/image137.wmf"/><Relationship Id="rId148" Type="http://schemas.openxmlformats.org/officeDocument/2006/relationships/image" Target="media/image138.wmf"/><Relationship Id="rId149" Type="http://schemas.openxmlformats.org/officeDocument/2006/relationships/image" Target="media/image139.wmf"/><Relationship Id="rId150" Type="http://schemas.openxmlformats.org/officeDocument/2006/relationships/image" Target="media/image140.wmf"/><Relationship Id="rId151" Type="http://schemas.openxmlformats.org/officeDocument/2006/relationships/image" Target="media/image141.wmf"/><Relationship Id="rId152" Type="http://schemas.openxmlformats.org/officeDocument/2006/relationships/image" Target="media/image142.wmf"/><Relationship Id="rId153" Type="http://schemas.openxmlformats.org/officeDocument/2006/relationships/image" Target="media/image143.wmf"/><Relationship Id="rId154" Type="http://schemas.openxmlformats.org/officeDocument/2006/relationships/image" Target="media/image144.wmf"/><Relationship Id="rId155" Type="http://schemas.openxmlformats.org/officeDocument/2006/relationships/image" Target="media/image145.wmf"/><Relationship Id="rId156" Type="http://schemas.openxmlformats.org/officeDocument/2006/relationships/image" Target="media/image146.wmf"/><Relationship Id="rId157" Type="http://schemas.openxmlformats.org/officeDocument/2006/relationships/image" Target="media/image147.wmf"/><Relationship Id="rId158" Type="http://schemas.openxmlformats.org/officeDocument/2006/relationships/image" Target="media/image148.wmf"/><Relationship Id="rId159" Type="http://schemas.openxmlformats.org/officeDocument/2006/relationships/image" Target="media/image149.wmf"/><Relationship Id="rId160" Type="http://schemas.openxmlformats.org/officeDocument/2006/relationships/image" Target="media/image150.wmf"/><Relationship Id="rId161" Type="http://schemas.openxmlformats.org/officeDocument/2006/relationships/image" Target="media/image151.wmf"/><Relationship Id="rId162" Type="http://schemas.openxmlformats.org/officeDocument/2006/relationships/image" Target="media/image152.wmf"/><Relationship Id="rId163" Type="http://schemas.openxmlformats.org/officeDocument/2006/relationships/image" Target="media/image153.wmf"/><Relationship Id="rId164" Type="http://schemas.openxmlformats.org/officeDocument/2006/relationships/image" Target="media/image154.wmf"/><Relationship Id="rId165" Type="http://schemas.openxmlformats.org/officeDocument/2006/relationships/image" Target="media/image155.wmf"/><Relationship Id="rId166" Type="http://schemas.openxmlformats.org/officeDocument/2006/relationships/image" Target="media/image156.wmf"/><Relationship Id="rId167" Type="http://schemas.openxmlformats.org/officeDocument/2006/relationships/image" Target="media/image157.wmf"/><Relationship Id="rId168" Type="http://schemas.openxmlformats.org/officeDocument/2006/relationships/image" Target="media/image158.wmf"/><Relationship Id="rId169" Type="http://schemas.openxmlformats.org/officeDocument/2006/relationships/image" Target="media/image159.wmf"/><Relationship Id="rId170" Type="http://schemas.openxmlformats.org/officeDocument/2006/relationships/image" Target="media/image160.wmf"/><Relationship Id="rId171" Type="http://schemas.openxmlformats.org/officeDocument/2006/relationships/image" Target="media/image161.wmf"/><Relationship Id="rId172" Type="http://schemas.openxmlformats.org/officeDocument/2006/relationships/image" Target="media/image162.wmf"/><Relationship Id="rId173" Type="http://schemas.openxmlformats.org/officeDocument/2006/relationships/image" Target="media/image163.wmf"/><Relationship Id="rId174" Type="http://schemas.openxmlformats.org/officeDocument/2006/relationships/image" Target="media/image164.wmf"/><Relationship Id="rId175" Type="http://schemas.openxmlformats.org/officeDocument/2006/relationships/image" Target="media/image165.wmf"/><Relationship Id="rId176" Type="http://schemas.openxmlformats.org/officeDocument/2006/relationships/image" Target="media/image166.wmf"/><Relationship Id="rId177" Type="http://schemas.openxmlformats.org/officeDocument/2006/relationships/image" Target="media/image167.wmf"/><Relationship Id="rId178" Type="http://schemas.openxmlformats.org/officeDocument/2006/relationships/image" Target="media/image168.wmf"/><Relationship Id="rId179" Type="http://schemas.openxmlformats.org/officeDocument/2006/relationships/image" Target="media/image169.wmf"/><Relationship Id="rId180" Type="http://schemas.openxmlformats.org/officeDocument/2006/relationships/image" Target="media/image170.wmf"/><Relationship Id="rId181" Type="http://schemas.openxmlformats.org/officeDocument/2006/relationships/image" Target="media/image171.wmf"/><Relationship Id="rId182" Type="http://schemas.openxmlformats.org/officeDocument/2006/relationships/image" Target="media/image172.wmf"/><Relationship Id="rId183" Type="http://schemas.openxmlformats.org/officeDocument/2006/relationships/image" Target="media/image173.wmf"/><Relationship Id="rId184" Type="http://schemas.openxmlformats.org/officeDocument/2006/relationships/image" Target="media/image174.wmf"/><Relationship Id="rId185" Type="http://schemas.openxmlformats.org/officeDocument/2006/relationships/image" Target="media/image175.wmf"/><Relationship Id="rId186" Type="http://schemas.openxmlformats.org/officeDocument/2006/relationships/image" Target="media/image176.wmf"/><Relationship Id="rId187" Type="http://schemas.openxmlformats.org/officeDocument/2006/relationships/image" Target="media/image171.wmf"/><Relationship Id="rId188" Type="http://schemas.openxmlformats.org/officeDocument/2006/relationships/image" Target="media/image177.wmf"/><Relationship Id="rId189" Type="http://schemas.openxmlformats.org/officeDocument/2006/relationships/image" Target="media/image178.wmf"/><Relationship Id="rId190" Type="http://schemas.openxmlformats.org/officeDocument/2006/relationships/image" Target="media/image179.wmf"/><Relationship Id="rId191" Type="http://schemas.openxmlformats.org/officeDocument/2006/relationships/image" Target="media/image180.wmf"/><Relationship Id="rId192" Type="http://schemas.openxmlformats.org/officeDocument/2006/relationships/image" Target="media/image181.wmf"/><Relationship Id="rId193" Type="http://schemas.openxmlformats.org/officeDocument/2006/relationships/image" Target="media/image182.wmf"/><Relationship Id="rId194" Type="http://schemas.openxmlformats.org/officeDocument/2006/relationships/image" Target="media/image183.jpeg"/><Relationship Id="rId195" Type="http://schemas.openxmlformats.org/officeDocument/2006/relationships/image" Target="media/image184.jpeg"/><Relationship Id="rId196" Type="http://schemas.openxmlformats.org/officeDocument/2006/relationships/image" Target="media/image185.jpeg"/><Relationship Id="rId197" Type="http://schemas.openxmlformats.org/officeDocument/2006/relationships/image" Target="media/image186.jpeg"/><Relationship Id="rId198" Type="http://schemas.openxmlformats.org/officeDocument/2006/relationships/image" Target="media/image187.wmf"/><Relationship Id="rId199" Type="http://schemas.openxmlformats.org/officeDocument/2006/relationships/image" Target="media/image188.jpeg"/><Relationship Id="rId200" Type="http://schemas.openxmlformats.org/officeDocument/2006/relationships/image" Target="media/image189.jpeg"/><Relationship Id="rId201" Type="http://schemas.openxmlformats.org/officeDocument/2006/relationships/image" Target="media/image190.wmf"/><Relationship Id="rId202" Type="http://schemas.openxmlformats.org/officeDocument/2006/relationships/image" Target="media/image191.wmf"/><Relationship Id="rId203" Type="http://schemas.openxmlformats.org/officeDocument/2006/relationships/image" Target="media/image192.wmf"/><Relationship Id="rId204" Type="http://schemas.openxmlformats.org/officeDocument/2006/relationships/image" Target="media/image193.wmf"/><Relationship Id="rId205" Type="http://schemas.openxmlformats.org/officeDocument/2006/relationships/image" Target="media/image194.wmf"/><Relationship Id="rId206" Type="http://schemas.openxmlformats.org/officeDocument/2006/relationships/image" Target="media/image195.wmf"/><Relationship Id="rId207" Type="http://schemas.openxmlformats.org/officeDocument/2006/relationships/image" Target="media/image196.wmf"/><Relationship Id="rId208" Type="http://schemas.openxmlformats.org/officeDocument/2006/relationships/image" Target="media/image197.wmf"/><Relationship Id="rId209" Type="http://schemas.openxmlformats.org/officeDocument/2006/relationships/image" Target="media/image198.wmf"/><Relationship Id="rId210" Type="http://schemas.openxmlformats.org/officeDocument/2006/relationships/image" Target="media/image25.png"/><Relationship Id="rId211" Type="http://schemas.openxmlformats.org/officeDocument/2006/relationships/image" Target="media/image26.png"/><Relationship Id="rId212" Type="http://schemas.openxmlformats.org/officeDocument/2006/relationships/image" Target="media/image28.png"/><Relationship Id="rId213" Type="http://schemas.openxmlformats.org/officeDocument/2006/relationships/image" Target="media/image199.wmf"/><Relationship Id="rId214" Type="http://schemas.openxmlformats.org/officeDocument/2006/relationships/image" Target="media/image200.wmf"/><Relationship Id="rId215" Type="http://schemas.openxmlformats.org/officeDocument/2006/relationships/image" Target="media/image201.wmf"/><Relationship Id="rId216" Type="http://schemas.openxmlformats.org/officeDocument/2006/relationships/image" Target="media/image202.wmf"/><Relationship Id="rId217" Type="http://schemas.openxmlformats.org/officeDocument/2006/relationships/image" Target="media/image203.wmf"/><Relationship Id="rId218" Type="http://schemas.openxmlformats.org/officeDocument/2006/relationships/image" Target="media/image120.wmf"/><Relationship Id="rId219" Type="http://schemas.openxmlformats.org/officeDocument/2006/relationships/image" Target="media/image121.wmf"/><Relationship Id="rId220" Type="http://schemas.openxmlformats.org/officeDocument/2006/relationships/image" Target="media/image204.wmf"/><Relationship Id="rId221" Type="http://schemas.openxmlformats.org/officeDocument/2006/relationships/image" Target="media/image123.wmf"/><Relationship Id="rId222" Type="http://schemas.openxmlformats.org/officeDocument/2006/relationships/image" Target="media/image205.wmf"/><Relationship Id="rId223" Type="http://schemas.openxmlformats.org/officeDocument/2006/relationships/image" Target="media/image206.wmf"/><Relationship Id="rId224" Type="http://schemas.openxmlformats.org/officeDocument/2006/relationships/image" Target="media/image207.wmf"/><Relationship Id="rId225" Type="http://schemas.openxmlformats.org/officeDocument/2006/relationships/image" Target="media/image208.wmf"/><Relationship Id="rId226" Type="http://schemas.openxmlformats.org/officeDocument/2006/relationships/image" Target="media/image209.wmf"/><Relationship Id="rId227" Type="http://schemas.openxmlformats.org/officeDocument/2006/relationships/image" Target="media/image210.wmf"/><Relationship Id="rId228" Type="http://schemas.openxmlformats.org/officeDocument/2006/relationships/image" Target="media/image211.wmf"/><Relationship Id="rId229" Type="http://schemas.openxmlformats.org/officeDocument/2006/relationships/oleObject" Target="embeddings/oleObject3.bin"/><Relationship Id="rId230" Type="http://schemas.openxmlformats.org/officeDocument/2006/relationships/image" Target="media/image212.wmf"/><Relationship Id="rId231" Type="http://schemas.openxmlformats.org/officeDocument/2006/relationships/image" Target="media/image213.wmf"/><Relationship Id="rId232" Type="http://schemas.openxmlformats.org/officeDocument/2006/relationships/image" Target="media/image214.wmf"/><Relationship Id="rId233" Type="http://schemas.openxmlformats.org/officeDocument/2006/relationships/image" Target="media/image215.wmf"/><Relationship Id="rId234" Type="http://schemas.openxmlformats.org/officeDocument/2006/relationships/image" Target="media/image216.wmf"/><Relationship Id="rId235" Type="http://schemas.openxmlformats.org/officeDocument/2006/relationships/image" Target="media/image217.wmf"/><Relationship Id="rId236" Type="http://schemas.openxmlformats.org/officeDocument/2006/relationships/image" Target="media/image216.wmf"/><Relationship Id="rId237" Type="http://schemas.openxmlformats.org/officeDocument/2006/relationships/oleObject" Target="embeddings/oleObject4.bin"/><Relationship Id="rId238" Type="http://schemas.openxmlformats.org/officeDocument/2006/relationships/image" Target="media/image218.wmf"/><Relationship Id="rId239" Type="http://schemas.openxmlformats.org/officeDocument/2006/relationships/oleObject" Target="embeddings/oleObject5.bin"/><Relationship Id="rId240" Type="http://schemas.openxmlformats.org/officeDocument/2006/relationships/image" Target="media/image219.wmf"/><Relationship Id="rId241" Type="http://schemas.openxmlformats.org/officeDocument/2006/relationships/oleObject" Target="embeddings/oleObject6.bin"/><Relationship Id="rId242" Type="http://schemas.openxmlformats.org/officeDocument/2006/relationships/image" Target="media/image220.wmf"/><Relationship Id="rId243" Type="http://schemas.openxmlformats.org/officeDocument/2006/relationships/image" Target="media/image221.wmf"/><Relationship Id="rId244" Type="http://schemas.openxmlformats.org/officeDocument/2006/relationships/image" Target="media/image222.wmf"/><Relationship Id="rId245" Type="http://schemas.openxmlformats.org/officeDocument/2006/relationships/oleObject" Target="embeddings/oleObject7.bin"/><Relationship Id="rId246" Type="http://schemas.openxmlformats.org/officeDocument/2006/relationships/image" Target="media/image223.wmf"/><Relationship Id="rId247" Type="http://schemas.openxmlformats.org/officeDocument/2006/relationships/oleObject" Target="embeddings/oleObject8.bin"/><Relationship Id="rId248" Type="http://schemas.openxmlformats.org/officeDocument/2006/relationships/image" Target="media/image224.wmf"/><Relationship Id="rId249" Type="http://schemas.openxmlformats.org/officeDocument/2006/relationships/image" Target="media/image225.wmf"/><Relationship Id="rId250" Type="http://schemas.openxmlformats.org/officeDocument/2006/relationships/image" Target="media/image226.wmf"/><Relationship Id="rId251" Type="http://schemas.openxmlformats.org/officeDocument/2006/relationships/image" Target="media/image227.wmf"/><Relationship Id="rId252" Type="http://schemas.openxmlformats.org/officeDocument/2006/relationships/image" Target="media/image228.wmf"/><Relationship Id="rId253" Type="http://schemas.openxmlformats.org/officeDocument/2006/relationships/image" Target="media/image229.wmf"/><Relationship Id="rId254" Type="http://schemas.openxmlformats.org/officeDocument/2006/relationships/image" Target="media/image230.wmf"/><Relationship Id="rId255" Type="http://schemas.openxmlformats.org/officeDocument/2006/relationships/image" Target="media/image231.wmf"/><Relationship Id="rId256" Type="http://schemas.openxmlformats.org/officeDocument/2006/relationships/image" Target="media/image232.wmf"/><Relationship Id="rId257" Type="http://schemas.openxmlformats.org/officeDocument/2006/relationships/image" Target="media/image233.wmf"/><Relationship Id="rId258" Type="http://schemas.openxmlformats.org/officeDocument/2006/relationships/hyperlink" Target="mailto:-9.2@400" TargetMode="External"/><Relationship Id="rId259" Type="http://schemas.openxmlformats.org/officeDocument/2006/relationships/image" Target="media/image234.wmf"/><Relationship Id="rId260" Type="http://schemas.openxmlformats.org/officeDocument/2006/relationships/image" Target="media/image235.wmf"/><Relationship Id="rId261" Type="http://schemas.openxmlformats.org/officeDocument/2006/relationships/image" Target="media/image236.png"/><Relationship Id="rId262" Type="http://schemas.openxmlformats.org/officeDocument/2006/relationships/image" Target="media/image237.png"/><Relationship Id="rId263" Type="http://schemas.openxmlformats.org/officeDocument/2006/relationships/image" Target="media/image238.wmf"/><Relationship Id="rId264" Type="http://schemas.openxmlformats.org/officeDocument/2006/relationships/image" Target="media/image239.wmf"/><Relationship Id="rId265" Type="http://schemas.openxmlformats.org/officeDocument/2006/relationships/image" Target="media/image240.wmf"/><Relationship Id="rId266" Type="http://schemas.openxmlformats.org/officeDocument/2006/relationships/image" Target="media/image241.wmf"/><Relationship Id="rId267" Type="http://schemas.openxmlformats.org/officeDocument/2006/relationships/image" Target="media/image242.wmf"/><Relationship Id="rId268" Type="http://schemas.openxmlformats.org/officeDocument/2006/relationships/image" Target="media/image243.wmf"/><Relationship Id="rId269" Type="http://schemas.openxmlformats.org/officeDocument/2006/relationships/image" Target="media/image244.wmf"/><Relationship Id="rId270" Type="http://schemas.openxmlformats.org/officeDocument/2006/relationships/image" Target="media/image245.wmf"/><Relationship Id="rId271" Type="http://schemas.openxmlformats.org/officeDocument/2006/relationships/image" Target="media/image246.wmf"/><Relationship Id="rId272" Type="http://schemas.openxmlformats.org/officeDocument/2006/relationships/image" Target="media/image247.wmf"/><Relationship Id="rId273" Type="http://schemas.openxmlformats.org/officeDocument/2006/relationships/image" Target="media/image248.wmf"/><Relationship Id="rId274" Type="http://schemas.openxmlformats.org/officeDocument/2006/relationships/image" Target="media/image249.wmf"/><Relationship Id="rId275" Type="http://schemas.openxmlformats.org/officeDocument/2006/relationships/image" Target="media/image250.wmf"/><Relationship Id="rId276" Type="http://schemas.openxmlformats.org/officeDocument/2006/relationships/image" Target="media/image251.wmf"/><Relationship Id="rId277" Type="http://schemas.openxmlformats.org/officeDocument/2006/relationships/image" Target="media/image252.wmf"/><Relationship Id="rId278" Type="http://schemas.openxmlformats.org/officeDocument/2006/relationships/image" Target="media/image253.wmf"/><Relationship Id="rId279" Type="http://schemas.openxmlformats.org/officeDocument/2006/relationships/image" Target="media/image254.wmf"/><Relationship Id="rId280" Type="http://schemas.openxmlformats.org/officeDocument/2006/relationships/image" Target="media/image255.wmf"/><Relationship Id="rId281" Type="http://schemas.openxmlformats.org/officeDocument/2006/relationships/image" Target="media/image256.wmf"/><Relationship Id="rId282" Type="http://schemas.openxmlformats.org/officeDocument/2006/relationships/image" Target="media/image257.wmf"/><Relationship Id="rId283" Type="http://schemas.openxmlformats.org/officeDocument/2006/relationships/image" Target="media/image258.wmf"/><Relationship Id="rId284" Type="http://schemas.openxmlformats.org/officeDocument/2006/relationships/image" Target="media/image259.wmf"/><Relationship Id="rId285" Type="http://schemas.openxmlformats.org/officeDocument/2006/relationships/image" Target="media/image260.wmf"/><Relationship Id="rId286" Type="http://schemas.openxmlformats.org/officeDocument/2006/relationships/image" Target="media/image261.wmf"/><Relationship Id="rId287" Type="http://schemas.openxmlformats.org/officeDocument/2006/relationships/image" Target="media/image262.wmf"/><Relationship Id="rId288" Type="http://schemas.openxmlformats.org/officeDocument/2006/relationships/image" Target="media/image263.wmf"/><Relationship Id="rId289" Type="http://schemas.openxmlformats.org/officeDocument/2006/relationships/image" Target="media/image264.wmf"/><Relationship Id="rId290" Type="http://schemas.openxmlformats.org/officeDocument/2006/relationships/image" Target="media/image265.wmf"/><Relationship Id="rId291" Type="http://schemas.openxmlformats.org/officeDocument/2006/relationships/image" Target="media/image266.wmf"/><Relationship Id="rId292" Type="http://schemas.openxmlformats.org/officeDocument/2006/relationships/image" Target="media/image267.png"/><Relationship Id="rId293" Type="http://schemas.openxmlformats.org/officeDocument/2006/relationships/image" Target="media/image268.png"/><Relationship Id="rId294" Type="http://schemas.openxmlformats.org/officeDocument/2006/relationships/image" Target="media/image269.png"/><Relationship Id="rId295" Type="http://schemas.openxmlformats.org/officeDocument/2006/relationships/image" Target="media/image270.wmf"/><Relationship Id="rId296" Type="http://schemas.openxmlformats.org/officeDocument/2006/relationships/image" Target="media/image271.png"/><Relationship Id="rId297" Type="http://schemas.openxmlformats.org/officeDocument/2006/relationships/image" Target="media/image272.png"/><Relationship Id="rId298" Type="http://schemas.openxmlformats.org/officeDocument/2006/relationships/image" Target="media/image273.png"/><Relationship Id="rId299" Type="http://schemas.openxmlformats.org/officeDocument/2006/relationships/image" Target="media/image274.png"/><Relationship Id="rId300" Type="http://schemas.openxmlformats.org/officeDocument/2006/relationships/image" Target="media/image275.png"/><Relationship Id="rId301" Type="http://schemas.openxmlformats.org/officeDocument/2006/relationships/image" Target="media/image276.png"/><Relationship Id="rId302" Type="http://schemas.openxmlformats.org/officeDocument/2006/relationships/image" Target="media/image277.png"/><Relationship Id="rId303" Type="http://schemas.openxmlformats.org/officeDocument/2006/relationships/image" Target="media/image278.png"/><Relationship Id="rId304" Type="http://schemas.openxmlformats.org/officeDocument/2006/relationships/image" Target="media/image279.png"/><Relationship Id="rId305" Type="http://schemas.openxmlformats.org/officeDocument/2006/relationships/image" Target="media/image280.png"/><Relationship Id="rId306" Type="http://schemas.openxmlformats.org/officeDocument/2006/relationships/image" Target="media/image281.wmf"/><Relationship Id="rId307" Type="http://schemas.openxmlformats.org/officeDocument/2006/relationships/image" Target="media/image282.png"/><Relationship Id="rId308" Type="http://schemas.openxmlformats.org/officeDocument/2006/relationships/image" Target="media/image283.png"/><Relationship Id="rId309" Type="http://schemas.openxmlformats.org/officeDocument/2006/relationships/image" Target="media/image284.png"/><Relationship Id="rId310" Type="http://schemas.openxmlformats.org/officeDocument/2006/relationships/image" Target="media/image285.png"/><Relationship Id="rId311" Type="http://schemas.openxmlformats.org/officeDocument/2006/relationships/image" Target="media/image286.png"/><Relationship Id="rId312" Type="http://schemas.openxmlformats.org/officeDocument/2006/relationships/image" Target="media/image287.png"/><Relationship Id="rId313" Type="http://schemas.openxmlformats.org/officeDocument/2006/relationships/image" Target="media/image288.png"/><Relationship Id="rId314" Type="http://schemas.openxmlformats.org/officeDocument/2006/relationships/image" Target="media/image289.png"/><Relationship Id="rId315" Type="http://schemas.openxmlformats.org/officeDocument/2006/relationships/image" Target="media/image290.png"/><Relationship Id="rId316" Type="http://schemas.openxmlformats.org/officeDocument/2006/relationships/image" Target="media/image291.png"/><Relationship Id="rId317" Type="http://schemas.openxmlformats.org/officeDocument/2006/relationships/image" Target="media/image292.png"/><Relationship Id="rId318" Type="http://schemas.openxmlformats.org/officeDocument/2006/relationships/image" Target="media/image293.png"/><Relationship Id="rId319" Type="http://schemas.openxmlformats.org/officeDocument/2006/relationships/image" Target="media/image294.png"/><Relationship Id="rId320" Type="http://schemas.openxmlformats.org/officeDocument/2006/relationships/image" Target="media/image295.png"/><Relationship Id="rId321" Type="http://schemas.openxmlformats.org/officeDocument/2006/relationships/image" Target="media/image296.png"/><Relationship Id="rId322" Type="http://schemas.openxmlformats.org/officeDocument/2006/relationships/image" Target="media/image297.png"/><Relationship Id="rId323" Type="http://schemas.openxmlformats.org/officeDocument/2006/relationships/image" Target="media/image298.png"/><Relationship Id="rId324" Type="http://schemas.openxmlformats.org/officeDocument/2006/relationships/image" Target="media/image299.png"/><Relationship Id="rId325" Type="http://schemas.openxmlformats.org/officeDocument/2006/relationships/image" Target="media/image300.png"/><Relationship Id="rId326" Type="http://schemas.openxmlformats.org/officeDocument/2006/relationships/image" Target="media/image301.png"/><Relationship Id="rId327" Type="http://schemas.openxmlformats.org/officeDocument/2006/relationships/image" Target="media/image302.png"/><Relationship Id="rId328" Type="http://schemas.openxmlformats.org/officeDocument/2006/relationships/image" Target="media/image303.png"/><Relationship Id="rId329" Type="http://schemas.openxmlformats.org/officeDocument/2006/relationships/image" Target="media/image304.png"/><Relationship Id="rId330" Type="http://schemas.openxmlformats.org/officeDocument/2006/relationships/image" Target="media/image305.png"/><Relationship Id="rId331" Type="http://schemas.openxmlformats.org/officeDocument/2006/relationships/image" Target="media/image306.png"/><Relationship Id="rId332" Type="http://schemas.openxmlformats.org/officeDocument/2006/relationships/image" Target="media/image307.png"/><Relationship Id="rId333" Type="http://schemas.openxmlformats.org/officeDocument/2006/relationships/image" Target="media/image308.png"/><Relationship Id="rId334" Type="http://schemas.openxmlformats.org/officeDocument/2006/relationships/image" Target="media/image6.png"/><Relationship Id="rId335" Type="http://schemas.openxmlformats.org/officeDocument/2006/relationships/image" Target="media/image7.png"/><Relationship Id="rId336" Type="http://schemas.openxmlformats.org/officeDocument/2006/relationships/image" Target="media/image8.png"/><Relationship Id="rId337" Type="http://schemas.openxmlformats.org/officeDocument/2006/relationships/image" Target="media/image9.png"/><Relationship Id="rId338" Type="http://schemas.openxmlformats.org/officeDocument/2006/relationships/image" Target="media/image10.png"/><Relationship Id="rId339" Type="http://schemas.openxmlformats.org/officeDocument/2006/relationships/image" Target="media/image11.png"/><Relationship Id="rId340" Type="http://schemas.openxmlformats.org/officeDocument/2006/relationships/image" Target="media/image12.png"/><Relationship Id="rId341" Type="http://schemas.openxmlformats.org/officeDocument/2006/relationships/image" Target="media/image13.png"/><Relationship Id="rId342" Type="http://schemas.openxmlformats.org/officeDocument/2006/relationships/image" Target="media/image14.png"/><Relationship Id="rId343" Type="http://schemas.openxmlformats.org/officeDocument/2006/relationships/image" Target="media/image15.png"/><Relationship Id="rId344" Type="http://schemas.openxmlformats.org/officeDocument/2006/relationships/image" Target="media/image16.png"/><Relationship Id="rId345" Type="http://schemas.openxmlformats.org/officeDocument/2006/relationships/image" Target="media/image17.png"/><Relationship Id="rId346" Type="http://schemas.openxmlformats.org/officeDocument/2006/relationships/image" Target="media/image18.png"/><Relationship Id="rId347" Type="http://schemas.openxmlformats.org/officeDocument/2006/relationships/image" Target="media/image19.png"/><Relationship Id="rId348" Type="http://schemas.openxmlformats.org/officeDocument/2006/relationships/image" Target="media/image20.png"/><Relationship Id="rId349" Type="http://schemas.openxmlformats.org/officeDocument/2006/relationships/image" Target="media/image21.png"/><Relationship Id="rId350" Type="http://schemas.openxmlformats.org/officeDocument/2006/relationships/image" Target="media/image309.png"/><Relationship Id="rId351" Type="http://schemas.openxmlformats.org/officeDocument/2006/relationships/image" Target="media/image310.png"/><Relationship Id="rId352" Type="http://schemas.openxmlformats.org/officeDocument/2006/relationships/image" Target="media/image311.png"/><Relationship Id="rId353" Type="http://schemas.openxmlformats.org/officeDocument/2006/relationships/image" Target="media/image312.png"/><Relationship Id="rId354" Type="http://schemas.openxmlformats.org/officeDocument/2006/relationships/image" Target="media/image313.png"/><Relationship Id="rId355" Type="http://schemas.openxmlformats.org/officeDocument/2006/relationships/image" Target="media/image314.png"/><Relationship Id="rId356" Type="http://schemas.openxmlformats.org/officeDocument/2006/relationships/image" Target="media/image315.png"/><Relationship Id="rId357" Type="http://schemas.openxmlformats.org/officeDocument/2006/relationships/image" Target="media/image316.png"/><Relationship Id="rId358" Type="http://schemas.openxmlformats.org/officeDocument/2006/relationships/image" Target="media/image317.png"/><Relationship Id="rId359" Type="http://schemas.openxmlformats.org/officeDocument/2006/relationships/image" Target="media/image318.png"/><Relationship Id="rId360" Type="http://schemas.openxmlformats.org/officeDocument/2006/relationships/image" Target="media/image319.png"/><Relationship Id="rId361" Type="http://schemas.openxmlformats.org/officeDocument/2006/relationships/image" Target="media/image320.png"/><Relationship Id="rId362" Type="http://schemas.openxmlformats.org/officeDocument/2006/relationships/image" Target="media/image321.png"/><Relationship Id="rId363" Type="http://schemas.openxmlformats.org/officeDocument/2006/relationships/header" Target="header1.xml"/><Relationship Id="rId364" Type="http://schemas.openxmlformats.org/officeDocument/2006/relationships/footer" Target="footer1.xml"/><Relationship Id="rId365" Type="http://schemas.openxmlformats.org/officeDocument/2006/relationships/footnotes" Target="footnotes.xml"/><Relationship Id="rId366" Type="http://schemas.openxmlformats.org/officeDocument/2006/relationships/numbering" Target="numbering.xml"/><Relationship Id="rId367" Type="http://schemas.openxmlformats.org/officeDocument/2006/relationships/fontTable" Target="fontTable.xml"/><Relationship Id="rId3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138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2015-12-08T18:31:00Z</dcterms:created>
  <dc:creator>TSG RAN WG6</dc:creator>
  <dc:description/>
  <cp:keywords>3GPP</cp:keywords>
  <dc:language>en-US</dc:language>
  <cp:lastModifiedBy>x</cp:lastModifiedBy>
  <dcterms:modified xsi:type="dcterms:W3CDTF">2020-07-19T20:42:00Z</dcterms:modified>
  <cp:revision>53</cp:revision>
  <dc:subject>3GPP TS 45.050 GSM/EDGE Background for Radio Frequency (RF) requirements (Release 16)</dc:subject>
  <dc:title>3GPP TS 45.050 v. 15.0.0</dc:title>
</cp:coreProperties>
</file>