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Substitution and muting of lost frames for</w:t>
                            </w:r>
                          </w:p>
                          <w:p>
                            <w:pPr>
                              <w:pStyle w:val="ZT"/>
                              <w:rPr/>
                            </w:pPr>
                            <w:r>
                              <w:rPr/>
                              <w:t>full rate speech channels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Full rate speech;</w:t>
                      </w:r>
                    </w:p>
                    <w:p>
                      <w:pPr>
                        <w:pStyle w:val="ZT"/>
                        <w:rPr/>
                      </w:pPr>
                      <w:r>
                        <w:rPr/>
                        <w:t>Substitution and muting of lost frames for</w:t>
                      </w:r>
                    </w:p>
                    <w:p>
                      <w:pPr>
                        <w:pStyle w:val="ZT"/>
                        <w:rPr/>
                      </w:pPr>
                      <w:r>
                        <w:rPr/>
                        <w:t>full rate speech channels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613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613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614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6141">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6142">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477456143">
            <w:r>
              <w:rPr>
                <w:rStyle w:val="IndexLink"/>
              </w:rPr>
              <w:t>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First lost speech frame</w:t>
            <w:tab/>
          </w:r>
          <w:hyperlink w:anchor="__RefHeading___Toc477456144">
            <w:r>
              <w:rPr>
                <w:rStyle w:val="IndexLink"/>
              </w:rPr>
              <w:t>5</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Subsequent lost speech frames</w:t>
            <w:tab/>
          </w:r>
          <w:hyperlink w:anchor="__RefHeading___Toc477456145">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First lost SID frame</w:t>
            <w:tab/>
          </w:r>
          <w:hyperlink w:anchor="__RefHeading___Toc477456146">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Subsequent lost SID frame</w:t>
            <w:tab/>
          </w:r>
          <w:hyperlink w:anchor="__RefHeading___Toc477456147">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Example solution</w:t>
            <w:tab/>
          </w:r>
          <w:hyperlink w:anchor="__RefHeading___Toc477456148">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477456149">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613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6139"/>
      <w:bookmarkEnd w:id="8"/>
      <w:r>
        <w:rPr/>
        <w:t>1</w:t>
        <w:tab/>
        <w:t>Scope</w:t>
      </w:r>
    </w:p>
    <w:p>
      <w:pPr>
        <w:pStyle w:val="Normal"/>
        <w:rPr/>
      </w:pPr>
      <w:r>
        <w:rPr/>
        <w:t>The present document defines a frame substitution and muting procedure which shall be used by the RX DTX handler when one or more lost speech or SID frames are received from the radio subsystem.</w:t>
      </w:r>
    </w:p>
    <w:p>
      <w:pPr>
        <w:pStyle w:val="Normal"/>
        <w:rPr/>
      </w:pPr>
      <w:r>
        <w:rPr/>
        <w:t>The requirements of the present document are mandatory for implementation in all GSM Base Station Systems (BSS) and Mobile Stations (MS).</w:t>
      </w:r>
    </w:p>
    <w:p>
      <w:pPr>
        <w:pStyle w:val="Heading1"/>
        <w:ind w:left="1134" w:hanging="1134"/>
        <w:rPr/>
      </w:pPr>
      <w:bookmarkStart w:id="9" w:name="__RefHeading___Toc47745614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06.10: "Digital cellular telecommunications system (Phase 2+); Full rate speech; Transcoding".</w:t>
      </w:r>
    </w:p>
    <w:p>
      <w:pPr>
        <w:pStyle w:val="EX"/>
        <w:rPr/>
      </w:pPr>
      <w:r>
        <w:rPr/>
        <w:t>[3]</w:t>
        <w:tab/>
        <w:t>GSM 06.31: "Digital cellular telecommunications system (Phase 2+); Full rate speech; Discontinuous Transmission (DTX) for full rate speech traffic channel".</w:t>
      </w:r>
    </w:p>
    <w:p>
      <w:pPr>
        <w:pStyle w:val="Heading1"/>
        <w:ind w:left="1134" w:hanging="1134"/>
        <w:rPr/>
      </w:pPr>
      <w:bookmarkStart w:id="10" w:name="__RefHeading___Toc477456141"/>
      <w:r>
        <w:rPr/>
        <w:t>3</w:t>
        <w:tab/>
        <w:t>Definitions and abbreviations</w:t>
      </w:r>
      <w:bookmarkEnd w:id="10"/>
      <w:r>
        <w:rPr/>
        <w:t xml:space="preserve"> </w:t>
      </w:r>
    </w:p>
    <w:p>
      <w:pPr>
        <w:pStyle w:val="Normal"/>
        <w:rPr/>
      </w:pPr>
      <w:r>
        <w:rPr/>
        <w:t>Abbreviations used in the present document are listed in GSM 01.04 [1].</w:t>
      </w:r>
    </w:p>
    <w:p>
      <w:pPr>
        <w:pStyle w:val="Normal"/>
        <w:rPr/>
      </w:pPr>
      <w:r>
        <w:rPr/>
        <w:t>The definitions of terms used in the present document can be found in GSM 06.31 [3].</w:t>
      </w:r>
    </w:p>
    <w:p>
      <w:pPr>
        <w:pStyle w:val="Heading1"/>
        <w:ind w:left="1134" w:hanging="1134"/>
        <w:rPr/>
      </w:pPr>
      <w:bookmarkStart w:id="11" w:name="__RefHeading___Toc477456142"/>
      <w:bookmarkEnd w:id="11"/>
      <w:r>
        <w:rPr/>
        <w:t>4</w:t>
        <w:tab/>
        <w:t>General</w:t>
      </w:r>
    </w:p>
    <w:p>
      <w:pPr>
        <w:pStyle w:val="Normal"/>
        <w:rPr/>
      </w:pPr>
      <w:r>
        <w:rPr/>
        <w:t>The purpose of the frame substitution is to conceal the effect of lost frames.</w:t>
      </w:r>
    </w:p>
    <w:p>
      <w:pPr>
        <w:pStyle w:val="Normal"/>
        <w:rPr/>
      </w:pPr>
      <w:r>
        <w:rPr/>
        <w:t>The purpose of muting the output in the case of several lost frames is to indicate the breakdown of the channel to the user.</w:t>
      </w:r>
    </w:p>
    <w:p>
      <w:pPr>
        <w:pStyle w:val="Heading1"/>
        <w:ind w:left="1134" w:hanging="1134"/>
        <w:rPr/>
      </w:pPr>
      <w:bookmarkStart w:id="12" w:name="__RefHeading___Toc477456143"/>
      <w:bookmarkEnd w:id="12"/>
      <w:r>
        <w:rPr/>
        <w:t>5</w:t>
        <w:tab/>
        <w:t>Requirements</w:t>
      </w:r>
    </w:p>
    <w:p>
      <w:pPr>
        <w:pStyle w:val="Heading2"/>
        <w:rPr/>
      </w:pPr>
      <w:bookmarkStart w:id="13" w:name="__RefHeading___Toc477456144"/>
      <w:bookmarkEnd w:id="13"/>
      <w:r>
        <w:rPr/>
        <w:t>5.1</w:t>
        <w:tab/>
        <w:t>First lost speech frame</w:t>
      </w:r>
    </w:p>
    <w:p>
      <w:pPr>
        <w:pStyle w:val="Normal"/>
        <w:rPr/>
      </w:pPr>
      <w:r>
        <w:rPr/>
        <w:t>Normal decoding of lost speech frames would result in very unpleasant noise effects. In order to improve the subjective quality, the first lost speech frame shall be substituted with either a repetition or an extrapolation of the previous good speech frame(s). Lost speech frames shall not be delivered to the speech decoder, nor shall the output be muted directly.</w:t>
      </w:r>
    </w:p>
    <w:p>
      <w:pPr>
        <w:pStyle w:val="Heading2"/>
        <w:rPr/>
      </w:pPr>
      <w:bookmarkStart w:id="14" w:name="__RefHeading___Toc477456145"/>
      <w:bookmarkEnd w:id="14"/>
      <w:r>
        <w:rPr/>
        <w:t>5.2</w:t>
        <w:tab/>
        <w:t>Subsequent lost speech frames</w:t>
      </w:r>
    </w:p>
    <w:p>
      <w:pPr>
        <w:pStyle w:val="Normal"/>
        <w:rPr/>
      </w:pPr>
      <w:r>
        <w:rPr/>
        <w:t>For subsequent lost speech frames, a muting technique shall be used that will gradually decrease the output level, resulting in silencing of the output after a maximum of 320 ms. Clause 6 gives an example solution.</w:t>
      </w:r>
    </w:p>
    <w:p>
      <w:pPr>
        <w:pStyle w:val="Heading2"/>
        <w:rPr/>
      </w:pPr>
      <w:bookmarkStart w:id="15" w:name="__RefHeading___Toc477456146"/>
      <w:bookmarkEnd w:id="15"/>
      <w:r>
        <w:rPr/>
        <w:t>5.3</w:t>
        <w:tab/>
        <w:t>First lost SID frame</w:t>
      </w:r>
    </w:p>
    <w:p>
      <w:pPr>
        <w:pStyle w:val="Normal"/>
        <w:rPr/>
      </w:pPr>
      <w:r>
        <w:rPr/>
        <w:t>A single lost SID frame shall be substituted by the last valid SID frame and the procedure for valid SID frames be applied as described in GSM 06.31 [3].</w:t>
      </w:r>
    </w:p>
    <w:p>
      <w:pPr>
        <w:pStyle w:val="Heading2"/>
        <w:rPr/>
      </w:pPr>
      <w:bookmarkStart w:id="16" w:name="__RefHeading___Toc477456147"/>
      <w:bookmarkEnd w:id="16"/>
      <w:r>
        <w:rPr/>
        <w:t>5.4</w:t>
        <w:tab/>
        <w:t>Subsequent lost SID frame</w:t>
      </w:r>
    </w:p>
    <w:p>
      <w:pPr>
        <w:pStyle w:val="Normal"/>
        <w:rPr/>
      </w:pPr>
      <w:r>
        <w:rPr/>
        <w:t>For the second lost SID frame, a muting technique shall be used on the comfort noise that will gradually decrease the output level, resulting in silencing of the output after a maximum of 320 ms. Clause 6 gives an example solution.</w:t>
      </w:r>
    </w:p>
    <w:p>
      <w:pPr>
        <w:pStyle w:val="Normal"/>
        <w:rPr/>
      </w:pPr>
      <w:r>
        <w:rPr/>
        <w:t>For subsequent lost SID frames, the muting of the output shall be maintained.</w:t>
      </w:r>
    </w:p>
    <w:p>
      <w:pPr>
        <w:pStyle w:val="Heading1"/>
        <w:ind w:left="1134" w:hanging="1134"/>
        <w:rPr/>
      </w:pPr>
      <w:bookmarkStart w:id="17" w:name="__RefHeading___Toc477456148"/>
      <w:bookmarkEnd w:id="17"/>
      <w:r>
        <w:rPr/>
        <w:t>6</w:t>
        <w:tab/>
        <w:t>Example solution</w:t>
      </w:r>
    </w:p>
    <w:p>
      <w:pPr>
        <w:pStyle w:val="Normal"/>
        <w:rPr/>
      </w:pPr>
      <w:r>
        <w:rPr/>
        <w:t>For guidance, an example solution is given.</w:t>
      </w:r>
    </w:p>
    <w:p>
      <w:pPr>
        <w:pStyle w:val="Normal"/>
        <w:rPr/>
      </w:pPr>
      <w:r>
        <w:rPr/>
        <w:t>The first lost speech frame is replaced at the speech decoder input by the previous good speech frame. Normal decoding is then performed.</w:t>
      </w:r>
    </w:p>
    <w:p>
      <w:pPr>
        <w:pStyle w:val="Normal"/>
        <w:rPr/>
      </w:pPr>
      <w:r>
        <w:rPr/>
        <w:t xml:space="preserve">The muting procedure to be used in the case of subsequent lost speech frames or for comfort noise frames following the second lost SID frame is as follows: </w:t>
      </w:r>
    </w:p>
    <w:p>
      <w:pPr>
        <w:pStyle w:val="Normal"/>
        <w:rPr/>
      </w:pPr>
      <w:r>
        <w:rPr/>
        <w:t>The pseudo</w:t>
        <w:noBreakHyphen/>
        <w:t>logarithmic encoded block amplitude Xmaxcr (GSM 06.10 [2]), coded on the interval from 0 to 63, is decreased with a constant value d=4 in each frame, down to the lowest possible value. Consequently, Xmaxcr will be reduced gradually, and the output muted after a maximum of 320 ms. The grid position parameters are chosen randomly between 0 and 3 during this time.</w:t>
      </w:r>
    </w:p>
    <w:p>
      <w:pPr>
        <w:pStyle w:val="Normal"/>
        <w:rPr/>
      </w:pPr>
      <w:r>
        <w:rPr/>
        <w:t>For subsequent unusable frames, after the frame where Xmaxcr reached the lowest possible value, "silence frames" are passed from the RX DTX handler to the speech decoder to guarantee a low output level under all conditions. The silence frame is defined in table 1.</w:t>
      </w:r>
    </w:p>
    <w:p>
      <w:pPr>
        <w:pStyle w:val="TH"/>
        <w:rPr/>
      </w:pPr>
      <w:r>
        <w:rPr/>
        <w:t>Table 1: Encoded parameters (GSM 06.10) of the silence frame</w:t>
      </w:r>
    </w:p>
    <w:tbl>
      <w:tblPr>
        <w:tblW w:w="6292" w:type="dxa"/>
        <w:jc w:val="center"/>
        <w:tblInd w:w="0" w:type="dxa"/>
        <w:tblLayout w:type="fixed"/>
        <w:tblCellMar>
          <w:top w:w="0" w:type="dxa"/>
          <w:left w:w="28" w:type="dxa"/>
          <w:bottom w:w="0" w:type="dxa"/>
          <w:right w:w="28" w:type="dxa"/>
        </w:tblCellMar>
      </w:tblPr>
      <w:tblGrid>
        <w:gridCol w:w="3032"/>
        <w:gridCol w:w="3260"/>
      </w:tblGrid>
      <w:tr>
        <w:trPr/>
        <w:tc>
          <w:tcPr>
            <w:tcW w:w="3032" w:type="dxa"/>
            <w:tcBorders/>
          </w:tcPr>
          <w:p>
            <w:pPr>
              <w:pStyle w:val="TAL"/>
              <w:jc w:val="both"/>
              <w:rPr/>
            </w:pPr>
            <w:r>
              <w:rPr>
                <w:rFonts w:eastAsia="Arial"/>
              </w:rPr>
              <w:t xml:space="preserve">   </w:t>
            </w:r>
            <w:r>
              <w:rPr/>
              <w:t>Log area ratio 1   =   42</w:t>
            </w:r>
          </w:p>
        </w:tc>
        <w:tc>
          <w:tcPr>
            <w:tcW w:w="3260" w:type="dxa"/>
            <w:tcBorders/>
          </w:tcPr>
          <w:p>
            <w:pPr>
              <w:pStyle w:val="TAH"/>
              <w:snapToGrid w:val="false"/>
              <w:jc w:val="both"/>
              <w:rPr/>
            </w:pPr>
            <w:r>
              <w:rPr/>
            </w:r>
          </w:p>
        </w:tc>
      </w:tr>
      <w:tr>
        <w:trPr/>
        <w:tc>
          <w:tcPr>
            <w:tcW w:w="3032" w:type="dxa"/>
            <w:tcBorders/>
          </w:tcPr>
          <w:p>
            <w:pPr>
              <w:pStyle w:val="TAL"/>
              <w:jc w:val="both"/>
              <w:rPr/>
            </w:pPr>
            <w:r>
              <w:rPr>
                <w:rFonts w:eastAsia="Arial"/>
              </w:rPr>
              <w:t xml:space="preserve">   </w:t>
            </w:r>
            <w:r>
              <w:rPr/>
              <w:t>Log area ratio 2   = 39</w:t>
            </w:r>
          </w:p>
        </w:tc>
        <w:tc>
          <w:tcPr>
            <w:tcW w:w="3260" w:type="dxa"/>
            <w:tcBorders/>
          </w:tcPr>
          <w:p>
            <w:pPr>
              <w:pStyle w:val="TAL"/>
              <w:snapToGrid w:val="false"/>
              <w:jc w:val="both"/>
              <w:rPr/>
            </w:pPr>
            <w:r>
              <w:rPr/>
            </w:r>
          </w:p>
        </w:tc>
      </w:tr>
      <w:tr>
        <w:trPr/>
        <w:tc>
          <w:tcPr>
            <w:tcW w:w="3032" w:type="dxa"/>
            <w:tcBorders/>
          </w:tcPr>
          <w:p>
            <w:pPr>
              <w:pStyle w:val="TAL"/>
              <w:jc w:val="both"/>
              <w:rPr/>
            </w:pPr>
            <w:r>
              <w:rPr>
                <w:rFonts w:eastAsia="Arial"/>
              </w:rPr>
              <w:t xml:space="preserve">   </w:t>
            </w:r>
            <w:r>
              <w:rPr/>
              <w:t>Log area ratio 3   = 21</w:t>
            </w:r>
          </w:p>
        </w:tc>
        <w:tc>
          <w:tcPr>
            <w:tcW w:w="3260" w:type="dxa"/>
            <w:tcBorders/>
          </w:tcPr>
          <w:p>
            <w:pPr>
              <w:pStyle w:val="TAL"/>
              <w:snapToGrid w:val="false"/>
              <w:jc w:val="both"/>
              <w:rPr/>
            </w:pPr>
            <w:r>
              <w:rPr/>
            </w:r>
          </w:p>
        </w:tc>
      </w:tr>
      <w:tr>
        <w:trPr/>
        <w:tc>
          <w:tcPr>
            <w:tcW w:w="3032" w:type="dxa"/>
            <w:tcBorders/>
          </w:tcPr>
          <w:p>
            <w:pPr>
              <w:pStyle w:val="TAL"/>
              <w:jc w:val="both"/>
              <w:rPr/>
            </w:pPr>
            <w:r>
              <w:rPr>
                <w:rFonts w:eastAsia="Arial"/>
              </w:rPr>
              <w:t xml:space="preserve">   </w:t>
            </w:r>
            <w:r>
              <w:rPr/>
              <w:t>Log area ratio 4   = 10</w:t>
            </w:r>
          </w:p>
        </w:tc>
        <w:tc>
          <w:tcPr>
            <w:tcW w:w="3260" w:type="dxa"/>
            <w:tcBorders/>
          </w:tcPr>
          <w:p>
            <w:pPr>
              <w:pStyle w:val="TAL"/>
              <w:snapToGrid w:val="false"/>
              <w:jc w:val="both"/>
              <w:rPr/>
            </w:pPr>
            <w:r>
              <w:rPr/>
            </w:r>
          </w:p>
        </w:tc>
      </w:tr>
      <w:tr>
        <w:trPr/>
        <w:tc>
          <w:tcPr>
            <w:tcW w:w="3032" w:type="dxa"/>
            <w:tcBorders/>
          </w:tcPr>
          <w:p>
            <w:pPr>
              <w:pStyle w:val="TAL"/>
              <w:jc w:val="both"/>
              <w:rPr/>
            </w:pPr>
            <w:r>
              <w:rPr>
                <w:rFonts w:eastAsia="Arial"/>
              </w:rPr>
              <w:t xml:space="preserve">   </w:t>
            </w:r>
            <w:r>
              <w:rPr/>
              <w:t>Log area ratio 5   = 9</w:t>
            </w:r>
          </w:p>
        </w:tc>
        <w:tc>
          <w:tcPr>
            <w:tcW w:w="3260" w:type="dxa"/>
            <w:tcBorders/>
          </w:tcPr>
          <w:p>
            <w:pPr>
              <w:pStyle w:val="TAL"/>
              <w:snapToGrid w:val="false"/>
              <w:jc w:val="both"/>
              <w:rPr/>
            </w:pPr>
            <w:r>
              <w:rPr/>
            </w:r>
          </w:p>
        </w:tc>
      </w:tr>
      <w:tr>
        <w:trPr/>
        <w:tc>
          <w:tcPr>
            <w:tcW w:w="3032" w:type="dxa"/>
            <w:tcBorders/>
          </w:tcPr>
          <w:p>
            <w:pPr>
              <w:pStyle w:val="TAL"/>
              <w:jc w:val="both"/>
              <w:rPr/>
            </w:pPr>
            <w:r>
              <w:rPr>
                <w:rFonts w:eastAsia="Arial"/>
              </w:rPr>
              <w:t xml:space="preserve">   </w:t>
            </w:r>
            <w:r>
              <w:rPr/>
              <w:t>Log area ratio 6   = 4</w:t>
            </w:r>
          </w:p>
        </w:tc>
        <w:tc>
          <w:tcPr>
            <w:tcW w:w="3260" w:type="dxa"/>
            <w:tcBorders/>
          </w:tcPr>
          <w:p>
            <w:pPr>
              <w:pStyle w:val="TAL"/>
              <w:snapToGrid w:val="false"/>
              <w:jc w:val="both"/>
              <w:rPr/>
            </w:pPr>
            <w:r>
              <w:rPr/>
            </w:r>
          </w:p>
        </w:tc>
      </w:tr>
      <w:tr>
        <w:trPr/>
        <w:tc>
          <w:tcPr>
            <w:tcW w:w="3032" w:type="dxa"/>
            <w:tcBorders/>
          </w:tcPr>
          <w:p>
            <w:pPr>
              <w:pStyle w:val="TAL"/>
              <w:jc w:val="both"/>
              <w:rPr/>
            </w:pPr>
            <w:r>
              <w:rPr>
                <w:rFonts w:eastAsia="Arial"/>
              </w:rPr>
              <w:t xml:space="preserve">   </w:t>
            </w:r>
            <w:r>
              <w:rPr/>
              <w:t>Log area ratio 7   = 3</w:t>
            </w:r>
          </w:p>
        </w:tc>
        <w:tc>
          <w:tcPr>
            <w:tcW w:w="3260" w:type="dxa"/>
            <w:tcBorders/>
          </w:tcPr>
          <w:p>
            <w:pPr>
              <w:pStyle w:val="TAL"/>
              <w:snapToGrid w:val="false"/>
              <w:jc w:val="both"/>
              <w:rPr/>
            </w:pPr>
            <w:r>
              <w:rPr/>
            </w:r>
          </w:p>
        </w:tc>
      </w:tr>
      <w:tr>
        <w:trPr/>
        <w:tc>
          <w:tcPr>
            <w:tcW w:w="3032" w:type="dxa"/>
            <w:tcBorders/>
          </w:tcPr>
          <w:p>
            <w:pPr>
              <w:pStyle w:val="TAL"/>
              <w:jc w:val="both"/>
              <w:rPr/>
            </w:pPr>
            <w:r>
              <w:rPr>
                <w:rFonts w:eastAsia="Arial"/>
              </w:rPr>
              <w:t xml:space="preserve">   </w:t>
            </w:r>
            <w:r>
              <w:rPr/>
              <w:t>Log area ratio 8   = 2</w:t>
            </w:r>
          </w:p>
        </w:tc>
        <w:tc>
          <w:tcPr>
            <w:tcW w:w="3260" w:type="dxa"/>
            <w:tcBorders/>
          </w:tcPr>
          <w:p>
            <w:pPr>
              <w:pStyle w:val="TAL"/>
              <w:snapToGrid w:val="false"/>
              <w:jc w:val="both"/>
              <w:rPr/>
            </w:pPr>
            <w:r>
              <w:rPr/>
            </w:r>
          </w:p>
        </w:tc>
      </w:tr>
      <w:tr>
        <w:trPr/>
        <w:tc>
          <w:tcPr>
            <w:tcW w:w="3032" w:type="dxa"/>
            <w:tcBorders/>
          </w:tcPr>
          <w:p>
            <w:pPr>
              <w:pStyle w:val="TAR"/>
              <w:rPr/>
            </w:pPr>
            <w:r>
              <w:rPr/>
              <w:t>_</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LTP gain             = 0</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LTP lag               = 40</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snapToGrid w:val="false"/>
              <w:jc w:val="both"/>
              <w:rPr/>
            </w:pPr>
            <w:r>
              <w:rPr/>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Grid position        = 1</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Block amplitude  = 0</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snapToGrid w:val="false"/>
              <w:jc w:val="both"/>
              <w:rPr/>
            </w:pPr>
            <w:r>
              <w:rPr/>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1  = 3</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2  = 4</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3  = 3</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4  = 4</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5  = 4</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snapToGrid w:val="false"/>
              <w:jc w:val="both"/>
              <w:rPr/>
            </w:pPr>
            <w:r>
              <w:rPr/>
            </w:r>
          </w:p>
        </w:tc>
        <w:tc>
          <w:tcPr>
            <w:tcW w:w="3260" w:type="dxa"/>
            <w:tcBorders/>
          </w:tcPr>
          <w:p>
            <w:pPr>
              <w:pStyle w:val="TAL"/>
              <w:jc w:val="both"/>
              <w:rPr/>
            </w:pPr>
            <w:r>
              <w:rPr/>
              <w:noBreakHyphen/>
            </w:r>
            <w:r>
              <w:rPr>
                <w:rFonts w:eastAsia="Arial"/>
              </w:rPr>
              <w:t xml:space="preserve"> </w:t>
            </w:r>
            <w:r>
              <w:rPr/>
              <w:t>repeated for each subsegment</w:t>
            </w:r>
          </w:p>
        </w:tc>
      </w:tr>
      <w:tr>
        <w:trPr/>
        <w:tc>
          <w:tcPr>
            <w:tcW w:w="3032" w:type="dxa"/>
            <w:tcBorders>
              <w:right w:val="single" w:sz="6" w:space="0" w:color="000000"/>
            </w:tcBorders>
          </w:tcPr>
          <w:p>
            <w:pPr>
              <w:pStyle w:val="TAL"/>
              <w:jc w:val="both"/>
              <w:rPr/>
            </w:pPr>
            <w:r>
              <w:rPr>
                <w:rFonts w:eastAsia="Arial"/>
              </w:rPr>
              <w:t xml:space="preserve">    </w:t>
            </w:r>
            <w:r>
              <w:rPr/>
              <w:t>RPE pulse no. 6  = 3</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7  = 3</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8  = 3</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9  = 3</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10 = 4</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11 = 4</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12 = 3</w:t>
            </w:r>
          </w:p>
        </w:tc>
        <w:tc>
          <w:tcPr>
            <w:tcW w:w="3260" w:type="dxa"/>
            <w:tcBorders/>
          </w:tcPr>
          <w:p>
            <w:pPr>
              <w:pStyle w:val="TAL"/>
              <w:snapToGrid w:val="false"/>
              <w:jc w:val="both"/>
              <w:rPr/>
            </w:pPr>
            <w:r>
              <w:rPr/>
            </w:r>
          </w:p>
        </w:tc>
      </w:tr>
      <w:tr>
        <w:trPr/>
        <w:tc>
          <w:tcPr>
            <w:tcW w:w="3032" w:type="dxa"/>
            <w:tcBorders>
              <w:right w:val="single" w:sz="6" w:space="0" w:color="000000"/>
            </w:tcBorders>
          </w:tcPr>
          <w:p>
            <w:pPr>
              <w:pStyle w:val="TAL"/>
              <w:jc w:val="both"/>
              <w:rPr/>
            </w:pPr>
            <w:r>
              <w:rPr>
                <w:rFonts w:eastAsia="Arial"/>
              </w:rPr>
              <w:t xml:space="preserve">    </w:t>
            </w:r>
            <w:r>
              <w:rPr/>
              <w:t>RPE pulse no. 13 = 3            _</w:t>
            </w:r>
          </w:p>
        </w:tc>
        <w:tc>
          <w:tcPr>
            <w:tcW w:w="3260" w:type="dxa"/>
            <w:tcBorders/>
          </w:tcPr>
          <w:p>
            <w:pPr>
              <w:pStyle w:val="TAL"/>
              <w:snapToGrid w:val="false"/>
              <w:jc w:val="both"/>
              <w:rPr/>
            </w:pPr>
            <w:r>
              <w:rPr/>
            </w:r>
          </w:p>
        </w:tc>
      </w:tr>
    </w:tbl>
    <w:p>
      <w:pPr>
        <w:pStyle w:val="Normal"/>
        <w:rPr/>
      </w:pPr>
      <w:r>
        <w:rPr/>
      </w:r>
      <w:r>
        <w:br w:type="page"/>
      </w:r>
    </w:p>
    <w:p>
      <w:pPr>
        <w:pStyle w:val="Heading8"/>
        <w:ind w:left="0" w:hanging="0"/>
        <w:rPr/>
      </w:pPr>
      <w:bookmarkStart w:id="18" w:name="__RefHeading___Toc477456149"/>
      <w:bookmarkEnd w:id="18"/>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SMG#07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4.0.4</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5.0.1</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SMG#28</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color w:val="000000"/>
              </w:rPr>
            </w:pPr>
            <w:r>
              <w:rPr/>
              <w:t>Specification version 6.0.0 upgrade to Release 1998 version 7.0.0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color w:val="000000"/>
              </w:rPr>
            </w:pPr>
            <w:r>
              <w:rPr>
                <w:b/>
                <w:color w:val="000000"/>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46.011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46.011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Full rate speech; Substitution and muting of lost frames for full rate speech channels (Release 16)</dc:subject>
  <dc:title>3GPP TS 46.011</dc:title>
</cp:coreProperties>
</file>