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48.054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48.054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Layer 1 structure of physical circuits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Base Station Controller - Base Transceiver Station</w:t>
                      </w:r>
                    </w:p>
                    <w:p>
                      <w:pPr>
                        <w:pStyle w:val="ZT"/>
                        <w:rPr/>
                      </w:pPr>
                      <w:r>
                        <w:rPr/>
                        <w:t>(BSC - BTS) interface;</w:t>
                      </w:r>
                    </w:p>
                    <w:p>
                      <w:pPr>
                        <w:pStyle w:val="ZT"/>
                        <w:rPr/>
                      </w:pPr>
                      <w:r>
                        <w:rPr/>
                        <w:t>Layer 1 structure of physical circuits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7316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7687316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7687317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476873171">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Layer 1 specification</w:t>
            <w:tab/>
          </w:r>
          <w:hyperlink w:anchor="__RefHeading___Toc476873172">
            <w:r>
              <w:rPr>
                <w:rStyle w:val="IndexLink"/>
              </w:rPr>
              <w:t>6</w:t>
            </w:r>
          </w:hyperlink>
        </w:p>
        <w:p>
          <w:pPr>
            <w:pStyle w:val="Contents8"/>
            <w:rPr>
              <w:rFonts w:ascii="Calibri" w:hAnsi="Calibri" w:cs="Calibri"/>
              <w:szCs w:val="22"/>
              <w:lang w:val="en-US" w:eastAsia="en-US"/>
            </w:rPr>
          </w:pPr>
          <w:r>
            <w:rPr>
              <w:b w:val="false"/>
            </w:rPr>
            <w:t>Annex A (informative):</w:t>
            <w:tab/>
            <w:t>Change History</w:t>
            <w:tab/>
          </w:r>
          <w:hyperlink w:anchor="__RefHeading___Toc476873173">
            <w:r>
              <w:rPr>
                <w:rStyle w:val="IndexLink"/>
                <w:b w:val="false"/>
              </w:rPr>
              <w:t>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476873168"/>
      <w:bookmarkEnd w:id="8"/>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9" w:name="__RefHeading___Toc476873169"/>
      <w:bookmarkEnd w:id="9"/>
      <w:r>
        <w:rPr/>
        <w:t>1</w:t>
        <w:tab/>
        <w:t>Scope</w:t>
      </w:r>
    </w:p>
    <w:p>
      <w:pPr>
        <w:pStyle w:val="Normal"/>
        <w:rPr/>
      </w:pPr>
      <w:r>
        <w:rPr/>
        <w:t>The use and general aspects of the A-bis interface are given in 3GPP TS 48.051.</w:t>
      </w:r>
    </w:p>
    <w:p>
      <w:pPr>
        <w:pStyle w:val="Normal"/>
        <w:rPr/>
      </w:pPr>
      <w:r>
        <w:rPr/>
        <w:t>The present document defines the structure of the physical layer (layer 1) of the BSC - BTS/TRX interface for supporting traffic channels and control channels. Use of the physical layer for supporting link protocol is covered in 3GPP TS 48.056.</w:t>
      </w:r>
    </w:p>
    <w:p>
      <w:pPr>
        <w:pStyle w:val="Normal"/>
        <w:rPr/>
      </w:pPr>
      <w:r>
        <w:rPr/>
        <w:t>The physical layer is the lowest layer in the OSI Reference Model and it supports all functions required for transmission of bit streams on the physical medium.</w:t>
      </w:r>
    </w:p>
    <w:p>
      <w:pPr>
        <w:pStyle w:val="Heading1"/>
        <w:ind w:left="1134" w:hanging="1134"/>
        <w:rPr/>
      </w:pPr>
      <w:bookmarkStart w:id="10" w:name="__RefHeading___Toc476873170"/>
      <w:bookmarkEnd w:id="10"/>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TR 21.905: </w:t>
      </w:r>
      <w:r>
        <w:rPr/>
        <w:t>"Vocabulary for 3GPP Specifications".</w:t>
      </w:r>
    </w:p>
    <w:p>
      <w:pPr>
        <w:pStyle w:val="EX"/>
        <w:rPr/>
      </w:pPr>
      <w:r>
        <w:rPr/>
        <w:t>[2]</w:t>
        <w:tab/>
        <w:t xml:space="preserve">3GPP TS 48.020: "Rate adaption on the Base Station System </w:t>
        <w:noBreakHyphen/>
        <w:t xml:space="preserve"> Mobile</w:t>
        <w:noBreakHyphen/>
        <w:t xml:space="preserve">services Switching Centre (BSS </w:t>
        <w:noBreakHyphen/>
        <w:t xml:space="preserve"> MSC) interface".</w:t>
      </w:r>
    </w:p>
    <w:p>
      <w:pPr>
        <w:pStyle w:val="EX"/>
        <w:rPr/>
      </w:pPr>
      <w:r>
        <w:rPr/>
        <w:t>[3]</w:t>
        <w:tab/>
        <w:t xml:space="preserve">3GPP TS 48.051: "Base Station Controller </w:t>
        <w:noBreakHyphen/>
        <w:t xml:space="preserve"> Base Transceiver Station (BSC </w:t>
        <w:noBreakHyphen/>
        <w:t xml:space="preserve"> BTS) interface; General aspects".</w:t>
      </w:r>
    </w:p>
    <w:p>
      <w:pPr>
        <w:pStyle w:val="EX"/>
        <w:rPr/>
      </w:pPr>
      <w:r>
        <w:rPr/>
        <w:t>[4]</w:t>
        <w:tab/>
        <w:t xml:space="preserve">3GPP TS 48.056: "Base Station Controller </w:t>
        <w:noBreakHyphen/>
        <w:t xml:space="preserve"> Base Transceiver Station (BSC </w:t>
        <w:noBreakHyphen/>
        <w:t xml:space="preserve"> BTS) interface; Layer 2 specification".".</w:t>
      </w:r>
    </w:p>
    <w:p>
      <w:pPr>
        <w:pStyle w:val="EX"/>
        <w:rPr/>
      </w:pPr>
      <w:r>
        <w:rPr/>
        <w:t>[5]</w:t>
        <w:tab/>
        <w:t>3GPP TS 48.060: "In-band control of remote transcoders and rate adaptors for full rate traffic channels".</w:t>
      </w:r>
    </w:p>
    <w:p>
      <w:pPr>
        <w:pStyle w:val="EX"/>
        <w:rPr/>
      </w:pPr>
      <w:r>
        <w:rPr/>
        <w:t>[6]</w:t>
        <w:tab/>
        <w:t>3GPP TS 48.061: "In-band control of remote transcoders and rate adaptors for half rate traffic channels".</w:t>
      </w:r>
    </w:p>
    <w:p>
      <w:pPr>
        <w:pStyle w:val="EX"/>
        <w:rPr/>
      </w:pPr>
      <w:r>
        <w:rPr/>
        <w:t>[7]</w:t>
        <w:tab/>
        <w:t>ITU-T Recommendation G.703: "Physical/electrical characteristics of hierarchical digital interfaces".</w:t>
      </w:r>
    </w:p>
    <w:p>
      <w:pPr>
        <w:pStyle w:val="EX"/>
        <w:rPr/>
      </w:pPr>
      <w:r>
        <w:rPr/>
        <w:t>[8]</w:t>
        <w:tab/>
        <w:t>ITU-T Recommendation G.705: "Characteristics of plesiochronous digital hierarchy (PDH) equipment functional blocks".</w:t>
      </w:r>
    </w:p>
    <w:p>
      <w:pPr>
        <w:pStyle w:val="EX"/>
        <w:rPr/>
      </w:pPr>
      <w:r>
        <w:rPr/>
        <w:t>[9]</w:t>
        <w:tab/>
        <w:t>ITU-T Recommendation G.711: "Pulse Code Modulation (PCM) of voice frequencies".</w:t>
      </w:r>
    </w:p>
    <w:p>
      <w:pPr>
        <w:pStyle w:val="EX"/>
        <w:rPr/>
      </w:pPr>
      <w:r>
        <w:rPr/>
        <w:t>[10]</w:t>
        <w:tab/>
        <w:t>ITU-T Recommendation G.732: "Characteristics of primary PCM multiplex equipment operating at 2 048 kbit/s".</w:t>
      </w:r>
    </w:p>
    <w:p>
      <w:pPr>
        <w:pStyle w:val="EX"/>
        <w:rPr/>
      </w:pPr>
      <w:r>
        <w:rPr/>
        <w:t>[11]</w:t>
        <w:tab/>
        <w:t>ITU-T Recommendation I.460: "Multiplexing, rate adaption and support of existing interfaces".</w:t>
      </w:r>
    </w:p>
    <w:p>
      <w:pPr>
        <w:pStyle w:val="Heading1"/>
        <w:ind w:left="1134" w:hanging="1134"/>
        <w:rPr/>
      </w:pPr>
      <w:bookmarkStart w:id="11" w:name="__RefHeading___Toc476873171"/>
      <w:bookmarkEnd w:id="11"/>
      <w:r>
        <w:rPr/>
        <w:t>3</w:t>
        <w:tab/>
        <w:t>Abbreviations</w:t>
      </w:r>
    </w:p>
    <w:p>
      <w:pPr>
        <w:pStyle w:val="Normal"/>
        <w:rPr/>
      </w:pPr>
      <w:r>
        <w:rPr/>
        <w:t>For the purposes of the present document, the abbreviations given in 3GPP TR 21.905 apply.</w:t>
      </w:r>
    </w:p>
    <w:p>
      <w:pPr>
        <w:pStyle w:val="Heading1"/>
        <w:ind w:left="1134" w:hanging="1134"/>
        <w:rPr/>
      </w:pPr>
      <w:bookmarkStart w:id="12" w:name="__RefHeading___Toc476873172"/>
      <w:bookmarkEnd w:id="12"/>
      <w:r>
        <w:rPr/>
        <w:t>4</w:t>
        <w:tab/>
        <w:t>Layer 1 specification</w:t>
      </w:r>
    </w:p>
    <w:p>
      <w:pPr>
        <w:pStyle w:val="Normal"/>
        <w:rPr/>
      </w:pPr>
      <w:r>
        <w:rPr/>
        <w:t>All the ITU-T recommendations referred to are Blue Book.</w:t>
      </w:r>
    </w:p>
    <w:p>
      <w:pPr>
        <w:pStyle w:val="Normal"/>
        <w:rPr/>
      </w:pPr>
      <w:r>
        <w:rPr/>
        <w:t>Layer 1 shall utilize digital transmission at a rate of 2 048 kbit/s with a frame structure of 32 x 64 kbit/s time slots, as specified in ITU-T Recommendation G.705 clause 3 or at a rate of 64 kbit/s.</w:t>
      </w:r>
    </w:p>
    <w:p>
      <w:pPr>
        <w:pStyle w:val="Normal"/>
        <w:rPr/>
      </w:pPr>
      <w:r>
        <w:rPr/>
        <w:t>The physical/electrical characteristics are defined in ITU-T Recommendation G.703.</w:t>
      </w:r>
    </w:p>
    <w:p>
      <w:pPr>
        <w:pStyle w:val="Normal"/>
        <w:rPr/>
      </w:pPr>
      <w:r>
        <w:rPr/>
        <w:t>Synchronization at the BTS/TRX for the transmitted bit stream toward the BSC shall be derived from the received bit stream from the BSC.</w:t>
      </w:r>
    </w:p>
    <w:p>
      <w:pPr>
        <w:pStyle w:val="Normal"/>
        <w:rPr/>
      </w:pPr>
      <w:r>
        <w:rPr/>
        <w:t>For transmission rate at 64 kbit/sec it shall be an interface as defined in ITU-T Recommendation G.703.</w:t>
      </w:r>
    </w:p>
    <w:p>
      <w:pPr>
        <w:pStyle w:val="Normal"/>
        <w:rPr/>
      </w:pPr>
      <w:r>
        <w:rPr/>
        <w:t>For transmission rate at 2 048 kbit/s the functional characteristics are defined in ITU-T Recommendation G.732 clauses 2 and 3, and fault conditions should be treated in accordance with ITU-T Recommendation G.732 clause 4.</w:t>
      </w:r>
    </w:p>
    <w:p>
      <w:pPr>
        <w:pStyle w:val="Normal"/>
        <w:rPr/>
      </w:pPr>
      <w:r>
        <w:rPr/>
        <w:t>The idle pattern must be transmitted on every timeslot that is not assigned to a channel, and to every timeslot of a channel that is not allocated to a call. The idle pattern shall be 01010100 for a 64 kbit/s channel and the 2-bit pattern 01 for 16 kbit/s channels. For 8 kbit/s channels, the idle pattern shall be consecutive ones or zeros according to the corresponding idle pattern bit of a 16 kbit/s channel.</w:t>
      </w:r>
    </w:p>
    <w:p>
      <w:pPr>
        <w:pStyle w:val="Normal"/>
        <w:rPr/>
      </w:pPr>
      <w:r>
        <w:rPr/>
        <w:t>If transcoders are located in BTS speech encoding shall be the A-law as defined in ITU-T Recommendation G.711.</w:t>
      </w:r>
    </w:p>
    <w:p>
      <w:pPr>
        <w:pStyle w:val="Normal"/>
        <w:rPr/>
      </w:pPr>
      <w:r>
        <w:rPr/>
        <w:t>If speech transcoders are located in the BSC the speech, data and signalling channels will utilize transmission rates of 8 kbit/s, 16 kbit/s or 64 kbit/s according to 3GPP TS 48.060 and 3GPP TS 48.061. They shall be rate adapted or multiplexed according to ITU-T Recommendation I.460 with fixed format, to fit into the physical interface.</w:t>
      </w:r>
    </w:p>
    <w:p>
      <w:pPr>
        <w:pStyle w:val="Normal"/>
        <w:rPr/>
      </w:pPr>
      <w:r>
        <w:rPr/>
        <w:t>Data encoding is covered in 3GPP TS 48.020.</w:t>
      </w:r>
    </w:p>
    <w:p>
      <w:pPr>
        <w:pStyle w:val="Normal"/>
        <w:rPr/>
      </w:pPr>
      <w:r>
        <w:rPr/>
        <w:t>In the case of a 2 048 kbit/sec circuit, multidrop solutions should be possible. Dynamic sharing of terrestrial 64 kbit/sec channels between BTS:s on a per-call basis must not be used.</w:t>
      </w:r>
      <w:r>
        <w:br w:type="page"/>
      </w:r>
    </w:p>
    <w:p>
      <w:pPr>
        <w:pStyle w:val="Heading8"/>
        <w:ind w:left="0" w:hanging="0"/>
        <w:rPr/>
      </w:pPr>
      <w:bookmarkStart w:id="13" w:name="__RefHeading___Toc476873173"/>
      <w:bookmarkStart w:id="14" w:name="historyclause"/>
      <w:bookmarkEnd w:id="13"/>
      <w:bookmarkEnd w:id="14"/>
      <w:r>
        <w:rPr/>
        <w:t>Annex A (informative):</w:t>
        <w:br/>
        <w:t>Change History</w:t>
      </w:r>
    </w:p>
    <w:p>
      <w:pPr>
        <w:pStyle w:val="TH"/>
        <w:rPr/>
      </w:pPr>
      <w:r>
        <w:rPr/>
      </w:r>
      <w:bookmarkStart w:id="15" w:name="historyclause"/>
      <w:bookmarkStart w:id="16" w:name="historyclause"/>
      <w:bookmarkEnd w:id="16"/>
    </w:p>
    <w:tbl>
      <w:tblPr>
        <w:tblW w:w="9688" w:type="dxa"/>
        <w:jc w:val="center"/>
        <w:tblInd w:w="0" w:type="dxa"/>
        <w:tblLayout w:type="fixed"/>
        <w:tblCellMar>
          <w:top w:w="0" w:type="dxa"/>
          <w:left w:w="40" w:type="dxa"/>
          <w:bottom w:w="0" w:type="dxa"/>
          <w:right w:w="40" w:type="dxa"/>
        </w:tblCellMar>
      </w:tblPr>
      <w:tblGrid>
        <w:gridCol w:w="1520"/>
        <w:gridCol w:w="901"/>
        <w:gridCol w:w="426"/>
        <w:gridCol w:w="428"/>
        <w:gridCol w:w="5539"/>
        <w:gridCol w:w="874"/>
      </w:tblGrid>
      <w:tr>
        <w:trPr/>
        <w:tc>
          <w:tcPr>
            <w:tcW w:w="1520" w:type="dxa"/>
            <w:tcBorders>
              <w:top w:val="single" w:sz="6" w:space="0" w:color="000000"/>
              <w:left w:val="single" w:sz="6" w:space="0" w:color="000000"/>
              <w:bottom w:val="single" w:sz="6" w:space="0" w:color="000000"/>
              <w:right w:val="single" w:sz="6" w:space="0" w:color="000000"/>
            </w:tcBorders>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tcPr>
          <w:p>
            <w:pPr>
              <w:pStyle w:val="TAH"/>
              <w:rPr/>
            </w:pPr>
            <w:r>
              <w:rPr/>
              <w:t>Rev</w:t>
            </w:r>
          </w:p>
        </w:tc>
        <w:tc>
          <w:tcPr>
            <w:tcW w:w="5539"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874" w:type="dxa"/>
            <w:tcBorders>
              <w:top w:val="single" w:sz="6" w:space="0" w:color="000000"/>
              <w:left w:val="single" w:sz="6" w:space="0" w:color="000000"/>
              <w:bottom w:val="single" w:sz="6" w:space="0" w:color="000000"/>
              <w:right w:val="single" w:sz="6" w:space="0" w:color="000000"/>
            </w:tcBorders>
          </w:tcPr>
          <w:p>
            <w:pPr>
              <w:pStyle w:val="TAH"/>
              <w:rPr/>
            </w:pPr>
            <w:r>
              <w:rPr/>
              <w:t>New</w:t>
            </w:r>
          </w:p>
        </w:tc>
      </w:tr>
      <w:tr>
        <w:trPr/>
        <w:tc>
          <w:tcPr>
            <w:tcW w:w="1520" w:type="dxa"/>
            <w:tcBorders>
              <w:top w:val="single" w:sz="6" w:space="0" w:color="000000"/>
              <w:left w:val="single" w:sz="6" w:space="0" w:color="000000"/>
              <w:bottom w:val="single" w:sz="6" w:space="0" w:color="000000"/>
              <w:right w:val="single" w:sz="6" w:space="0" w:color="000000"/>
            </w:tcBorders>
          </w:tcPr>
          <w:p>
            <w:pPr>
              <w:pStyle w:val="TAL"/>
              <w:rPr/>
            </w:pPr>
            <w:r>
              <w:rPr/>
              <w:t>January 2016</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539" w:type="dxa"/>
            <w:tcBorders>
              <w:top w:val="single" w:sz="6" w:space="0" w:color="000000"/>
              <w:left w:val="single" w:sz="6" w:space="0" w:color="000000"/>
              <w:bottom w:val="single" w:sz="6" w:space="0" w:color="000000"/>
              <w:right w:val="single" w:sz="6" w:space="0" w:color="000000"/>
            </w:tcBorders>
          </w:tcPr>
          <w:p>
            <w:pPr>
              <w:pStyle w:val="TAL"/>
              <w:rPr/>
            </w:pPr>
            <w:r>
              <w:rPr/>
              <w:t>Rel-13 version created based on v12.0.0</w:t>
            </w:r>
          </w:p>
        </w:tc>
        <w:tc>
          <w:tcPr>
            <w:tcW w:w="874" w:type="dxa"/>
            <w:tcBorders>
              <w:top w:val="single" w:sz="6" w:space="0" w:color="000000"/>
              <w:left w:val="single" w:sz="6" w:space="0" w:color="000000"/>
              <w:bottom w:val="single" w:sz="6" w:space="0" w:color="000000"/>
              <w:right w:val="single" w:sz="6" w:space="0" w:color="000000"/>
            </w:tcBorders>
          </w:tcPr>
          <w:p>
            <w:pPr>
              <w:pStyle w:val="TAC"/>
              <w:rPr/>
            </w:pPr>
            <w:r>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820"/>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Cs w:val="18"/>
              </w:rPr>
            </w:pPr>
            <w:r>
              <w:rPr>
                <w:b/>
                <w:szCs w:val="18"/>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Cs w:val="18"/>
              </w:rPr>
              <w:t>RP-75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lang w:val="en-US" w:eastAsia="en-US"/>
              </w:rPr>
              <w:t>Version for Release 14 (frozen at TSG-75)</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szCs w:val="18"/>
                <w:lang w:val="en-US" w:eastAsia="en-US"/>
              </w:rPr>
              <w:t>Update to Rel-15 version (MCC)</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Cs w:val="18"/>
              </w:rPr>
            </w:pPr>
            <w:r>
              <w:rPr>
                <w:szCs w:val="18"/>
              </w:rPr>
              <w:t>RP-88e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rPr>
            </w:pPr>
            <w:r>
              <w:rPr>
                <w:szCs w:val="18"/>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val="en-US" w:eastAsia="en-US"/>
              </w:rPr>
            </w:pPr>
            <w:r>
              <w:rPr>
                <w:rFonts w:cs="Arial"/>
                <w:sz w:val="16"/>
                <w:szCs w:val="16"/>
              </w:rPr>
              <w:t>Upgrade to Rel-16 version without technical change</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bCs/>
                <w:szCs w:val="18"/>
              </w:rPr>
            </w:pPr>
            <w:r>
              <w:rPr>
                <w:bCs/>
                <w:szCs w:val="18"/>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48.054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TALChar">
    <w:name w:val="TAL Char"/>
    <w:qFormat/>
    <w:rPr>
      <w:rFonts w:ascii="Arial" w:hAnsi="Arial" w:cs="Arial"/>
      <w:sz w:val="18"/>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83" w:hanging="283"/>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ListBullet">
    <w:name w:val="List Bullet"/>
    <w:basedOn w:val="List"/>
    <w:qFormat/>
    <w:pPr>
      <w:numPr>
        <w:ilvl w:val="0"/>
        <w:numId w:val="2"/>
      </w:numPr>
      <w:overflowPunct w:val="false"/>
      <w:autoSpaceDE w:val="false"/>
      <w:spacing w:before="0" w:after="180"/>
      <w:ind w:left="568" w:hanging="284"/>
      <w:contextualSpacing w:val="false"/>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2017-03-10T00:34:00Z</dcterms:created>
  <dc:creator>MCC Support</dc:creator>
  <dc:description/>
  <cp:keywords>GSM radio</cp:keywords>
  <dc:language>en-US</dc:language>
  <cp:lastModifiedBy>x</cp:lastModifiedBy>
  <dcterms:modified xsi:type="dcterms:W3CDTF">2020-07-20T15:41:00Z</dcterms:modified>
  <cp:revision>8</cp:revision>
  <dc:subject>Base Station Controller - Base Transceiver Station (BSC - BTS) interface; Layer 1 structure of physical circuits (Release 16)</dc:subject>
  <dc:title>3GPP TS 48.054</dc:title>
</cp:coreProperties>
</file>