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55.216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55.216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A5/3 encryption algorithms for GSM and</w:t>
                            </w:r>
                          </w:p>
                          <w:p>
                            <w:pPr>
                              <w:pStyle w:val="ZT"/>
                              <w:rPr/>
                            </w:pPr>
                            <w:r>
                              <w:rPr/>
                              <w:t>ECSD, and the GEA3 encryption algorithm for GPRS;</w:t>
                            </w:r>
                          </w:p>
                          <w:p>
                            <w:pPr>
                              <w:pStyle w:val="ZT"/>
                              <w:rPr/>
                            </w:pPr>
                            <w:r>
                              <w:rPr/>
                              <w:t>Document 1: A5/3 and GEA3 specifications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A5/3 encryption algorithms for GSM and</w:t>
                      </w:r>
                    </w:p>
                    <w:p>
                      <w:pPr>
                        <w:pStyle w:val="ZT"/>
                        <w:rPr/>
                      </w:pPr>
                      <w:r>
                        <w:rPr/>
                        <w:t>ECSD, and the GEA3 encryption algorithm for GPRS;</w:t>
                      </w:r>
                    </w:p>
                    <w:p>
                      <w:pPr>
                        <w:pStyle w:val="ZT"/>
                        <w:rPr/>
                      </w:pPr>
                      <w:r>
                        <w:rPr/>
                        <w:t>Document 1: A5/3 and GEA3 specifications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81835" cy="74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81835" cy="742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85865900">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0</w:t>
          </w:r>
          <w:r>
            <w:rPr>
              <w:rFonts w:eastAsia="Batang;바탕"/>
              <w:sz w:val="24"/>
              <w:szCs w:val="24"/>
              <w:lang w:val="en-US" w:eastAsia="en-US"/>
            </w:rPr>
            <w:tab/>
          </w:r>
          <w:r>
            <w:rPr/>
            <w:t>Scope</w:t>
            <w:tab/>
          </w:r>
          <w:hyperlink w:anchor="__RefHeading___Toc185865901">
            <w:r>
              <w:rPr>
                <w:rStyle w:val="IndexLink"/>
              </w:rPr>
              <w:t>5</w:t>
            </w:r>
          </w:hyperlink>
        </w:p>
        <w:p>
          <w:pPr>
            <w:pStyle w:val="Contents1"/>
            <w:rPr>
              <w:rFonts w:eastAsia="Batang;바탕"/>
              <w:sz w:val="24"/>
              <w:szCs w:val="24"/>
              <w:lang w:val="en-US" w:eastAsia="en-US"/>
            </w:rPr>
          </w:pPr>
          <w:r>
            <w:rPr/>
            <w:t>0A</w:t>
          </w:r>
          <w:r>
            <w:rPr>
              <w:rFonts w:eastAsia="Batang;바탕"/>
              <w:sz w:val="24"/>
              <w:szCs w:val="24"/>
              <w:lang w:val="en-US" w:eastAsia="en-US"/>
            </w:rPr>
            <w:tab/>
          </w:r>
          <w:r>
            <w:rPr/>
            <w:t>References</w:t>
            <w:tab/>
          </w:r>
          <w:hyperlink w:anchor="__RefHeading___Toc185865902">
            <w:r>
              <w:rPr>
                <w:rStyle w:val="IndexLink"/>
              </w:rPr>
              <w:t>5</w:t>
            </w:r>
          </w:hyperlink>
        </w:p>
        <w:p>
          <w:pPr>
            <w:pStyle w:val="Contents1"/>
            <w:rPr>
              <w:rFonts w:eastAsia="Batang;바탕"/>
              <w:sz w:val="24"/>
              <w:szCs w:val="24"/>
              <w:lang w:val="en-US" w:eastAsia="en-US"/>
            </w:rPr>
          </w:pPr>
          <w:r>
            <w:rPr/>
            <w:t>0B</w:t>
          </w:r>
          <w:r>
            <w:rPr>
              <w:rFonts w:eastAsia="Batang;바탕"/>
              <w:sz w:val="24"/>
              <w:szCs w:val="24"/>
              <w:lang w:val="en-US" w:eastAsia="en-US"/>
            </w:rPr>
            <w:tab/>
          </w:r>
          <w:r>
            <w:rPr/>
            <w:t>Definitions, symbols and abbreviations</w:t>
            <w:tab/>
          </w:r>
          <w:hyperlink w:anchor="__RefHeading___Toc185865903">
            <w:r>
              <w:rPr>
                <w:rStyle w:val="IndexLink"/>
              </w:rPr>
              <w:t>5</w:t>
            </w:r>
          </w:hyperlink>
        </w:p>
        <w:p>
          <w:pPr>
            <w:pStyle w:val="Contents2"/>
            <w:rPr>
              <w:rFonts w:eastAsia="Batang;바탕"/>
              <w:sz w:val="24"/>
              <w:szCs w:val="24"/>
              <w:lang w:val="en-US" w:eastAsia="en-US"/>
            </w:rPr>
          </w:pPr>
          <w:r>
            <w:rPr/>
            <w:t>0B.1</w:t>
          </w:r>
          <w:r>
            <w:rPr>
              <w:rFonts w:eastAsia="Batang;바탕"/>
              <w:sz w:val="24"/>
              <w:szCs w:val="24"/>
              <w:lang w:val="en-US" w:eastAsia="en-US"/>
            </w:rPr>
            <w:tab/>
          </w:r>
          <w:r>
            <w:rPr/>
            <w:t>Definitions</w:t>
            <w:tab/>
          </w:r>
          <w:hyperlink w:anchor="__RefHeading___Toc185865904">
            <w:r>
              <w:rPr>
                <w:rStyle w:val="IndexLink"/>
              </w:rPr>
              <w:t>5</w:t>
            </w:r>
          </w:hyperlink>
        </w:p>
        <w:p>
          <w:pPr>
            <w:pStyle w:val="Contents2"/>
            <w:rPr>
              <w:rFonts w:eastAsia="Batang;바탕"/>
              <w:sz w:val="24"/>
              <w:szCs w:val="24"/>
              <w:lang w:val="en-US" w:eastAsia="en-US"/>
            </w:rPr>
          </w:pPr>
          <w:r>
            <w:rPr/>
            <w:t>0B.2</w:t>
          </w:r>
          <w:r>
            <w:rPr>
              <w:rFonts w:eastAsia="Batang;바탕"/>
              <w:sz w:val="24"/>
              <w:szCs w:val="24"/>
              <w:lang w:val="en-US" w:eastAsia="en-US"/>
            </w:rPr>
            <w:tab/>
          </w:r>
          <w:r>
            <w:rPr/>
            <w:t>Symbols</w:t>
            <w:tab/>
          </w:r>
          <w:hyperlink w:anchor="__RefHeading___Toc185865905">
            <w:r>
              <w:rPr>
                <w:rStyle w:val="IndexLink"/>
              </w:rPr>
              <w:t>5</w:t>
            </w:r>
          </w:hyperlink>
        </w:p>
        <w:p>
          <w:pPr>
            <w:pStyle w:val="Contents2"/>
            <w:rPr>
              <w:rFonts w:eastAsia="Batang;바탕"/>
              <w:sz w:val="24"/>
              <w:szCs w:val="24"/>
              <w:lang w:val="en-US" w:eastAsia="en-US"/>
            </w:rPr>
          </w:pPr>
          <w:r>
            <w:rPr/>
            <w:t>0B.3</w:t>
          </w:r>
          <w:r>
            <w:rPr>
              <w:rFonts w:eastAsia="Batang;바탕"/>
              <w:sz w:val="24"/>
              <w:szCs w:val="24"/>
              <w:lang w:val="en-US" w:eastAsia="en-US"/>
            </w:rPr>
            <w:tab/>
          </w:r>
          <w:r>
            <w:rPr/>
            <w:t>Abbreviations</w:t>
            <w:tab/>
          </w:r>
          <w:hyperlink w:anchor="__RefHeading___Toc185865906">
            <w:r>
              <w:rPr>
                <w:rStyle w:val="IndexLink"/>
              </w:rPr>
              <w:t>5</w:t>
            </w:r>
          </w:hyperlink>
        </w:p>
        <w:p>
          <w:pPr>
            <w:pStyle w:val="Contents1"/>
            <w:rPr>
              <w:rFonts w:eastAsia="Batang;바탕"/>
              <w:sz w:val="24"/>
              <w:szCs w:val="24"/>
              <w:lang w:val="en-US" w:eastAsia="en-US"/>
            </w:rPr>
          </w:pPr>
          <w:r>
            <w:rPr/>
            <w:t>0C</w:t>
          </w:r>
          <w:r>
            <w:rPr>
              <w:rFonts w:eastAsia="Batang;바탕"/>
              <w:sz w:val="24"/>
              <w:szCs w:val="24"/>
              <w:lang w:val="en-US" w:eastAsia="en-US"/>
            </w:rPr>
            <w:tab/>
          </w:r>
          <w:r>
            <w:rPr/>
            <w:t>Technical provisions</w:t>
            <w:tab/>
          </w:r>
          <w:hyperlink w:anchor="__RefHeading___Toc185865907">
            <w:r>
              <w:rPr>
                <w:rStyle w:val="IndexLink"/>
              </w:rPr>
              <w:t>5</w:t>
            </w:r>
          </w:hyperlink>
        </w:p>
        <w:p>
          <w:pPr>
            <w:pStyle w:val="Contents8"/>
            <w:rPr>
              <w:rFonts w:eastAsia="Batang;바탕"/>
              <w:sz w:val="24"/>
              <w:szCs w:val="24"/>
              <w:lang w:val="en-US" w:eastAsia="en-US"/>
            </w:rPr>
          </w:pPr>
          <w:r>
            <w:rPr>
              <w:b w:val="false"/>
            </w:rPr>
            <w:t>Annex D (informative):</w:t>
            <w:tab/>
            <w:t>Change history</w:t>
            <w:tab/>
          </w:r>
          <w:hyperlink w:anchor="__RefHeading___Toc185865908">
            <w:r>
              <w:rPr>
                <w:rStyle w:val="IndexLink"/>
                <w:b w:val="false"/>
              </w:rPr>
              <w:t>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p>
    <w:p>
      <w:pPr>
        <w:pStyle w:val="Normal"/>
        <w:rPr>
          <w:sz w:val="22"/>
          <w:lang w:val="en-US" w:eastAsia="en-US"/>
        </w:rPr>
      </w:pPr>
      <w:r>
        <w:rPr>
          <w:sz w:val="22"/>
          <w:lang w:val="en-US" w:eastAsia="en-US"/>
        </w:rPr>
      </w:r>
      <w:r>
        <w:br w:type="page"/>
      </w:r>
    </w:p>
    <w:p>
      <w:pPr>
        <w:pStyle w:val="Heading1"/>
        <w:ind w:left="1134" w:hanging="1134"/>
        <w:rPr/>
      </w:pPr>
      <w:bookmarkStart w:id="7" w:name="__RefHeading___Toc18586590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85865901"/>
      <w:bookmarkEnd w:id="8"/>
      <w:r>
        <w:rPr/>
        <w:t>0</w:t>
        <w:tab/>
        <w:t>Scope</w:t>
      </w:r>
    </w:p>
    <w:p>
      <w:pPr>
        <w:pStyle w:val="Normal"/>
        <w:rPr/>
      </w:pPr>
      <w:r>
        <w:rPr/>
        <w:t>The present document specifies the A5/3 and GEA3 specification.</w:t>
      </w:r>
    </w:p>
    <w:p>
      <w:pPr>
        <w:pStyle w:val="Heading1"/>
        <w:ind w:left="1134" w:hanging="1134"/>
        <w:rPr/>
      </w:pPr>
      <w:bookmarkStart w:id="9" w:name="__RefHeading___Toc185865902"/>
      <w:bookmarkEnd w:id="9"/>
      <w:r>
        <w:rPr/>
        <w:t>0A</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Task Force Specification: "Specification of the A5/3 encryption algorithms for GSM and ECSD, and the GEA3 encryption algorithm for GPRS; Document 1: A5/3 and GEA3 specification" version 1.1, 2002-05-30</w:t>
      </w:r>
    </w:p>
    <w:p>
      <w:pPr>
        <w:pStyle w:val="NO"/>
        <w:rPr/>
      </w:pPr>
      <w:r>
        <w:rPr/>
        <w:t>Note:</w:t>
        <w:tab/>
        <w:t xml:space="preserve">Reference [2] is available via </w:t>
      </w:r>
      <w:hyperlink r:id="rId6">
        <w:r>
          <w:rPr>
            <w:rStyle w:val="InternetLink"/>
          </w:rPr>
          <w:t>http://portal.etsi.org/dvbandca/home.asp</w:t>
        </w:r>
      </w:hyperlink>
      <w:r>
        <w:rPr/>
        <w:t xml:space="preserve"> and is subject to licensing conditions described at this site.</w:t>
      </w:r>
    </w:p>
    <w:p>
      <w:pPr>
        <w:pStyle w:val="Heading1"/>
        <w:ind w:left="1134" w:hanging="1134"/>
        <w:rPr/>
      </w:pPr>
      <w:bookmarkStart w:id="10" w:name="__RefHeading___Toc185865903"/>
      <w:bookmarkEnd w:id="10"/>
      <w:r>
        <w:rPr/>
        <w:t>0B</w:t>
        <w:tab/>
        <w:t>Definitions, symbols and abbreviations</w:t>
      </w:r>
    </w:p>
    <w:p>
      <w:pPr>
        <w:pStyle w:val="Heading2"/>
        <w:rPr/>
      </w:pPr>
      <w:bookmarkStart w:id="11" w:name="__RefHeading___Toc185865904"/>
      <w:bookmarkEnd w:id="11"/>
      <w:r>
        <w:rPr/>
        <w:t>0B.1</w:t>
        <w:tab/>
        <w:t>Definitions</w:t>
      </w:r>
    </w:p>
    <w:p>
      <w:pPr>
        <w:pStyle w:val="Normal"/>
        <w:rPr/>
      </w:pPr>
      <w:r>
        <w:rPr/>
        <w:t>For the purposes of the present document, the terms and definitions given in TR 21.905 [1] and in the 3GPP Task Force Specification [2] apply. A term defined in the latter document takes precedence over the definition of the same term, if any, in TR 21.905 [1].</w:t>
      </w:r>
    </w:p>
    <w:p>
      <w:pPr>
        <w:pStyle w:val="Heading2"/>
        <w:rPr/>
      </w:pPr>
      <w:bookmarkStart w:id="12" w:name="__RefHeading___Toc185865905"/>
      <w:bookmarkEnd w:id="12"/>
      <w:r>
        <w:rPr/>
        <w:t>0B.2</w:t>
        <w:tab/>
        <w:t>Symbols</w:t>
      </w:r>
    </w:p>
    <w:p>
      <w:pPr>
        <w:pStyle w:val="Normal"/>
        <w:keepNext w:val="true"/>
        <w:rPr/>
      </w:pPr>
      <w:r>
        <w:rPr/>
        <w:t>For the purposes of the present document, the symbols defined in the 3GPP Task Force Specification [2] apply.</w:t>
      </w:r>
    </w:p>
    <w:p>
      <w:pPr>
        <w:pStyle w:val="Heading2"/>
        <w:rPr/>
      </w:pPr>
      <w:bookmarkStart w:id="13" w:name="__RefHeading___Toc185865906"/>
      <w:bookmarkEnd w:id="13"/>
      <w:r>
        <w:rPr/>
        <w:t>0B.3</w:t>
        <w:tab/>
        <w:t>Abbreviations</w:t>
      </w:r>
    </w:p>
    <w:p>
      <w:pPr>
        <w:pStyle w:val="Normal"/>
        <w:keepNext w:val="true"/>
        <w:rPr/>
      </w:pPr>
      <w:r>
        <w:rPr/>
        <w:t>For the purposes of the present document, the abbreviations given in TR 21.905 [2] and in the 3GPP Task Force Specification [2] apply. An abbreviation defined in the latter document takes precedence over the definition of the same abbreviation, if any, in TR 21.905 [1].</w:t>
      </w:r>
    </w:p>
    <w:p>
      <w:pPr>
        <w:pStyle w:val="Heading1"/>
        <w:ind w:left="1134" w:hanging="1134"/>
        <w:rPr/>
      </w:pPr>
      <w:bookmarkStart w:id="14" w:name="__RefHeading___Toc185865907"/>
      <w:bookmarkEnd w:id="14"/>
      <w:r>
        <w:rPr/>
        <w:t>0C</w:t>
        <w:tab/>
        <w:t>Technical provisions</w:t>
      </w:r>
    </w:p>
    <w:p>
      <w:pPr>
        <w:pStyle w:val="Normal"/>
        <w:rPr/>
      </w:pPr>
      <w:r>
        <w:rPr/>
        <w:t>The technical provisons of the current document are contained in the 3GPP Task Force Specification [2].</w:t>
      </w:r>
      <w:r>
        <w:br w:type="page"/>
      </w:r>
    </w:p>
    <w:p>
      <w:pPr>
        <w:pStyle w:val="Heading8"/>
        <w:ind w:left="0" w:hanging="0"/>
        <w:rPr/>
      </w:pPr>
      <w:bookmarkStart w:id="15" w:name="__RefHeading___Toc185865908"/>
      <w:bookmarkStart w:id="16" w:name="historyclause"/>
      <w:bookmarkEnd w:id="15"/>
      <w:bookmarkEnd w:id="16"/>
      <w:r>
        <w:rPr/>
        <w:t>Annex D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ETSI SAGE first publication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2002-07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 xml:space="preserve">Agreed at SA WG3 #24 for presentation to TSG SA #17 for approval. Converted into 3GPP TS format as TS 55.216 (Technically equivalent to SAGE V1.0) </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SAGE V1.0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2002-09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SP-17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SP-020506</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for Release 6 - version 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SP-020721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EGPRS algoritm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SP-030490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the usage of the Key length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SP-070776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Conversion to pointer to export controlled document</w:t>
            </w:r>
          </w:p>
          <w:p>
            <w:pPr>
              <w:pStyle w:val="TAN"/>
              <w:rPr/>
            </w:pPr>
            <w:r>
              <w:rPr>
                <w:sz w:val="16"/>
                <w:szCs w:val="16"/>
              </w:rPr>
              <w:t>Note:</w:t>
              <w:tab/>
              <w:t>Version 7.0.0 is a "readme" file placeholder with no technical content.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P TypographicSymbols">
    <w:charset w:val="02"/>
    <w:family w:val="auto"/>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55.216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55.216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5z0">
    <w:name w:val="WW8Num5z0"/>
    <w:qFormat/>
    <w:rPr>
      <w:rFonts w:ascii="WP TypographicSymbols" w:hAnsi="WP TypographicSymbols" w:cs="WP TypographicSymbol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4z0">
    <w:name w:val="WW8NumSt1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2">
    <w:name w:val="Body Text Indent 2"/>
    <w:basedOn w:val="Normal"/>
    <w:qFormat/>
    <w:pPr>
      <w:spacing w:before="0" w:after="240"/>
      <w:ind w:left="720" w:hanging="720"/>
    </w:pPr>
    <w:rPr>
      <w:b/>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portal.etsi.org/dvbandca/home.as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GSM GPRS security algorithm</cp:keywords>
  <dc:language>en-US</dc:language>
  <cp:lastModifiedBy>28.622_CR0086R1_(Rel-16)_eNRM</cp:lastModifiedBy>
  <dcterms:modified xsi:type="dcterms:W3CDTF">2020-07-10T12:02:00Z</dcterms:modified>
  <cp:revision>3</cp:revision>
  <dc:subject>3G Security; Specification of the A5/3 encryption algorithms for GSM and ECSD, and the GEA3 encryption algorithm for GPRS; Document 1: A5/3 and GEA3 specifications (Release 16)</dc:subject>
  <dc:title>3GPP TS 55.216</dc:title>
</cp:coreProperties>
</file>