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55.251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55.251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4"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GEA5 and GIA5 encryption algorithms for General Packet Radio Service (GPRS);</w:t>
                            </w:r>
                          </w:p>
                          <w:p>
                            <w:pPr>
                              <w:pStyle w:val="ZT"/>
                              <w:rPr/>
                            </w:pPr>
                            <w:r>
                              <w:rPr/>
                              <w:t>GEA5 and GIA5 algorithm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GEA5 and GIA5 encryption algorithms for General Packet Radio Service (GPRS);</w:t>
                      </w:r>
                    </w:p>
                    <w:p>
                      <w:pPr>
                        <w:pStyle w:val="ZT"/>
                        <w:rPr/>
                      </w:pPr>
                      <w:r>
                        <w:rPr/>
                        <w:t>GEA5 and GIA5 algorithm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5"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10"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2"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3"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4"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776784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67767841">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776784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776784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6776784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776784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67767846">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6776784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Introductory information</w:t>
            <w:tab/>
          </w:r>
          <w:hyperlink w:anchor="__RefHeading___Toc467767848">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67767849">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Notation</w:t>
            <w:tab/>
          </w:r>
          <w:hyperlink w:anchor="__RefHeading___Toc467767850">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Radix</w:t>
            <w:tab/>
          </w:r>
          <w:hyperlink w:anchor="__RefHeading___Toc467767851">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Conventions</w:t>
            <w:tab/>
          </w:r>
          <w:hyperlink w:anchor="__RefHeading___Toc467767852">
            <w:r>
              <w:rPr>
                <w:rStyle w:val="IndexLink"/>
              </w:rPr>
              <w:t>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Bit/byte ordering</w:t>
            <w:tab/>
          </w:r>
          <w:hyperlink w:anchor="__RefHeading___Toc467767853">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List of variables</w:t>
            <w:tab/>
          </w:r>
          <w:hyperlink w:anchor="__RefHeading___Toc467767854">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Confidentiality algorithm GEA5</w:t>
            <w:tab/>
          </w:r>
          <w:hyperlink w:anchor="__RefHeading___Toc467767855">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467767856">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Inputs and outputs</w:t>
            <w:tab/>
          </w:r>
          <w:hyperlink w:anchor="__RefHeading___Toc467767857">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Components and architecture</w:t>
            <w:tab/>
          </w:r>
          <w:hyperlink w:anchor="__RefHeading___Toc467767858">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Initialisation</w:t>
            <w:tab/>
          </w:r>
          <w:hyperlink w:anchor="__RefHeading___Toc467767859">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Keystream generation</w:t>
            <w:tab/>
          </w:r>
          <w:hyperlink w:anchor="__RefHeading___Toc467767860">
            <w:r>
              <w:rPr>
                <w:rStyle w:val="IndexLink"/>
              </w:rPr>
              <w:t>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Output octets</w:t>
            <w:tab/>
          </w:r>
          <w:hyperlink w:anchor="__RefHeading___Toc467767861">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Integrity algorithm GIA5</w:t>
            <w:tab/>
          </w:r>
          <w:hyperlink w:anchor="__RefHeading___Toc467767862">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 Introduction</w:t>
            <w:tab/>
          </w:r>
          <w:hyperlink w:anchor="__RefHeading___Toc467767863">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Inputs and outputs</w:t>
            <w:tab/>
          </w:r>
          <w:hyperlink w:anchor="__RefHeading___Toc467767864">
            <w:r>
              <w:rPr>
                <w:rStyle w:val="IndexLink"/>
              </w:rPr>
              <w:t>10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Components and architecture</w:t>
            <w:tab/>
          </w:r>
          <w:hyperlink w:anchor="__RefHeading___Toc467767865">
            <w:r>
              <w:rPr>
                <w:rStyle w:val="IndexLink"/>
              </w:rPr>
              <w:t>10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SNOW 3G</w:t>
            <w:tab/>
          </w:r>
          <w:hyperlink w:anchor="__RefHeading___Toc467767866">
            <w:r>
              <w:rPr>
                <w:rStyle w:val="IndexLink"/>
              </w:rPr>
              <w:t>10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MULx</w:t>
            <w:tab/>
          </w:r>
          <w:hyperlink w:anchor="__RefHeading___Toc467767867">
            <w:r>
              <w:rPr>
                <w:rStyle w:val="IndexLink"/>
              </w:rPr>
              <w:t>10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MULxPOW</w:t>
            <w:tab/>
          </w:r>
          <w:hyperlink w:anchor="__RefHeading___Toc467767868">
            <w:r>
              <w:rPr>
                <w:rStyle w:val="IndexLink"/>
              </w:rPr>
              <w:t>10</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MUL</w:t>
            <w:tab/>
          </w:r>
          <w:hyperlink w:anchor="__RefHeading___Toc467767869">
            <w:r>
              <w:rPr>
                <w:rStyle w:val="IndexLink"/>
              </w:rPr>
              <w:t>10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Initialization</w:t>
            <w:tab/>
          </w:r>
          <w:hyperlink w:anchor="__RefHeading___Toc467767870">
            <w:r>
              <w:rPr>
                <w:rStyle w:val="IndexLink"/>
              </w:rPr>
              <w:t>11</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Calculation</w:t>
            <w:tab/>
          </w:r>
          <w:hyperlink w:anchor="__RefHeading___Toc467767871">
            <w:r>
              <w:rPr>
                <w:rStyle w:val="IndexLink"/>
              </w:rPr>
              <w:t>11</w:t>
            </w:r>
          </w:hyperlink>
        </w:p>
        <w:p>
          <w:pPr>
            <w:pStyle w:val="Contents8"/>
            <w:rPr>
              <w:rFonts w:ascii="Calibri" w:hAnsi="Calibri" w:cs="Calibri"/>
              <w:b w:val="false"/>
              <w:b w:val="false"/>
              <w:szCs w:val="22"/>
              <w:lang w:val="en-US" w:eastAsia="en-US"/>
            </w:rPr>
          </w:pPr>
          <w:r>
            <w:rPr/>
            <w:t>Annex A (informative):</w:t>
            <w:tab/>
            <w:t>Mathematical background of some operations of the GIA5 Algorithm</w:t>
            <w:tab/>
          </w:r>
          <w:hyperlink w:anchor="__RefHeading___Toc467767872">
            <w:r>
              <w:rPr>
                <w:rStyle w:val="IndexLink"/>
              </w:rPr>
              <w:t>12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The function EVAL_S</w:t>
            <w:tab/>
          </w:r>
          <w:hyperlink w:anchor="__RefHeading___Toc467767873">
            <w:r>
              <w:rPr>
                <w:rStyle w:val="IndexLink"/>
              </w:rPr>
              <w:t>12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The function MUL(V, P, c)</w:t>
            <w:tab/>
          </w:r>
          <w:hyperlink w:anchor="__RefHeading___Toc467767874">
            <w:r>
              <w:rPr>
                <w:rStyle w:val="IndexLink"/>
              </w:rPr>
              <w:t>12</w:t>
            </w:r>
          </w:hyperlink>
        </w:p>
        <w:p>
          <w:pPr>
            <w:pStyle w:val="Contents8"/>
            <w:rPr>
              <w:rFonts w:ascii="Calibri" w:hAnsi="Calibri" w:cs="Calibri"/>
              <w:b w:val="false"/>
              <w:b w:val="false"/>
              <w:szCs w:val="22"/>
              <w:lang w:val="en-US" w:eastAsia="en-US"/>
            </w:rPr>
          </w:pPr>
          <w:r>
            <w:rPr/>
            <w:t>Annex B (informative):</w:t>
            <w:tab/>
            <w:t>Implementation options for some operations of the GIA5 algorithm</w:t>
            <w:tab/>
          </w:r>
          <w:hyperlink w:anchor="__RefHeading___Toc467767875">
            <w:r>
              <w:rPr>
                <w:rStyle w:val="IndexLink"/>
              </w:rPr>
              <w:t>13</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Overview</w:t>
            <w:tab/>
          </w:r>
          <w:hyperlink w:anchor="__RefHeading___Toc467767876">
            <w:r>
              <w:rPr>
                <w:rStyle w:val="IndexLink"/>
              </w:rPr>
              <w:t>13</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Procedure Pre_Mul_P</w:t>
            <w:tab/>
          </w:r>
          <w:hyperlink w:anchor="__RefHeading___Toc467767877">
            <w:r>
              <w:rPr>
                <w:rStyle w:val="IndexLink"/>
              </w:rPr>
              <w:t>13</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Function Mul_P</w:t>
            <w:tab/>
          </w:r>
          <w:hyperlink w:anchor="__RefHeading___Toc467767878">
            <w:r>
              <w:rPr>
                <w:rStyle w:val="IndexLink"/>
              </w:rPr>
              <w:t>13</w:t>
            </w:r>
          </w:hyperlink>
        </w:p>
        <w:p>
          <w:pPr>
            <w:pStyle w:val="Contents8"/>
            <w:rPr>
              <w:rFonts w:ascii="Calibri" w:hAnsi="Calibri" w:cs="Calibri"/>
              <w:b w:val="false"/>
              <w:b w:val="false"/>
              <w:szCs w:val="22"/>
              <w:lang w:val="en-US" w:eastAsia="en-US"/>
            </w:rPr>
          </w:pPr>
          <w:r>
            <w:rPr/>
            <w:t>Annex C (informative):</w:t>
            <w:tab/>
            <w:t>Figures of the GEA5 and GIA5 algorithms</w:t>
            <w:tab/>
          </w:r>
          <w:hyperlink w:anchor="__RefHeading___Toc467767879">
            <w:r>
              <w:rPr>
                <w:rStyle w:val="IndexLink"/>
              </w:rPr>
              <w:t>14</w:t>
            </w:r>
          </w:hyperlink>
        </w:p>
        <w:p>
          <w:pPr>
            <w:pStyle w:val="Contents8"/>
            <w:rPr>
              <w:rFonts w:ascii="Calibri" w:hAnsi="Calibri" w:cs="Calibri"/>
              <w:b w:val="false"/>
              <w:b w:val="false"/>
              <w:szCs w:val="22"/>
              <w:lang w:val="en-US" w:eastAsia="en-US"/>
            </w:rPr>
          </w:pPr>
          <w:r>
            <w:rPr/>
            <w:t>Annex D (informative):</w:t>
            <w:tab/>
            <w:t>Simulation program listing</w:t>
            <w:tab/>
          </w:r>
          <w:hyperlink w:anchor="__RefHeading___Toc467767880">
            <w:r>
              <w:rPr>
                <w:rStyle w:val="IndexLink"/>
              </w:rPr>
              <w:t>15</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GEA5</w:t>
            <w:tab/>
          </w:r>
          <w:hyperlink w:anchor="__RefHeading___Toc467767881">
            <w:r>
              <w:rPr>
                <w:rStyle w:val="IndexLink"/>
              </w:rPr>
              <w:t>15</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GIA5</w:t>
            <w:tab/>
          </w:r>
          <w:hyperlink w:anchor="__RefHeading___Toc467767882">
            <w:r>
              <w:rPr>
                <w:rStyle w:val="IndexLink"/>
              </w:rPr>
              <w:t>15</w:t>
            </w:r>
          </w:hyperlink>
        </w:p>
        <w:p>
          <w:pPr>
            <w:pStyle w:val="Contents8"/>
            <w:rPr>
              <w:rFonts w:ascii="Calibri" w:hAnsi="Calibri" w:cs="Calibri"/>
              <w:szCs w:val="22"/>
              <w:lang w:val="en-US" w:eastAsia="en-US"/>
            </w:rPr>
          </w:pPr>
          <w:r>
            <w:rPr>
              <w:b w:val="false"/>
            </w:rPr>
            <w:t>Annex E (informative):</w:t>
            <w:tab/>
            <w:t>Change history</w:t>
            <w:tab/>
          </w:r>
          <w:hyperlink w:anchor="__RefHeading___Toc467767883">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6776784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67767841"/>
      <w:bookmarkEnd w:id="9"/>
      <w:r>
        <w:rPr/>
        <w:t>Introduction</w:t>
      </w:r>
    </w:p>
    <w:p>
      <w:pPr>
        <w:pStyle w:val="Normal"/>
        <w:rPr/>
      </w:pPr>
      <w:r>
        <w:rPr/>
        <w:t>This specification has been prepared by the 3GPP Task Force, and gives a detailed specification of the 3GPP confidentiality algorithm GEA5 and the 3GPP integrity algorithm GIA5.</w:t>
      </w:r>
    </w:p>
    <w:p>
      <w:pPr>
        <w:pStyle w:val="Normal"/>
        <w:rPr/>
      </w:pPr>
      <w:r>
        <w:rPr/>
        <w:t>This document is the first of three, which between them form the entire specification of the 3GPP confidentiality algorithm GEA5 and the 3GPP integrity algorithm GIA5:</w:t>
      </w:r>
    </w:p>
    <w:p>
      <w:pPr>
        <w:pStyle w:val="B1"/>
        <w:rPr/>
      </w:pPr>
      <w:r>
        <w:rPr/>
        <w:t>-</w:t>
        <w:tab/>
      </w:r>
      <w:r>
        <w:rPr>
          <w:b/>
          <w:bCs/>
        </w:rPr>
        <w:t>3GPP TS 55.251: "Specification of the GEA5 and GIA5 encryption algorithms for GPRS; GEA5 and GIA4 algorithm specification".</w:t>
      </w:r>
    </w:p>
    <w:p>
      <w:pPr>
        <w:pStyle w:val="B1"/>
        <w:rPr/>
      </w:pPr>
      <w:r>
        <w:rPr/>
        <w:t>-</w:t>
        <w:tab/>
        <w:t>3GPP TS 55.252: "Specification of the GEA5 and GIA5 encryption algorithms for GPRS; Implementers' test data".</w:t>
      </w:r>
    </w:p>
    <w:p>
      <w:pPr>
        <w:pStyle w:val="B1"/>
        <w:rPr/>
      </w:pPr>
      <w:r>
        <w:rPr/>
        <w:t>-</w:t>
        <w:tab/>
        <w:t>3GPP TS 55.253: "Specification of the GEA5 and GIA5 encryption algorithms for GPRS; Design conformance test data".</w:t>
      </w:r>
      <w:r>
        <w:br w:type="page"/>
      </w:r>
    </w:p>
    <w:p>
      <w:pPr>
        <w:pStyle w:val="Heading1"/>
        <w:ind w:left="1134" w:hanging="1134"/>
        <w:rPr/>
      </w:pPr>
      <w:bookmarkStart w:id="10" w:name="__RefHeading___Toc467767842"/>
      <w:bookmarkEnd w:id="10"/>
      <w:r>
        <w:rPr/>
        <w:t>1</w:t>
        <w:tab/>
        <w:t>Scope</w:t>
      </w:r>
    </w:p>
    <w:p>
      <w:pPr>
        <w:pStyle w:val="Normal"/>
        <w:rPr/>
      </w:pPr>
      <w:r>
        <w:rPr/>
        <w:t>The present document defines the technical details of the 3GPP confidential algorithm GEA5 and the 3GPP integrity algorithm GIA5.</w:t>
      </w:r>
    </w:p>
    <w:p>
      <w:pPr>
        <w:pStyle w:val="Heading1"/>
        <w:ind w:left="1134" w:hanging="1134"/>
        <w:rPr/>
      </w:pPr>
      <w:bookmarkStart w:id="11" w:name="__RefHeading___Toc467767843"/>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 xml:space="preserve">3GPP TS 33.216: </w:t>
      </w:r>
      <w:bookmarkStart w:id="20" w:name="_Ref101757144"/>
      <w:r>
        <w:rPr/>
        <w:t>"Specification of the 3GPP Confidentiality and Integrity Algorithms UEA2 &amp; UIA2</w:t>
      </w:r>
      <w:bookmarkEnd w:id="20"/>
      <w:r>
        <w:rPr/>
        <w:t>; Document 2: SNOW 3G specification".</w:t>
      </w:r>
    </w:p>
    <w:p>
      <w:pPr>
        <w:pStyle w:val="Heading1"/>
        <w:ind w:left="1134" w:hanging="1134"/>
        <w:rPr/>
      </w:pPr>
      <w:bookmarkStart w:id="21" w:name="__RefHeading___Toc467767844"/>
      <w:bookmarkEnd w:id="21"/>
      <w:r>
        <w:rPr/>
        <w:t>3</w:t>
        <w:tab/>
        <w:t>Definitions, symbols and abbreviations</w:t>
      </w:r>
    </w:p>
    <w:p>
      <w:pPr>
        <w:pStyle w:val="Heading2"/>
        <w:rPr>
          <w:lang w:val="en-GB"/>
        </w:rPr>
      </w:pPr>
      <w:bookmarkStart w:id="22" w:name="__RefHeading___Toc467767845"/>
      <w:bookmarkEnd w:id="22"/>
      <w:r>
        <w:rPr>
          <w:lang w:val="en-GB"/>
        </w:rPr>
        <w:t>3.1</w:t>
        <w:tab/>
        <w:t>Definitions</w:t>
      </w:r>
    </w:p>
    <w:p>
      <w:pPr>
        <w:pStyle w:val="Normal"/>
        <w:rPr/>
      </w:pPr>
      <w:r>
        <w:rPr/>
        <w:t xml:space="preserve">For the purposes of the present document, the terms and definitions given in </w:t>
      </w:r>
      <w:bookmarkStart w:id="23" w:name="OLE_LINK8"/>
      <w:bookmarkStart w:id="24" w:name="OLE_LINK7"/>
      <w:bookmarkStart w:id="25" w:name="OLE_LINK6"/>
      <w:r>
        <w:rPr/>
        <w:t xml:space="preserve">3GPP </w:t>
      </w:r>
      <w:bookmarkEnd w:id="23"/>
      <w:bookmarkEnd w:id="24"/>
      <w:bookmarkEnd w:id="25"/>
      <w:r>
        <w:rPr/>
        <w:t>TR 21.905 [1] and the following apply. A term defined in the present document takes precedence over the definition of the same term, if any, in 3GPP TR 21.905 [1].</w:t>
      </w:r>
    </w:p>
    <w:p>
      <w:pPr>
        <w:pStyle w:val="Normal"/>
        <w:rPr/>
      </w:pPr>
      <w:r>
        <w:rPr/>
        <w:t>(none)</w:t>
      </w:r>
    </w:p>
    <w:p>
      <w:pPr>
        <w:pStyle w:val="Heading2"/>
        <w:rPr>
          <w:lang w:val="en-GB"/>
        </w:rPr>
      </w:pPr>
      <w:bookmarkStart w:id="26" w:name="__RefHeading___Toc467767846"/>
      <w:bookmarkEnd w:id="26"/>
      <w:r>
        <w:rPr>
          <w:lang w:val="en-GB"/>
        </w:rPr>
        <w:t>3.2</w:t>
        <w:tab/>
        <w:t>Symbols</w:t>
      </w:r>
    </w:p>
    <w:p>
      <w:pPr>
        <w:pStyle w:val="Normal"/>
        <w:keepNext w:val="true"/>
        <w:rPr/>
      </w:pPr>
      <w:r>
        <w:rPr/>
        <w:t>For the purposes of the present document, the following symbols apply:</w:t>
      </w:r>
    </w:p>
    <w:p>
      <w:pPr>
        <w:pStyle w:val="EW"/>
        <w:rPr/>
      </w:pPr>
      <w:r>
        <w:rPr/>
        <w:t>=</w:t>
        <w:tab/>
        <w:t>The assignment operator.</w:t>
      </w:r>
    </w:p>
    <w:p>
      <w:pPr>
        <w:pStyle w:val="EW"/>
        <w:rPr/>
      </w:pPr>
      <w:r>
        <w:rPr>
          <w:rFonts w:eastAsia="Symbol" w:cs="Symbol" w:ascii="Symbol" w:hAnsi="Symbol"/>
        </w:rPr>
        <w:t></w:t>
      </w:r>
      <w:r>
        <w:rPr/>
        <w:tab/>
        <w:t>The bitwise exclusive-OR operation.</w:t>
      </w:r>
    </w:p>
    <w:p>
      <w:pPr>
        <w:pStyle w:val="EW"/>
        <w:rPr/>
      </w:pPr>
      <w:r>
        <w:rPr/>
        <w:t>||</w:t>
        <w:tab/>
        <w:t>The concatenation of the two operands.</w:t>
      </w:r>
    </w:p>
    <w:p>
      <w:pPr>
        <w:pStyle w:val="EW"/>
        <w:rPr/>
      </w:pPr>
      <w:r>
        <w:rPr/>
        <w:t>KASUMI[x]</w:t>
      </w:r>
      <w:r>
        <w:rPr>
          <w:vertAlign w:val="subscript"/>
        </w:rPr>
        <w:t>k</w:t>
      </w:r>
      <w:r>
        <w:rPr/>
        <w:tab/>
        <w:t>The output of the</w:t>
      </w:r>
      <w:r>
        <w:rPr>
          <w:b/>
        </w:rPr>
        <w:t xml:space="preserve"> </w:t>
      </w:r>
      <w:r>
        <w:rPr/>
        <w:t>KASUMI</w:t>
      </w:r>
      <w:r>
        <w:rPr>
          <w:b/>
        </w:rPr>
        <w:t xml:space="preserve"> </w:t>
      </w:r>
      <w:r>
        <w:rPr/>
        <w:t xml:space="preserve">algorithm applied to input value </w:t>
      </w:r>
      <w:r>
        <w:rPr>
          <w:b/>
        </w:rPr>
        <w:t>x</w:t>
        <w:br/>
      </w:r>
      <w:r>
        <w:rPr/>
        <w:t>using the key k.</w:t>
      </w:r>
    </w:p>
    <w:p>
      <w:pPr>
        <w:pStyle w:val="EW"/>
        <w:rPr/>
      </w:pPr>
      <w:r>
        <w:rPr/>
        <w:t>X[i]</w:t>
        <w:tab/>
        <w:t>The i</w:t>
      </w:r>
      <w:r>
        <w:rPr>
          <w:vertAlign w:val="superscript"/>
        </w:rPr>
        <w:t>th</w:t>
      </w:r>
      <w:r>
        <w:rPr/>
        <w:t xml:space="preserve"> bit of the variable X.  (X = X[0] || X[1] || X[2] || ….. ).</w:t>
      </w:r>
    </w:p>
    <w:p>
      <w:pPr>
        <w:pStyle w:val="EW"/>
        <w:rPr>
          <w:b/>
          <w:b/>
        </w:rPr>
      </w:pPr>
      <w:r>
        <w:rPr/>
        <w:t>Y</w:t>
      </w:r>
      <w:r>
        <w:rPr>
          <w:vertAlign w:val="subscript"/>
        </w:rPr>
        <w:t>i</w:t>
      </w:r>
      <w:r>
        <w:rPr/>
        <w:tab/>
        <w:t>The i</w:t>
      </w:r>
      <w:r>
        <w:rPr>
          <w:vertAlign w:val="superscript"/>
        </w:rPr>
        <w:t>th</w:t>
      </w:r>
      <w:r>
        <w:rPr/>
        <w:t xml:space="preserve"> block of the variable Y.  (Y = Y</w:t>
      </w:r>
      <w:r>
        <w:rPr>
          <w:vertAlign w:val="subscript"/>
        </w:rPr>
        <w:t>0</w:t>
      </w:r>
      <w:r>
        <w:rPr/>
        <w:t xml:space="preserve"> ||  Y</w:t>
      </w:r>
      <w:r>
        <w:rPr>
          <w:vertAlign w:val="subscript"/>
        </w:rPr>
        <w:t xml:space="preserve">1 </w:t>
      </w:r>
      <w:r>
        <w:rPr/>
        <w:t xml:space="preserve"> || Y</w:t>
      </w:r>
      <w:r>
        <w:rPr>
          <w:vertAlign w:val="subscript"/>
        </w:rPr>
        <w:t>2</w:t>
      </w:r>
      <w:r>
        <w:rPr/>
        <w:t xml:space="preserve"> || …. ).</w:t>
      </w:r>
    </w:p>
    <w:p>
      <w:pPr>
        <w:pStyle w:val="EW"/>
        <w:rPr/>
      </w:pPr>
      <w:r>
        <w:rPr/>
        <w:t>ceiling(x)</w:t>
        <w:tab/>
        <w:t>The smallest integer greater than or equal to the real number x.</w:t>
      </w:r>
    </w:p>
    <w:p>
      <w:pPr>
        <w:pStyle w:val="EW"/>
        <w:rPr/>
      </w:pPr>
      <w:r>
        <w:rPr/>
        <w:t>&amp;</w:t>
      </w:r>
      <w:r>
        <w:rPr>
          <w:vertAlign w:val="subscript"/>
        </w:rPr>
        <w:t>n</w:t>
      </w:r>
      <w:r>
        <w:rPr/>
        <w:tab/>
        <w:t>The bitwise AND operation in an n-bit register.</w:t>
      </w:r>
    </w:p>
    <w:p>
      <w:pPr>
        <w:pStyle w:val="EW"/>
        <w:rPr/>
      </w:pPr>
      <w:r>
        <w:rPr/>
        <w:t>&lt;&lt;</w:t>
      </w:r>
      <w:r>
        <w:rPr>
          <w:vertAlign w:val="subscript"/>
        </w:rPr>
        <w:t>n</w:t>
      </w:r>
      <w:r>
        <w:rPr/>
        <w:t xml:space="preserve"> t</w:t>
        <w:tab/>
        <w:t>t-bit left shift in an n-bit register.</w:t>
      </w:r>
    </w:p>
    <w:p>
      <w:pPr>
        <w:pStyle w:val="EW"/>
        <w:rPr/>
      </w:pPr>
      <w:r>
        <w:rPr/>
        <w:t>&gt;&gt;</w:t>
      </w:r>
      <w:r>
        <w:rPr>
          <w:vertAlign w:val="subscript"/>
        </w:rPr>
        <w:t>n</w:t>
      </w:r>
      <w:r>
        <w:rPr/>
        <w:t xml:space="preserve"> t</w:t>
        <w:tab/>
        <w:t>t-bit right shift in an n-bit register.</w:t>
      </w:r>
    </w:p>
    <w:p>
      <w:pPr>
        <w:pStyle w:val="Heading2"/>
        <w:rPr>
          <w:lang w:val="en-GB"/>
        </w:rPr>
      </w:pPr>
      <w:bookmarkStart w:id="27" w:name="__RefHeading___Toc467767847"/>
      <w:bookmarkEnd w:id="27"/>
      <w:r>
        <w:rPr>
          <w:lang w:val="en-GB"/>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CBC-MAC</w:t>
        <w:tab/>
        <w:t>Cipher Block Chaining Message Authentication Code</w:t>
      </w:r>
    </w:p>
    <w:p>
      <w:pPr>
        <w:pStyle w:val="EW"/>
        <w:rPr/>
      </w:pPr>
      <w:r>
        <w:rPr/>
        <w:t>MAC</w:t>
        <w:tab/>
        <w:t>Message Authentication Code</w:t>
        <w:br/>
      </w:r>
    </w:p>
    <w:p>
      <w:pPr>
        <w:pStyle w:val="Heading1"/>
        <w:ind w:left="1134" w:hanging="1134"/>
        <w:rPr/>
      </w:pPr>
      <w:bookmarkStart w:id="28" w:name="__RefHeading___Toc467767848"/>
      <w:bookmarkStart w:id="29" w:name="_Ref463678325"/>
      <w:bookmarkEnd w:id="28"/>
      <w:r>
        <w:rPr/>
        <w:t>4</w:t>
        <w:tab/>
        <w:t>Introductory information</w:t>
      </w:r>
      <w:bookmarkEnd w:id="29"/>
    </w:p>
    <w:p>
      <w:pPr>
        <w:pStyle w:val="Heading2"/>
        <w:rPr/>
      </w:pPr>
      <w:bookmarkStart w:id="30" w:name="__RefHeading___Toc467767849"/>
      <w:bookmarkEnd w:id="30"/>
      <w:r>
        <w:rPr>
          <w:lang w:val="en-GB"/>
        </w:rPr>
        <w:t>4.1</w:t>
        <w:tab/>
        <w:t>Introduction</w:t>
      </w:r>
    </w:p>
    <w:p>
      <w:pPr>
        <w:pStyle w:val="Normal"/>
        <w:rPr/>
      </w:pPr>
      <w:r>
        <w:rPr/>
        <w:t>The confidentiality algorithm GEA5 is a stream cipher that is used to encrypt/decrypt blocks of data under a confidentiality key KC128. The block of data may be between 1 and 65536 octets long. The algorithm uses SNOW 3G [2] as a keystream generator.</w:t>
      </w:r>
    </w:p>
    <w:p>
      <w:pPr>
        <w:pStyle w:val="Normal"/>
        <w:rPr/>
      </w:pPr>
      <w:r>
        <w:rPr/>
        <w:t>The integrity algorithm GIA5 computes a 32-bit MAC (Message Authentication Code) of a given input message using an integrity key KI128. The approach adopted uses SNOW 3G.</w:t>
      </w:r>
    </w:p>
    <w:p>
      <w:pPr>
        <w:pStyle w:val="Heading2"/>
        <w:rPr>
          <w:lang w:val="en-GB"/>
        </w:rPr>
      </w:pPr>
      <w:bookmarkStart w:id="31" w:name="__RefHeading___Toc467767850"/>
      <w:r>
        <w:rPr>
          <w:lang w:val="en-GB"/>
        </w:rPr>
        <w:t>4.2</w:t>
        <w:tab/>
        <w:t>Notation</w:t>
      </w:r>
      <w:bookmarkEnd w:id="31"/>
      <w:r>
        <w:rPr>
          <w:lang w:val="en-GB"/>
        </w:rPr>
        <w:tab/>
        <w:tab/>
        <w:tab/>
        <w:tab/>
      </w:r>
    </w:p>
    <w:p>
      <w:pPr>
        <w:pStyle w:val="Heading3"/>
        <w:rPr/>
      </w:pPr>
      <w:bookmarkStart w:id="32" w:name="__RefHeading___Toc467767851"/>
      <w:bookmarkEnd w:id="32"/>
      <w:r>
        <w:rPr>
          <w:lang w:val="en-GB"/>
        </w:rPr>
        <w:t>4.2.1</w:t>
        <w:tab/>
        <w:t>Radix</w:t>
      </w:r>
    </w:p>
    <w:p>
      <w:pPr>
        <w:pStyle w:val="Normal"/>
        <w:rPr/>
      </w:pPr>
      <w:r>
        <w:rPr/>
        <w:t>The prefix "0x" indicates hexadecimal numbers.</w:t>
      </w:r>
    </w:p>
    <w:p>
      <w:pPr>
        <w:pStyle w:val="Heading3"/>
        <w:rPr/>
      </w:pPr>
      <w:bookmarkStart w:id="33" w:name="__RefHeading___Toc467767852"/>
      <w:bookmarkEnd w:id="33"/>
      <w:r>
        <w:rPr>
          <w:lang w:val="en-GB"/>
        </w:rPr>
        <w:t>4.2.2</w:t>
        <w:tab/>
        <w:t>Conventions</w:t>
      </w:r>
    </w:p>
    <w:p>
      <w:pPr>
        <w:pStyle w:val="Normal"/>
        <w:rPr/>
      </w:pPr>
      <w:r>
        <w:rPr/>
        <w:t xml:space="preserve">The assignment operator "=", as used in several programming languages.  </w:t>
      </w:r>
    </w:p>
    <w:p>
      <w:pPr>
        <w:pStyle w:val="EQ"/>
        <w:rPr/>
      </w:pPr>
      <w:r>
        <w:rPr/>
        <w:tab/>
        <w:t>&lt;variable&gt; = &lt;expression&gt;</w:t>
      </w:r>
    </w:p>
    <w:p>
      <w:pPr>
        <w:pStyle w:val="Normal"/>
        <w:rPr/>
      </w:pPr>
      <w:r>
        <w:rPr/>
        <w:t>means that &lt;</w:t>
      </w:r>
      <w:r>
        <w:rPr>
          <w:i/>
        </w:rPr>
        <w:t>variable</w:t>
      </w:r>
      <w:r>
        <w:rPr/>
        <w:t>&gt; assumes the value that &lt;</w:t>
      </w:r>
      <w:r>
        <w:rPr>
          <w:i/>
        </w:rPr>
        <w:t>expression</w:t>
      </w:r>
      <w:r>
        <w:rPr/>
        <w:t>&gt; had before the assignment took place.  For instance,</w:t>
      </w:r>
    </w:p>
    <w:p>
      <w:pPr>
        <w:pStyle w:val="EQ"/>
        <w:rPr/>
      </w:pPr>
      <w:r>
        <w:rPr>
          <w:i/>
        </w:rPr>
        <w:tab/>
        <w:t>x</w:t>
      </w:r>
      <w:r>
        <w:rPr/>
        <w:t xml:space="preserve"> = </w:t>
      </w:r>
      <w:r>
        <w:rPr>
          <w:i/>
        </w:rPr>
        <w:t>x</w:t>
      </w:r>
      <w:r>
        <w:rPr/>
        <w:t xml:space="preserve"> + </w:t>
      </w:r>
      <w:r>
        <w:rPr>
          <w:i/>
        </w:rPr>
        <w:t>y</w:t>
      </w:r>
      <w:r>
        <w:rPr/>
        <w:t xml:space="preserve"> + 3</w:t>
      </w:r>
    </w:p>
    <w:p>
      <w:pPr>
        <w:pStyle w:val="Normal"/>
        <w:keepNext w:val="true"/>
        <w:rPr/>
      </w:pPr>
      <w:r>
        <w:rPr/>
        <w:t>means</w:t>
      </w:r>
    </w:p>
    <w:p>
      <w:pPr>
        <w:pStyle w:val="EQ"/>
        <w:rPr/>
      </w:pPr>
      <w:r>
        <w:rPr/>
        <w:tab/>
        <w:t xml:space="preserve">(new value of </w:t>
      </w:r>
      <w:r>
        <w:rPr>
          <w:i/>
        </w:rPr>
        <w:t>x</w:t>
      </w:r>
      <w:r>
        <w:rPr/>
        <w:t xml:space="preserve">) becomes (old value of </w:t>
      </w:r>
      <w:r>
        <w:rPr>
          <w:i/>
        </w:rPr>
        <w:t>x</w:t>
      </w:r>
      <w:r>
        <w:rPr/>
        <w:t xml:space="preserve">) + (old value of </w:t>
      </w:r>
      <w:r>
        <w:rPr>
          <w:i/>
        </w:rPr>
        <w:t>y</w:t>
      </w:r>
      <w:r>
        <w:rPr/>
        <w:t>) + 3.</w:t>
      </w:r>
    </w:p>
    <w:p>
      <w:pPr>
        <w:pStyle w:val="Heading3"/>
        <w:rPr/>
      </w:pPr>
      <w:bookmarkStart w:id="34" w:name="__RefHeading___Toc467767853"/>
      <w:bookmarkEnd w:id="34"/>
      <w:r>
        <w:rPr>
          <w:lang w:val="en-GB"/>
        </w:rPr>
        <w:t>4.2.3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 most (most significant) sub-string is numbered 0, the next most significant is numbered 1 and so on through to the least significant.</w:t>
      </w:r>
    </w:p>
    <w:p>
      <w:pPr>
        <w:pStyle w:val="Normal"/>
        <w:rPr/>
      </w:pPr>
      <w:r>
        <w:rPr/>
        <w:t>For example an n-bit MESSAGE is subdivided into 64-bit substrings MB</w:t>
      </w:r>
      <w:r>
        <w:rPr>
          <w:vertAlign w:val="subscript"/>
        </w:rPr>
        <w:t>0</w:t>
      </w:r>
      <w:r>
        <w:rPr/>
        <w:t>, MB</w:t>
      </w:r>
      <w:r>
        <w:rPr>
          <w:vertAlign w:val="subscript"/>
        </w:rPr>
        <w:t xml:space="preserve">1 </w:t>
      </w:r>
      <w:r>
        <w:rPr/>
        <w:t>… MB</w:t>
      </w:r>
      <w:r>
        <w:rPr>
          <w:vertAlign w:val="subscript"/>
        </w:rPr>
        <w:t>i</w:t>
      </w:r>
      <w:r>
        <w:rPr/>
        <w:t xml:space="preserve"> so if the message is:</w:t>
      </w:r>
    </w:p>
    <w:p>
      <w:pPr>
        <w:pStyle w:val="Normal"/>
        <w:rPr/>
      </w:pPr>
      <w:r>
        <w:rPr/>
        <w:t>0x0123456789ABCDEFFEDCBA987654321086545381AB594FC28786404C50A37…</w:t>
      </w:r>
    </w:p>
    <w:p>
      <w:pPr>
        <w:pStyle w:val="Normal"/>
        <w:rPr/>
      </w:pPr>
      <w:r>
        <w:rPr/>
        <w:t>then:</w:t>
      </w:r>
    </w:p>
    <w:p>
      <w:pPr>
        <w:pStyle w:val="NO"/>
        <w:rPr/>
      </w:pPr>
      <w:r>
        <w:rPr>
          <w:b/>
        </w:rPr>
        <w:tab/>
      </w:r>
      <w:r>
        <w:rPr/>
        <w:t>MB</w:t>
      </w:r>
      <w:r>
        <w:rPr>
          <w:vertAlign w:val="subscript"/>
        </w:rPr>
        <w:t>0</w:t>
      </w:r>
      <w:r>
        <w:rPr/>
        <w:t xml:space="preserve"> = 0x0123456789ABCDEF</w:t>
        <w:br/>
        <w:t>MB</w:t>
      </w:r>
      <w:r>
        <w:rPr>
          <w:vertAlign w:val="subscript"/>
        </w:rPr>
        <w:t>1</w:t>
      </w:r>
      <w:r>
        <w:rPr>
          <w:b/>
        </w:rPr>
        <w:t xml:space="preserve"> = </w:t>
      </w:r>
      <w:r>
        <w:rPr/>
        <w:t>0xFEDCBA9876543210</w:t>
        <w:br/>
        <w:t>MB</w:t>
      </w:r>
      <w:r>
        <w:rPr>
          <w:vertAlign w:val="subscript"/>
        </w:rPr>
        <w:t>2</w:t>
      </w:r>
      <w:r>
        <w:rPr/>
        <w:t xml:space="preserve"> = 0x86545381AB594FC2</w:t>
        <w:br/>
        <w:t>MB</w:t>
      </w:r>
      <w:r>
        <w:rPr>
          <w:vertAlign w:val="subscript"/>
        </w:rPr>
        <w:t>3</w:t>
      </w:r>
      <w:r>
        <w:rPr/>
        <w:t xml:space="preserve"> = 0x8786404C50A37…</w:t>
      </w:r>
    </w:p>
    <w:p>
      <w:pPr>
        <w:pStyle w:val="Normal"/>
        <w:keepNext w:val="true"/>
        <w:rPr/>
      </w:pPr>
      <w:r>
        <w:rPr/>
        <w:t>In binary this is:</w:t>
      </w:r>
    </w:p>
    <w:p>
      <w:pPr>
        <w:pStyle w:val="NO"/>
        <w:keepNext w:val="true"/>
        <w:rPr/>
      </w:pPr>
      <w:r>
        <w:rPr/>
        <w:tab/>
        <w:t>000000010010001101000101011001111000100110101011110011011110111111111110…</w:t>
      </w:r>
    </w:p>
    <w:p>
      <w:pPr>
        <w:pStyle w:val="NO"/>
        <w:keepNext w:val="true"/>
        <w:rPr/>
      </w:pPr>
      <w:r>
        <w:rPr/>
        <w:t>with</w:t>
        <w:tab/>
        <w:t>MB</w:t>
      </w:r>
      <w:r>
        <w:rPr>
          <w:vertAlign w:val="subscript"/>
        </w:rPr>
        <w:t>0</w:t>
      </w:r>
      <w:r>
        <w:rPr/>
        <w:t xml:space="preserve"> = 0000000100100011010001010110011110001001101010111100110111101111</w:t>
        <w:br/>
        <w:t>MB</w:t>
      </w:r>
      <w:r>
        <w:rPr>
          <w:vertAlign w:val="subscript"/>
        </w:rPr>
        <w:t>1</w:t>
      </w:r>
      <w:r>
        <w:rPr>
          <w:b/>
        </w:rPr>
        <w:t xml:space="preserve"> = </w:t>
      </w:r>
      <w:r>
        <w:rPr/>
        <w:t>1111111011011100101110101001100001110110010101000011001000010000</w:t>
        <w:br/>
        <w:t>MB</w:t>
      </w:r>
      <w:r>
        <w:rPr>
          <w:vertAlign w:val="subscript"/>
        </w:rPr>
        <w:t>2</w:t>
      </w:r>
      <w:r>
        <w:rPr/>
        <w:t xml:space="preserve"> = 1000011001010100010100111000000110101011010110010100111111000010</w:t>
        <w:br/>
        <w:t>MB</w:t>
      </w:r>
      <w:r>
        <w:rPr>
          <w:vertAlign w:val="subscript"/>
        </w:rPr>
        <w:t>3</w:t>
      </w:r>
      <w:r>
        <w:rPr/>
        <w:t xml:space="preserve"> = 1000011110000110010000000100110001010000101000110111…</w:t>
      </w:r>
    </w:p>
    <w:p>
      <w:pPr>
        <w:pStyle w:val="Heading2"/>
        <w:rPr/>
      </w:pPr>
      <w:bookmarkStart w:id="35" w:name="__RefHeading___Toc467767854"/>
      <w:bookmarkEnd w:id="35"/>
      <w:r>
        <w:rPr>
          <w:lang w:val="en-GB"/>
        </w:rPr>
        <w:t>4.3</w:t>
        <w:tab/>
        <w:t>List of variables</w:t>
      </w:r>
    </w:p>
    <w:p>
      <w:pPr>
        <w:pStyle w:val="Normal"/>
        <w:ind w:left="1418" w:hanging="1418"/>
        <w:rPr/>
      </w:pPr>
      <w:r>
        <w:rPr/>
        <w:t>CONSTANT-F</w:t>
        <w:tab/>
        <w:t>a 32-bit parameter which is constant for any given FRAMETYPE input.</w:t>
      </w:r>
    </w:p>
    <w:p>
      <w:pPr>
        <w:pStyle w:val="Normal"/>
        <w:ind w:left="1418" w:hanging="1418"/>
        <w:rPr/>
      </w:pPr>
      <w:r>
        <w:rPr/>
        <w:t>DIRECTION</w:t>
        <w:tab/>
        <w:t>the 1-bit input to both the GEA5 and GIA5 functions indicating the direction of transmission (uplink or downlink).</w:t>
      </w:r>
    </w:p>
    <w:p>
      <w:pPr>
        <w:pStyle w:val="Normal"/>
        <w:ind w:left="1418" w:hanging="1418"/>
        <w:rPr/>
      </w:pPr>
      <w:r>
        <w:rPr/>
        <w:t>FRAMETYPE</w:t>
        <w:tab/>
        <w:t>an 8-bit input to the GEA5 and GIA5 functions indicating the type of frame to be protected.</w:t>
      </w:r>
    </w:p>
    <w:p>
      <w:pPr>
        <w:pStyle w:val="Normal"/>
        <w:ind w:left="1418" w:hanging="1418"/>
        <w:rPr/>
      </w:pPr>
      <w:r>
        <w:rPr/>
        <w:t>INPUT</w:t>
        <w:tab/>
        <w:t>the 32-bit time variant input to the GEA5 function</w:t>
      </w:r>
    </w:p>
    <w:p>
      <w:pPr>
        <w:pStyle w:val="Normal"/>
        <w:ind w:left="1418" w:hanging="1418"/>
        <w:rPr/>
      </w:pPr>
      <w:r>
        <w:rPr/>
        <w:t>INPUT-I</w:t>
        <w:tab/>
        <w:t>the 32-bit time variant input to the GIA5 function</w:t>
      </w:r>
    </w:p>
    <w:p>
      <w:pPr>
        <w:pStyle w:val="Normal"/>
        <w:ind w:left="1418" w:hanging="1418"/>
        <w:rPr/>
      </w:pPr>
      <w:r>
        <w:rPr/>
        <w:t>KC128</w:t>
        <w:tab/>
        <w:t>the 128-bit confidentiality key.</w:t>
      </w:r>
    </w:p>
    <w:p>
      <w:pPr>
        <w:pStyle w:val="Normal"/>
        <w:ind w:left="1418" w:hanging="1418"/>
        <w:rPr/>
      </w:pPr>
      <w:r>
        <w:rPr/>
        <w:t>KI128</w:t>
        <w:tab/>
        <w:t>the 128-bit integrity key.</w:t>
      </w:r>
    </w:p>
    <w:p>
      <w:pPr>
        <w:pStyle w:val="Normal"/>
        <w:ind w:left="1418" w:hanging="1418"/>
        <w:rPr/>
      </w:pPr>
      <w:r>
        <w:rPr/>
        <w:t>KS[i]</w:t>
        <w:tab/>
        <w:t>the ith bit of keystream produced by the keystream generator.</w:t>
      </w:r>
    </w:p>
    <w:p>
      <w:pPr>
        <w:pStyle w:val="Normal"/>
        <w:ind w:left="1418" w:hanging="1418"/>
        <w:rPr/>
      </w:pPr>
      <w:r>
        <w:rPr/>
        <w:t>L</w:t>
        <w:tab/>
        <w:t>the number of 32-bit words of SNOW 3G keystream that are generated by GEA5 (equal to ceiling(M/4) ).</w:t>
      </w:r>
    </w:p>
    <w:p>
      <w:pPr>
        <w:pStyle w:val="Normal"/>
        <w:ind w:left="1418" w:hanging="1418"/>
        <w:rPr/>
      </w:pPr>
      <w:r>
        <w:rPr/>
        <w:t>LENGTH</w:t>
        <w:tab/>
        <w:t>a 64 bit parameter defined within GIA5 which specifies the number of bits of message to be MAC’d (equal to 8 times M).</w:t>
      </w:r>
    </w:p>
    <w:p>
      <w:pPr>
        <w:pStyle w:val="Normal"/>
        <w:ind w:left="1418" w:hanging="1418"/>
        <w:rPr/>
      </w:pPr>
      <w:r>
        <w:rPr/>
        <w:t>M</w:t>
        <w:tab/>
        <w:t>the input to the GEA5 function which specifies the number of octets of output required (1-65536); also the input to the GIA5 function which specifies the number of octets of message to be MAC’d    (1-65536).</w:t>
      </w:r>
    </w:p>
    <w:p>
      <w:pPr>
        <w:pStyle w:val="Normal"/>
        <w:ind w:left="1418" w:hanging="1418"/>
        <w:rPr/>
      </w:pPr>
      <w:r>
        <w:rPr/>
        <w:t>MAC</w:t>
        <w:tab/>
        <w:t>the 32-bit message authentication code (MAC) produced by the integrity function GIA5.</w:t>
      </w:r>
    </w:p>
    <w:p>
      <w:pPr>
        <w:pStyle w:val="Normal"/>
        <w:ind w:left="1418" w:hanging="1418"/>
        <w:rPr/>
      </w:pPr>
      <w:r>
        <w:rPr/>
        <w:t>MESSAGE</w:t>
        <w:tab/>
        <w:t>the input bitstream of LENGTH bits that is to be processed by the GIA5 function.</w:t>
      </w:r>
    </w:p>
    <w:p>
      <w:pPr>
        <w:pStyle w:val="Normal"/>
        <w:ind w:left="1418" w:hanging="1418"/>
        <w:rPr/>
      </w:pPr>
      <w:r>
        <w:rPr/>
        <w:t>OUTPUT</w:t>
        <w:tab/>
        <w:t>the output octets from the GEA5 function.</w:t>
      </w:r>
    </w:p>
    <w:p>
      <w:pPr>
        <w:pStyle w:val="Normal"/>
        <w:ind w:left="1418" w:hanging="1418"/>
        <w:rPr/>
      </w:pPr>
      <w:r>
        <w:rPr/>
        <w:t>S</w:t>
      </w:r>
      <w:r>
        <w:rPr>
          <w:vertAlign w:val="subscript"/>
        </w:rPr>
        <w:t>1</w:t>
      </w:r>
      <w:r>
        <w:rPr/>
        <w:t>, S</w:t>
      </w:r>
      <w:r>
        <w:rPr>
          <w:vertAlign w:val="subscript"/>
        </w:rPr>
        <w:t>2</w:t>
      </w:r>
      <w:r>
        <w:rPr/>
        <w:t>, …</w:t>
        <w:tab/>
        <w:t>a sequence of 64-bit words derived from MESSAGE and LENGTH which is used within GIA5 to construct the MAC</w:t>
      </w:r>
    </w:p>
    <w:p>
      <w:pPr>
        <w:pStyle w:val="Normal"/>
        <w:ind w:left="1418" w:hanging="1418"/>
        <w:rPr/>
      </w:pPr>
      <w:r>
        <w:rPr/>
        <w:t>z</w:t>
      </w:r>
      <w:r>
        <w:rPr>
          <w:vertAlign w:val="subscript"/>
        </w:rPr>
        <w:t>1</w:t>
      </w:r>
      <w:r>
        <w:rPr/>
        <w:t>, z</w:t>
      </w:r>
      <w:r>
        <w:rPr>
          <w:vertAlign w:val="subscript"/>
        </w:rPr>
        <w:t>2</w:t>
      </w:r>
      <w:r>
        <w:rPr/>
        <w:t xml:space="preserve">, … </w:t>
        <w:tab/>
        <w:t>the 32-bit words forming the keystream sequence of SNOW 3G. The word produced first is z</w:t>
      </w:r>
      <w:r>
        <w:rPr>
          <w:vertAlign w:val="subscript"/>
        </w:rPr>
        <w:t>1</w:t>
      </w:r>
      <w:r>
        <w:rPr/>
        <w:t>, the next word z</w:t>
      </w:r>
      <w:r>
        <w:rPr>
          <w:vertAlign w:val="subscript"/>
        </w:rPr>
        <w:t>2</w:t>
      </w:r>
      <w:r>
        <w:rPr/>
        <w:t xml:space="preserve"> and so on.</w:t>
      </w:r>
    </w:p>
    <w:p>
      <w:pPr>
        <w:pStyle w:val="Normal"/>
        <w:rPr/>
      </w:pPr>
      <w:r>
        <w:rPr/>
      </w:r>
    </w:p>
    <w:p>
      <w:pPr>
        <w:pStyle w:val="Heading1"/>
        <w:ind w:left="1134" w:hanging="1134"/>
        <w:rPr/>
      </w:pPr>
      <w:bookmarkStart w:id="36" w:name="__RefHeading___Toc467767855"/>
      <w:r>
        <w:rPr/>
        <w:t>5</w:t>
        <w:tab/>
        <w:t>Confidentiality algorithm GEA5</w:t>
      </w:r>
      <w:bookmarkEnd w:id="36"/>
      <w:r>
        <w:rPr/>
        <w:t xml:space="preserve">  </w:t>
      </w:r>
    </w:p>
    <w:p>
      <w:pPr>
        <w:pStyle w:val="Heading2"/>
        <w:rPr/>
      </w:pPr>
      <w:bookmarkStart w:id="37" w:name="__RefHeading___Toc467767856"/>
      <w:bookmarkEnd w:id="37"/>
      <w:r>
        <w:rPr>
          <w:lang w:val="en-GB"/>
        </w:rPr>
        <w:t>5.1</w:t>
        <w:tab/>
        <w:t>Introduction</w:t>
      </w:r>
    </w:p>
    <w:p>
      <w:pPr>
        <w:pStyle w:val="Normal"/>
        <w:rPr/>
      </w:pPr>
      <w:r>
        <w:rPr/>
        <w:t>The confidentiality algorithm GEA5 is a stream cipher that encrypts/decrypts blocks of data between 1 and 65536 octets in length.</w:t>
      </w:r>
    </w:p>
    <w:p>
      <w:pPr>
        <w:pStyle w:val="Heading2"/>
        <w:rPr/>
      </w:pPr>
      <w:bookmarkStart w:id="38" w:name="__RefHeading___Toc467767857"/>
      <w:bookmarkEnd w:id="38"/>
      <w:r>
        <w:rPr>
          <w:lang w:val="en-GB"/>
        </w:rPr>
        <w:t>5.2</w:t>
        <w:tab/>
        <w:t>Inputs and outputs</w:t>
      </w:r>
    </w:p>
    <w:p>
      <w:pPr>
        <w:pStyle w:val="Normal"/>
        <w:rPr/>
      </w:pPr>
      <w:r>
        <w:rPr/>
        <w:t>The inputs to the algorithm are given in Table 5.2.1, the output in Table 5.2.2:</w:t>
      </w:r>
    </w:p>
    <w:p>
      <w:pPr>
        <w:pStyle w:val="TH"/>
        <w:rPr/>
      </w:pPr>
      <w:r>
        <w:rPr/>
        <w:t xml:space="preserve">Table 5.2.1: </w:t>
      </w:r>
      <w:r>
        <w:rPr>
          <w:iCs/>
        </w:rPr>
        <w:t>GEA5</w:t>
      </w:r>
      <w:r>
        <w:rPr/>
        <w:t xml:space="preserve"> inputs</w:t>
      </w:r>
    </w:p>
    <w:tbl>
      <w:tblPr>
        <w:tblW w:w="7905" w:type="dxa"/>
        <w:jc w:val="center"/>
        <w:tblInd w:w="0" w:type="dxa"/>
        <w:tblLayout w:type="fixed"/>
        <w:tblCellMar>
          <w:top w:w="0" w:type="dxa"/>
          <w:left w:w="108" w:type="dxa"/>
          <w:bottom w:w="0" w:type="dxa"/>
          <w:right w:w="108" w:type="dxa"/>
        </w:tblCellMar>
      </w:tblPr>
      <w:tblGrid>
        <w:gridCol w:w="1809"/>
        <w:gridCol w:w="1276"/>
        <w:gridCol w:w="4820"/>
      </w:tblGrid>
      <w:tr>
        <w:trPr/>
        <w:tc>
          <w:tcPr>
            <w:tcW w:w="1809" w:type="dxa"/>
            <w:tcBorders>
              <w:top w:val="single" w:sz="12" w:space="0" w:color="000000"/>
              <w:left w:val="single" w:sz="12" w:space="0" w:color="000000"/>
              <w:bottom w:val="single" w:sz="12" w:space="0" w:color="000000"/>
              <w:right w:val="single" w:sz="6" w:space="0" w:color="000000"/>
            </w:tcBorders>
            <w:shd w:fill="BFBFBF" w:val="clear"/>
          </w:tcPr>
          <w:p>
            <w:pPr>
              <w:pStyle w:val="TAL"/>
              <w:jc w:val="center"/>
              <w:rPr>
                <w:b/>
                <w:b/>
              </w:rPr>
            </w:pPr>
            <w:r>
              <w:rPr>
                <w:b/>
              </w:rPr>
              <w:t>Parameter</w:t>
            </w:r>
          </w:p>
        </w:tc>
        <w:tc>
          <w:tcPr>
            <w:tcW w:w="1276" w:type="dxa"/>
            <w:tcBorders>
              <w:top w:val="single" w:sz="12" w:space="0" w:color="000000"/>
              <w:left w:val="single" w:sz="6" w:space="0" w:color="000000"/>
              <w:bottom w:val="single" w:sz="12" w:space="0" w:color="000000"/>
              <w:right w:val="single" w:sz="6" w:space="0" w:color="000000"/>
            </w:tcBorders>
            <w:shd w:fill="BFBFBF" w:val="clear"/>
          </w:tcPr>
          <w:p>
            <w:pPr>
              <w:pStyle w:val="TAL"/>
              <w:jc w:val="center"/>
              <w:rPr>
                <w:b/>
                <w:b/>
              </w:rPr>
            </w:pPr>
            <w:r>
              <w:rPr>
                <w:b/>
              </w:rPr>
              <w:t>Size (bits)</w:t>
            </w:r>
          </w:p>
        </w:tc>
        <w:tc>
          <w:tcPr>
            <w:tcW w:w="4820" w:type="dxa"/>
            <w:tcBorders>
              <w:top w:val="single" w:sz="12" w:space="0" w:color="000000"/>
              <w:left w:val="single" w:sz="6" w:space="0" w:color="000000"/>
              <w:bottom w:val="single" w:sz="12" w:space="0" w:color="000000"/>
              <w:right w:val="single" w:sz="12" w:space="0" w:color="000000"/>
            </w:tcBorders>
            <w:shd w:fill="BFBFBF" w:val="clear"/>
          </w:tcPr>
          <w:p>
            <w:pPr>
              <w:pStyle w:val="TAL"/>
              <w:jc w:val="center"/>
              <w:rPr>
                <w:b/>
                <w:b/>
              </w:rPr>
            </w:pPr>
            <w:r>
              <w:rPr>
                <w:b/>
              </w:rPr>
              <w:t>Comment</w:t>
            </w:r>
          </w:p>
        </w:tc>
      </w:tr>
      <w:tr>
        <w:trPr/>
        <w:tc>
          <w:tcPr>
            <w:tcW w:w="1809" w:type="dxa"/>
            <w:tcBorders>
              <w:left w:val="single" w:sz="12" w:space="0" w:color="000000"/>
              <w:bottom w:val="single" w:sz="6" w:space="0" w:color="000000"/>
              <w:right w:val="single" w:sz="6" w:space="0" w:color="000000"/>
            </w:tcBorders>
          </w:tcPr>
          <w:p>
            <w:pPr>
              <w:pStyle w:val="TAL"/>
              <w:rPr/>
            </w:pPr>
            <w:r>
              <w:rPr/>
              <w:t>INPUT</w:t>
            </w:r>
          </w:p>
        </w:tc>
        <w:tc>
          <w:tcPr>
            <w:tcW w:w="1276" w:type="dxa"/>
            <w:tcBorders>
              <w:left w:val="single" w:sz="6" w:space="0" w:color="000000"/>
              <w:bottom w:val="single" w:sz="6" w:space="0" w:color="000000"/>
              <w:right w:val="single" w:sz="6" w:space="0" w:color="000000"/>
            </w:tcBorders>
          </w:tcPr>
          <w:p>
            <w:pPr>
              <w:pStyle w:val="TAL"/>
              <w:jc w:val="center"/>
              <w:rPr/>
            </w:pPr>
            <w:r>
              <w:rPr/>
              <w:t>32</w:t>
            </w:r>
          </w:p>
        </w:tc>
        <w:tc>
          <w:tcPr>
            <w:tcW w:w="4820" w:type="dxa"/>
            <w:tcBorders>
              <w:left w:val="single" w:sz="6" w:space="0" w:color="000000"/>
              <w:bottom w:val="single" w:sz="6" w:space="0" w:color="000000"/>
              <w:right w:val="single" w:sz="12" w:space="0" w:color="000000"/>
            </w:tcBorders>
          </w:tcPr>
          <w:p>
            <w:pPr>
              <w:pStyle w:val="TAL"/>
              <w:rPr/>
            </w:pPr>
            <w:r>
              <w:rPr/>
              <w:t>Frame dependent input INPUT[0]…INPUT[31]</w:t>
            </w:r>
          </w:p>
        </w:tc>
      </w:tr>
      <w:tr>
        <w:trPr/>
        <w:tc>
          <w:tcPr>
            <w:tcW w:w="1809" w:type="dxa"/>
            <w:tcBorders>
              <w:top w:val="single" w:sz="6" w:space="0" w:color="000000"/>
              <w:left w:val="single" w:sz="12" w:space="0" w:color="000000"/>
              <w:bottom w:val="single" w:sz="6" w:space="0" w:color="000000"/>
              <w:right w:val="single" w:sz="6" w:space="0" w:color="000000"/>
            </w:tcBorders>
          </w:tcPr>
          <w:p>
            <w:pPr>
              <w:pStyle w:val="TAL"/>
              <w:rPr/>
            </w:pPr>
            <w:r>
              <w:rPr/>
              <w:t>DIRECTION</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pPr>
            <w:r>
              <w:rPr/>
              <w:t>1</w:t>
            </w:r>
          </w:p>
        </w:tc>
        <w:tc>
          <w:tcPr>
            <w:tcW w:w="4820" w:type="dxa"/>
            <w:tcBorders>
              <w:top w:val="single" w:sz="6" w:space="0" w:color="000000"/>
              <w:left w:val="single" w:sz="6" w:space="0" w:color="000000"/>
              <w:bottom w:val="single" w:sz="6" w:space="0" w:color="000000"/>
              <w:right w:val="single" w:sz="12" w:space="0" w:color="000000"/>
            </w:tcBorders>
          </w:tcPr>
          <w:p>
            <w:pPr>
              <w:pStyle w:val="TAL"/>
              <w:rPr/>
            </w:pPr>
            <w:r>
              <w:rPr/>
              <w:t>Direction of transmission DIRECTION[0]</w:t>
            </w:r>
          </w:p>
        </w:tc>
      </w:tr>
      <w:tr>
        <w:trPr/>
        <w:tc>
          <w:tcPr>
            <w:tcW w:w="1809" w:type="dxa"/>
            <w:tcBorders>
              <w:top w:val="single" w:sz="6" w:space="0" w:color="000000"/>
              <w:left w:val="single" w:sz="12" w:space="0" w:color="000000"/>
              <w:bottom w:val="single" w:sz="6" w:space="0" w:color="000000"/>
              <w:right w:val="single" w:sz="6" w:space="0" w:color="000000"/>
            </w:tcBorders>
          </w:tcPr>
          <w:p>
            <w:pPr>
              <w:pStyle w:val="TAL"/>
              <w:rPr/>
            </w:pPr>
            <w:r>
              <w:rPr/>
              <w:t>FRAMETYPE</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pPr>
            <w:r>
              <w:rPr/>
              <w:t>8</w:t>
            </w:r>
          </w:p>
        </w:tc>
        <w:tc>
          <w:tcPr>
            <w:tcW w:w="4820" w:type="dxa"/>
            <w:tcBorders>
              <w:top w:val="single" w:sz="6" w:space="0" w:color="000000"/>
              <w:left w:val="single" w:sz="6" w:space="0" w:color="000000"/>
              <w:bottom w:val="single" w:sz="6" w:space="0" w:color="000000"/>
              <w:right w:val="single" w:sz="12" w:space="0" w:color="000000"/>
            </w:tcBorders>
          </w:tcPr>
          <w:p>
            <w:pPr>
              <w:pStyle w:val="TAL"/>
              <w:rPr/>
            </w:pPr>
            <w:r>
              <w:rPr/>
              <w:t>Input value signifying the type of frame to be protected</w:t>
            </w:r>
          </w:p>
        </w:tc>
      </w:tr>
      <w:tr>
        <w:trPr/>
        <w:tc>
          <w:tcPr>
            <w:tcW w:w="1809" w:type="dxa"/>
            <w:tcBorders>
              <w:top w:val="single" w:sz="6" w:space="0" w:color="000000"/>
              <w:left w:val="single" w:sz="12" w:space="0" w:color="000000"/>
              <w:bottom w:val="single" w:sz="6" w:space="0" w:color="000000"/>
              <w:right w:val="single" w:sz="6" w:space="0" w:color="000000"/>
            </w:tcBorders>
          </w:tcPr>
          <w:p>
            <w:pPr>
              <w:pStyle w:val="TAL"/>
              <w:rPr/>
            </w:pPr>
            <w:r>
              <w:rPr/>
              <w:t>KC128</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pPr>
            <w:r>
              <w:rPr/>
              <w:t>128</w:t>
            </w:r>
          </w:p>
        </w:tc>
        <w:tc>
          <w:tcPr>
            <w:tcW w:w="4820" w:type="dxa"/>
            <w:tcBorders>
              <w:top w:val="single" w:sz="6" w:space="0" w:color="000000"/>
              <w:left w:val="single" w:sz="6" w:space="0" w:color="000000"/>
              <w:bottom w:val="single" w:sz="6" w:space="0" w:color="000000"/>
              <w:right w:val="single" w:sz="12" w:space="0" w:color="000000"/>
            </w:tcBorders>
          </w:tcPr>
          <w:p>
            <w:pPr>
              <w:pStyle w:val="TAL"/>
              <w:rPr/>
            </w:pPr>
            <w:r>
              <w:rPr/>
              <w:t>Confidentiality key KC128[0]….KC128[127]</w:t>
            </w:r>
          </w:p>
        </w:tc>
      </w:tr>
      <w:tr>
        <w:trPr/>
        <w:tc>
          <w:tcPr>
            <w:tcW w:w="1809" w:type="dxa"/>
            <w:tcBorders>
              <w:top w:val="single" w:sz="6" w:space="0" w:color="000000"/>
              <w:left w:val="single" w:sz="12" w:space="0" w:color="000000"/>
              <w:bottom w:val="single" w:sz="12" w:space="0" w:color="000000"/>
              <w:right w:val="single" w:sz="6" w:space="0" w:color="000000"/>
            </w:tcBorders>
          </w:tcPr>
          <w:p>
            <w:pPr>
              <w:pStyle w:val="TAL"/>
              <w:rPr/>
            </w:pPr>
            <w:r>
              <w:rPr/>
              <w:t>M</w:t>
            </w:r>
          </w:p>
        </w:tc>
        <w:tc>
          <w:tcPr>
            <w:tcW w:w="1276" w:type="dxa"/>
            <w:tcBorders>
              <w:top w:val="single" w:sz="6" w:space="0" w:color="000000"/>
              <w:left w:val="single" w:sz="6" w:space="0" w:color="000000"/>
              <w:bottom w:val="single" w:sz="12" w:space="0" w:color="000000"/>
              <w:right w:val="single" w:sz="6" w:space="0" w:color="000000"/>
            </w:tcBorders>
          </w:tcPr>
          <w:p>
            <w:pPr>
              <w:pStyle w:val="TAL"/>
              <w:snapToGrid w:val="false"/>
              <w:jc w:val="center"/>
              <w:rPr/>
            </w:pPr>
            <w:r>
              <w:rPr/>
            </w:r>
          </w:p>
        </w:tc>
        <w:tc>
          <w:tcPr>
            <w:tcW w:w="4820" w:type="dxa"/>
            <w:tcBorders>
              <w:top w:val="single" w:sz="6" w:space="0" w:color="000000"/>
              <w:left w:val="single" w:sz="6" w:space="0" w:color="000000"/>
              <w:bottom w:val="single" w:sz="12" w:space="0" w:color="000000"/>
              <w:right w:val="single" w:sz="12" w:space="0" w:color="000000"/>
            </w:tcBorders>
          </w:tcPr>
          <w:p>
            <w:pPr>
              <w:pStyle w:val="TAL"/>
              <w:rPr/>
            </w:pPr>
            <w:r>
              <w:rPr/>
              <w:t xml:space="preserve">The number of octets of output required in the range 1 to 65536 inclusive </w:t>
            </w:r>
          </w:p>
        </w:tc>
      </w:tr>
    </w:tbl>
    <w:p>
      <w:pPr>
        <w:pStyle w:val="TH"/>
        <w:rPr/>
      </w:pPr>
      <w:r>
        <w:rPr/>
        <w:br/>
        <w:t xml:space="preserve">Table 5.2.2: </w:t>
      </w:r>
      <w:r>
        <w:rPr>
          <w:iCs/>
        </w:rPr>
        <w:t>GEA5</w:t>
      </w:r>
      <w:r>
        <w:rPr/>
        <w:t xml:space="preserve"> output</w:t>
      </w:r>
    </w:p>
    <w:tbl>
      <w:tblPr>
        <w:tblW w:w="7578" w:type="dxa"/>
        <w:jc w:val="center"/>
        <w:tblInd w:w="0" w:type="dxa"/>
        <w:tblLayout w:type="fixed"/>
        <w:tblCellMar>
          <w:top w:w="0" w:type="dxa"/>
          <w:left w:w="108" w:type="dxa"/>
          <w:bottom w:w="0" w:type="dxa"/>
          <w:right w:w="108" w:type="dxa"/>
        </w:tblCellMar>
      </w:tblPr>
      <w:tblGrid>
        <w:gridCol w:w="1638"/>
        <w:gridCol w:w="1447"/>
        <w:gridCol w:w="4493"/>
      </w:tblGrid>
      <w:tr>
        <w:trPr/>
        <w:tc>
          <w:tcPr>
            <w:tcW w:w="1638" w:type="dxa"/>
            <w:tcBorders>
              <w:top w:val="single" w:sz="12" w:space="0" w:color="000000"/>
              <w:left w:val="single" w:sz="12" w:space="0" w:color="000000"/>
              <w:bottom w:val="single" w:sz="12" w:space="0" w:color="000000"/>
              <w:right w:val="single" w:sz="6" w:space="0" w:color="000000"/>
            </w:tcBorders>
            <w:shd w:fill="BFBFBF" w:val="clear"/>
          </w:tcPr>
          <w:p>
            <w:pPr>
              <w:pStyle w:val="TAL"/>
              <w:jc w:val="center"/>
              <w:rPr/>
            </w:pPr>
            <w:r>
              <w:rPr/>
              <w:t>Parameter</w:t>
            </w:r>
          </w:p>
        </w:tc>
        <w:tc>
          <w:tcPr>
            <w:tcW w:w="1447" w:type="dxa"/>
            <w:tcBorders>
              <w:top w:val="single" w:sz="12" w:space="0" w:color="000000"/>
              <w:left w:val="single" w:sz="6" w:space="0" w:color="000000"/>
              <w:bottom w:val="single" w:sz="12" w:space="0" w:color="000000"/>
              <w:right w:val="single" w:sz="6" w:space="0" w:color="000000"/>
            </w:tcBorders>
            <w:shd w:fill="BFBFBF" w:val="clear"/>
          </w:tcPr>
          <w:p>
            <w:pPr>
              <w:pStyle w:val="TAL"/>
              <w:jc w:val="center"/>
              <w:rPr/>
            </w:pPr>
            <w:r>
              <w:rPr/>
              <w:t>Size (bits)</w:t>
            </w:r>
          </w:p>
        </w:tc>
        <w:tc>
          <w:tcPr>
            <w:tcW w:w="4493" w:type="dxa"/>
            <w:tcBorders>
              <w:top w:val="single" w:sz="12" w:space="0" w:color="000000"/>
              <w:left w:val="single" w:sz="6" w:space="0" w:color="000000"/>
              <w:bottom w:val="single" w:sz="12" w:space="0" w:color="000000"/>
              <w:right w:val="single" w:sz="12" w:space="0" w:color="000000"/>
            </w:tcBorders>
            <w:shd w:fill="BFBFBF" w:val="clear"/>
          </w:tcPr>
          <w:p>
            <w:pPr>
              <w:pStyle w:val="TAL"/>
              <w:jc w:val="center"/>
              <w:rPr/>
            </w:pPr>
            <w:r>
              <w:rPr/>
              <w:t>Comment</w:t>
            </w:r>
          </w:p>
        </w:tc>
      </w:tr>
      <w:tr>
        <w:trPr/>
        <w:tc>
          <w:tcPr>
            <w:tcW w:w="1638" w:type="dxa"/>
            <w:tcBorders>
              <w:left w:val="single" w:sz="12" w:space="0" w:color="000000"/>
              <w:bottom w:val="single" w:sz="12" w:space="0" w:color="000000"/>
              <w:right w:val="single" w:sz="6" w:space="0" w:color="000000"/>
            </w:tcBorders>
          </w:tcPr>
          <w:p>
            <w:pPr>
              <w:pStyle w:val="TAL"/>
              <w:rPr/>
            </w:pPr>
            <w:r>
              <w:rPr/>
              <w:t>OUTPUT</w:t>
            </w:r>
          </w:p>
        </w:tc>
        <w:tc>
          <w:tcPr>
            <w:tcW w:w="1447" w:type="dxa"/>
            <w:tcBorders>
              <w:left w:val="single" w:sz="6" w:space="0" w:color="000000"/>
              <w:bottom w:val="single" w:sz="12" w:space="0" w:color="000000"/>
              <w:right w:val="single" w:sz="6" w:space="0" w:color="000000"/>
            </w:tcBorders>
          </w:tcPr>
          <w:p>
            <w:pPr>
              <w:pStyle w:val="TAL"/>
              <w:jc w:val="center"/>
              <w:rPr/>
            </w:pPr>
            <w:r>
              <w:rPr/>
              <w:t>8M</w:t>
            </w:r>
          </w:p>
        </w:tc>
        <w:tc>
          <w:tcPr>
            <w:tcW w:w="4493" w:type="dxa"/>
            <w:tcBorders>
              <w:left w:val="single" w:sz="6" w:space="0" w:color="000000"/>
              <w:bottom w:val="single" w:sz="12" w:space="0" w:color="000000"/>
              <w:right w:val="single" w:sz="12" w:space="0" w:color="000000"/>
            </w:tcBorders>
          </w:tcPr>
          <w:p>
            <w:pPr>
              <w:pStyle w:val="TAL"/>
              <w:rPr/>
            </w:pPr>
            <w:r>
              <w:rPr/>
              <w:t>Keystream octets OUTPUT{0}….OUTPUT{M-1}</w:t>
            </w:r>
          </w:p>
        </w:tc>
      </w:tr>
    </w:tbl>
    <w:p>
      <w:pPr>
        <w:pStyle w:val="Normal"/>
        <w:rPr/>
      </w:pPr>
      <w:r>
        <w:rPr/>
      </w:r>
    </w:p>
    <w:p>
      <w:pPr>
        <w:pStyle w:val="Heading2"/>
        <w:rPr/>
      </w:pPr>
      <w:bookmarkStart w:id="39" w:name="__RefHeading___Toc467767858"/>
      <w:bookmarkEnd w:id="39"/>
      <w:r>
        <w:rPr>
          <w:lang w:val="en-GB"/>
        </w:rPr>
        <w:t>5.3</w:t>
        <w:tab/>
        <w:t>Components and architecture</w:t>
      </w:r>
    </w:p>
    <w:p>
      <w:pPr>
        <w:pStyle w:val="Normal"/>
        <w:rPr/>
      </w:pPr>
      <w:r>
        <w:rPr/>
        <w:t xml:space="preserve">This clause only available under licence. </w:t>
        <w:br/>
        <w:t xml:space="preserve">See </w:t>
      </w:r>
      <w:hyperlink r:id="rId7">
        <w:r>
          <w:rPr>
            <w:rStyle w:val="InternetLink"/>
          </w:rPr>
          <w:t>http://www.etsi.org/about/what-we-do/security-algorithms-and-codes/cellular-algorithm-licences</w:t>
        </w:r>
      </w:hyperlink>
      <w:r>
        <w:rPr/>
        <w:t>.</w:t>
      </w:r>
    </w:p>
    <w:p>
      <w:pPr>
        <w:pStyle w:val="Heading2"/>
        <w:rPr/>
      </w:pPr>
      <w:bookmarkStart w:id="40" w:name="__RefHeading___Toc467767859"/>
      <w:bookmarkEnd w:id="40"/>
      <w:r>
        <w:rPr>
          <w:lang w:val="en-GB"/>
        </w:rPr>
        <w:t>5.4</w:t>
        <w:tab/>
        <w:t>Initialisation</w:t>
      </w:r>
    </w:p>
    <w:p>
      <w:pPr>
        <w:pStyle w:val="Normal"/>
        <w:rPr/>
      </w:pPr>
      <w:r>
        <w:rPr/>
        <w:t xml:space="preserve">This clause only available under licence. </w:t>
        <w:br/>
        <w:t xml:space="preserve">See </w:t>
      </w:r>
      <w:hyperlink r:id="rId8">
        <w:r>
          <w:rPr>
            <w:rStyle w:val="InternetLink"/>
          </w:rPr>
          <w:t>http://www.etsi.org/about/what-we-do/security-algorithms-and-codes/cellular-algorithm-licences</w:t>
        </w:r>
      </w:hyperlink>
      <w:r>
        <w:rPr/>
        <w:t>.</w:t>
      </w:r>
    </w:p>
    <w:p>
      <w:pPr>
        <w:pStyle w:val="Heading2"/>
        <w:rPr/>
      </w:pPr>
      <w:bookmarkStart w:id="41" w:name="__RefHeading___Toc467767860"/>
      <w:bookmarkEnd w:id="41"/>
      <w:r>
        <w:rPr>
          <w:lang w:val="en-GB"/>
        </w:rPr>
        <w:t>5.5</w:t>
        <w:tab/>
        <w:t>Keystream generation</w:t>
      </w:r>
    </w:p>
    <w:p>
      <w:pPr>
        <w:pStyle w:val="Normal"/>
        <w:rPr/>
      </w:pPr>
      <w:r>
        <w:rPr/>
        <w:t xml:space="preserve">This clause only available under licence. </w:t>
        <w:br/>
        <w:t xml:space="preserve">See </w:t>
      </w:r>
      <w:hyperlink r:id="rId9">
        <w:r>
          <w:rPr>
            <w:rStyle w:val="InternetLink"/>
          </w:rPr>
          <w:t>http://www.etsi.org/about/what-we-do/security-algorithms-and-codes/cellular-algorithm-licences</w:t>
        </w:r>
      </w:hyperlink>
      <w:r>
        <w:rPr/>
        <w:t>.</w:t>
      </w:r>
    </w:p>
    <w:p>
      <w:pPr>
        <w:pStyle w:val="Heading2"/>
        <w:rPr/>
      </w:pPr>
      <w:bookmarkStart w:id="42" w:name="__RefHeading___Toc467767861"/>
      <w:bookmarkEnd w:id="42"/>
      <w:r>
        <w:rPr>
          <w:lang w:val="en-GB"/>
        </w:rPr>
        <w:t>5.6</w:t>
        <w:tab/>
        <w:t>Output octets</w:t>
      </w:r>
    </w:p>
    <w:p>
      <w:pPr>
        <w:pStyle w:val="Normal"/>
        <w:rPr/>
      </w:pPr>
      <w:r>
        <w:rPr/>
        <w:t xml:space="preserve">This clause only available under licence. </w:t>
        <w:br/>
        <w:t xml:space="preserve">See </w:t>
      </w:r>
      <w:hyperlink r:id="rId10">
        <w:r>
          <w:rPr>
            <w:rStyle w:val="InternetLink"/>
          </w:rPr>
          <w:t>http://www.etsi.org/about/what-we-do/security-algorithms-and-codes/cellular-algorithm-licences</w:t>
        </w:r>
      </w:hyperlink>
      <w:r>
        <w:rPr/>
        <w:t>.</w:t>
      </w:r>
    </w:p>
    <w:p>
      <w:pPr>
        <w:pStyle w:val="Heading1"/>
        <w:ind w:left="1134" w:hanging="1134"/>
        <w:rPr/>
      </w:pPr>
      <w:bookmarkStart w:id="43" w:name="__RefHeading___Toc467767862"/>
      <w:r>
        <w:rPr/>
        <w:t>6</w:t>
        <w:tab/>
        <w:t>Integrity algorithm GIA5</w:t>
      </w:r>
      <w:bookmarkEnd w:id="43"/>
      <w:r>
        <w:rPr/>
        <w:t xml:space="preserve">   </w:t>
      </w:r>
    </w:p>
    <w:p>
      <w:pPr>
        <w:pStyle w:val="Heading2"/>
        <w:rPr/>
      </w:pPr>
      <w:bookmarkStart w:id="44" w:name="__RefHeading___Toc467767863"/>
      <w:bookmarkEnd w:id="44"/>
      <w:r>
        <w:rPr>
          <w:lang w:val="en-GB"/>
        </w:rPr>
        <w:t>6.1</w:t>
        <w:tab/>
        <w:t xml:space="preserve"> Introduction</w:t>
      </w:r>
    </w:p>
    <w:p>
      <w:pPr>
        <w:pStyle w:val="Normal"/>
        <w:rPr/>
      </w:pPr>
      <w:r>
        <w:rPr/>
        <w:t>The integrity algorithm GIA5 computes a Message Authentication Code (MAC) on an input message under an integrity key KI128. The message may be between 1 and 65536 octets long.</w:t>
      </w:r>
    </w:p>
    <w:p>
      <w:pPr>
        <w:pStyle w:val="Normal"/>
        <w:rPr/>
      </w:pPr>
      <w:r>
        <w:rPr/>
        <w:t>For ease of implementation the algorithm is based on the same stream cipher (SNOW 3G) [2] as is used by the confidentiality algorithm GEA5.</w:t>
      </w:r>
    </w:p>
    <w:p>
      <w:pPr>
        <w:pStyle w:val="Heading2"/>
        <w:rPr/>
      </w:pPr>
      <w:bookmarkStart w:id="45" w:name="__RefHeading___Toc467767864"/>
      <w:bookmarkEnd w:id="45"/>
      <w:r>
        <w:rPr>
          <w:lang w:val="en-GB"/>
        </w:rPr>
        <w:t>6.2</w:t>
        <w:tab/>
        <w:t>Inputs and outputs</w:t>
      </w:r>
    </w:p>
    <w:p>
      <w:pPr>
        <w:pStyle w:val="Normal"/>
        <w:rPr/>
      </w:pPr>
      <w:r>
        <w:rPr/>
        <w:t>The inputs to the algorithm are given in table 6.2.1, the output in table 6.2.2:</w:t>
      </w:r>
    </w:p>
    <w:p>
      <w:pPr>
        <w:pStyle w:val="TH"/>
        <w:rPr/>
      </w:pPr>
      <w:r>
        <w:rPr/>
        <w:t xml:space="preserve">Table 6.2.1: </w:t>
      </w:r>
      <w:r>
        <w:rPr>
          <w:iCs/>
        </w:rPr>
        <w:t>GIA5</w:t>
      </w:r>
      <w:r>
        <w:rPr/>
        <w:t xml:space="preserve"> inputs</w:t>
      </w:r>
    </w:p>
    <w:tbl>
      <w:tblPr>
        <w:tblW w:w="8028" w:type="dxa"/>
        <w:jc w:val="center"/>
        <w:tblInd w:w="0" w:type="dxa"/>
        <w:tblLayout w:type="fixed"/>
        <w:tblCellMar>
          <w:top w:w="0" w:type="dxa"/>
          <w:left w:w="108" w:type="dxa"/>
          <w:bottom w:w="0" w:type="dxa"/>
          <w:right w:w="108" w:type="dxa"/>
        </w:tblCellMar>
      </w:tblPr>
      <w:tblGrid>
        <w:gridCol w:w="1809"/>
        <w:gridCol w:w="1276"/>
        <w:gridCol w:w="4943"/>
      </w:tblGrid>
      <w:tr>
        <w:trPr/>
        <w:tc>
          <w:tcPr>
            <w:tcW w:w="1809" w:type="dxa"/>
            <w:tcBorders>
              <w:top w:val="single" w:sz="12" w:space="0" w:color="000000"/>
              <w:left w:val="single" w:sz="12" w:space="0" w:color="000000"/>
              <w:bottom w:val="single" w:sz="12" w:space="0" w:color="000000"/>
              <w:right w:val="single" w:sz="4" w:space="0" w:color="000000"/>
            </w:tcBorders>
            <w:shd w:fill="BFBFBF" w:val="clear"/>
          </w:tcPr>
          <w:p>
            <w:pPr>
              <w:pStyle w:val="TAL"/>
              <w:jc w:val="center"/>
              <w:rPr>
                <w:b/>
                <w:b/>
              </w:rPr>
            </w:pPr>
            <w:r>
              <w:rPr>
                <w:b/>
              </w:rPr>
              <w:t>Parameter</w:t>
            </w:r>
          </w:p>
        </w:tc>
        <w:tc>
          <w:tcPr>
            <w:tcW w:w="1276" w:type="dxa"/>
            <w:tcBorders>
              <w:top w:val="single" w:sz="12" w:space="0" w:color="000000"/>
              <w:left w:val="single" w:sz="4" w:space="0" w:color="000000"/>
              <w:bottom w:val="single" w:sz="12" w:space="0" w:color="000000"/>
              <w:right w:val="single" w:sz="4" w:space="0" w:color="000000"/>
            </w:tcBorders>
            <w:shd w:fill="BFBFBF" w:val="clear"/>
          </w:tcPr>
          <w:p>
            <w:pPr>
              <w:pStyle w:val="TAL"/>
              <w:jc w:val="center"/>
              <w:rPr>
                <w:b/>
                <w:b/>
              </w:rPr>
            </w:pPr>
            <w:r>
              <w:rPr>
                <w:b/>
              </w:rPr>
              <w:t>Size (bits)</w:t>
            </w:r>
          </w:p>
        </w:tc>
        <w:tc>
          <w:tcPr>
            <w:tcW w:w="4943" w:type="dxa"/>
            <w:tcBorders>
              <w:top w:val="single" w:sz="12" w:space="0" w:color="000000"/>
              <w:left w:val="single" w:sz="4" w:space="0" w:color="000000"/>
              <w:bottom w:val="single" w:sz="12" w:space="0" w:color="000000"/>
              <w:right w:val="single" w:sz="12" w:space="0" w:color="000000"/>
            </w:tcBorders>
            <w:shd w:fill="BFBFBF" w:val="clear"/>
          </w:tcPr>
          <w:p>
            <w:pPr>
              <w:pStyle w:val="TAL"/>
              <w:jc w:val="center"/>
              <w:rPr>
                <w:b/>
                <w:b/>
              </w:rPr>
            </w:pPr>
            <w:r>
              <w:rPr>
                <w:b/>
              </w:rPr>
              <w:t>Comment</w:t>
            </w:r>
          </w:p>
        </w:tc>
      </w:tr>
      <w:tr>
        <w:trPr/>
        <w:tc>
          <w:tcPr>
            <w:tcW w:w="1809" w:type="dxa"/>
            <w:tcBorders>
              <w:left w:val="single" w:sz="12" w:space="0" w:color="000000"/>
              <w:bottom w:val="single" w:sz="6" w:space="0" w:color="000000"/>
              <w:right w:val="single" w:sz="6" w:space="0" w:color="000000"/>
            </w:tcBorders>
          </w:tcPr>
          <w:p>
            <w:pPr>
              <w:pStyle w:val="TAL"/>
              <w:rPr/>
            </w:pPr>
            <w:r>
              <w:rPr/>
              <w:t>INPUT-I</w:t>
            </w:r>
          </w:p>
        </w:tc>
        <w:tc>
          <w:tcPr>
            <w:tcW w:w="1276" w:type="dxa"/>
            <w:tcBorders>
              <w:left w:val="single" w:sz="6" w:space="0" w:color="000000"/>
              <w:bottom w:val="single" w:sz="6" w:space="0" w:color="000000"/>
              <w:right w:val="single" w:sz="6" w:space="0" w:color="000000"/>
            </w:tcBorders>
          </w:tcPr>
          <w:p>
            <w:pPr>
              <w:pStyle w:val="TAL"/>
              <w:jc w:val="center"/>
              <w:rPr/>
            </w:pPr>
            <w:r>
              <w:rPr/>
              <w:t>32</w:t>
            </w:r>
          </w:p>
        </w:tc>
        <w:tc>
          <w:tcPr>
            <w:tcW w:w="4943" w:type="dxa"/>
            <w:tcBorders>
              <w:left w:val="single" w:sz="6" w:space="0" w:color="000000"/>
              <w:bottom w:val="single" w:sz="6" w:space="0" w:color="000000"/>
              <w:right w:val="single" w:sz="12" w:space="0" w:color="000000"/>
            </w:tcBorders>
          </w:tcPr>
          <w:p>
            <w:pPr>
              <w:pStyle w:val="TAL"/>
              <w:rPr/>
            </w:pPr>
            <w:r>
              <w:rPr/>
              <w:t>Frame dependent input INPUT-I[0]…INPUT-I[31]</w:t>
            </w:r>
          </w:p>
        </w:tc>
      </w:tr>
      <w:tr>
        <w:trPr/>
        <w:tc>
          <w:tcPr>
            <w:tcW w:w="1809" w:type="dxa"/>
            <w:tcBorders>
              <w:left w:val="single" w:sz="12" w:space="0" w:color="000000"/>
              <w:bottom w:val="single" w:sz="6" w:space="0" w:color="000000"/>
              <w:right w:val="single" w:sz="6" w:space="0" w:color="000000"/>
            </w:tcBorders>
          </w:tcPr>
          <w:p>
            <w:pPr>
              <w:pStyle w:val="TAL"/>
              <w:rPr/>
            </w:pPr>
            <w:r>
              <w:rPr/>
              <w:t>M</w:t>
            </w:r>
          </w:p>
        </w:tc>
        <w:tc>
          <w:tcPr>
            <w:tcW w:w="1276" w:type="dxa"/>
            <w:tcBorders>
              <w:left w:val="single" w:sz="6" w:space="0" w:color="000000"/>
              <w:bottom w:val="single" w:sz="6" w:space="0" w:color="000000"/>
              <w:right w:val="single" w:sz="6" w:space="0" w:color="000000"/>
            </w:tcBorders>
          </w:tcPr>
          <w:p>
            <w:pPr>
              <w:pStyle w:val="TAL"/>
              <w:snapToGrid w:val="false"/>
              <w:jc w:val="center"/>
              <w:rPr/>
            </w:pPr>
            <w:r>
              <w:rPr/>
            </w:r>
          </w:p>
        </w:tc>
        <w:tc>
          <w:tcPr>
            <w:tcW w:w="4943" w:type="dxa"/>
            <w:tcBorders>
              <w:left w:val="single" w:sz="6" w:space="0" w:color="000000"/>
              <w:bottom w:val="single" w:sz="6" w:space="0" w:color="000000"/>
              <w:right w:val="single" w:sz="12" w:space="0" w:color="000000"/>
            </w:tcBorders>
          </w:tcPr>
          <w:p>
            <w:pPr>
              <w:pStyle w:val="TAL"/>
              <w:rPr/>
            </w:pPr>
            <w:r>
              <w:rPr/>
              <w:t>The length of MESSAGE in octets (1-65536)</w:t>
            </w:r>
          </w:p>
        </w:tc>
      </w:tr>
      <w:tr>
        <w:trPr/>
        <w:tc>
          <w:tcPr>
            <w:tcW w:w="1809" w:type="dxa"/>
            <w:tcBorders>
              <w:left w:val="single" w:sz="12" w:space="0" w:color="000000"/>
              <w:bottom w:val="single" w:sz="6" w:space="0" w:color="000000"/>
              <w:right w:val="single" w:sz="6" w:space="0" w:color="000000"/>
            </w:tcBorders>
          </w:tcPr>
          <w:p>
            <w:pPr>
              <w:pStyle w:val="TAL"/>
              <w:rPr/>
            </w:pPr>
            <w:r>
              <w:rPr/>
              <w:t>MESSAGE</w:t>
            </w:r>
          </w:p>
        </w:tc>
        <w:tc>
          <w:tcPr>
            <w:tcW w:w="1276" w:type="dxa"/>
            <w:tcBorders>
              <w:left w:val="single" w:sz="6" w:space="0" w:color="000000"/>
              <w:bottom w:val="single" w:sz="6" w:space="0" w:color="000000"/>
              <w:right w:val="single" w:sz="6" w:space="0" w:color="000000"/>
            </w:tcBorders>
          </w:tcPr>
          <w:p>
            <w:pPr>
              <w:pStyle w:val="TAL"/>
              <w:jc w:val="center"/>
              <w:rPr/>
            </w:pPr>
            <w:r>
              <w:rPr/>
              <w:t>8M</w:t>
            </w:r>
          </w:p>
        </w:tc>
        <w:tc>
          <w:tcPr>
            <w:tcW w:w="4943" w:type="dxa"/>
            <w:tcBorders>
              <w:left w:val="single" w:sz="6" w:space="0" w:color="000000"/>
              <w:bottom w:val="single" w:sz="6" w:space="0" w:color="000000"/>
              <w:right w:val="single" w:sz="12" w:space="0" w:color="000000"/>
            </w:tcBorders>
          </w:tcPr>
          <w:p>
            <w:pPr>
              <w:pStyle w:val="TAL"/>
              <w:rPr/>
            </w:pPr>
            <w:r>
              <w:rPr/>
              <w:t>Input octet stream MESSAGE{0}….MESSAGE{M-1}</w:t>
            </w:r>
          </w:p>
        </w:tc>
      </w:tr>
      <w:tr>
        <w:trPr/>
        <w:tc>
          <w:tcPr>
            <w:tcW w:w="1809" w:type="dxa"/>
            <w:tcBorders>
              <w:top w:val="single" w:sz="6" w:space="0" w:color="000000"/>
              <w:left w:val="single" w:sz="12" w:space="0" w:color="000000"/>
              <w:bottom w:val="single" w:sz="6" w:space="0" w:color="000000"/>
              <w:right w:val="single" w:sz="6" w:space="0" w:color="000000"/>
            </w:tcBorders>
          </w:tcPr>
          <w:p>
            <w:pPr>
              <w:pStyle w:val="TAL"/>
              <w:rPr/>
            </w:pPr>
            <w:r>
              <w:rPr/>
              <w:t>DIRECTION</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pPr>
            <w:r>
              <w:rPr/>
              <w:t>1</w:t>
            </w:r>
          </w:p>
        </w:tc>
        <w:tc>
          <w:tcPr>
            <w:tcW w:w="4943" w:type="dxa"/>
            <w:tcBorders>
              <w:top w:val="single" w:sz="6" w:space="0" w:color="000000"/>
              <w:left w:val="single" w:sz="6" w:space="0" w:color="000000"/>
              <w:bottom w:val="single" w:sz="6" w:space="0" w:color="000000"/>
              <w:right w:val="single" w:sz="12" w:space="0" w:color="000000"/>
            </w:tcBorders>
          </w:tcPr>
          <w:p>
            <w:pPr>
              <w:pStyle w:val="TAL"/>
              <w:rPr/>
            </w:pPr>
            <w:r>
              <w:rPr/>
              <w:t>Direction of transmission DIRECTION[0]</w:t>
            </w:r>
          </w:p>
        </w:tc>
      </w:tr>
      <w:tr>
        <w:trPr/>
        <w:tc>
          <w:tcPr>
            <w:tcW w:w="1809" w:type="dxa"/>
            <w:tcBorders>
              <w:top w:val="single" w:sz="6" w:space="0" w:color="000000"/>
              <w:left w:val="single" w:sz="12" w:space="0" w:color="000000"/>
              <w:bottom w:val="single" w:sz="6" w:space="0" w:color="000000"/>
              <w:right w:val="single" w:sz="6" w:space="0" w:color="000000"/>
            </w:tcBorders>
          </w:tcPr>
          <w:p>
            <w:pPr>
              <w:pStyle w:val="TAL"/>
              <w:rPr/>
            </w:pPr>
            <w:r>
              <w:rPr/>
              <w:t>FRAMETYPE</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pPr>
            <w:r>
              <w:rPr/>
              <w:t>8</w:t>
            </w:r>
          </w:p>
        </w:tc>
        <w:tc>
          <w:tcPr>
            <w:tcW w:w="4943" w:type="dxa"/>
            <w:tcBorders>
              <w:top w:val="single" w:sz="6" w:space="0" w:color="000000"/>
              <w:left w:val="single" w:sz="6" w:space="0" w:color="000000"/>
              <w:bottom w:val="single" w:sz="6" w:space="0" w:color="000000"/>
              <w:right w:val="single" w:sz="12" w:space="0" w:color="000000"/>
            </w:tcBorders>
          </w:tcPr>
          <w:p>
            <w:pPr>
              <w:pStyle w:val="TAL"/>
              <w:rPr/>
            </w:pPr>
            <w:r>
              <w:rPr/>
              <w:t>Input value signifying the type of frame to be protected</w:t>
            </w:r>
          </w:p>
        </w:tc>
      </w:tr>
      <w:tr>
        <w:trPr/>
        <w:tc>
          <w:tcPr>
            <w:tcW w:w="1809" w:type="dxa"/>
            <w:tcBorders>
              <w:top w:val="single" w:sz="6" w:space="0" w:color="000000"/>
              <w:left w:val="single" w:sz="12" w:space="0" w:color="000000"/>
              <w:bottom w:val="single" w:sz="12" w:space="0" w:color="000000"/>
              <w:right w:val="single" w:sz="6" w:space="0" w:color="000000"/>
            </w:tcBorders>
          </w:tcPr>
          <w:p>
            <w:pPr>
              <w:pStyle w:val="TAL"/>
              <w:rPr>
                <w:sz w:val="24"/>
              </w:rPr>
            </w:pPr>
            <w:r>
              <w:rPr/>
              <w:t>KI128</w:t>
            </w:r>
          </w:p>
        </w:tc>
        <w:tc>
          <w:tcPr>
            <w:tcW w:w="1276" w:type="dxa"/>
            <w:tcBorders>
              <w:top w:val="single" w:sz="6" w:space="0" w:color="000000"/>
              <w:left w:val="single" w:sz="6" w:space="0" w:color="000000"/>
              <w:bottom w:val="single" w:sz="12" w:space="0" w:color="000000"/>
              <w:right w:val="single" w:sz="6" w:space="0" w:color="000000"/>
            </w:tcBorders>
          </w:tcPr>
          <w:p>
            <w:pPr>
              <w:pStyle w:val="TAL"/>
              <w:jc w:val="center"/>
              <w:rPr/>
            </w:pPr>
            <w:r>
              <w:rPr/>
              <w:t>128</w:t>
            </w:r>
          </w:p>
        </w:tc>
        <w:tc>
          <w:tcPr>
            <w:tcW w:w="4943" w:type="dxa"/>
            <w:tcBorders>
              <w:top w:val="single" w:sz="6" w:space="0" w:color="000000"/>
              <w:left w:val="single" w:sz="6" w:space="0" w:color="000000"/>
              <w:bottom w:val="single" w:sz="12" w:space="0" w:color="000000"/>
              <w:right w:val="single" w:sz="12" w:space="0" w:color="000000"/>
            </w:tcBorders>
          </w:tcPr>
          <w:p>
            <w:pPr>
              <w:pStyle w:val="TAL"/>
              <w:rPr/>
            </w:pPr>
            <w:r>
              <w:rPr/>
              <w:t>Integrity key KI128[0]…KI128[127]</w:t>
            </w:r>
          </w:p>
        </w:tc>
      </w:tr>
    </w:tbl>
    <w:p>
      <w:pPr>
        <w:pStyle w:val="TH"/>
        <w:rPr/>
      </w:pPr>
      <w:r>
        <w:rPr/>
        <w:br/>
        <w:t xml:space="preserve">Table 6.2.2: </w:t>
      </w:r>
      <w:r>
        <w:rPr>
          <w:iCs/>
        </w:rPr>
        <w:t>GIA5</w:t>
      </w:r>
      <w:r>
        <w:rPr/>
        <w:t xml:space="preserve"> output</w:t>
      </w:r>
    </w:p>
    <w:tbl>
      <w:tblPr>
        <w:tblW w:w="8028" w:type="dxa"/>
        <w:jc w:val="center"/>
        <w:tblInd w:w="0" w:type="dxa"/>
        <w:tblLayout w:type="fixed"/>
        <w:tblCellMar>
          <w:top w:w="0" w:type="dxa"/>
          <w:left w:w="108" w:type="dxa"/>
          <w:bottom w:w="0" w:type="dxa"/>
          <w:right w:w="108" w:type="dxa"/>
        </w:tblCellMar>
      </w:tblPr>
      <w:tblGrid>
        <w:gridCol w:w="1638"/>
        <w:gridCol w:w="1447"/>
        <w:gridCol w:w="4943"/>
      </w:tblGrid>
      <w:tr>
        <w:trPr/>
        <w:tc>
          <w:tcPr>
            <w:tcW w:w="1638" w:type="dxa"/>
            <w:tcBorders>
              <w:top w:val="single" w:sz="12" w:space="0" w:color="000000"/>
              <w:left w:val="single" w:sz="12" w:space="0" w:color="000000"/>
              <w:bottom w:val="single" w:sz="12" w:space="0" w:color="000000"/>
              <w:right w:val="single" w:sz="6" w:space="0" w:color="000000"/>
            </w:tcBorders>
            <w:shd w:fill="BFBFBF" w:val="clear"/>
          </w:tcPr>
          <w:p>
            <w:pPr>
              <w:pStyle w:val="TAL"/>
              <w:jc w:val="center"/>
              <w:rPr>
                <w:b/>
                <w:b/>
              </w:rPr>
            </w:pPr>
            <w:r>
              <w:rPr>
                <w:b/>
              </w:rPr>
              <w:t>Parameter</w:t>
            </w:r>
          </w:p>
        </w:tc>
        <w:tc>
          <w:tcPr>
            <w:tcW w:w="1447" w:type="dxa"/>
            <w:tcBorders>
              <w:top w:val="single" w:sz="12" w:space="0" w:color="000000"/>
              <w:left w:val="single" w:sz="6" w:space="0" w:color="000000"/>
              <w:bottom w:val="single" w:sz="12" w:space="0" w:color="000000"/>
              <w:right w:val="single" w:sz="6" w:space="0" w:color="000000"/>
            </w:tcBorders>
            <w:shd w:fill="BFBFBF" w:val="clear"/>
          </w:tcPr>
          <w:p>
            <w:pPr>
              <w:pStyle w:val="TAL"/>
              <w:jc w:val="center"/>
              <w:rPr>
                <w:b/>
                <w:b/>
              </w:rPr>
            </w:pPr>
            <w:r>
              <w:rPr>
                <w:b/>
              </w:rPr>
              <w:t>Size (bits)</w:t>
            </w:r>
          </w:p>
        </w:tc>
        <w:tc>
          <w:tcPr>
            <w:tcW w:w="4943" w:type="dxa"/>
            <w:tcBorders>
              <w:top w:val="single" w:sz="12" w:space="0" w:color="000000"/>
              <w:left w:val="single" w:sz="6" w:space="0" w:color="000000"/>
              <w:bottom w:val="single" w:sz="12" w:space="0" w:color="000000"/>
              <w:right w:val="single" w:sz="12" w:space="0" w:color="000000"/>
            </w:tcBorders>
            <w:shd w:fill="BFBFBF" w:val="clear"/>
          </w:tcPr>
          <w:p>
            <w:pPr>
              <w:pStyle w:val="TAL"/>
              <w:jc w:val="center"/>
              <w:rPr>
                <w:b/>
                <w:b/>
              </w:rPr>
            </w:pPr>
            <w:r>
              <w:rPr>
                <w:b/>
              </w:rPr>
              <w:t>Comment</w:t>
            </w:r>
          </w:p>
        </w:tc>
      </w:tr>
      <w:tr>
        <w:trPr/>
        <w:tc>
          <w:tcPr>
            <w:tcW w:w="1638" w:type="dxa"/>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1447" w:type="dxa"/>
            <w:tcBorders>
              <w:top w:val="single" w:sz="6" w:space="0" w:color="000000"/>
              <w:left w:val="single" w:sz="6" w:space="0" w:color="000000"/>
              <w:bottom w:val="single" w:sz="12" w:space="0" w:color="000000"/>
              <w:right w:val="single" w:sz="6" w:space="0" w:color="000000"/>
            </w:tcBorders>
          </w:tcPr>
          <w:p>
            <w:pPr>
              <w:pStyle w:val="TAL"/>
              <w:jc w:val="center"/>
              <w:rPr/>
            </w:pPr>
            <w:r>
              <w:rPr/>
              <w:t>32</w:t>
            </w:r>
          </w:p>
        </w:tc>
        <w:tc>
          <w:tcPr>
            <w:tcW w:w="4943" w:type="dxa"/>
            <w:tcBorders>
              <w:top w:val="single" w:sz="6" w:space="0" w:color="000000"/>
              <w:left w:val="single" w:sz="6" w:space="0" w:color="000000"/>
              <w:bottom w:val="single" w:sz="12" w:space="0" w:color="000000"/>
              <w:right w:val="single" w:sz="12" w:space="0" w:color="000000"/>
            </w:tcBorders>
          </w:tcPr>
          <w:p>
            <w:pPr>
              <w:pStyle w:val="TAL"/>
              <w:rPr/>
            </w:pPr>
            <w:r>
              <w:rPr/>
              <w:t>Message authentication code MAC[0]…MAC[31]</w:t>
            </w:r>
          </w:p>
        </w:tc>
      </w:tr>
    </w:tbl>
    <w:p>
      <w:pPr>
        <w:pStyle w:val="Normal"/>
        <w:tabs>
          <w:tab w:val="clear" w:pos="284"/>
          <w:tab w:val="center" w:pos="4819" w:leader="none"/>
          <w:tab w:val="right" w:pos="9071" w:leader="none"/>
        </w:tabs>
        <w:spacing w:before="60" w:after="240"/>
        <w:rPr/>
      </w:pPr>
      <w:r>
        <w:rPr/>
      </w:r>
    </w:p>
    <w:p>
      <w:pPr>
        <w:pStyle w:val="Heading2"/>
        <w:rPr/>
      </w:pPr>
      <w:bookmarkStart w:id="46" w:name="__RefHeading___Toc467767865"/>
      <w:bookmarkEnd w:id="46"/>
      <w:r>
        <w:rPr>
          <w:lang w:val="en-GB"/>
        </w:rPr>
        <w:t>6.3</w:t>
        <w:tab/>
        <w:t>Components and architecture</w:t>
      </w:r>
    </w:p>
    <w:p>
      <w:pPr>
        <w:pStyle w:val="Heading3"/>
        <w:rPr/>
      </w:pPr>
      <w:bookmarkStart w:id="47" w:name="__RefHeading___Toc467767866"/>
      <w:bookmarkEnd w:id="47"/>
      <w:r>
        <w:rPr>
          <w:lang w:val="en-GB"/>
        </w:rPr>
        <w:t>6.3.1</w:t>
        <w:tab/>
        <w:t>SNOW 3G</w:t>
      </w:r>
    </w:p>
    <w:p>
      <w:pPr>
        <w:pStyle w:val="Normal"/>
        <w:rPr/>
      </w:pPr>
      <w:r>
        <w:rPr/>
        <w:t xml:space="preserve">This clause only available under licence. </w:t>
        <w:br/>
        <w:t xml:space="preserve">See </w:t>
      </w:r>
      <w:hyperlink r:id="rId11">
        <w:r>
          <w:rPr>
            <w:rStyle w:val="InternetLink"/>
          </w:rPr>
          <w:t>http://www.etsi.org/about/what-we-do/security-algorithms-and-codes/cellular-algorithm-licences</w:t>
        </w:r>
      </w:hyperlink>
      <w:r>
        <w:rPr/>
        <w:t>.</w:t>
      </w:r>
    </w:p>
    <w:p>
      <w:pPr>
        <w:pStyle w:val="Heading3"/>
        <w:rPr/>
      </w:pPr>
      <w:bookmarkStart w:id="48" w:name="__RefHeading___Toc467767867"/>
      <w:bookmarkEnd w:id="48"/>
      <w:r>
        <w:rPr>
          <w:lang w:val="en-GB"/>
        </w:rPr>
        <w:t>6.3.2</w:t>
        <w:tab/>
        <w:t>MULx</w:t>
      </w:r>
    </w:p>
    <w:p>
      <w:pPr>
        <w:pStyle w:val="Normal"/>
        <w:rPr/>
      </w:pPr>
      <w:r>
        <w:rPr/>
        <w:t xml:space="preserve">This clause only available under licence. </w:t>
        <w:br/>
        <w:t xml:space="preserve">See </w:t>
      </w:r>
      <w:hyperlink r:id="rId12">
        <w:r>
          <w:rPr>
            <w:rStyle w:val="InternetLink"/>
          </w:rPr>
          <w:t>http://www.etsi.org/about/what-we-do/security-algorithms-and-codes/cellular-algorithm-licences</w:t>
        </w:r>
      </w:hyperlink>
      <w:r>
        <w:rPr/>
        <w:t>.</w:t>
      </w:r>
    </w:p>
    <w:p>
      <w:pPr>
        <w:pStyle w:val="Heading3"/>
        <w:rPr/>
      </w:pPr>
      <w:bookmarkStart w:id="49" w:name="__RefHeading___Toc467767868"/>
      <w:bookmarkEnd w:id="49"/>
      <w:r>
        <w:rPr>
          <w:lang w:val="en-GB"/>
        </w:rPr>
        <w:t>6.3.3</w:t>
        <w:tab/>
        <w:t>MULxPOW</w:t>
      </w:r>
    </w:p>
    <w:p>
      <w:pPr>
        <w:pStyle w:val="Normal"/>
        <w:rPr/>
      </w:pPr>
      <w:r>
        <w:rPr/>
        <w:t xml:space="preserve">This clause only available under licence. </w:t>
        <w:br/>
        <w:t xml:space="preserve">See </w:t>
      </w:r>
      <w:hyperlink r:id="rId13">
        <w:r>
          <w:rPr>
            <w:rStyle w:val="InternetLink"/>
          </w:rPr>
          <w:t>http://www.etsi.org/about/what-we-do/security-algorithms-and-codes/cellular-algorithm-licences</w:t>
        </w:r>
      </w:hyperlink>
      <w:r>
        <w:rPr/>
        <w:t>.</w:t>
      </w:r>
    </w:p>
    <w:p>
      <w:pPr>
        <w:pStyle w:val="Heading3"/>
        <w:rPr/>
      </w:pPr>
      <w:bookmarkStart w:id="50" w:name="__RefHeading___Toc467767869"/>
      <w:bookmarkEnd w:id="50"/>
      <w:r>
        <w:rPr>
          <w:lang w:val="en-GB"/>
        </w:rPr>
        <w:t>6.3.4</w:t>
        <w:tab/>
        <w:t>MUL</w:t>
      </w:r>
    </w:p>
    <w:p>
      <w:pPr>
        <w:pStyle w:val="Normal"/>
        <w:rPr/>
      </w:pPr>
      <w:r>
        <w:rPr/>
        <w:t xml:space="preserve">This clause only available under licence. </w:t>
        <w:br/>
        <w:t xml:space="preserve">See </w:t>
      </w:r>
      <w:hyperlink r:id="rId14">
        <w:r>
          <w:rPr>
            <w:rStyle w:val="InternetLink"/>
          </w:rPr>
          <w:t>http://www.etsi.org/about/what-we-do/security-algorithms-and-codes/cellular-algorithm-licences</w:t>
        </w:r>
      </w:hyperlink>
      <w:r>
        <w:rPr/>
        <w:t>.</w:t>
      </w:r>
    </w:p>
    <w:p>
      <w:pPr>
        <w:pStyle w:val="Heading2"/>
        <w:rPr/>
      </w:pPr>
      <w:bookmarkStart w:id="51" w:name="__RefHeading___Toc467767870"/>
      <w:bookmarkEnd w:id="51"/>
      <w:r>
        <w:rPr>
          <w:lang w:val="en-GB"/>
        </w:rPr>
        <w:t>6.4</w:t>
        <w:tab/>
        <w:t>Initialization</w:t>
      </w:r>
    </w:p>
    <w:p>
      <w:pPr>
        <w:pStyle w:val="Normal"/>
        <w:rPr/>
      </w:pPr>
      <w:r>
        <w:rPr/>
        <w:t xml:space="preserve">This clause only available under licence. </w:t>
        <w:br/>
        <w:t xml:space="preserve">See </w:t>
      </w:r>
      <w:hyperlink r:id="rId15">
        <w:r>
          <w:rPr>
            <w:rStyle w:val="InternetLink"/>
          </w:rPr>
          <w:t>http://www.etsi.org/about/what-we-do/security-algorithms-and-codes/cellular-algorithm-licences</w:t>
        </w:r>
      </w:hyperlink>
      <w:r>
        <w:rPr/>
        <w:t>.</w:t>
      </w:r>
    </w:p>
    <w:p>
      <w:pPr>
        <w:pStyle w:val="Heading2"/>
        <w:rPr/>
      </w:pPr>
      <w:bookmarkStart w:id="52" w:name="__RefHeading___Toc467767871"/>
      <w:bookmarkEnd w:id="52"/>
      <w:r>
        <w:rPr>
          <w:lang w:val="en-GB"/>
        </w:rPr>
        <w:t>6.5</w:t>
        <w:tab/>
        <w:t>Calculation</w:t>
      </w:r>
    </w:p>
    <w:p>
      <w:pPr>
        <w:pStyle w:val="Normal"/>
        <w:rPr/>
      </w:pPr>
      <w:r>
        <w:rPr/>
        <w:t xml:space="preserve">This clause only available under licence. </w:t>
        <w:br/>
        <w:t xml:space="preserve">See </w:t>
      </w:r>
      <w:hyperlink r:id="rId16">
        <w:r>
          <w:rPr>
            <w:rStyle w:val="InternetLink"/>
          </w:rPr>
          <w:t>http://www.etsi.org/about/what-we-do/security-algorithms-and-codes/cellular-algorithm-licences</w:t>
        </w:r>
      </w:hyperlink>
      <w:r>
        <w:rPr/>
        <w:t>.</w:t>
      </w:r>
      <w:r>
        <w:br w:type="page"/>
      </w:r>
    </w:p>
    <w:p>
      <w:pPr>
        <w:pStyle w:val="Heading8"/>
        <w:ind w:left="0" w:hanging="0"/>
        <w:rPr>
          <w:lang w:val="en-GB"/>
        </w:rPr>
      </w:pPr>
      <w:bookmarkStart w:id="53" w:name="__RefHeading___Toc467767872"/>
      <w:bookmarkEnd w:id="53"/>
      <w:r>
        <w:rPr>
          <w:lang w:val="en-GB"/>
        </w:rPr>
        <w:t>Annex A (informative):</w:t>
        <w:br/>
        <w:t>Mathematical background of some operations of the GIA5 Algorithm</w:t>
      </w:r>
    </w:p>
    <w:p>
      <w:pPr>
        <w:pStyle w:val="Heading1"/>
        <w:ind w:left="1134" w:hanging="1134"/>
        <w:rPr/>
      </w:pPr>
      <w:bookmarkStart w:id="54" w:name="__RefHeading___Toc467767873"/>
      <w:bookmarkEnd w:id="54"/>
      <w:r>
        <w:rPr/>
        <w:t>A.1</w:t>
        <w:tab/>
        <w:t>The function EVAL_S</w:t>
      </w:r>
    </w:p>
    <w:p>
      <w:pPr>
        <w:pStyle w:val="Normal"/>
        <w:rPr/>
      </w:pPr>
      <w:r>
        <w:rPr/>
        <w:t xml:space="preserve">This clause only available under licence. </w:t>
        <w:br/>
        <w:t xml:space="preserve">See </w:t>
      </w:r>
      <w:hyperlink r:id="rId17">
        <w:r>
          <w:rPr>
            <w:rStyle w:val="InternetLink"/>
          </w:rPr>
          <w:t>http://www.etsi.org/about/what-we-do/security-algorithms-and-codes/cellular-algorithm-licences</w:t>
        </w:r>
      </w:hyperlink>
      <w:r>
        <w:rPr/>
        <w:t>.</w:t>
      </w:r>
    </w:p>
    <w:p>
      <w:pPr>
        <w:pStyle w:val="Heading1"/>
        <w:ind w:left="1134" w:hanging="1134"/>
        <w:rPr/>
      </w:pPr>
      <w:bookmarkStart w:id="55" w:name="__RefHeading___Toc467767874"/>
      <w:bookmarkEnd w:id="55"/>
      <w:r>
        <w:rPr/>
        <w:t>A.2</w:t>
        <w:tab/>
        <w:t>The function MUL(V, P, c)</w:t>
      </w:r>
    </w:p>
    <w:p>
      <w:pPr>
        <w:pStyle w:val="Normal"/>
        <w:rPr/>
      </w:pPr>
      <w:r>
        <w:rPr/>
        <w:t xml:space="preserve">This clause only available under licence. </w:t>
        <w:br/>
        <w:t xml:space="preserve">See </w:t>
      </w:r>
      <w:hyperlink r:id="rId18">
        <w:r>
          <w:rPr>
            <w:rStyle w:val="InternetLink"/>
          </w:rPr>
          <w:t>http://www.etsi.org/about/what-we-do/security-algorithms-and-codes/cellular-algorithm-licences</w:t>
        </w:r>
      </w:hyperlink>
      <w:r>
        <w:rPr/>
        <w:t>.</w:t>
      </w:r>
      <w:r>
        <w:br w:type="page"/>
      </w:r>
    </w:p>
    <w:p>
      <w:pPr>
        <w:pStyle w:val="Heading8"/>
        <w:ind w:left="0" w:hanging="0"/>
        <w:rPr/>
      </w:pPr>
      <w:bookmarkStart w:id="56" w:name="__RefHeading___Toc467767875"/>
      <w:r>
        <w:rPr>
          <w:lang w:val="en-GB"/>
        </w:rPr>
        <w:t>Annex B (informative):</w:t>
        <w:br/>
        <w:t>Implementation options for some operations of the GIA5 algorithm</w:t>
      </w:r>
      <w:bookmarkEnd w:id="56"/>
      <w:r>
        <w:rPr>
          <w:lang w:val="en-GB"/>
        </w:rPr>
        <w:t xml:space="preserve"> </w:t>
      </w:r>
    </w:p>
    <w:p>
      <w:pPr>
        <w:pStyle w:val="Heading1"/>
        <w:ind w:left="1134" w:hanging="1134"/>
        <w:rPr/>
      </w:pPr>
      <w:bookmarkStart w:id="57" w:name="__RefHeading___Toc467767876"/>
      <w:bookmarkEnd w:id="57"/>
      <w:r>
        <w:rPr/>
        <w:t>B.1</w:t>
        <w:tab/>
        <w:t>Overview</w:t>
      </w:r>
    </w:p>
    <w:p>
      <w:pPr>
        <w:pStyle w:val="Normal"/>
        <w:rPr/>
      </w:pPr>
      <w:r>
        <w:rPr/>
        <w:t xml:space="preserve">This clause only available under licence. </w:t>
        <w:br/>
        <w:t xml:space="preserve">See </w:t>
      </w:r>
      <w:hyperlink r:id="rId19">
        <w:r>
          <w:rPr>
            <w:rStyle w:val="InternetLink"/>
          </w:rPr>
          <w:t>http://www.etsi.org/about/what-we-do/security-algorithms-and-codes/cellular-algorithm-licences</w:t>
        </w:r>
      </w:hyperlink>
      <w:r>
        <w:rPr/>
        <w:t>.</w:t>
      </w:r>
    </w:p>
    <w:p>
      <w:pPr>
        <w:pStyle w:val="Heading1"/>
        <w:ind w:left="1134" w:hanging="1134"/>
        <w:rPr/>
      </w:pPr>
      <w:bookmarkStart w:id="58" w:name="__RefHeading___Toc467767877"/>
      <w:bookmarkEnd w:id="58"/>
      <w:r>
        <w:rPr/>
        <w:t>B.2.</w:t>
        <w:tab/>
        <w:t>Procedure Pre_Mul_P</w:t>
      </w:r>
    </w:p>
    <w:p>
      <w:pPr>
        <w:pStyle w:val="Normal"/>
        <w:rPr/>
      </w:pPr>
      <w:r>
        <w:rPr/>
        <w:t xml:space="preserve">This clause only available under licence. </w:t>
        <w:br/>
        <w:t xml:space="preserve">See </w:t>
      </w:r>
      <w:hyperlink r:id="rId20">
        <w:r>
          <w:rPr>
            <w:rStyle w:val="InternetLink"/>
          </w:rPr>
          <w:t>http://www.etsi.org/about/what-we-do/security-algorithms-and-codes/cellular-algorithm-licences</w:t>
        </w:r>
      </w:hyperlink>
      <w:r>
        <w:rPr/>
        <w:t>.</w:t>
      </w:r>
    </w:p>
    <w:p>
      <w:pPr>
        <w:pStyle w:val="Heading1"/>
        <w:ind w:left="1134" w:hanging="1134"/>
        <w:rPr/>
      </w:pPr>
      <w:bookmarkStart w:id="59" w:name="__RefHeading___Toc467767878"/>
      <w:bookmarkEnd w:id="59"/>
      <w:r>
        <w:rPr/>
        <w:t>B.3</w:t>
        <w:tab/>
        <w:t>Function Mul_P</w:t>
      </w:r>
    </w:p>
    <w:p>
      <w:pPr>
        <w:pStyle w:val="Normal"/>
        <w:rPr/>
      </w:pPr>
      <w:r>
        <w:rPr/>
        <w:t xml:space="preserve">This clause only available under licence. </w:t>
        <w:br/>
        <w:t xml:space="preserve">See </w:t>
      </w:r>
      <w:hyperlink r:id="rId21">
        <w:r>
          <w:rPr>
            <w:rStyle w:val="InternetLink"/>
          </w:rPr>
          <w:t>http://www.etsi.org/about/what-we-do/security-algorithms-and-codes/cellular-algorithm-licences</w:t>
        </w:r>
      </w:hyperlink>
      <w:r>
        <w:rPr/>
        <w:t>.</w:t>
      </w:r>
      <w:r>
        <w:br w:type="page"/>
      </w:r>
    </w:p>
    <w:p>
      <w:pPr>
        <w:pStyle w:val="Heading8"/>
        <w:ind w:left="0" w:hanging="0"/>
        <w:rPr/>
      </w:pPr>
      <w:bookmarkStart w:id="60" w:name="__RefHeading___Toc467767879"/>
      <w:bookmarkEnd w:id="60"/>
      <w:r>
        <w:rPr>
          <w:lang w:val="en-GB"/>
        </w:rPr>
        <w:t>Annex C (informative):</w:t>
        <w:br/>
        <w:t>Figures of the GEA5 and GIA5 algorithms</w:t>
      </w:r>
    </w:p>
    <w:p>
      <w:pPr>
        <w:pStyle w:val="Normal"/>
        <w:rPr/>
      </w:pPr>
      <w:r>
        <w:rPr/>
        <w:t xml:space="preserve">This clause only available under licence. </w:t>
        <w:br/>
        <w:t xml:space="preserve">See </w:t>
      </w:r>
      <w:hyperlink r:id="rId22">
        <w:r>
          <w:rPr>
            <w:rStyle w:val="InternetLink"/>
          </w:rPr>
          <w:t>http://www.etsi.org/about/what-we-do/security-algorithms-and-codes/cellular-algorithm-licences</w:t>
        </w:r>
      </w:hyperlink>
      <w:r>
        <w:rPr/>
        <w:t>.</w:t>
      </w:r>
      <w:r>
        <w:br w:type="page"/>
      </w:r>
    </w:p>
    <w:p>
      <w:pPr>
        <w:pStyle w:val="Heading8"/>
        <w:ind w:left="0" w:hanging="0"/>
        <w:rPr>
          <w:b/>
          <w:b/>
          <w:sz w:val="28"/>
          <w:lang w:val="en-GB" w:eastAsia="de-DE"/>
        </w:rPr>
      </w:pPr>
      <w:bookmarkStart w:id="61" w:name="__RefHeading___Toc467767880"/>
      <w:bookmarkEnd w:id="61"/>
      <w:r>
        <w:rPr>
          <w:lang w:val="en-GB"/>
        </w:rPr>
        <w:t>Annex D (informative):</w:t>
        <w:br/>
        <w:t>Simulation program listing</w:t>
      </w:r>
    </w:p>
    <w:p>
      <w:pPr>
        <w:pStyle w:val="Heading1"/>
        <w:ind w:left="1134" w:hanging="1134"/>
        <w:rPr/>
      </w:pPr>
      <w:bookmarkStart w:id="62" w:name="__RefHeading___Toc467767881"/>
      <w:bookmarkEnd w:id="62"/>
      <w:r>
        <w:rPr/>
        <w:t>D.1</w:t>
        <w:tab/>
        <w:t>GEA5</w:t>
      </w:r>
    </w:p>
    <w:p>
      <w:pPr>
        <w:pStyle w:val="Normal"/>
        <w:rPr/>
      </w:pPr>
      <w:r>
        <w:rPr/>
        <w:t xml:space="preserve">This clause only available under licence. </w:t>
        <w:br/>
        <w:t xml:space="preserve">See </w:t>
      </w:r>
      <w:hyperlink r:id="rId23">
        <w:r>
          <w:rPr>
            <w:rStyle w:val="InternetLink"/>
          </w:rPr>
          <w:t>http://www.etsi.org/about/what-we-do/security-algorithms-and-codes/cellular-algorithm-licences</w:t>
        </w:r>
      </w:hyperlink>
      <w:r>
        <w:rPr/>
        <w:t>.</w:t>
      </w:r>
    </w:p>
    <w:p>
      <w:pPr>
        <w:pStyle w:val="Heading1"/>
        <w:ind w:left="1134" w:hanging="1134"/>
        <w:rPr/>
      </w:pPr>
      <w:bookmarkStart w:id="63" w:name="__RefHeading___Toc467767882"/>
      <w:bookmarkEnd w:id="63"/>
      <w:r>
        <w:rPr/>
        <w:t>D.2</w:t>
        <w:tab/>
        <w:t>GIA5</w:t>
      </w:r>
    </w:p>
    <w:p>
      <w:pPr>
        <w:pStyle w:val="Normal"/>
        <w:rPr/>
      </w:pPr>
      <w:r>
        <w:rPr/>
        <w:t xml:space="preserve">This clause only available under licence. </w:t>
        <w:br/>
        <w:t xml:space="preserve">See </w:t>
      </w:r>
      <w:hyperlink r:id="rId24">
        <w:r>
          <w:rPr>
            <w:rStyle w:val="InternetLink"/>
          </w:rPr>
          <w:t>http://www.etsi.org/about/what-we-do/security-algorithms-and-codes/cellular-algorithm-licences</w:t>
        </w:r>
      </w:hyperlink>
      <w:r>
        <w:rPr/>
        <w:t>.</w:t>
      </w:r>
      <w:r>
        <w:br w:type="page"/>
      </w:r>
    </w:p>
    <w:p>
      <w:pPr>
        <w:pStyle w:val="Heading8"/>
        <w:ind w:left="0" w:hanging="0"/>
        <w:rPr/>
      </w:pPr>
      <w:bookmarkStart w:id="64" w:name="__RefHeading___Toc467767883"/>
      <w:bookmarkStart w:id="65" w:name="historyclause"/>
      <w:bookmarkEnd w:id="64"/>
      <w:bookmarkEnd w:id="65"/>
      <w:r>
        <w:rPr>
          <w:lang w:val="en-GB"/>
        </w:rPr>
        <w:t>Annex E (informative):</w:t>
        <w:br/>
        <w:t>Change history</w:t>
      </w:r>
    </w:p>
    <w:p>
      <w:pPr>
        <w:pStyle w:val="TH"/>
        <w:rPr>
          <w:lang w:val="en-GB"/>
        </w:rPr>
      </w:pPr>
      <w:r>
        <w:rPr>
          <w:lang w:val="en-GB"/>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Removed algorithm details until permission to publish is received from French Government.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version sent to French Government for permission to publish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Updated titles after comments in SA3 #83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Removed algorithm details until permission to publish is received from French Government.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Full Specification with Example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SP-160380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EditHelp editorial fix and presented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version only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Updated the editors note to reflect the need for a licence to see the content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SP-160792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MCC clean up, redacted version for TSG SA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Approved by TSG SA</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w:r>
    <w:r>
      <mc:AlternateContent>
        <mc:Choice Requires="wps">
          <w:drawing>
            <wp:anchor behindDoc="1" distT="0" distB="0" distL="114935" distR="114935" simplePos="0" locked="0" layoutInCell="0" allowOverlap="1" relativeHeight="55">
              <wp:simplePos x="0" y="0"/>
              <wp:positionH relativeFrom="column">
                <wp:posOffset>-540385</wp:posOffset>
              </wp:positionH>
              <wp:positionV relativeFrom="paragraph">
                <wp:posOffset>10582910</wp:posOffset>
              </wp:positionV>
              <wp:extent cx="7560310" cy="110490"/>
              <wp:effectExtent l="0" t="0" r="0" b="0"/>
              <wp:wrapNone/>
              <wp:docPr id="1" name="Frame10"/>
              <a:graphic xmlns:a="http://schemas.openxmlformats.org/drawingml/2006/main">
                <a:graphicData uri="http://schemas.microsoft.com/office/word/2010/wordprocessingShape">
                  <wps:wsp>
                    <wps:cNvSpPr txBox="1"/>
                    <wps:spPr>
                      <a:xfrm>
                        <a:off x="0" y="0"/>
                        <a:ext cx="7560310" cy="110490"/>
                      </a:xfrm>
                      <a:prstGeom prst="rect"/>
                      <a:solidFill>
                        <a:srgbClr val="FFFFFF">
                          <a:alpha val="0"/>
                        </a:srgbClr>
                      </a:solidFill>
                    </wps:spPr>
                    <wps:txbx>
                      <w:txbxContent>
                        <w:p>
                          <w:pPr>
                            <w:pStyle w:val="Normal"/>
                            <w:spacing w:before="0" w:after="180"/>
                            <w:rPr>
                              <w:rFonts w:ascii="Arial" w:hAnsi="Arial" w:cs="Arial"/>
                              <w:color w:val="000000"/>
                              <w:sz w:val="14"/>
                            </w:rPr>
                          </w:pPr>
                          <w:r>
                            <w:rPr>
                              <w:rFonts w:cs="Arial" w:ascii="Arial" w:hAnsi="Arial"/>
                              <w:color w:val="000000"/>
                              <w:sz w:val="14"/>
                            </w:rPr>
                            <w:t>Vodafone Proprietary classified as C2 - VODAFONE RESTRICTED</w:t>
                          </w:r>
                        </w:p>
                      </w:txbxContent>
                    </wps:txbx>
                    <wps:bodyPr anchor="t" lIns="92075" tIns="635" rIns="92075" bIns="635">
                      <a:noAutofit/>
                    </wps:bodyPr>
                  </wps:wsp>
                </a:graphicData>
              </a:graphic>
            </wp:anchor>
          </w:drawing>
        </mc:Choice>
        <mc:Fallback>
          <w:pict>
            <v:rect fillcolor="#FFFFFF" style="position:absolute;rotation:-0;width:595.3pt;height:8.7pt;mso-wrap-distance-left:9.05pt;mso-wrap-distance-right:9.05pt;mso-wrap-distance-top:0pt;mso-wrap-distance-bottom:0pt;margin-top:833.3pt;mso-position-vertical-relative:text;margin-left:-42.55pt;mso-position-horizontal-relative:text">
              <v:fill opacity="0f"/>
              <v:textbox inset="0.100694444444444in,0.000694444444444444in,0.100694444444444in,0.000694444444444444in">
                <w:txbxContent>
                  <w:p>
                    <w:pPr>
                      <w:pStyle w:val="Normal"/>
                      <w:spacing w:before="0" w:after="180"/>
                      <w:rPr>
                        <w:rFonts w:ascii="Arial" w:hAnsi="Arial" w:cs="Arial"/>
                        <w:color w:val="000000"/>
                        <w:sz w:val="14"/>
                      </w:rPr>
                    </w:pPr>
                    <w:r>
                      <w:rPr>
                        <w:rFonts w:cs="Arial" w:ascii="Arial" w:hAnsi="Arial"/>
                        <w:color w:val="000000"/>
                        <w:sz w:val="14"/>
                      </w:rPr>
                      <w:t>Vodafone Proprietary classified as C2 - VODAFONE RESTRICTED</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78689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55.251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55.251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4445</wp:posOffset>
              </wp:positionV>
              <wp:extent cx="127635"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4445</wp:posOffset>
              </wp:positionV>
              <wp:extent cx="59182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rFonts w:ascii="Symbol" w:hAnsi="Symbol"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CommentReference">
    <w:name w:val="Comment Reference"/>
    <w:qFormat/>
    <w:rPr>
      <w:sz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hyperlink" Target="http://www.etsi.org/about/what-we-do/security-algorithms-and-codes/cellular-algorithm-licences" TargetMode="External"/><Relationship Id="rId8" Type="http://schemas.openxmlformats.org/officeDocument/2006/relationships/hyperlink" Target="http://www.etsi.org/about/what-we-do/security-algorithms-and-codes/cellular-algorithm-licences" TargetMode="External"/><Relationship Id="rId9" Type="http://schemas.openxmlformats.org/officeDocument/2006/relationships/hyperlink" Target="http://www.etsi.org/about/what-we-do/security-algorithms-and-codes/cellular-algorithm-licences" TargetMode="External"/><Relationship Id="rId10" Type="http://schemas.openxmlformats.org/officeDocument/2006/relationships/hyperlink" Target="http://www.etsi.org/about/what-we-do/security-algorithms-and-codes/cellular-algorithm-licences" TargetMode="External"/><Relationship Id="rId11" Type="http://schemas.openxmlformats.org/officeDocument/2006/relationships/hyperlink" Target="http://www.etsi.org/about/what-we-do/security-algorithms-and-codes/cellular-algorithm-licences" TargetMode="External"/><Relationship Id="rId12" Type="http://schemas.openxmlformats.org/officeDocument/2006/relationships/hyperlink" Target="http://www.etsi.org/about/what-we-do/security-algorithms-and-codes/cellular-algorithm-licences" TargetMode="External"/><Relationship Id="rId13" Type="http://schemas.openxmlformats.org/officeDocument/2006/relationships/hyperlink" Target="http://www.etsi.org/about/what-we-do/security-algorithms-and-codes/cellular-algorithm-licences" TargetMode="External"/><Relationship Id="rId14" Type="http://schemas.openxmlformats.org/officeDocument/2006/relationships/hyperlink" Target="http://www.etsi.org/about/what-we-do/security-algorithms-and-codes/cellular-algorithm-licences" TargetMode="External"/><Relationship Id="rId15" Type="http://schemas.openxmlformats.org/officeDocument/2006/relationships/hyperlink" Target="http://www.etsi.org/about/what-we-do/security-algorithms-and-codes/cellular-algorithm-licences" TargetMode="External"/><Relationship Id="rId16" Type="http://schemas.openxmlformats.org/officeDocument/2006/relationships/hyperlink" Target="http://www.etsi.org/about/what-we-do/security-algorithms-and-codes/cellular-algorithm-licences" TargetMode="External"/><Relationship Id="rId17" Type="http://schemas.openxmlformats.org/officeDocument/2006/relationships/hyperlink" Target="http://www.etsi.org/about/what-we-do/security-algorithms-and-codes/cellular-algorithm-licences" TargetMode="External"/><Relationship Id="rId18" Type="http://schemas.openxmlformats.org/officeDocument/2006/relationships/hyperlink" Target="http://www.etsi.org/about/what-we-do/security-algorithms-and-codes/cellular-algorithm-licences" TargetMode="External"/><Relationship Id="rId19" Type="http://schemas.openxmlformats.org/officeDocument/2006/relationships/hyperlink" Target="http://www.etsi.org/about/what-we-do/security-algorithms-and-codes/cellular-algorithm-licences" TargetMode="External"/><Relationship Id="rId20" Type="http://schemas.openxmlformats.org/officeDocument/2006/relationships/hyperlink" Target="http://www.etsi.org/about/what-we-do/security-algorithms-and-codes/cellular-algorithm-licences" TargetMode="External"/><Relationship Id="rId21" Type="http://schemas.openxmlformats.org/officeDocument/2006/relationships/hyperlink" Target="http://www.etsi.org/about/what-we-do/security-algorithms-and-codes/cellular-algorithm-licences" TargetMode="External"/><Relationship Id="rId22" Type="http://schemas.openxmlformats.org/officeDocument/2006/relationships/hyperlink" Target="http://www.etsi.org/about/what-we-do/security-algorithms-and-codes/cellular-algorithm-licences" TargetMode="External"/><Relationship Id="rId23" Type="http://schemas.openxmlformats.org/officeDocument/2006/relationships/hyperlink" Target="http://www.etsi.org/about/what-we-do/security-algorithms-and-codes/cellular-algorithm-licences" TargetMode="External"/><Relationship Id="rId24" Type="http://schemas.openxmlformats.org/officeDocument/2006/relationships/hyperlink" Target="http://www.etsi.org/about/what-we-do/security-algorithms-and-codes/cellular-algorithm-licences" TargetMode="Externa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2020-07-09T09:29:00Z</dcterms:created>
  <dc:creator>MCC Support</dc:creator>
  <dc:description/>
  <cp:keywords>security algorithm</cp:keywords>
  <dc:language>en-US</dc:language>
  <cp:lastModifiedBy>28307-g00.</cp:lastModifiedBy>
  <cp:lastPrinted>2016-04-04T12:17:00Z</cp:lastPrinted>
  <dcterms:modified xsi:type="dcterms:W3CDTF">2020-07-09T13:00:00Z</dcterms:modified>
  <cp:revision>3</cp:revision>
  <dc:subject>Specification of the GEA5 and GIA5 encryption algorithms for General Packet Radio Service (GPRS); GEA5 and GIA5 algorithm specification (Release 16)</dc:subject>
  <dc:title>3GPP TS 55.251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C1 - PUBLIC</vt:lpwstr>
  </property>
  <property fmtid="{D5CDD505-2E9C-101B-9397-08002B2CF9AE}" pid="3" name="_NewReviewCycle">
    <vt:lpwstr/>
  </property>
  <property fmtid="{D5CDD505-2E9C-101B-9397-08002B2CF9AE}" pid="4" name="_SIProp12DataClass+84ad5391-22de-435f-bfa0-07634f9a8deb">
    <vt:lpwstr>v=1.2&gt;I=84ad5391-22de-435f-bfa0-07634f9a8deb&amp;N=C1+-+PUBLIC&amp;V=1.2&amp;U=VF-ROOT%5cbabbages&amp;A=Associated&amp;H=False</vt:lpwstr>
  </property>
</Properties>
</file>