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21.202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21.202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Technical Specifications and Technical Reports relating to the</w:t>
                              <w:br/>
                              <w:t xml:space="preserve"> Common IP Multimedia Subsystem (IMS)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Technical Specifications and Technical Reports relating to the</w:t>
                        <w:br/>
                        <w:t xml:space="preserve"> Common IP Multimedia Subsystem (IMS)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Packet Mode, Architecture, IP, IMS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Packet Mode, Architecture, IP, IMS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27201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27201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27201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527201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27201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5272018">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527201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5272020">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Specifications and Reports</w:t>
            <w:tab/>
          </w:r>
          <w:hyperlink w:anchor="__RefHeading___Toc45272021">
            <w:r>
              <w:rPr>
                <w:rStyle w:val="IndexLink"/>
              </w:rPr>
              <w:t>6</w:t>
            </w:r>
          </w:hyperlink>
        </w:p>
        <w:p>
          <w:pPr>
            <w:pStyle w:val="Contents8"/>
            <w:rPr>
              <w:rFonts w:ascii="Calibri" w:hAnsi="Calibri" w:cs="Calibri"/>
              <w:szCs w:val="22"/>
              <w:lang w:val="en-US" w:eastAsia="en-US"/>
            </w:rPr>
          </w:pPr>
          <w:r>
            <w:rPr>
              <w:b w:val="false"/>
            </w:rPr>
            <w:t>Annex C (informative): Change history</w:t>
            <w:tab/>
          </w:r>
          <w:hyperlink w:anchor="__RefHeading___Toc45272022">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27201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272014"/>
      <w:bookmarkEnd w:id="8"/>
      <w:r>
        <w:rPr/>
        <w:t>1</w:t>
        <w:tab/>
        <w:t>Scope</w:t>
      </w:r>
    </w:p>
    <w:p>
      <w:pPr>
        <w:pStyle w:val="Normal"/>
        <w:rPr/>
      </w:pPr>
      <w:r>
        <w:rPr/>
        <w:t>The present document identifies the 3GPP Technical Specifications and Technical Reports specifically relating to the Common IP Multimedia Subsystem (IMS) maintained by 3GPP. Standards organizations adopting the Common IP Multimedia Subsystem (IMS) might not need to use all listed specifications.</w:t>
      </w:r>
    </w:p>
    <w:p>
      <w:pPr>
        <w:pStyle w:val="Heading1"/>
        <w:ind w:left="1134" w:hanging="1134"/>
        <w:rPr/>
      </w:pPr>
      <w:bookmarkStart w:id="9" w:name="__RefHeading___Toc45272015"/>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TR 21.900: "Technical specification group working methods".</w:t>
      </w:r>
    </w:p>
    <w:p>
      <w:pPr>
        <w:pStyle w:val="Heading1"/>
        <w:ind w:left="1134" w:hanging="1134"/>
        <w:rPr/>
      </w:pPr>
      <w:bookmarkStart w:id="18" w:name="__RefHeading___Toc45272016"/>
      <w:bookmarkEnd w:id="18"/>
      <w:r>
        <w:rPr/>
        <w:t>3</w:t>
        <w:tab/>
        <w:t>Definitions, symbols and abbreviations</w:t>
      </w:r>
    </w:p>
    <w:p>
      <w:pPr>
        <w:pStyle w:val="Heading2"/>
        <w:rPr/>
      </w:pPr>
      <w:bookmarkStart w:id="19" w:name="__RefHeading___Toc45272017"/>
      <w:bookmarkEnd w:id="19"/>
      <w:r>
        <w:rPr/>
        <w:t>3.1</w:t>
        <w:tab/>
        <w:t>Definitions</w:t>
      </w:r>
    </w:p>
    <w:p>
      <w:pPr>
        <w:pStyle w:val="Normal"/>
        <w:rPr/>
      </w:pPr>
      <w:r>
        <w:rPr/>
        <w:t xml:space="preserve">For the purposes of the present document, the terms and definitions given in TR 21.905 [1] apply. </w:t>
      </w:r>
    </w:p>
    <w:p>
      <w:pPr>
        <w:pStyle w:val="Heading2"/>
        <w:rPr/>
      </w:pPr>
      <w:bookmarkStart w:id="20" w:name="__RefHeading___Toc45272018"/>
      <w:bookmarkEnd w:id="20"/>
      <w:r>
        <w:rPr/>
        <w:t>3.2</w:t>
        <w:tab/>
        <w:t>Symbols</w:t>
      </w:r>
    </w:p>
    <w:p>
      <w:pPr>
        <w:pStyle w:val="Normal"/>
        <w:keepNext w:val="true"/>
        <w:rPr/>
      </w:pPr>
      <w:r>
        <w:rPr/>
        <w:t>(None)</w:t>
      </w:r>
    </w:p>
    <w:p>
      <w:pPr>
        <w:pStyle w:val="Heading2"/>
        <w:rPr/>
      </w:pPr>
      <w:bookmarkStart w:id="21" w:name="__RefHeading___Toc45272019"/>
      <w:bookmarkEnd w:id="21"/>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NGN</w:t>
        <w:tab/>
        <w:t>Next Generation Network</w:t>
      </w:r>
    </w:p>
    <w:p>
      <w:pPr>
        <w:pStyle w:val="EW"/>
        <w:rPr/>
      </w:pPr>
      <w:r>
        <w:rPr/>
        <w:t>R1</w:t>
        <w:tab/>
        <w:t>Release 1</w:t>
      </w:r>
    </w:p>
    <w:p>
      <w:pPr>
        <w:pStyle w:val="EW"/>
        <w:rPr/>
      </w:pPr>
      <w:r>
        <w:rPr/>
        <w:t>R2</w:t>
        <w:tab/>
        <w:t>Release 2</w:t>
      </w:r>
    </w:p>
    <w:p>
      <w:pPr>
        <w:pStyle w:val="EW"/>
        <w:rPr/>
      </w:pPr>
      <w:r>
        <w:rPr/>
        <w:t>TISPAN</w:t>
        <w:tab/>
        <w:t>Telecommunications and Internet converged Services and Protocols for Advanced Networks</w:t>
      </w:r>
    </w:p>
    <w:p>
      <w:pPr>
        <w:pStyle w:val="EW"/>
        <w:rPr/>
      </w:pPr>
      <w:r>
        <w:rPr/>
      </w:r>
    </w:p>
    <w:p>
      <w:pPr>
        <w:pStyle w:val="Heading1"/>
        <w:ind w:left="1134" w:hanging="1134"/>
        <w:rPr/>
      </w:pPr>
      <w:bookmarkStart w:id="22" w:name="__RefHeading___Toc45272020"/>
      <w:bookmarkEnd w:id="22"/>
      <w:r>
        <w:rPr/>
        <w:t>4</w:t>
        <w:tab/>
        <w:t>General</w:t>
      </w:r>
    </w:p>
    <w:p>
      <w:pPr>
        <w:pStyle w:val="Normal"/>
        <w:rPr/>
      </w:pPr>
      <w:r>
        <w:rPr/>
        <w:t>The numbering scheme for specifications is described in 3GPP TR 21.900 [2].</w:t>
      </w:r>
    </w:p>
    <w:p>
      <w:pPr>
        <w:pStyle w:val="Heading1"/>
        <w:ind w:left="1134" w:hanging="1134"/>
        <w:rPr/>
      </w:pPr>
      <w:bookmarkStart w:id="23" w:name="__RefHeading___Toc45272021"/>
      <w:bookmarkStart w:id="24" w:name="historyclause"/>
      <w:bookmarkEnd w:id="23"/>
      <w:bookmarkEnd w:id="24"/>
      <w:r>
        <w:rPr/>
        <w:t>5</w:t>
        <w:tab/>
        <w:t>Specifications and Reports</w:t>
      </w:r>
    </w:p>
    <w:p>
      <w:pPr>
        <w:pStyle w:val="NO"/>
        <w:keepNext w:val="true"/>
        <w:rPr/>
      </w:pPr>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r>
        <w:rPr/>
        <w:t>NOTE 2:</w:t>
        <w:tab/>
        <w:t>Some of the algorithm specifications in the 35.</w:t>
        <w:noBreakHyphen/>
        <w:t>series are available only under licence.</w:t>
      </w:r>
    </w:p>
    <w:p>
      <w:pPr>
        <w:pStyle w:val="NO"/>
        <w:keepNext w:val="true"/>
        <w:rPr/>
      </w:pPr>
      <w:r>
        <w:rPr/>
        <w:t>NOTE 3:</w:t>
        <w:tab/>
        <w:t>"Type" indicates Technical Specification (TS) or Technical Report (TR).</w:t>
      </w:r>
    </w:p>
    <w:p>
      <w:pPr>
        <w:pStyle w:val="NO"/>
        <w:keepNext w:val="true"/>
        <w:rPr/>
      </w:pPr>
      <w:r>
        <w:rPr/>
        <w:t>NOTE 4:</w:t>
        <w:tab/>
        <w:t>For definition of "freezing" of specifications (last two columns), see 3GPP TR 21.900 [2].</w:t>
      </w:r>
    </w:p>
    <w:p>
      <w:pPr>
        <w:sectPr>
          <w:headerReference w:type="default" r:id="rId7"/>
          <w:footerReference w:type="default" r:id="rId8"/>
          <w:type w:val="nextPage"/>
          <w:pgSz w:w="11906" w:h="16838"/>
          <w:pgMar w:left="1134" w:right="1134" w:gutter="0" w:header="851" w:top="1418" w:footer="340" w:bottom="1134"/>
          <w:pgNumType w:fmt="decimal"/>
          <w:formProt w:val="false"/>
          <w:textDirection w:val="lrTb"/>
          <w:docGrid w:type="default" w:linePitch="360" w:charSpace="0"/>
        </w:sectPr>
        <w:pStyle w:val="Normal"/>
        <w:rPr>
          <w:sz w:val="16"/>
          <w:szCs w:val="16"/>
        </w:rPr>
      </w:pPr>
      <w:r>
        <w:rPr>
          <w:sz w:val="16"/>
          <w:szCs w:val="16"/>
        </w:rPr>
        <w:t>The list of Technical Specifications and Technical Reports can be found at:</w:t>
        <w:br/>
      </w:r>
      <w:hyperlink r:id="rId6">
        <w:r>
          <w:rPr>
            <w:rStyle w:val="InternetLink"/>
            <w:sz w:val="16"/>
            <w:szCs w:val="16"/>
          </w:rPr>
          <w:t>www.3gpp.org/dynareport/SpecList.htm?release=Rel-16</w:t>
        </w:r>
      </w:hyperlink>
      <w:r>
        <w:rPr>
          <w:sz w:val="16"/>
          <w:szCs w:val="16"/>
        </w:rPr>
        <w:t xml:space="preserve">. </w:t>
      </w:r>
    </w:p>
    <w:p>
      <w:pPr>
        <w:pStyle w:val="Heading8"/>
        <w:ind w:left="0" w:hanging="0"/>
        <w:rPr/>
      </w:pPr>
      <w:bookmarkStart w:id="25" w:name="__RefHeading___Toc45272022"/>
      <w:bookmarkEnd w:id="25"/>
      <w:r>
        <w:rPr/>
        <w:t>Annex C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51"/>
        <w:gridCol w:w="375"/>
        <w:gridCol w:w="192"/>
        <w:gridCol w:w="236"/>
        <w:gridCol w:w="189"/>
        <w:gridCol w:w="425"/>
        <w:gridCol w:w="4253"/>
        <w:gridCol w:w="567"/>
        <w:gridCol w:w="142"/>
        <w:gridCol w:w="425"/>
        <w:gridCol w:w="283"/>
      </w:tblGrid>
      <w:tr>
        <w:trPr>
          <w:cantSplit w:val="true"/>
        </w:trPr>
        <w:tc>
          <w:tcPr>
            <w:tcW w:w="9356"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c>
          <w:tcPr>
            <w:tcW w:w="283" w:type="dxa"/>
            <w:tcBorders/>
            <w:tcMar>
              <w:left w:w="0" w:type="dxa"/>
              <w:right w:w="0" w:type="dxa"/>
            </w:tcMar>
          </w:tcPr>
          <w:p>
            <w:pPr>
              <w:pStyle w:val="Normal"/>
              <w:snapToGrid w:val="false"/>
              <w:spacing w:before="0" w:after="180"/>
              <w:rPr>
                <w:b/>
                <w:b/>
                <w:sz w:val="16"/>
              </w:rPr>
            </w:pPr>
            <w:r>
              <w:rPr>
                <w:b/>
                <w:sz w:val="16"/>
              </w:rPr>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283" w:type="dxa"/>
            <w:tcBorders/>
            <w:tcMar>
              <w:left w:w="0" w:type="dxa"/>
              <w:right w:w="0" w:type="dxa"/>
            </w:tcMar>
          </w:tcPr>
          <w:p>
            <w:pPr>
              <w:pStyle w:val="Normal"/>
              <w:snapToGrid w:val="false"/>
              <w:spacing w:before="0" w:after="180"/>
              <w:rPr>
                <w:b/>
                <w:b/>
                <w:sz w:val="16"/>
              </w:rPr>
            </w:pPr>
            <w:r>
              <w:rPr>
                <w:b/>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First draft based on SA1 request to SP-38, refined at SP-39.  Spec list based on Specification Manager's whim.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based on continuing evolution of Release 8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SP-080724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Incorporation of comments from TSG CT: </w:t>
              <w:br/>
              <w:t xml:space="preserve">removal of §5.1 (substituted by two examples in annex A); </w:t>
              <w:br/>
              <w:t>indication in list of specs of those which do not progress beyond NGN R2 applicability.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specs list table resulting from further feedback;</w:t>
              <w:br/>
              <w:t>Correction to URL of TISPAN spec mapping following revamp of 3GPP web site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br/>
              <w:t>CP-43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br/>
              <w:t>CP-090103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SP-090035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Presentation to TSG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val="en-AU"/>
              </w:rPr>
              <w:t>1.1.0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2009-05</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SP-090463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Annex mapping 3GPP2 specs to 3GPP common IMS specs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gridSpan w:val="2"/>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SP-090464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Revise scope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gridSpan w:val="2"/>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SP-090695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list of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SP-100012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8.3.0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6</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list of specs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8.3.0</w:t>
            </w:r>
          </w:p>
        </w:tc>
        <w:tc>
          <w:tcPr>
            <w:tcW w:w="567" w:type="dxa"/>
            <w:gridSpan w:val="2"/>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AU"/>
              </w:rPr>
            </w:pPr>
            <w:r>
              <w:rPr>
                <w:sz w:val="16"/>
                <w:szCs w:val="16"/>
                <w:lang w:val="en-AU"/>
              </w:rPr>
              <w:t>9.0.0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sz w:val="16"/>
                <w:szCs w:val="16"/>
                <w:lang w:val="en-AU"/>
              </w:rPr>
            </w:pPr>
            <w:r>
              <w:rPr>
                <w:rFonts w:cs="MS Sans Serif;Microsoft Sans Serif" w:ascii="MS Sans Serif;Microsoft Sans Serif" w:hAnsi="MS Sans Serif;Microsoft Sans Serif"/>
                <w:sz w:val="16"/>
                <w:szCs w:val="16"/>
                <w:lang w:val="en-AU"/>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information only relevant for earlier Release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gridSpan w:val="2"/>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SP-100871</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Clarification of scope to indicate use of complete set of TSs/TRs is not obligatory in all IMS implementations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Automatic upgrade on Release freeze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SP-110298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color w:val="000000"/>
                <w:sz w:val="16"/>
                <w:lang w:val="en-AU"/>
              </w:rPr>
              <w:t>Correction to list of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SP-120114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lang w:val="en-AU"/>
              </w:rPr>
            </w:pPr>
            <w:r>
              <w:rPr>
                <w:lang w:val="en-AU"/>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US" w:eastAsia="en-US"/>
              </w:rPr>
              <w:t>Changes to list of Specs: common 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6"/>
                <w:lang w:val="en-AU"/>
              </w:rPr>
            </w:pPr>
            <w:r>
              <w:rPr>
                <w:rFonts w:cs="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10.3.0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lang w:val="en-AU"/>
              </w:rPr>
            </w:pPr>
            <w:r>
              <w:rPr>
                <w:rFonts w:cs="Arial" w:ascii="Arial" w:hAnsi="Arial"/>
                <w:color w:val="000000"/>
                <w:sz w:val="16"/>
                <w:lang w:val="en-AU"/>
              </w:rPr>
              <w:t>16</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6"/>
                <w:lang w:val="en-AU"/>
              </w:rPr>
            </w:pPr>
            <w:r>
              <w:rPr>
                <w:rFonts w:cs="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right"/>
              <w:rPr>
                <w:rFonts w:ascii="Arial" w:hAnsi="Arial" w:cs="Arial"/>
                <w:color w:val="000000"/>
                <w:sz w:val="16"/>
                <w:lang w:val="en-AU"/>
              </w:rPr>
            </w:pPr>
            <w:r>
              <w:rPr>
                <w:rFonts w:cs="Arial" w:ascii="Arial" w:hAnsi="Arial"/>
                <w:color w:val="000000"/>
                <w:sz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color w:val="000000"/>
                <w:sz w:val="16"/>
                <w:lang w:val="en-AU"/>
              </w:rPr>
            </w:pPr>
            <w:r>
              <w:rPr>
                <w:rFonts w:cs="Arial"/>
                <w:color w:val="000000"/>
                <w:sz w:val="16"/>
                <w:lang w:val="en-AU"/>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Minor editorial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11.0.1</w:t>
            </w:r>
          </w:p>
        </w:tc>
        <w:tc>
          <w:tcPr>
            <w:tcW w:w="283" w:type="dxa"/>
            <w:tcBorders/>
            <w:tcMar>
              <w:left w:w="0" w:type="dxa"/>
              <w:right w:w="0" w:type="dxa"/>
            </w:tcMar>
          </w:tcPr>
          <w:p>
            <w:pPr>
              <w:pStyle w:val="Normal"/>
              <w:snapToGrid w:val="false"/>
              <w:spacing w:before="0" w:after="180"/>
              <w:rPr>
                <w:rFonts w:ascii="MS Sans Serif;Microsoft Sans Serif" w:hAnsi="MS Sans Serif;Microsoft Sans Serif" w:cs="MS Sans Serif;Microsoft Sans Serif"/>
                <w:color w:val="000000"/>
                <w:sz w:val="16"/>
                <w:lang w:val="en-AU"/>
              </w:rPr>
            </w:pPr>
            <w:r>
              <w:rPr>
                <w:rFonts w:cs="MS Sans Serif;Microsoft Sans Serif" w:ascii="MS Sans Serif;Microsoft Sans Serif" w:hAnsi="MS Sans Serif;Microsoft Sans Serif"/>
                <w:color w:val="000000"/>
                <w:sz w:val="16"/>
                <w:lang w:val="en-AU"/>
              </w:rPr>
            </w:r>
          </w:p>
        </w:tc>
      </w:tr>
      <w:tr>
        <w:trPr>
          <w:cantSplit w:val="true"/>
        </w:trPr>
        <w:tc>
          <w:tcPr>
            <w:tcW w:w="9639" w:type="dxa"/>
            <w:gridSpan w:val="14"/>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SA#71</w:t>
            </w:r>
          </w:p>
        </w:tc>
        <w:tc>
          <w:tcPr>
            <w:tcW w:w="952" w:type="dxa"/>
            <w:gridSpan w:val="2"/>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SP-160127</w:t>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gridSpan w:val="3"/>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Raise spec to Rel-12</w:t>
            </w:r>
          </w:p>
        </w:tc>
        <w:tc>
          <w:tcPr>
            <w:tcW w:w="708" w:type="dxa"/>
            <w:gridSpan w:val="2"/>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952"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SP-160975</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gridSpan w:val="3"/>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Update to list of specs</w:t>
            </w:r>
          </w:p>
        </w:tc>
        <w:tc>
          <w:tcPr>
            <w:tcW w:w="70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952"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gridSpan w:val="3"/>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Promotion to Release 14 without technical change</w:t>
            </w:r>
          </w:p>
        </w:tc>
        <w:tc>
          <w:tcPr>
            <w:tcW w:w="70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952"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SP-170461</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0019</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gridSpan w:val="3"/>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Replace list of specs with pointer to web page showing up to date list</w:t>
            </w:r>
          </w:p>
        </w:tc>
        <w:tc>
          <w:tcPr>
            <w:tcW w:w="70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52"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gridSpan w:val="3"/>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Upgrade unchanged on freeze of Rel-15</w:t>
            </w:r>
          </w:p>
        </w:tc>
        <w:tc>
          <w:tcPr>
            <w:tcW w:w="70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952"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gridSpan w:val="3"/>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Upgrade on freeze of Rel-16</w:t>
            </w:r>
          </w:p>
        </w:tc>
        <w:tc>
          <w:tcPr>
            <w:tcW w:w="70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MS Sans Serif">
    <w:altName w:val="Microsoft Sans Serif"/>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21.202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21.202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21.202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21.202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9"/>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UnresolvedMention">
    <w:name w:val="Unresolved Mention"/>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100" w:after="100"/>
    </w:pPr>
    <w:rPr>
      <w:rFonts w:ascii="Arial" w:hAnsi="Arial" w:eastAsia="Batang;바탕" w:cs="Arial"/>
      <w:color w:val="493118"/>
      <w:sz w:val="18"/>
      <w:szCs w:val="18"/>
      <w:lang w:eastAsia="ko-K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dynareport/SpecList.htm?release=Rel-1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2018-06-20T14:34:00Z</dcterms:created>
  <dc:creator>MCC Support</dc:creator>
  <dc:description/>
  <cp:keywords>UMTS LTE Packet Mode Architecture IP IMS</cp:keywords>
  <dc:language>en-US</dc:language>
  <cp:lastModifiedBy>John M Meredith</cp:lastModifiedBy>
  <dcterms:modified xsi:type="dcterms:W3CDTF">2020-07-10T09:28:00Z</dcterms:modified>
  <cp:revision>5</cp:revision>
  <dc:subject>Technical Specifications and Technical Reports relating to the Common IP Multimedia Subsystem (IMS) (Release 16)</dc:subject>
  <dc:title>3GPP TS 21.202</dc:title>
</cp:coreProperties>
</file>