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0" w:type="dxa"/>
          <w:right w:w="0" w:type="dxa"/>
        </w:tblCellMar>
        <w:tblLook w:val="0000" w:firstRow="0" w:lastRow="0" w:firstColumn="0" w:lastColumn="0" w:noHBand="0" w:noVBand="0"/>
      </w:tblPr>
      <w:tblGrid>
        <w:gridCol w:w="4300"/>
        <w:gridCol w:w="2428"/>
        <w:gridCol w:w="2428"/>
      </w:tblGrid>
      <w:tr w:rsidR="0057310D">
        <w:tblPrEx>
          <w:tblCellMar>
            <w:top w:w="0" w:type="dxa"/>
            <w:left w:w="0" w:type="dxa"/>
            <w:bottom w:w="0" w:type="dxa"/>
            <w:right w:w="0" w:type="dxa"/>
          </w:tblCellMar>
        </w:tblPrEx>
        <w:trPr>
          <w:cantSplit/>
          <w:tblHeader/>
          <w:jc w:val="center"/>
        </w:trPr>
        <w:tc>
          <w:tcPr>
            <w:tcW w:w="9156" w:type="dxa"/>
            <w:gridSpan w:val="3"/>
            <w:tcBorders>
              <w:top w:val="single" w:sz="4" w:space="0" w:color="000000"/>
              <w:left w:val="nil"/>
              <w:bottom w:val="single" w:sz="4" w:space="0" w:color="000000"/>
              <w:right w:val="nil"/>
            </w:tcBorders>
            <w:shd w:val="clear" w:color="auto" w:fill="FFFFFF"/>
            <w:tcMar>
              <w:left w:w="67" w:type="dxa"/>
              <w:right w:w="67" w:type="dxa"/>
            </w:tcMar>
            <w:vAlign w:val="bottom"/>
          </w:tcPr>
          <w:p w:rsidR="0057310D" w:rsidRDefault="0057310D">
            <w:pPr>
              <w:pStyle w:val="Caption"/>
              <w:keepNext/>
              <w:widowControl/>
              <w:ind w:left="1152" w:hanging="1152"/>
              <w:rPr>
                <w:rFonts w:ascii="Times" w:hAnsi="Times" w:cs="Times"/>
                <w:b/>
                <w:bCs/>
                <w:color w:val="000000"/>
                <w:sz w:val="20"/>
                <w:szCs w:val="20"/>
              </w:rPr>
            </w:pPr>
            <w:bookmarkStart w:id="0" w:name="IDX"/>
            <w:bookmarkEnd w:id="0"/>
            <w:r>
              <w:rPr>
                <w:rFonts w:ascii="Times" w:hAnsi="Times" w:cs="Times"/>
                <w:b/>
                <w:bCs/>
                <w:color w:val="000000"/>
                <w:sz w:val="20"/>
                <w:szCs w:val="20"/>
              </w:rPr>
              <w:t>TEFMAD01A:</w:t>
            </w:r>
            <w:r>
              <w:rPr>
                <w:rFonts w:ascii="Times" w:hAnsi="Times" w:cs="Times"/>
                <w:b/>
                <w:bCs/>
                <w:color w:val="000000"/>
                <w:sz w:val="20"/>
                <w:szCs w:val="20"/>
              </w:rPr>
              <w:tab/>
              <w:t>Montgomery-Asberg Depression Rating Scale (MADRS) Total Score: Change from Baseline to Day 28 MMRM; Double-blind Treatment Phase (</w:t>
            </w:r>
            <w:r w:rsidR="00F971FF">
              <w:rPr>
                <w:rFonts w:ascii="Times" w:hAnsi="Times" w:cs="Times"/>
                <w:b/>
                <w:bCs/>
                <w:color w:val="000000"/>
                <w:sz w:val="20"/>
                <w:szCs w:val="20"/>
              </w:rPr>
              <w:t>Dummy Study</w:t>
            </w:r>
            <w:r>
              <w:rPr>
                <w:rFonts w:ascii="Times" w:hAnsi="Times" w:cs="Times"/>
                <w:b/>
                <w:bCs/>
                <w:color w:val="000000"/>
                <w:sz w:val="20"/>
                <w:szCs w:val="20"/>
              </w:rPr>
              <w:t>: Full Analysis Set)</w:t>
            </w:r>
          </w:p>
        </w:tc>
      </w:tr>
      <w:tr w:rsidR="0057310D">
        <w:tblPrEx>
          <w:tblCellMar>
            <w:top w:w="0" w:type="dxa"/>
            <w:left w:w="0" w:type="dxa"/>
            <w:bottom w:w="0" w:type="dxa"/>
            <w:right w:w="0" w:type="dxa"/>
          </w:tblCellMar>
        </w:tblPrEx>
        <w:trPr>
          <w:cantSplit/>
          <w:tblHeader/>
          <w:jc w:val="center"/>
        </w:trPr>
        <w:tc>
          <w:tcPr>
            <w:tcW w:w="4300" w:type="dxa"/>
            <w:tcBorders>
              <w:top w:val="nil"/>
              <w:left w:val="nil"/>
              <w:bottom w:val="nil"/>
              <w:right w:val="nil"/>
            </w:tcBorders>
            <w:shd w:val="clear" w:color="auto" w:fill="FFFFFF"/>
            <w:tcMar>
              <w:left w:w="67" w:type="dxa"/>
              <w:right w:w="67" w:type="dxa"/>
            </w:tcMar>
            <w:vAlign w:val="bottom"/>
          </w:tcPr>
          <w:p w:rsidR="0057310D" w:rsidRDefault="0057310D">
            <w:pPr>
              <w:keepNext/>
              <w:adjustRightInd w:val="0"/>
              <w:jc w:val="center"/>
              <w:rPr>
                <w:rFonts w:ascii="Times" w:hAnsi="Times" w:cs="Times"/>
                <w:color w:val="000000"/>
                <w:sz w:val="18"/>
                <w:szCs w:val="18"/>
              </w:rPr>
            </w:pPr>
          </w:p>
        </w:tc>
        <w:tc>
          <w:tcPr>
            <w:tcW w:w="2428" w:type="dxa"/>
            <w:tcBorders>
              <w:top w:val="nil"/>
              <w:left w:val="nil"/>
              <w:bottom w:val="nil"/>
              <w:right w:val="nil"/>
            </w:tcBorders>
            <w:shd w:val="clear" w:color="auto" w:fill="FFFFFF"/>
            <w:tcMar>
              <w:left w:w="67" w:type="dxa"/>
              <w:right w:w="67" w:type="dxa"/>
            </w:tcMar>
            <w:vAlign w:val="bottom"/>
          </w:tcPr>
          <w:p w:rsidR="0057310D" w:rsidRDefault="00F971FF">
            <w:pPr>
              <w:keepNext/>
              <w:pBdr>
                <w:bottom w:val="single" w:sz="4" w:space="0" w:color="auto"/>
              </w:pBdr>
              <w:adjustRightInd w:val="0"/>
              <w:jc w:val="center"/>
              <w:rPr>
                <w:rFonts w:ascii="Times" w:hAnsi="Times" w:cs="Times"/>
                <w:color w:val="000000"/>
                <w:sz w:val="18"/>
                <w:szCs w:val="18"/>
              </w:rPr>
            </w:pPr>
            <w:r>
              <w:rPr>
                <w:rFonts w:ascii="Times" w:hAnsi="Times" w:cs="Times"/>
                <w:color w:val="000000"/>
                <w:sz w:val="18"/>
                <w:szCs w:val="18"/>
              </w:rPr>
              <w:t>Dummy A</w:t>
            </w:r>
            <w:r w:rsidR="0057310D">
              <w:rPr>
                <w:rFonts w:ascii="Times" w:hAnsi="Times" w:cs="Times"/>
                <w:color w:val="000000"/>
                <w:sz w:val="18"/>
                <w:szCs w:val="18"/>
              </w:rPr>
              <w:br/>
              <w:t xml:space="preserve">(N=119) </w:t>
            </w:r>
          </w:p>
        </w:tc>
        <w:tc>
          <w:tcPr>
            <w:tcW w:w="2428" w:type="dxa"/>
            <w:tcBorders>
              <w:top w:val="nil"/>
              <w:left w:val="nil"/>
              <w:bottom w:val="nil"/>
              <w:right w:val="nil"/>
            </w:tcBorders>
            <w:shd w:val="clear" w:color="auto" w:fill="FFFFFF"/>
            <w:tcMar>
              <w:left w:w="67" w:type="dxa"/>
              <w:right w:w="67" w:type="dxa"/>
            </w:tcMar>
            <w:vAlign w:val="bottom"/>
          </w:tcPr>
          <w:p w:rsidR="0057310D" w:rsidRDefault="00F971FF">
            <w:pPr>
              <w:keepNext/>
              <w:pBdr>
                <w:bottom w:val="single" w:sz="4" w:space="0" w:color="auto"/>
              </w:pBdr>
              <w:adjustRightInd w:val="0"/>
              <w:jc w:val="center"/>
              <w:rPr>
                <w:rFonts w:ascii="Times" w:hAnsi="Times" w:cs="Times"/>
                <w:color w:val="000000"/>
                <w:sz w:val="18"/>
                <w:szCs w:val="18"/>
              </w:rPr>
            </w:pPr>
            <w:r>
              <w:rPr>
                <w:rFonts w:ascii="Times" w:hAnsi="Times" w:cs="Times"/>
                <w:color w:val="000000"/>
                <w:sz w:val="18"/>
                <w:szCs w:val="18"/>
              </w:rPr>
              <w:t>Dummy B</w:t>
            </w:r>
            <w:r w:rsidR="0057310D">
              <w:rPr>
                <w:rFonts w:ascii="Times" w:hAnsi="Times" w:cs="Times"/>
                <w:color w:val="000000"/>
                <w:sz w:val="18"/>
                <w:szCs w:val="18"/>
              </w:rPr>
              <w:br/>
              <w:t xml:space="preserve">(N=118) </w:t>
            </w: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jc w:val="center"/>
              <w:rPr>
                <w:rFonts w:ascii="Times" w:hAnsi="Times" w:cs="Times"/>
                <w:color w:val="000000"/>
                <w:sz w:val="18"/>
                <w:szCs w:val="18"/>
              </w:rPr>
            </w:pP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ind w:left="87" w:hanging="87"/>
              <w:rPr>
                <w:rFonts w:ascii="Times" w:hAnsi="Times" w:cs="Times"/>
                <w:color w:val="000000"/>
                <w:sz w:val="18"/>
                <w:szCs w:val="18"/>
              </w:rPr>
            </w:pPr>
            <w:r>
              <w:rPr>
                <w:rFonts w:ascii="Times" w:hAnsi="Times" w:cs="Times"/>
                <w:color w:val="000000"/>
                <w:sz w:val="18"/>
                <w:szCs w:val="18"/>
              </w:rPr>
              <w:t>Baseline</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ind w:left="267" w:hanging="87"/>
              <w:rPr>
                <w:rFonts w:ascii="Times" w:hAnsi="Times" w:cs="Times"/>
                <w:color w:val="000000"/>
                <w:sz w:val="18"/>
                <w:szCs w:val="18"/>
              </w:rPr>
            </w:pPr>
            <w:r>
              <w:rPr>
                <w:rFonts w:ascii="Times" w:hAnsi="Times" w:cs="Times"/>
                <w:color w:val="000000"/>
                <w:sz w:val="18"/>
                <w:szCs w:val="18"/>
              </w:rPr>
              <w:t>N</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119</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118</w:t>
            </w: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ind w:left="267" w:hanging="87"/>
              <w:rPr>
                <w:rFonts w:ascii="Times" w:hAnsi="Times" w:cs="Times"/>
                <w:color w:val="000000"/>
                <w:sz w:val="18"/>
                <w:szCs w:val="18"/>
              </w:rPr>
            </w:pPr>
            <w:r>
              <w:rPr>
                <w:rFonts w:ascii="Times" w:hAnsi="Times" w:cs="Times"/>
                <w:color w:val="000000"/>
                <w:sz w:val="18"/>
                <w:szCs w:val="18"/>
              </w:rPr>
              <w:t>Mean (SD)</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36.5 (4.58)</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35.9 (5.06)</w:t>
            </w: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ind w:left="267" w:hanging="87"/>
              <w:rPr>
                <w:rFonts w:ascii="Times" w:hAnsi="Times" w:cs="Times"/>
                <w:color w:val="000000"/>
                <w:sz w:val="18"/>
                <w:szCs w:val="18"/>
              </w:rPr>
            </w:pPr>
            <w:r>
              <w:rPr>
                <w:rFonts w:ascii="Times" w:hAnsi="Times" w:cs="Times"/>
                <w:color w:val="000000"/>
                <w:sz w:val="18"/>
                <w:szCs w:val="18"/>
              </w:rPr>
              <w:t>Median (Range)</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36.0 (27; 48)</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36.0 (25; 50)</w:t>
            </w: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jc w:val="center"/>
              <w:rPr>
                <w:rFonts w:ascii="Times" w:hAnsi="Times" w:cs="Times"/>
                <w:color w:val="000000"/>
                <w:sz w:val="18"/>
                <w:szCs w:val="18"/>
              </w:rPr>
            </w:pP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ind w:left="87" w:hanging="87"/>
              <w:rPr>
                <w:rFonts w:ascii="Times" w:hAnsi="Times" w:cs="Times"/>
                <w:color w:val="000000"/>
                <w:sz w:val="18"/>
                <w:szCs w:val="18"/>
              </w:rPr>
            </w:pPr>
            <w:r>
              <w:rPr>
                <w:rFonts w:ascii="Times" w:hAnsi="Times" w:cs="Times"/>
                <w:color w:val="000000"/>
                <w:sz w:val="18"/>
                <w:szCs w:val="18"/>
              </w:rPr>
              <w:t>Day 28</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ind w:left="267" w:hanging="87"/>
              <w:rPr>
                <w:rFonts w:ascii="Times" w:hAnsi="Times" w:cs="Times"/>
                <w:color w:val="000000"/>
                <w:sz w:val="18"/>
                <w:szCs w:val="18"/>
              </w:rPr>
            </w:pPr>
            <w:r>
              <w:rPr>
                <w:rFonts w:ascii="Times" w:hAnsi="Times" w:cs="Times"/>
                <w:color w:val="000000"/>
                <w:sz w:val="18"/>
                <w:szCs w:val="18"/>
              </w:rPr>
              <w:t>N</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105</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98</w:t>
            </w: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ind w:left="267" w:hanging="87"/>
              <w:rPr>
                <w:rFonts w:ascii="Times" w:hAnsi="Times" w:cs="Times"/>
                <w:color w:val="000000"/>
                <w:sz w:val="18"/>
                <w:szCs w:val="18"/>
              </w:rPr>
            </w:pPr>
            <w:r>
              <w:rPr>
                <w:rFonts w:ascii="Times" w:hAnsi="Times" w:cs="Times"/>
                <w:color w:val="000000"/>
                <w:sz w:val="18"/>
                <w:szCs w:val="18"/>
              </w:rPr>
              <w:t>Mean (SD)</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26.7 (10.35)</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27.1 (10.42)</w:t>
            </w: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ind w:left="267" w:hanging="87"/>
              <w:rPr>
                <w:rFonts w:ascii="Times" w:hAnsi="Times" w:cs="Times"/>
                <w:color w:val="000000"/>
                <w:sz w:val="18"/>
                <w:szCs w:val="18"/>
              </w:rPr>
            </w:pPr>
            <w:r>
              <w:rPr>
                <w:rFonts w:ascii="Times" w:hAnsi="Times" w:cs="Times"/>
                <w:color w:val="000000"/>
                <w:sz w:val="18"/>
                <w:szCs w:val="18"/>
              </w:rPr>
              <w:t>Median (Range)</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29.0 (0; 43)</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29.0 (0; 44)</w:t>
            </w: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jc w:val="center"/>
              <w:rPr>
                <w:rFonts w:ascii="Times" w:hAnsi="Times" w:cs="Times"/>
                <w:color w:val="000000"/>
                <w:sz w:val="18"/>
                <w:szCs w:val="18"/>
              </w:rPr>
            </w:pP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ind w:left="87" w:hanging="87"/>
              <w:rPr>
                <w:rFonts w:ascii="Times" w:hAnsi="Times" w:cs="Times"/>
                <w:color w:val="000000"/>
                <w:sz w:val="18"/>
                <w:szCs w:val="18"/>
              </w:rPr>
            </w:pPr>
            <w:r>
              <w:rPr>
                <w:rFonts w:ascii="Times" w:hAnsi="Times" w:cs="Times"/>
                <w:color w:val="000000"/>
                <w:sz w:val="18"/>
                <w:szCs w:val="18"/>
              </w:rPr>
              <w:t>Change from baseline to day 28</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ind w:left="267" w:hanging="87"/>
              <w:rPr>
                <w:rFonts w:ascii="Times" w:hAnsi="Times" w:cs="Times"/>
                <w:color w:val="000000"/>
                <w:sz w:val="18"/>
                <w:szCs w:val="18"/>
              </w:rPr>
            </w:pPr>
            <w:r>
              <w:rPr>
                <w:rFonts w:ascii="Times" w:hAnsi="Times" w:cs="Times"/>
                <w:color w:val="000000"/>
                <w:sz w:val="18"/>
                <w:szCs w:val="18"/>
              </w:rPr>
              <w:t>N</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105</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98</w:t>
            </w: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ind w:left="267" w:hanging="87"/>
              <w:rPr>
                <w:rFonts w:ascii="Times" w:hAnsi="Times" w:cs="Times"/>
                <w:color w:val="000000"/>
                <w:sz w:val="18"/>
                <w:szCs w:val="18"/>
              </w:rPr>
            </w:pPr>
            <w:r>
              <w:rPr>
                <w:rFonts w:ascii="Times" w:hAnsi="Times" w:cs="Times"/>
                <w:color w:val="000000"/>
                <w:sz w:val="18"/>
                <w:szCs w:val="18"/>
              </w:rPr>
              <w:t>Mean (SD)</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-9.7 (11.07)</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-8.9 (10.22)</w:t>
            </w: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ind w:left="267" w:hanging="87"/>
              <w:rPr>
                <w:rFonts w:ascii="Times" w:hAnsi="Times" w:cs="Times"/>
                <w:color w:val="000000"/>
                <w:sz w:val="18"/>
                <w:szCs w:val="18"/>
              </w:rPr>
            </w:pPr>
            <w:r>
              <w:rPr>
                <w:rFonts w:ascii="Times" w:hAnsi="Times" w:cs="Times"/>
                <w:color w:val="000000"/>
                <w:sz w:val="18"/>
                <w:szCs w:val="18"/>
              </w:rPr>
              <w:t>Median (Range)</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-7.0 (-42; 8)</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-6.0 (-36; 8)</w:t>
            </w: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jc w:val="center"/>
              <w:rPr>
                <w:rFonts w:ascii="Times" w:hAnsi="Times" w:cs="Times"/>
                <w:color w:val="000000"/>
                <w:sz w:val="18"/>
                <w:szCs w:val="18"/>
              </w:rPr>
            </w:pP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ind w:left="87" w:hanging="87"/>
              <w:rPr>
                <w:rFonts w:ascii="Times" w:hAnsi="Times" w:cs="Times"/>
                <w:color w:val="000000"/>
                <w:sz w:val="18"/>
                <w:szCs w:val="18"/>
              </w:rPr>
            </w:pPr>
            <w:r>
              <w:rPr>
                <w:rFonts w:ascii="Times" w:hAnsi="Times" w:cs="Times"/>
                <w:color w:val="000000"/>
                <w:sz w:val="18"/>
                <w:szCs w:val="18"/>
              </w:rPr>
              <w:t>MMRM analysis (a)</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ind w:left="267" w:hanging="87"/>
              <w:rPr>
                <w:rFonts w:ascii="Times" w:hAnsi="Times" w:cs="Times"/>
                <w:color w:val="000000"/>
                <w:sz w:val="18"/>
                <w:szCs w:val="18"/>
              </w:rPr>
            </w:pPr>
            <w:r>
              <w:rPr>
                <w:rFonts w:ascii="Times" w:hAnsi="Times" w:cs="Times"/>
                <w:color w:val="000000"/>
                <w:sz w:val="18"/>
                <w:szCs w:val="18"/>
              </w:rPr>
              <w:t>Diff. of LS means (SE) (</w:t>
            </w:r>
            <w:r w:rsidR="00F971FF">
              <w:rPr>
                <w:rFonts w:ascii="Times" w:hAnsi="Times" w:cs="Times"/>
                <w:color w:val="000000"/>
                <w:sz w:val="18"/>
                <w:szCs w:val="18"/>
              </w:rPr>
              <w:t>A</w:t>
            </w:r>
            <w:r>
              <w:rPr>
                <w:rFonts w:ascii="Times" w:hAnsi="Times" w:cs="Times"/>
                <w:color w:val="000000"/>
                <w:sz w:val="18"/>
                <w:szCs w:val="18"/>
              </w:rPr>
              <w:t xml:space="preserve"> minus </w:t>
            </w:r>
            <w:r w:rsidR="00F971FF">
              <w:rPr>
                <w:rFonts w:ascii="Times" w:hAnsi="Times" w:cs="Times"/>
                <w:color w:val="000000"/>
                <w:sz w:val="18"/>
                <w:szCs w:val="18"/>
              </w:rPr>
              <w:t>B</w:t>
            </w:r>
            <w:r>
              <w:rPr>
                <w:rFonts w:ascii="Times" w:hAnsi="Times" w:cs="Times"/>
                <w:color w:val="000000"/>
                <w:sz w:val="18"/>
                <w:szCs w:val="18"/>
              </w:rPr>
              <w:t>)</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-0.6 (1.38)</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ind w:left="267" w:hanging="87"/>
              <w:rPr>
                <w:rFonts w:ascii="Times" w:hAnsi="Times" w:cs="Times"/>
                <w:color w:val="000000"/>
                <w:sz w:val="18"/>
                <w:szCs w:val="18"/>
              </w:rPr>
            </w:pPr>
            <w:r>
              <w:rPr>
                <w:rFonts w:ascii="Times" w:hAnsi="Times" w:cs="Times"/>
                <w:color w:val="000000"/>
                <w:sz w:val="18"/>
                <w:szCs w:val="18"/>
              </w:rPr>
              <w:t>95% confidence interval on diff.</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-3.29; 2.13</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r>
      <w:tr w:rsidR="0057310D">
        <w:tblPrEx>
          <w:tblCellMar>
            <w:top w:w="0" w:type="dxa"/>
            <w:left w:w="0" w:type="dxa"/>
            <w:bottom w:w="0" w:type="dxa"/>
            <w:right w:w="0" w:type="dxa"/>
          </w:tblCellMar>
        </w:tblPrEx>
        <w:trPr>
          <w:cantSplit/>
          <w:jc w:val="center"/>
        </w:trPr>
        <w:tc>
          <w:tcPr>
            <w:tcW w:w="4300" w:type="dxa"/>
            <w:tcBorders>
              <w:top w:val="nil"/>
              <w:left w:val="nil"/>
              <w:bottom w:val="nil"/>
              <w:right w:val="nil"/>
            </w:tcBorders>
            <w:shd w:val="clear" w:color="auto" w:fill="FFFFFF"/>
            <w:tcMar>
              <w:left w:w="67" w:type="dxa"/>
              <w:right w:w="67" w:type="dxa"/>
            </w:tcMar>
          </w:tcPr>
          <w:p w:rsidR="0057310D" w:rsidRDefault="0057310D">
            <w:pPr>
              <w:adjustRightInd w:val="0"/>
              <w:ind w:left="267" w:hanging="87"/>
              <w:rPr>
                <w:rFonts w:ascii="Times" w:hAnsi="Times" w:cs="Times"/>
                <w:color w:val="000000"/>
                <w:sz w:val="18"/>
                <w:szCs w:val="18"/>
              </w:rPr>
            </w:pPr>
            <w:r>
              <w:rPr>
                <w:rFonts w:ascii="Times" w:hAnsi="Times" w:cs="Times"/>
                <w:color w:val="000000"/>
                <w:sz w:val="18"/>
                <w:szCs w:val="18"/>
              </w:rPr>
              <w:t>2-sided p-value</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r>
              <w:rPr>
                <w:rFonts w:ascii="Times" w:hAnsi="Times" w:cs="Times"/>
                <w:color w:val="000000"/>
                <w:sz w:val="18"/>
                <w:szCs w:val="18"/>
              </w:rPr>
              <w:t>0.674</w:t>
            </w:r>
          </w:p>
        </w:tc>
        <w:tc>
          <w:tcPr>
            <w:tcW w:w="2428" w:type="dxa"/>
            <w:tcBorders>
              <w:top w:val="nil"/>
              <w:left w:val="nil"/>
              <w:bottom w:val="nil"/>
              <w:right w:val="nil"/>
            </w:tcBorders>
            <w:shd w:val="clear" w:color="auto" w:fill="FFFFFF"/>
            <w:tcMar>
              <w:left w:w="67" w:type="dxa"/>
              <w:right w:w="67" w:type="dxa"/>
            </w:tcMar>
            <w:vAlign w:val="bottom"/>
          </w:tcPr>
          <w:p w:rsidR="0057310D" w:rsidRDefault="0057310D">
            <w:pPr>
              <w:adjustRightInd w:val="0"/>
              <w:jc w:val="center"/>
              <w:rPr>
                <w:rFonts w:ascii="Times" w:hAnsi="Times" w:cs="Times"/>
                <w:color w:val="000000"/>
                <w:sz w:val="18"/>
                <w:szCs w:val="18"/>
              </w:rPr>
            </w:pPr>
          </w:p>
        </w:tc>
      </w:tr>
      <w:tr w:rsidR="0057310D">
        <w:tblPrEx>
          <w:tblCellMar>
            <w:top w:w="0" w:type="dxa"/>
            <w:left w:w="0" w:type="dxa"/>
            <w:bottom w:w="0" w:type="dxa"/>
            <w:right w:w="0" w:type="dxa"/>
          </w:tblCellMar>
        </w:tblPrEx>
        <w:trPr>
          <w:cantSplit/>
          <w:jc w:val="center"/>
        </w:trPr>
        <w:tc>
          <w:tcPr>
            <w:tcW w:w="9156" w:type="dxa"/>
            <w:gridSpan w:val="3"/>
            <w:tcBorders>
              <w:top w:val="single" w:sz="4" w:space="0" w:color="000000"/>
              <w:left w:val="nil"/>
              <w:bottom w:val="nil"/>
              <w:right w:val="nil"/>
            </w:tcBorders>
            <w:shd w:val="clear" w:color="auto" w:fill="FFFFFF"/>
            <w:tcMar>
              <w:left w:w="67" w:type="dxa"/>
              <w:right w:w="67" w:type="dxa"/>
            </w:tcMar>
          </w:tcPr>
          <w:p w:rsidR="0057310D" w:rsidRDefault="0057310D">
            <w:pPr>
              <w:keepNext/>
              <w:adjustRightInd w:val="0"/>
              <w:rPr>
                <w:rFonts w:ascii="Times" w:hAnsi="Times" w:cs="Times"/>
                <w:color w:val="000000"/>
                <w:sz w:val="18"/>
                <w:szCs w:val="18"/>
              </w:rPr>
            </w:pPr>
            <w:r>
              <w:rPr>
                <w:rFonts w:ascii="Times" w:hAnsi="Times" w:cs="Times"/>
                <w:color w:val="000000"/>
                <w:sz w:val="18"/>
                <w:szCs w:val="18"/>
              </w:rPr>
              <w:br/>
              <w:t>(a) Test for treatment effect is based on mixed model for repeated measures (MMRM) with change from baseline as the response variable and the fixed effect model terms for treatment, day, country</w:t>
            </w:r>
            <w:r w:rsidR="00F971FF">
              <w:rPr>
                <w:rFonts w:ascii="Times" w:hAnsi="Times" w:cs="Times"/>
                <w:color w:val="000000"/>
                <w:sz w:val="18"/>
                <w:szCs w:val="18"/>
              </w:rPr>
              <w:t xml:space="preserve"> </w:t>
            </w:r>
            <w:r>
              <w:rPr>
                <w:rFonts w:ascii="Times" w:hAnsi="Times" w:cs="Times"/>
                <w:color w:val="000000"/>
                <w:sz w:val="18"/>
                <w:szCs w:val="18"/>
              </w:rPr>
              <w:t xml:space="preserve">and treatment-by-day, and baseline value as a covariate. </w:t>
            </w:r>
            <w:r>
              <w:rPr>
                <w:rFonts w:ascii="Times" w:hAnsi="Times" w:cs="Times"/>
                <w:color w:val="000000"/>
                <w:sz w:val="18"/>
                <w:szCs w:val="18"/>
              </w:rPr>
              <w:br/>
              <w:t>Note: MADRS total score ranges from 0 to 60; a higher score indicates a more severe condition.</w:t>
            </w:r>
            <w:r>
              <w:rPr>
                <w:rFonts w:ascii="Times" w:hAnsi="Times" w:cs="Times"/>
                <w:color w:val="000000"/>
                <w:sz w:val="18"/>
                <w:szCs w:val="18"/>
              </w:rPr>
              <w:br/>
              <w:t>Note: Negative change in score indicates improvement.</w:t>
            </w:r>
          </w:p>
        </w:tc>
      </w:tr>
      <w:tr w:rsidR="0057310D">
        <w:tblPrEx>
          <w:tblCellMar>
            <w:top w:w="0" w:type="dxa"/>
            <w:left w:w="0" w:type="dxa"/>
            <w:bottom w:w="0" w:type="dxa"/>
            <w:right w:w="0" w:type="dxa"/>
          </w:tblCellMar>
        </w:tblPrEx>
        <w:trPr>
          <w:cantSplit/>
          <w:jc w:val="center"/>
        </w:trPr>
        <w:tc>
          <w:tcPr>
            <w:tcW w:w="9156" w:type="dxa"/>
            <w:gridSpan w:val="3"/>
            <w:tcBorders>
              <w:top w:val="single" w:sz="4" w:space="0" w:color="000000"/>
              <w:left w:val="nil"/>
              <w:bottom w:val="nil"/>
              <w:right w:val="nil"/>
            </w:tcBorders>
            <w:shd w:val="clear" w:color="auto" w:fill="FFFFFF"/>
            <w:tcMar>
              <w:left w:w="67" w:type="dxa"/>
              <w:right w:w="67" w:type="dxa"/>
            </w:tcMar>
          </w:tcPr>
          <w:p w:rsidR="0057310D" w:rsidRDefault="0057310D">
            <w:pPr>
              <w:keepNext/>
              <w:adjustRightInd w:val="0"/>
              <w:jc w:val="right"/>
              <w:rPr>
                <w:rFonts w:ascii="Times" w:hAnsi="Times" w:cs="Times"/>
                <w:color w:val="000000"/>
                <w:sz w:val="16"/>
                <w:szCs w:val="16"/>
              </w:rPr>
            </w:pPr>
            <w:r>
              <w:rPr>
                <w:rFonts w:ascii="Times" w:hAnsi="Times" w:cs="Times"/>
                <w:color w:val="000000"/>
                <w:sz w:val="16"/>
                <w:szCs w:val="16"/>
              </w:rPr>
              <w:t>[TEFMAD01A.RTF] [</w:t>
            </w:r>
            <w:r w:rsidR="00F971FF">
              <w:rPr>
                <w:rFonts w:ascii="Times" w:hAnsi="Times" w:cs="Times"/>
                <w:color w:val="000000"/>
                <w:sz w:val="16"/>
                <w:szCs w:val="16"/>
              </w:rPr>
              <w:t>Dummy compound</w:t>
            </w:r>
            <w:r>
              <w:rPr>
                <w:rFonts w:ascii="Times" w:hAnsi="Times" w:cs="Times"/>
                <w:color w:val="000000"/>
                <w:sz w:val="16"/>
                <w:szCs w:val="16"/>
              </w:rPr>
              <w:t>\</w:t>
            </w:r>
            <w:r w:rsidR="00F971FF">
              <w:rPr>
                <w:rFonts w:ascii="Times" w:hAnsi="Times" w:cs="Times"/>
                <w:color w:val="000000"/>
                <w:sz w:val="16"/>
                <w:szCs w:val="16"/>
              </w:rPr>
              <w:t>study ID</w:t>
            </w:r>
            <w:r>
              <w:rPr>
                <w:rFonts w:ascii="Times" w:hAnsi="Times" w:cs="Times"/>
                <w:color w:val="000000"/>
                <w:sz w:val="16"/>
                <w:szCs w:val="16"/>
              </w:rPr>
              <w:t>\DBR_FINAL\RE_CSR\PREPROD\TEFMAD01A.SAS] 20JAN2021, 02:31</w:t>
            </w:r>
          </w:p>
        </w:tc>
      </w:tr>
    </w:tbl>
    <w:p w:rsidR="0057310D" w:rsidRDefault="0057310D"/>
    <w:sectPr w:rsidR="0057310D">
      <w:headerReference w:type="default" r:id="rId6"/>
      <w:footerReference w:type="default" r:id="rId7"/>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310D" w:rsidRDefault="0057310D">
      <w:r>
        <w:separator/>
      </w:r>
    </w:p>
  </w:endnote>
  <w:endnote w:type="continuationSeparator" w:id="0">
    <w:p w:rsidR="0057310D" w:rsidRDefault="0057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310D" w:rsidRDefault="0057310D">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310D" w:rsidRDefault="0057310D">
      <w:r>
        <w:separator/>
      </w:r>
    </w:p>
  </w:footnote>
  <w:footnote w:type="continuationSeparator" w:id="0">
    <w:p w:rsidR="0057310D" w:rsidRDefault="00573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310D" w:rsidRDefault="0057310D">
    <w:pPr>
      <w:adjustRightInd w:val="0"/>
      <w:jc w:val="cent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FF"/>
    <w:rsid w:val="0057310D"/>
    <w:rsid w:val="00F969B8"/>
    <w:rsid w:val="00F9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C5F9AC4-2076-4CC9-875F-ED0C6850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lang w:val="en-US" w:eastAsia="zh-C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pPr>
      <w:widowControl w:val="0"/>
      <w:adjustRightInd w:val="0"/>
    </w:pPr>
    <w:rPr>
      <w:sz w:val="24"/>
      <w:szCs w:val="24"/>
    </w:rPr>
  </w:style>
  <w:style w:type="paragraph" w:styleId="Header">
    <w:name w:val="header"/>
    <w:basedOn w:val="Normal"/>
    <w:link w:val="HeaderChar"/>
    <w:uiPriority w:val="99"/>
    <w:unhideWhenUsed/>
    <w:rsid w:val="00F971FF"/>
    <w:pPr>
      <w:tabs>
        <w:tab w:val="center" w:pos="4320"/>
        <w:tab w:val="right" w:pos="8640"/>
      </w:tabs>
    </w:pPr>
  </w:style>
  <w:style w:type="character" w:customStyle="1" w:styleId="HeaderChar">
    <w:name w:val="Header Char"/>
    <w:basedOn w:val="DefaultParagraphFont"/>
    <w:link w:val="Header"/>
    <w:uiPriority w:val="99"/>
    <w:locked/>
    <w:rsid w:val="00F971FF"/>
    <w:rPr>
      <w:rFonts w:ascii="Times New Roman" w:hAnsi="Times New Roman" w:cs="Times New Roman"/>
      <w:sz w:val="20"/>
      <w:szCs w:val="20"/>
    </w:rPr>
  </w:style>
  <w:style w:type="paragraph" w:styleId="Footer">
    <w:name w:val="footer"/>
    <w:basedOn w:val="Normal"/>
    <w:link w:val="FooterChar"/>
    <w:uiPriority w:val="99"/>
    <w:unhideWhenUsed/>
    <w:rsid w:val="00F971FF"/>
    <w:pPr>
      <w:tabs>
        <w:tab w:val="center" w:pos="4320"/>
        <w:tab w:val="right" w:pos="8640"/>
      </w:tabs>
    </w:pPr>
  </w:style>
  <w:style w:type="character" w:customStyle="1" w:styleId="FooterChar">
    <w:name w:val="Footer Char"/>
    <w:basedOn w:val="DefaultParagraphFont"/>
    <w:link w:val="Footer"/>
    <w:uiPriority w:val="99"/>
    <w:locked/>
    <w:rsid w:val="00F971FF"/>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9.4 SAS System Output</dc:title>
  <dc:subject/>
  <dc:creator>SAS Version 9.4</dc:creator>
  <cp:keywords/>
  <dc:description/>
  <cp:lastModifiedBy>Stos, Antoine [JACCH Non-J&amp;J]</cp:lastModifiedBy>
  <cp:revision>2</cp:revision>
  <dcterms:created xsi:type="dcterms:W3CDTF">2024-10-08T09:26:00Z</dcterms:created>
  <dcterms:modified xsi:type="dcterms:W3CDTF">2024-10-08T09:26:00Z</dcterms:modified>
</cp:coreProperties>
</file>