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46CF" w:rsidRPr="000D2F50" w:rsidRDefault="007246CF" w:rsidP="000D2F50">
      <w:pPr>
        <w:rPr>
          <w:rFonts w:cs="Segoe UI"/>
        </w:rPr>
      </w:pPr>
      <w:r w:rsidRPr="00B70F82">
        <w:rPr>
          <w:noProof/>
        </w:rPr>
        <w:drawing>
          <wp:anchor distT="0" distB="0" distL="114300" distR="114300" simplePos="0" relativeHeight="251664384" behindDoc="0" locked="0" layoutInCell="1" allowOverlap="1">
            <wp:simplePos x="0" y="0"/>
            <wp:positionH relativeFrom="column">
              <wp:posOffset>-932815</wp:posOffset>
            </wp:positionH>
            <wp:positionV relativeFrom="paragraph">
              <wp:posOffset>-914400</wp:posOffset>
            </wp:positionV>
            <wp:extent cx="6991350" cy="104775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6991350" cy="1047750"/>
                    </a:xfrm>
                    <a:prstGeom prst="rect">
                      <a:avLst/>
                    </a:prstGeom>
                    <a:noFill/>
                    <a:ln w="9525">
                      <a:noFill/>
                      <a:miter lim="800000"/>
                      <a:headEnd/>
                      <a:tailEnd/>
                    </a:ln>
                  </pic:spPr>
                </pic:pic>
              </a:graphicData>
            </a:graphic>
          </wp:anchor>
        </w:drawing>
      </w:r>
    </w:p>
    <w:p w:rsidR="008F5BCB" w:rsidRDefault="008F5BCB" w:rsidP="00937557">
      <w:bookmarkStart w:id="0" w:name="DocumentTitle"/>
      <w:bookmarkEnd w:id="0"/>
      <w:r>
        <w:t>rECENT dEVELOPMENTS</w:t>
      </w:r>
    </w:p>
    <w:p w:rsidR="008F5BCB" w:rsidRDefault="008F5BCB" w:rsidP="007E0CFA">
      <w:pPr>
        <w:spacing w:line="240" w:lineRule="auto"/>
      </w:pPr>
    </w:p>
    <w:p w:rsidR="00673614" w:rsidRDefault="008F5BCB" w:rsidP="007E0CFA">
      <w:pPr>
        <w:pStyle w:val="ParagraphNumbering"/>
        <w:spacing w:line="240" w:lineRule="auto"/>
      </w:pPr>
      <w:r>
        <w:rPr>
          <w:b/>
        </w:rPr>
        <w:t xml:space="preserve">Brazil’s economy is recovering gradually from the </w:t>
      </w:r>
      <w:r w:rsidR="004A2EFD">
        <w:rPr>
          <w:b/>
        </w:rPr>
        <w:t>slowdown that began in mid</w:t>
      </w:r>
      <w:r w:rsidR="002337F3">
        <w:rPr>
          <w:b/>
        </w:rPr>
        <w:noBreakHyphen/>
      </w:r>
      <w:r w:rsidR="004A2EFD">
        <w:rPr>
          <w:b/>
        </w:rPr>
        <w:t xml:space="preserve">2011. </w:t>
      </w:r>
      <w:r w:rsidR="004E7DB3">
        <w:t xml:space="preserve">Despite </w:t>
      </w:r>
      <w:r w:rsidR="00125E2D" w:rsidRPr="000A5C6E">
        <w:t>a substantial easing in monetary and fiscal policies since 2011</w:t>
      </w:r>
      <w:r w:rsidR="00125E2D">
        <w:t xml:space="preserve">, </w:t>
      </w:r>
      <w:r w:rsidR="004E7DB3">
        <w:t>g</w:t>
      </w:r>
      <w:r w:rsidR="004A2EFD">
        <w:t>rowth has been weak</w:t>
      </w:r>
      <w:r w:rsidR="002547C5">
        <w:t>er than expected</w:t>
      </w:r>
      <w:r w:rsidR="00673614">
        <w:t>.</w:t>
      </w:r>
      <w:r w:rsidR="000A5C6E">
        <w:t xml:space="preserve"> Growth bottomed in Q3 2011 and has improved in each subsequent quarter but at a slower pace than anticipated.</w:t>
      </w:r>
      <w:r w:rsidR="00FA4962">
        <w:t xml:space="preserve"> </w:t>
      </w:r>
      <w:r w:rsidR="000A5C6E" w:rsidRPr="000A5C6E">
        <w:t xml:space="preserve">Consumption has remained </w:t>
      </w:r>
      <w:proofErr w:type="gramStart"/>
      <w:r w:rsidR="000A5C6E" w:rsidRPr="000A5C6E">
        <w:t>resilient</w:t>
      </w:r>
      <w:proofErr w:type="gramEnd"/>
      <w:r w:rsidR="000A5C6E" w:rsidRPr="000A5C6E">
        <w:t xml:space="preserve"> but growth has been held back by weak investment amid global uncertainty and diminished business confidence. Supply constraints have continued to weigh on growth and to exacerbate inflationary pressures</w:t>
      </w:r>
      <w:r w:rsidR="00125E2D">
        <w:t xml:space="preserve">, with </w:t>
      </w:r>
      <w:r w:rsidR="0019118E" w:rsidRPr="0019118E">
        <w:rPr>
          <w:bCs/>
        </w:rPr>
        <w:t>o</w:t>
      </w:r>
      <w:r w:rsidR="0019118E" w:rsidRPr="00470976">
        <w:t xml:space="preserve">utput </w:t>
      </w:r>
      <w:r w:rsidR="0019118E">
        <w:t xml:space="preserve">estimated to be close to potential largely reflecting </w:t>
      </w:r>
      <w:r w:rsidR="00125E2D">
        <w:t xml:space="preserve">weak </w:t>
      </w:r>
      <w:r w:rsidR="0019118E">
        <w:t>investment.</w:t>
      </w:r>
      <w:bookmarkStart w:id="1" w:name="_GoBack"/>
      <w:bookmarkEnd w:id="1"/>
    </w:p>
    <w:p w:rsidR="00DA69EA" w:rsidRDefault="00213C9F" w:rsidP="007E0CFA">
      <w:pPr>
        <w:pStyle w:val="ParagraphNumbering"/>
        <w:spacing w:line="240" w:lineRule="auto"/>
      </w:pPr>
      <w:r>
        <w:rPr>
          <w:b/>
        </w:rPr>
        <w:t>While consumption has remained resilient, i</w:t>
      </w:r>
      <w:r w:rsidR="00CD33F1">
        <w:rPr>
          <w:b/>
        </w:rPr>
        <w:t xml:space="preserve">nvestment </w:t>
      </w:r>
      <w:r>
        <w:rPr>
          <w:b/>
        </w:rPr>
        <w:t xml:space="preserve">has started to recover only recently </w:t>
      </w:r>
      <w:r w:rsidR="008A0942">
        <w:rPr>
          <w:b/>
        </w:rPr>
        <w:t xml:space="preserve">after </w:t>
      </w:r>
      <w:r w:rsidR="000A5C6E">
        <w:rPr>
          <w:b/>
        </w:rPr>
        <w:t xml:space="preserve">a </w:t>
      </w:r>
      <w:r w:rsidR="008A0942">
        <w:rPr>
          <w:b/>
        </w:rPr>
        <w:t>protracted</w:t>
      </w:r>
      <w:r>
        <w:rPr>
          <w:b/>
        </w:rPr>
        <w:t>ly</w:t>
      </w:r>
      <w:r w:rsidR="008A0942">
        <w:rPr>
          <w:b/>
        </w:rPr>
        <w:t xml:space="preserve"> weak period. </w:t>
      </w:r>
      <w:r w:rsidR="00DA69EA" w:rsidRPr="00DA69EA">
        <w:t xml:space="preserve">Since </w:t>
      </w:r>
      <w:r w:rsidR="00DA69EA">
        <w:t>2011,</w:t>
      </w:r>
      <w:r w:rsidR="00DF5433">
        <w:t xml:space="preserve"> </w:t>
      </w:r>
      <w:r w:rsidR="002337F3">
        <w:t xml:space="preserve">Brazil’s dependence on consumption-based </w:t>
      </w:r>
      <w:r w:rsidR="00F52FEE">
        <w:t xml:space="preserve">growth </w:t>
      </w:r>
      <w:r w:rsidR="002337F3">
        <w:t xml:space="preserve">has intensified </w:t>
      </w:r>
      <w:r w:rsidR="008A0942">
        <w:t xml:space="preserve">as investment and net exports shrank. </w:t>
      </w:r>
      <w:r w:rsidR="00E71E4A">
        <w:t xml:space="preserve">The initial decline in investment in 2011 was associated with the deteriorating external backdrop, but since early 2012 domestic factors, including </w:t>
      </w:r>
      <w:r w:rsidR="00E71E4A" w:rsidRPr="00B95AF4">
        <w:t xml:space="preserve">increased </w:t>
      </w:r>
      <w:r w:rsidR="0079052B" w:rsidRPr="00B95AF4">
        <w:t>uncertainty about</w:t>
      </w:r>
      <w:r w:rsidR="000B3DFF" w:rsidRPr="000B3DFF">
        <w:t xml:space="preserve"> policies</w:t>
      </w:r>
      <w:r w:rsidR="0079052B" w:rsidRPr="00B95AF4">
        <w:t>,</w:t>
      </w:r>
      <w:r w:rsidR="0063665A">
        <w:t xml:space="preserve"> became</w:t>
      </w:r>
      <w:r w:rsidR="00E71E4A">
        <w:t xml:space="preserve"> more important. More recently, investment has begun to </w:t>
      </w:r>
      <w:r w:rsidR="002337F3">
        <w:t xml:space="preserve">gradually </w:t>
      </w:r>
      <w:r w:rsidR="00E71E4A">
        <w:t>recover</w:t>
      </w:r>
      <w:r w:rsidR="002337F3">
        <w:t xml:space="preserve">, amid improvements in </w:t>
      </w:r>
      <w:r w:rsidR="00E71E4A">
        <w:t xml:space="preserve">business confidence </w:t>
      </w:r>
      <w:r w:rsidR="002337F3">
        <w:t>indicators</w:t>
      </w:r>
      <w:r w:rsidR="007502C5">
        <w:t xml:space="preserve"> and capacity utilization at cyclical highs</w:t>
      </w:r>
      <w:r w:rsidR="00E71E4A">
        <w:t xml:space="preserve">. </w:t>
      </w:r>
      <w:r w:rsidR="00D400BD">
        <w:t xml:space="preserve">Private consumption has </w:t>
      </w:r>
      <w:r w:rsidR="002337F3">
        <w:t xml:space="preserve">remained resilient, </w:t>
      </w:r>
      <w:r w:rsidR="00D400BD">
        <w:t xml:space="preserve">boosted by </w:t>
      </w:r>
      <w:r w:rsidR="00C63BB2">
        <w:t xml:space="preserve">unemployment at cyclical lows and </w:t>
      </w:r>
      <w:r w:rsidR="00D400BD">
        <w:t xml:space="preserve">significant real wage gains, particularly in the labor-intensive services sector, and the </w:t>
      </w:r>
      <w:r w:rsidR="0019118E">
        <w:t>large</w:t>
      </w:r>
      <w:r w:rsidR="00D400BD">
        <w:t xml:space="preserve"> </w:t>
      </w:r>
      <w:r w:rsidR="0019118E">
        <w:t>increase</w:t>
      </w:r>
      <w:r w:rsidR="00D400BD">
        <w:t xml:space="preserve"> in </w:t>
      </w:r>
      <w:r w:rsidR="00C63BB2">
        <w:t xml:space="preserve">the </w:t>
      </w:r>
      <w:r w:rsidR="00D400BD">
        <w:t xml:space="preserve">minimum wage during 2012. </w:t>
      </w:r>
    </w:p>
    <w:p w:rsidR="00252192" w:rsidRDefault="00252192" w:rsidP="007E0CFA">
      <w:pPr>
        <w:spacing w:line="240" w:lineRule="auto"/>
      </w:pPr>
    </w:p>
    <w:p w:rsidR="00252192" w:rsidRDefault="00252192" w:rsidP="007E0CFA">
      <w:pPr>
        <w:spacing w:line="240" w:lineRule="auto"/>
      </w:pPr>
      <w:r>
        <w:t>[</w:t>
      </w:r>
      <w:r w:rsidRPr="0019118E">
        <w:rPr>
          <w:highlight w:val="yellow"/>
        </w:rPr>
        <w:t>Box</w:t>
      </w:r>
      <w:r w:rsidR="00C317BA">
        <w:rPr>
          <w:highlight w:val="yellow"/>
        </w:rPr>
        <w:t xml:space="preserve"> 1</w:t>
      </w:r>
      <w:r w:rsidRPr="0019118E">
        <w:rPr>
          <w:highlight w:val="yellow"/>
        </w:rPr>
        <w:t xml:space="preserve"> – Investment – </w:t>
      </w:r>
      <w:r w:rsidR="0023464B">
        <w:rPr>
          <w:highlight w:val="yellow"/>
        </w:rPr>
        <w:t>Why Has It Been So Weak</w:t>
      </w:r>
      <w:r w:rsidRPr="0019118E">
        <w:rPr>
          <w:highlight w:val="yellow"/>
        </w:rPr>
        <w:t>?</w:t>
      </w:r>
      <w:r>
        <w:t>]</w:t>
      </w:r>
    </w:p>
    <w:p w:rsidR="008F5BCB" w:rsidRDefault="002547C5" w:rsidP="007E0CFA">
      <w:pPr>
        <w:spacing w:line="240" w:lineRule="auto"/>
      </w:pPr>
      <w:r>
        <w:t xml:space="preserve"> </w:t>
      </w:r>
    </w:p>
    <w:p w:rsidR="004A2EFD" w:rsidRDefault="006C455E" w:rsidP="007E0CFA">
      <w:pPr>
        <w:pStyle w:val="ParagraphNumbering"/>
        <w:spacing w:line="240" w:lineRule="auto"/>
      </w:pPr>
      <w:r>
        <w:rPr>
          <w:b/>
        </w:rPr>
        <w:t>S</w:t>
      </w:r>
      <w:r w:rsidR="000A27F4">
        <w:rPr>
          <w:b/>
        </w:rPr>
        <w:t>upply</w:t>
      </w:r>
      <w:r w:rsidR="00C21851">
        <w:rPr>
          <w:b/>
        </w:rPr>
        <w:t>-side</w:t>
      </w:r>
      <w:r w:rsidR="000A27F4">
        <w:rPr>
          <w:b/>
        </w:rPr>
        <w:t xml:space="preserve"> constraints have </w:t>
      </w:r>
      <w:r w:rsidR="003E6BD1">
        <w:rPr>
          <w:b/>
        </w:rPr>
        <w:t>restrained</w:t>
      </w:r>
      <w:r w:rsidR="000A27F4">
        <w:rPr>
          <w:b/>
        </w:rPr>
        <w:t xml:space="preserve"> growth and </w:t>
      </w:r>
      <w:r w:rsidR="007502C5">
        <w:rPr>
          <w:b/>
        </w:rPr>
        <w:t xml:space="preserve">exacerbated </w:t>
      </w:r>
      <w:r w:rsidR="000A27F4">
        <w:rPr>
          <w:b/>
        </w:rPr>
        <w:t>inflation</w:t>
      </w:r>
      <w:r w:rsidR="007502C5">
        <w:rPr>
          <w:b/>
        </w:rPr>
        <w:t>ary pressures</w:t>
      </w:r>
      <w:r w:rsidR="000A27F4">
        <w:rPr>
          <w:b/>
        </w:rPr>
        <w:t>.</w:t>
      </w:r>
      <w:r w:rsidR="00E97AA4" w:rsidRPr="0019118E">
        <w:rPr>
          <w:bCs/>
        </w:rPr>
        <w:t xml:space="preserve"> </w:t>
      </w:r>
      <w:r w:rsidR="00E97AA4">
        <w:t xml:space="preserve">Inflation has remained above the </w:t>
      </w:r>
      <w:r w:rsidR="0019118E" w:rsidRPr="00B95AF4">
        <w:t xml:space="preserve">target </w:t>
      </w:r>
      <w:r w:rsidR="00E97AA4" w:rsidRPr="00B95AF4">
        <w:t>mid-</w:t>
      </w:r>
      <w:r w:rsidR="0063665A">
        <w:t>point (</w:t>
      </w:r>
      <w:r w:rsidR="000B3DFF" w:rsidRPr="000B3DFF">
        <w:t>4.5</w:t>
      </w:r>
      <w:r w:rsidR="0079052B" w:rsidRPr="00B95AF4">
        <w:t xml:space="preserve"> percent)</w:t>
      </w:r>
      <w:r w:rsidR="00591838" w:rsidRPr="00B95AF4">
        <w:t xml:space="preserve"> </w:t>
      </w:r>
      <w:r w:rsidR="001F748A" w:rsidRPr="00B95AF4">
        <w:t>for</w:t>
      </w:r>
      <w:r w:rsidR="001F748A">
        <w:t xml:space="preserve"> almost three years</w:t>
      </w:r>
      <w:r w:rsidR="00262172">
        <w:t>, notwithstanding recent large reductions in household energy bills</w:t>
      </w:r>
      <w:r w:rsidR="001F748A">
        <w:t xml:space="preserve"> and tax cuts for basic food items</w:t>
      </w:r>
      <w:r w:rsidR="00016FD6">
        <w:t xml:space="preserve">, both of which are estimated to have contributed to a one-off decline of </w:t>
      </w:r>
      <w:r w:rsidR="007502C5">
        <w:t xml:space="preserve">about </w:t>
      </w:r>
      <w:r w:rsidR="00016FD6">
        <w:t>¾</w:t>
      </w:r>
      <w:r w:rsidR="007502C5">
        <w:t> </w:t>
      </w:r>
      <w:r w:rsidR="00016FD6">
        <w:t>percentage point in the headline index</w:t>
      </w:r>
      <w:r w:rsidR="001F748A">
        <w:t xml:space="preserve">. </w:t>
      </w:r>
      <w:r w:rsidR="00E97AA4">
        <w:t xml:space="preserve">Core inflation has </w:t>
      </w:r>
      <w:r w:rsidR="007502C5">
        <w:t xml:space="preserve">also </w:t>
      </w:r>
      <w:r w:rsidR="00E97AA4">
        <w:t xml:space="preserve">picked-up and </w:t>
      </w:r>
      <w:r w:rsidR="001F748A">
        <w:t xml:space="preserve">is </w:t>
      </w:r>
      <w:r w:rsidR="00BC3511">
        <w:t xml:space="preserve">near </w:t>
      </w:r>
      <w:r w:rsidR="001F748A">
        <w:t xml:space="preserve">the </w:t>
      </w:r>
      <w:r w:rsidR="00BC3511">
        <w:t xml:space="preserve">ceiling </w:t>
      </w:r>
      <w:r w:rsidR="001F748A">
        <w:t xml:space="preserve">of the target range, while </w:t>
      </w:r>
      <w:r w:rsidR="00E97AA4">
        <w:t>non-</w:t>
      </w:r>
      <w:proofErr w:type="spellStart"/>
      <w:r w:rsidR="00E97AA4">
        <w:t>tradables</w:t>
      </w:r>
      <w:proofErr w:type="spellEnd"/>
      <w:r w:rsidR="00E97AA4">
        <w:t xml:space="preserve"> inflation—reflecting robust consump</w:t>
      </w:r>
      <w:r w:rsidR="001F748A">
        <w:t>tion demand—</w:t>
      </w:r>
      <w:r w:rsidR="007502C5">
        <w:t>has accelerated to about 9</w:t>
      </w:r>
      <w:r w:rsidR="00014C1D">
        <w:t xml:space="preserve"> percent. </w:t>
      </w:r>
      <w:r w:rsidR="00AD03FF">
        <w:t>Medium-term inflation expectations</w:t>
      </w:r>
      <w:r w:rsidR="00016FD6">
        <w:t xml:space="preserve"> have deteriorated in tandem, with surveys now anticipating inflation above the target mid-point over a </w:t>
      </w:r>
      <w:proofErr w:type="gramStart"/>
      <w:r w:rsidR="00016FD6">
        <w:t>3 year</w:t>
      </w:r>
      <w:proofErr w:type="gramEnd"/>
      <w:r w:rsidR="00016FD6">
        <w:t xml:space="preserve"> horizon.</w:t>
      </w:r>
    </w:p>
    <w:p w:rsidR="00521D02" w:rsidRPr="008F5BCB" w:rsidRDefault="00213C9F" w:rsidP="007E0CFA">
      <w:pPr>
        <w:pStyle w:val="ParagraphNumbering"/>
        <w:spacing w:line="240" w:lineRule="auto"/>
      </w:pPr>
      <w:r>
        <w:rPr>
          <w:b/>
        </w:rPr>
        <w:t xml:space="preserve">In this context, </w:t>
      </w:r>
      <w:r w:rsidR="001726DF">
        <w:rPr>
          <w:b/>
        </w:rPr>
        <w:t>the</w:t>
      </w:r>
      <w:r w:rsidR="00521D02">
        <w:rPr>
          <w:b/>
        </w:rPr>
        <w:t xml:space="preserve"> </w:t>
      </w:r>
      <w:r w:rsidR="006C455E">
        <w:rPr>
          <w:b/>
        </w:rPr>
        <w:t xml:space="preserve">external </w:t>
      </w:r>
      <w:r w:rsidR="00521D02">
        <w:rPr>
          <w:b/>
        </w:rPr>
        <w:t>current account deficit</w:t>
      </w:r>
      <w:r>
        <w:rPr>
          <w:b/>
        </w:rPr>
        <w:t xml:space="preserve"> has also widened</w:t>
      </w:r>
      <w:r w:rsidR="00521D02">
        <w:rPr>
          <w:b/>
        </w:rPr>
        <w:t>.</w:t>
      </w:r>
      <w:r w:rsidR="00521D02" w:rsidRPr="00712E21">
        <w:t xml:space="preserve"> </w:t>
      </w:r>
      <w:r w:rsidR="00401B42">
        <w:t xml:space="preserve">In </w:t>
      </w:r>
      <w:r w:rsidR="00521D02">
        <w:t>2012, the current account deficit reached 2.</w:t>
      </w:r>
      <w:r w:rsidR="00975CEC">
        <w:t>3</w:t>
      </w:r>
      <w:r w:rsidR="00521D02">
        <w:t xml:space="preserve"> percent of GDP, compare</w:t>
      </w:r>
      <w:r w:rsidR="00401B42">
        <w:t>d</w:t>
      </w:r>
      <w:r w:rsidR="00521D02">
        <w:t xml:space="preserve"> </w:t>
      </w:r>
      <w:r w:rsidR="00401B42">
        <w:t xml:space="preserve">to </w:t>
      </w:r>
      <w:r w:rsidR="00521D02">
        <w:t>a current account norm</w:t>
      </w:r>
      <w:r w:rsidR="00A2226F">
        <w:t xml:space="preserve"> estimated at </w:t>
      </w:r>
      <w:r w:rsidR="00401B42">
        <w:t xml:space="preserve">about </w:t>
      </w:r>
      <w:r w:rsidR="00A2226F">
        <w:t>1-1½</w:t>
      </w:r>
      <w:r w:rsidR="00521D02">
        <w:t xml:space="preserve"> percent of GDP. Worsening terms of trade accounted for </w:t>
      </w:r>
      <w:r w:rsidR="00A2226F">
        <w:t>[</w:t>
      </w:r>
      <w:r w:rsidR="00975CEC">
        <w:t>0.1</w:t>
      </w:r>
      <w:r w:rsidR="00A2226F">
        <w:t>]</w:t>
      </w:r>
      <w:r w:rsidR="00521D02">
        <w:t xml:space="preserve"> percent of the widening in the deficit over the </w:t>
      </w:r>
      <w:r w:rsidR="00401B42">
        <w:t>last year</w:t>
      </w:r>
      <w:r w:rsidR="00521D02">
        <w:t>, mainly due to lower prices of commodity exports.</w:t>
      </w:r>
      <w:r w:rsidR="000C1966">
        <w:t xml:space="preserve"> </w:t>
      </w:r>
      <w:r w:rsidR="0029414B">
        <w:t xml:space="preserve">Trade with Argentina has stabilized </w:t>
      </w:r>
      <w:r w:rsidR="0029414B">
        <w:lastRenderedPageBreak/>
        <w:t xml:space="preserve">following </w:t>
      </w:r>
      <w:r w:rsidR="00E3343E">
        <w:t xml:space="preserve">a </w:t>
      </w:r>
      <w:r w:rsidR="0029414B">
        <w:t xml:space="preserve">large contraction during the first half of 2012. </w:t>
      </w:r>
      <w:r w:rsidR="00401B42">
        <w:t>Imports of capital goods have remained subdue</w:t>
      </w:r>
      <w:r w:rsidR="00E3343E">
        <w:t>d</w:t>
      </w:r>
      <w:r w:rsidR="00401B42">
        <w:t xml:space="preserve"> while imports of consumer goods, particularly durables, </w:t>
      </w:r>
      <w:r w:rsidR="0029414B">
        <w:t xml:space="preserve">declined mainly in response to the effects of tariffs imposed in late 2011. </w:t>
      </w:r>
      <w:r w:rsidR="00620592">
        <w:t>Export v</w:t>
      </w:r>
      <w:r w:rsidR="00401B42">
        <w:t xml:space="preserve">olumes </w:t>
      </w:r>
      <w:r w:rsidR="00620592">
        <w:t xml:space="preserve">have </w:t>
      </w:r>
      <w:r w:rsidR="00401B42">
        <w:t xml:space="preserve">also </w:t>
      </w:r>
      <w:r w:rsidR="0029414B">
        <w:t>broadly</w:t>
      </w:r>
      <w:r w:rsidR="00620592" w:rsidRPr="00620592">
        <w:t xml:space="preserve"> </w:t>
      </w:r>
      <w:r w:rsidR="00620592">
        <w:t>declined, including both primary and manufactured products</w:t>
      </w:r>
      <w:r w:rsidR="0029414B">
        <w:t xml:space="preserve">. </w:t>
      </w:r>
    </w:p>
    <w:p w:rsidR="00322AFD" w:rsidRDefault="00521D02" w:rsidP="007E0CFA">
      <w:pPr>
        <w:spacing w:line="240" w:lineRule="auto"/>
      </w:pPr>
      <w:r>
        <w:t xml:space="preserve"> </w:t>
      </w:r>
      <w:r w:rsidR="00322AFD">
        <w:t>[</w:t>
      </w:r>
      <w:r w:rsidR="00322AFD" w:rsidRPr="00B006EE">
        <w:rPr>
          <w:highlight w:val="yellow"/>
        </w:rPr>
        <w:t xml:space="preserve">Box </w:t>
      </w:r>
      <w:r w:rsidR="00C317BA">
        <w:rPr>
          <w:highlight w:val="yellow"/>
        </w:rPr>
        <w:t xml:space="preserve">2 </w:t>
      </w:r>
      <w:r w:rsidR="00322AFD" w:rsidRPr="00B006EE">
        <w:rPr>
          <w:highlight w:val="yellow"/>
        </w:rPr>
        <w:t>– Revisiting Potential Growth</w:t>
      </w:r>
      <w:r w:rsidR="00322AFD">
        <w:t>]</w:t>
      </w:r>
    </w:p>
    <w:p w:rsidR="00322AFD" w:rsidRDefault="00322AFD" w:rsidP="007E0CFA">
      <w:pPr>
        <w:spacing w:line="240" w:lineRule="auto"/>
      </w:pPr>
    </w:p>
    <w:p w:rsidR="00DA69EA" w:rsidRDefault="00213C9F" w:rsidP="007E0CFA">
      <w:pPr>
        <w:pStyle w:val="ParagraphNumbering"/>
        <w:spacing w:line="240" w:lineRule="auto"/>
      </w:pPr>
      <w:r>
        <w:rPr>
          <w:b/>
        </w:rPr>
        <w:t>The exchange rate depreciat</w:t>
      </w:r>
      <w:r w:rsidR="004C3A9D">
        <w:rPr>
          <w:b/>
        </w:rPr>
        <w:t>ed</w:t>
      </w:r>
      <w:r>
        <w:rPr>
          <w:b/>
        </w:rPr>
        <w:t xml:space="preserve"> over the last </w:t>
      </w:r>
      <w:proofErr w:type="gramStart"/>
      <w:r>
        <w:rPr>
          <w:b/>
        </w:rPr>
        <w:t>year</w:t>
      </w:r>
      <w:proofErr w:type="gramEnd"/>
      <w:r>
        <w:rPr>
          <w:b/>
        </w:rPr>
        <w:t xml:space="preserve"> but r</w:t>
      </w:r>
      <w:r w:rsidR="003E6BD1">
        <w:rPr>
          <w:b/>
        </w:rPr>
        <w:t xml:space="preserve">ising unit labor costs have </w:t>
      </w:r>
      <w:r w:rsidR="00406B60">
        <w:rPr>
          <w:b/>
        </w:rPr>
        <w:t>limited the</w:t>
      </w:r>
      <w:r w:rsidR="001726DF">
        <w:rPr>
          <w:b/>
        </w:rPr>
        <w:t xml:space="preserve"> </w:t>
      </w:r>
      <w:r w:rsidR="003E6BD1">
        <w:rPr>
          <w:b/>
        </w:rPr>
        <w:t xml:space="preserve">gains in competitiveness. </w:t>
      </w:r>
      <w:r w:rsidR="00401B42">
        <w:t>T</w:t>
      </w:r>
      <w:r w:rsidR="003E6BD1">
        <w:t xml:space="preserve">he real effective exchange rate has depreciated by </w:t>
      </w:r>
      <w:r w:rsidR="005D6ABB">
        <w:t>9</w:t>
      </w:r>
      <w:r w:rsidR="00BC3511">
        <w:t> </w:t>
      </w:r>
      <w:r w:rsidR="003E6BD1">
        <w:t>percent</w:t>
      </w:r>
      <w:r w:rsidR="00401B42">
        <w:t xml:space="preserve"> over </w:t>
      </w:r>
      <w:r w:rsidR="00401B42" w:rsidRPr="002029FA">
        <w:t>the last year</w:t>
      </w:r>
      <w:r w:rsidR="003E6BD1" w:rsidRPr="002029FA">
        <w:t>.</w:t>
      </w:r>
      <w:r w:rsidR="000133A9" w:rsidRPr="002029FA">
        <w:t xml:space="preserve"> </w:t>
      </w:r>
      <w:r w:rsidR="002029FA">
        <w:t>At the same time, u</w:t>
      </w:r>
      <w:r w:rsidR="000133A9" w:rsidRPr="002029FA">
        <w:t>nit labor costs</w:t>
      </w:r>
      <w:r w:rsidR="00252192" w:rsidRPr="002029FA">
        <w:t xml:space="preserve"> </w:t>
      </w:r>
      <w:r w:rsidR="002029FA">
        <w:t>in U.S. dollars have broadly stagnated at almost 45 percent above pre-</w:t>
      </w:r>
      <w:r w:rsidR="00E3343E">
        <w:t>Lehm</w:t>
      </w:r>
      <w:r w:rsidR="0009232A">
        <w:t>a</w:t>
      </w:r>
      <w:r w:rsidR="00E3343E">
        <w:t xml:space="preserve">n </w:t>
      </w:r>
      <w:r w:rsidR="002029FA">
        <w:t xml:space="preserve">levels as a weaker currency has been offset by </w:t>
      </w:r>
      <w:r w:rsidR="005D6ABB" w:rsidRPr="002029FA">
        <w:t>rapid</w:t>
      </w:r>
      <w:r w:rsidR="00401B42" w:rsidRPr="002029FA">
        <w:t xml:space="preserve"> real wage</w:t>
      </w:r>
      <w:r w:rsidR="005D6ABB" w:rsidRPr="002029FA">
        <w:t xml:space="preserve"> growth</w:t>
      </w:r>
      <w:r w:rsidR="00401B42">
        <w:t xml:space="preserve"> </w:t>
      </w:r>
      <w:r w:rsidR="005D6ABB">
        <w:t>and worsening</w:t>
      </w:r>
      <w:r w:rsidR="00401B42">
        <w:t xml:space="preserve"> labor productivity</w:t>
      </w:r>
      <w:r w:rsidR="002029FA">
        <w:t xml:space="preserve">. </w:t>
      </w:r>
      <w:r w:rsidR="00BC3511">
        <w:t xml:space="preserve">A range of metrics and methodologies </w:t>
      </w:r>
      <w:r w:rsidR="009E6709" w:rsidRPr="009E6709">
        <w:t xml:space="preserve">suggests that the real exchange rate is overvalued by about </w:t>
      </w:r>
      <w:r w:rsidR="009D3AA4">
        <w:t>10-15</w:t>
      </w:r>
      <w:r w:rsidR="009E6709" w:rsidRPr="009E6709">
        <w:t xml:space="preserve"> percent based on current policies</w:t>
      </w:r>
      <w:r w:rsidR="0019118E">
        <w:t>.</w:t>
      </w:r>
      <w:r w:rsidR="000C1966">
        <w:t xml:space="preserve"> </w:t>
      </w:r>
    </w:p>
    <w:p w:rsidR="00927D46" w:rsidRDefault="00531BE4" w:rsidP="007E0CFA">
      <w:pPr>
        <w:pStyle w:val="ParagraphNumbering"/>
        <w:spacing w:line="240" w:lineRule="auto"/>
      </w:pPr>
      <w:r>
        <w:rPr>
          <w:b/>
        </w:rPr>
        <w:t>C</w:t>
      </w:r>
      <w:r w:rsidR="00927D46" w:rsidRPr="00E60F4D">
        <w:rPr>
          <w:b/>
        </w:rPr>
        <w:t xml:space="preserve">apital </w:t>
      </w:r>
      <w:r w:rsidR="00712E21" w:rsidRPr="00E60F4D">
        <w:rPr>
          <w:b/>
        </w:rPr>
        <w:t>in</w:t>
      </w:r>
      <w:r w:rsidR="00927D46" w:rsidRPr="00E60F4D">
        <w:rPr>
          <w:b/>
        </w:rPr>
        <w:t>flows</w:t>
      </w:r>
      <w:r w:rsidR="00F80BAA">
        <w:rPr>
          <w:b/>
        </w:rPr>
        <w:t xml:space="preserve">, </w:t>
      </w:r>
      <w:r w:rsidR="001726DF">
        <w:rPr>
          <w:b/>
        </w:rPr>
        <w:t xml:space="preserve">particularly </w:t>
      </w:r>
      <w:r w:rsidR="00465E3D" w:rsidRPr="00E60F4D">
        <w:rPr>
          <w:b/>
        </w:rPr>
        <w:t xml:space="preserve">portfolio flows, </w:t>
      </w:r>
      <w:r>
        <w:rPr>
          <w:b/>
        </w:rPr>
        <w:t>have subsided</w:t>
      </w:r>
      <w:r w:rsidR="004A645F">
        <w:rPr>
          <w:b/>
        </w:rPr>
        <w:t xml:space="preserve">. </w:t>
      </w:r>
      <w:r w:rsidR="00F80BAA" w:rsidRPr="00F80BAA">
        <w:t>Net p</w:t>
      </w:r>
      <w:r w:rsidR="00F80BAA">
        <w:t>ortfolio flows have averaged about US</w:t>
      </w:r>
      <w:r w:rsidR="00D75042">
        <w:t xml:space="preserve">$0.9 </w:t>
      </w:r>
      <w:r w:rsidR="00F80BAA">
        <w:t>billion per month since Q1 2012, a decline of US$</w:t>
      </w:r>
      <w:r w:rsidR="00D75042">
        <w:t>3</w:t>
      </w:r>
      <w:r w:rsidR="00980593">
        <w:t> </w:t>
      </w:r>
      <w:r w:rsidR="00D75042">
        <w:t xml:space="preserve">billion </w:t>
      </w:r>
      <w:r w:rsidR="00F80BAA">
        <w:t xml:space="preserve">from the peak </w:t>
      </w:r>
      <w:r w:rsidR="00E3343E">
        <w:t xml:space="preserve">monthly </w:t>
      </w:r>
      <w:r w:rsidR="00F80BAA">
        <w:t>flows recorded during 2010</w:t>
      </w:r>
      <w:r w:rsidR="00591838">
        <w:t>–</w:t>
      </w:r>
      <w:r w:rsidR="00F80BAA">
        <w:t>11</w:t>
      </w:r>
      <w:r w:rsidR="00D75042">
        <w:t>. T</w:t>
      </w:r>
      <w:r w:rsidR="004A645F" w:rsidRPr="004A645F">
        <w:t xml:space="preserve">he weaker growth outlook, lower interest rates, and </w:t>
      </w:r>
      <w:r w:rsidR="004A645F">
        <w:t xml:space="preserve">Brazil’s </w:t>
      </w:r>
      <w:r w:rsidR="004A645F" w:rsidRPr="004A645F">
        <w:t>capital flow measures (CFMs)</w:t>
      </w:r>
      <w:r w:rsidR="00D75042">
        <w:t xml:space="preserve"> have all contributed to lower net inflows</w:t>
      </w:r>
      <w:r w:rsidR="00F80BAA">
        <w:t xml:space="preserve">. </w:t>
      </w:r>
      <w:r w:rsidR="00D75042">
        <w:t xml:space="preserve">In particular, the </w:t>
      </w:r>
      <w:r w:rsidR="00980593">
        <w:t xml:space="preserve">attractiveness </w:t>
      </w:r>
      <w:r w:rsidR="0023464B">
        <w:t xml:space="preserve">of </w:t>
      </w:r>
      <w:r w:rsidR="0090703F">
        <w:t xml:space="preserve">fixed-income </w:t>
      </w:r>
      <w:r w:rsidR="0023464B">
        <w:t xml:space="preserve">carry-trades in Brazil </w:t>
      </w:r>
      <w:r w:rsidR="00E3343E">
        <w:t xml:space="preserve">has </w:t>
      </w:r>
      <w:r w:rsidR="002430A2">
        <w:t>eroded since 2010 as interest rate</w:t>
      </w:r>
      <w:r w:rsidR="00980593">
        <w:t xml:space="preserve"> differential</w:t>
      </w:r>
      <w:r w:rsidR="002430A2">
        <w:t>s ha</w:t>
      </w:r>
      <w:r w:rsidR="00980593">
        <w:t>ve</w:t>
      </w:r>
      <w:r w:rsidR="002430A2">
        <w:t xml:space="preserve"> declined at the same time </w:t>
      </w:r>
      <w:r w:rsidR="00E3343E">
        <w:t xml:space="preserve">as </w:t>
      </w:r>
      <w:r w:rsidR="002430A2">
        <w:t xml:space="preserve">the IOF tax has substantially reduced short-term returns. </w:t>
      </w:r>
      <w:r w:rsidR="0090703F">
        <w:t>F</w:t>
      </w:r>
      <w:r w:rsidR="002430A2">
        <w:t xml:space="preserve">oreign purchases of Brazilian equities </w:t>
      </w:r>
      <w:r w:rsidR="0090703F">
        <w:t xml:space="preserve">have also been subdued, </w:t>
      </w:r>
      <w:r w:rsidR="00591838">
        <w:t xml:space="preserve">probably reflecting a </w:t>
      </w:r>
      <w:r w:rsidR="002430A2">
        <w:t>deteriorati</w:t>
      </w:r>
      <w:r w:rsidR="00980593">
        <w:t xml:space="preserve">on in </w:t>
      </w:r>
      <w:r w:rsidR="002430A2">
        <w:t xml:space="preserve">growth </w:t>
      </w:r>
      <w:r w:rsidR="00980593">
        <w:t xml:space="preserve">prospects </w:t>
      </w:r>
      <w:r w:rsidR="0090703F">
        <w:t>and profitability</w:t>
      </w:r>
      <w:r w:rsidR="002430A2">
        <w:t xml:space="preserve">. </w:t>
      </w:r>
      <w:r w:rsidR="00F80BAA">
        <w:t>Inflows have begun to pick</w:t>
      </w:r>
      <w:r w:rsidR="0091422C">
        <w:t xml:space="preserve"> </w:t>
      </w:r>
      <w:r w:rsidR="00F80BAA">
        <w:t xml:space="preserve">up more recently as global financial conditions have improved. At the same time foreign direct investment </w:t>
      </w:r>
      <w:r w:rsidR="00BF6D3F">
        <w:t xml:space="preserve">inflows </w:t>
      </w:r>
      <w:r w:rsidR="00980593">
        <w:t xml:space="preserve">have </w:t>
      </w:r>
      <w:r w:rsidR="00BF6D3F">
        <w:t>remain</w:t>
      </w:r>
      <w:r w:rsidR="00980593">
        <w:t>ed</w:t>
      </w:r>
      <w:r w:rsidR="00BF6D3F">
        <w:t xml:space="preserve"> </w:t>
      </w:r>
      <w:r w:rsidR="0091422C">
        <w:t>buoyant</w:t>
      </w:r>
      <w:r w:rsidR="00BF6D3F">
        <w:t xml:space="preserve">. </w:t>
      </w:r>
    </w:p>
    <w:p w:rsidR="00757018" w:rsidRPr="00757018" w:rsidRDefault="00CC21A2" w:rsidP="007E0CFA">
      <w:pPr>
        <w:pStyle w:val="ParagraphNumbering"/>
        <w:spacing w:line="240" w:lineRule="auto"/>
      </w:pPr>
      <w:r w:rsidRPr="00CC21A2">
        <w:rPr>
          <w:b/>
        </w:rPr>
        <w:t xml:space="preserve">Credit growth has moderated but remains relatively strong, with a rapid expansion by public banks offsetting slower private bank lending. </w:t>
      </w:r>
      <w:r w:rsidR="00757018" w:rsidRPr="00757018">
        <w:t>Key financial development</w:t>
      </w:r>
      <w:r w:rsidR="00E3343E">
        <w:t>s</w:t>
      </w:r>
      <w:r w:rsidR="00757018" w:rsidRPr="00757018">
        <w:t xml:space="preserve"> include:</w:t>
      </w:r>
      <w:r w:rsidRPr="00CC21A2">
        <w:rPr>
          <w:b/>
        </w:rPr>
        <w:t xml:space="preserve"> </w:t>
      </w:r>
    </w:p>
    <w:p w:rsidR="00757018" w:rsidRDefault="00CC21A2" w:rsidP="007E0CFA">
      <w:pPr>
        <w:pStyle w:val="ListBullet"/>
        <w:spacing w:line="240" w:lineRule="auto"/>
      </w:pPr>
      <w:r w:rsidRPr="00757018">
        <w:rPr>
          <w:i/>
        </w:rPr>
        <w:t>Overall financial conditions have remained broadly supportive</w:t>
      </w:r>
      <w:r w:rsidRPr="00CC21A2">
        <w:t xml:space="preserve"> as domestic interest rates </w:t>
      </w:r>
      <w:r w:rsidR="00D346CE">
        <w:t xml:space="preserve">and </w:t>
      </w:r>
      <w:r w:rsidR="00620592">
        <w:t>U.S. dollar corporate</w:t>
      </w:r>
      <w:r w:rsidR="00D346CE">
        <w:t xml:space="preserve"> spreads </w:t>
      </w:r>
      <w:r w:rsidRPr="00CC21A2">
        <w:t>have declined</w:t>
      </w:r>
      <w:r w:rsidR="00D346CE">
        <w:t>, in tandem with</w:t>
      </w:r>
      <w:r w:rsidRPr="00CC21A2">
        <w:t xml:space="preserve"> sovereign reference spreads. Credit growth has slowed from its peak in 2010 but has remained relatively strong. </w:t>
      </w:r>
    </w:p>
    <w:p w:rsidR="00757018" w:rsidRDefault="00757018" w:rsidP="007E0CFA">
      <w:pPr>
        <w:pStyle w:val="ListBullet"/>
        <w:spacing w:line="240" w:lineRule="auto"/>
      </w:pPr>
      <w:r w:rsidRPr="00757018">
        <w:rPr>
          <w:i/>
        </w:rPr>
        <w:t>P</w:t>
      </w:r>
      <w:r w:rsidR="00CC21A2" w:rsidRPr="00757018">
        <w:rPr>
          <w:i/>
        </w:rPr>
        <w:t>ublic bank</w:t>
      </w:r>
      <w:r w:rsidRPr="00757018">
        <w:rPr>
          <w:i/>
        </w:rPr>
        <w:t xml:space="preserve">s have expanded </w:t>
      </w:r>
      <w:r w:rsidR="00CC21A2" w:rsidRPr="00757018">
        <w:rPr>
          <w:i/>
        </w:rPr>
        <w:t xml:space="preserve">credit </w:t>
      </w:r>
      <w:r w:rsidRPr="00757018">
        <w:rPr>
          <w:i/>
        </w:rPr>
        <w:t>at a much faster pace than private banks</w:t>
      </w:r>
      <w:r>
        <w:t>, with loan growth at an</w:t>
      </w:r>
      <w:r w:rsidR="00CC21A2" w:rsidRPr="00CC21A2">
        <w:t xml:space="preserve"> average annual pace of </w:t>
      </w:r>
      <w:r w:rsidR="004A30C8" w:rsidRPr="004A30C8">
        <w:t xml:space="preserve">over 25 percent over the past 12 months, compared to less than 10 percent of private banks. Private banks’ NPLs have gradually declined since mid-2012, when they reached 5.4 percent, while public banks’ NPL have remained </w:t>
      </w:r>
      <w:r w:rsidR="00D346CE">
        <w:t xml:space="preserve">stable </w:t>
      </w:r>
      <w:r w:rsidR="004A30C8" w:rsidRPr="004A30C8">
        <w:t>at about 2 percent.</w:t>
      </w:r>
      <w:r w:rsidR="00CC21A2" w:rsidRPr="00CC21A2">
        <w:t xml:space="preserve"> </w:t>
      </w:r>
      <w:r w:rsidR="004A30C8" w:rsidRPr="004A30C8">
        <w:t>Mortgage lending has grown strongly, at nearly 40 percent, but remains a relatively small share of total credit.</w:t>
      </w:r>
      <w:r w:rsidR="00CC21A2" w:rsidRPr="00CC21A2">
        <w:t xml:space="preserve"> </w:t>
      </w:r>
    </w:p>
    <w:p w:rsidR="00757018" w:rsidRDefault="00757018" w:rsidP="007E0CFA">
      <w:pPr>
        <w:pStyle w:val="ListBullet"/>
        <w:spacing w:line="240" w:lineRule="auto"/>
      </w:pPr>
      <w:r w:rsidRPr="00757018">
        <w:rPr>
          <w:i/>
        </w:rPr>
        <w:lastRenderedPageBreak/>
        <w:t>P</w:t>
      </w:r>
      <w:r w:rsidR="00CC21A2" w:rsidRPr="00757018">
        <w:rPr>
          <w:i/>
        </w:rPr>
        <w:t xml:space="preserve">rices of premium property in some large cities, though moderating, </w:t>
      </w:r>
      <w:r w:rsidR="00D346CE">
        <w:rPr>
          <w:i/>
        </w:rPr>
        <w:t xml:space="preserve">have </w:t>
      </w:r>
      <w:r w:rsidR="00CC21A2" w:rsidRPr="00757018">
        <w:rPr>
          <w:i/>
        </w:rPr>
        <w:t>continue</w:t>
      </w:r>
      <w:r w:rsidR="00D346CE">
        <w:rPr>
          <w:i/>
        </w:rPr>
        <w:t>d</w:t>
      </w:r>
      <w:r w:rsidR="00CC21A2" w:rsidRPr="00757018">
        <w:rPr>
          <w:i/>
        </w:rPr>
        <w:t xml:space="preserve"> to increase s</w:t>
      </w:r>
      <w:r w:rsidR="00D346CE">
        <w:rPr>
          <w:i/>
        </w:rPr>
        <w:t>ubstantially</w:t>
      </w:r>
      <w:r w:rsidR="00CC21A2" w:rsidRPr="00CC21A2">
        <w:t xml:space="preserve">, warranting continued monitoring. </w:t>
      </w:r>
    </w:p>
    <w:p w:rsidR="003E6BD1" w:rsidRDefault="001D087A" w:rsidP="007E0CFA">
      <w:pPr>
        <w:pStyle w:val="ListBullet"/>
        <w:spacing w:line="240" w:lineRule="auto"/>
      </w:pPr>
      <w:r w:rsidRPr="00757018">
        <w:rPr>
          <w:rFonts w:cs="Segoe UI"/>
          <w:bCs/>
          <w:i/>
          <w:color w:val="000000"/>
          <w:szCs w:val="21"/>
        </w:rPr>
        <w:t xml:space="preserve">The authorities have made </w:t>
      </w:r>
      <w:r w:rsidRPr="00757018">
        <w:rPr>
          <w:rFonts w:eastAsiaTheme="minorEastAsia" w:cs="Segoe UI" w:hint="eastAsia"/>
          <w:bCs/>
          <w:i/>
          <w:color w:val="000000"/>
          <w:szCs w:val="21"/>
          <w:lang w:eastAsia="ko-KR"/>
        </w:rPr>
        <w:t>some</w:t>
      </w:r>
      <w:r w:rsidRPr="00757018">
        <w:rPr>
          <w:rFonts w:cs="Segoe UI"/>
          <w:bCs/>
          <w:i/>
          <w:color w:val="000000"/>
          <w:szCs w:val="21"/>
        </w:rPr>
        <w:t xml:space="preserve"> progress </w:t>
      </w:r>
      <w:r w:rsidRPr="00757018">
        <w:rPr>
          <w:rFonts w:eastAsiaTheme="minorEastAsia" w:cs="Segoe UI" w:hint="eastAsia"/>
          <w:bCs/>
          <w:i/>
          <w:color w:val="000000"/>
          <w:szCs w:val="21"/>
          <w:lang w:eastAsia="ko-KR"/>
        </w:rPr>
        <w:t xml:space="preserve">in implementing the </w:t>
      </w:r>
      <w:r w:rsidRPr="00757018">
        <w:rPr>
          <w:rFonts w:eastAsia="Malgun Gothic" w:cs="Segoe UI" w:hint="eastAsia"/>
          <w:bCs/>
          <w:i/>
          <w:color w:val="000000"/>
          <w:szCs w:val="21"/>
          <w:lang w:eastAsia="ko-KR"/>
        </w:rPr>
        <w:t xml:space="preserve">2012 FSAP </w:t>
      </w:r>
      <w:r w:rsidRPr="00757018">
        <w:rPr>
          <w:rFonts w:eastAsiaTheme="minorEastAsia" w:cs="Segoe UI" w:hint="eastAsia"/>
          <w:bCs/>
          <w:i/>
          <w:color w:val="000000"/>
          <w:szCs w:val="21"/>
          <w:lang w:eastAsia="ko-KR"/>
        </w:rPr>
        <w:t>key recommendations</w:t>
      </w:r>
      <w:r w:rsidR="003A5177">
        <w:rPr>
          <w:rFonts w:eastAsiaTheme="minorEastAsia" w:cs="Segoe UI"/>
          <w:bCs/>
          <w:color w:val="000000"/>
          <w:szCs w:val="21"/>
          <w:lang w:eastAsia="ko-KR"/>
        </w:rPr>
        <w:t xml:space="preserve">, including issuance of </w:t>
      </w:r>
      <w:r w:rsidRPr="00B95AF4">
        <w:rPr>
          <w:rFonts w:cs="Segoe UI"/>
          <w:szCs w:val="21"/>
          <w:lang w:eastAsia="ko-KR"/>
        </w:rPr>
        <w:t>regulation</w:t>
      </w:r>
      <w:r w:rsidR="003A5177" w:rsidRPr="00B95AF4">
        <w:rPr>
          <w:rFonts w:cs="Segoe UI"/>
          <w:szCs w:val="21"/>
          <w:lang w:eastAsia="ko-KR"/>
        </w:rPr>
        <w:t>s</w:t>
      </w:r>
      <w:r w:rsidR="0063665A">
        <w:rPr>
          <w:rFonts w:cs="Segoe UI"/>
          <w:szCs w:val="21"/>
          <w:lang w:eastAsia="ko-KR"/>
        </w:rPr>
        <w:t xml:space="preserve"> on positive</w:t>
      </w:r>
      <w:r w:rsidR="00BC3511">
        <w:rPr>
          <w:rFonts w:cs="Segoe UI"/>
          <w:szCs w:val="21"/>
          <w:lang w:eastAsia="ko-KR"/>
        </w:rPr>
        <w:t>-</w:t>
      </w:r>
      <w:r w:rsidR="0063665A">
        <w:rPr>
          <w:rFonts w:cs="Segoe UI"/>
          <w:szCs w:val="21"/>
          <w:lang w:eastAsia="ko-KR"/>
        </w:rPr>
        <w:t>credit bureaus</w:t>
      </w:r>
      <w:r w:rsidRPr="000C40E9">
        <w:rPr>
          <w:rFonts w:cs="Segoe UI"/>
          <w:szCs w:val="21"/>
          <w:lang w:eastAsia="ko-KR"/>
        </w:rPr>
        <w:t xml:space="preserve"> </w:t>
      </w:r>
      <w:r w:rsidRPr="000C40E9">
        <w:rPr>
          <w:rFonts w:eastAsiaTheme="minorEastAsia" w:cs="Segoe UI" w:hint="eastAsia"/>
          <w:szCs w:val="21"/>
          <w:lang w:eastAsia="ko-KR"/>
        </w:rPr>
        <w:t>and</w:t>
      </w:r>
      <w:r w:rsidRPr="000C40E9">
        <w:rPr>
          <w:rFonts w:cs="Segoe UI"/>
          <w:szCs w:val="21"/>
          <w:lang w:eastAsia="ko-KR"/>
        </w:rPr>
        <w:t xml:space="preserve"> </w:t>
      </w:r>
      <w:r w:rsidR="003A5177">
        <w:rPr>
          <w:rFonts w:cs="Segoe UI"/>
          <w:szCs w:val="21"/>
          <w:lang w:eastAsia="ko-KR"/>
        </w:rPr>
        <w:t xml:space="preserve">change in board </w:t>
      </w:r>
      <w:r w:rsidRPr="000C40E9">
        <w:rPr>
          <w:rFonts w:cs="Segoe UI"/>
          <w:szCs w:val="21"/>
          <w:lang w:eastAsia="ko-KR"/>
        </w:rPr>
        <w:t>composition of the deposit insurance fund</w:t>
      </w:r>
      <w:r>
        <w:rPr>
          <w:rFonts w:eastAsia="Malgun Gothic" w:cs="Segoe UI" w:hint="eastAsia"/>
          <w:szCs w:val="21"/>
          <w:lang w:eastAsia="ko-KR"/>
        </w:rPr>
        <w:t>.</w:t>
      </w:r>
      <w:r>
        <w:rPr>
          <w:rStyle w:val="FootnoteReference"/>
          <w:rFonts w:eastAsia="Malgun Gothic" w:cs="Segoe UI"/>
          <w:szCs w:val="21"/>
          <w:lang w:eastAsia="ko-KR"/>
        </w:rPr>
        <w:footnoteReference w:id="2"/>
      </w:r>
    </w:p>
    <w:p w:rsidR="007449EC" w:rsidRDefault="007449EC" w:rsidP="007E0CFA">
      <w:pPr>
        <w:spacing w:line="240" w:lineRule="auto"/>
      </w:pPr>
      <w:r w:rsidRPr="007449EC">
        <w:rPr>
          <w:highlight w:val="yellow"/>
        </w:rPr>
        <w:t>[Box 3 – Public Banks</w:t>
      </w:r>
      <w:r>
        <w:t>]</w:t>
      </w:r>
    </w:p>
    <w:p w:rsidR="001D087A" w:rsidRDefault="001D087A" w:rsidP="007E0CFA">
      <w:pPr>
        <w:spacing w:line="240" w:lineRule="auto"/>
      </w:pPr>
    </w:p>
    <w:p w:rsidR="001537F1" w:rsidRDefault="00322AFD" w:rsidP="007E0CFA">
      <w:pPr>
        <w:pStyle w:val="ParagraphNumbering"/>
        <w:spacing w:line="240" w:lineRule="auto"/>
      </w:pPr>
      <w:r>
        <w:rPr>
          <w:b/>
        </w:rPr>
        <w:t xml:space="preserve">Following </w:t>
      </w:r>
      <w:r w:rsidR="00DE13DC">
        <w:rPr>
          <w:b/>
        </w:rPr>
        <w:t xml:space="preserve">a </w:t>
      </w:r>
      <w:r>
        <w:rPr>
          <w:b/>
        </w:rPr>
        <w:t xml:space="preserve">substantial policy easing since 2011, </w:t>
      </w:r>
      <w:r w:rsidR="00C2799B">
        <w:rPr>
          <w:b/>
        </w:rPr>
        <w:t xml:space="preserve">the authorities </w:t>
      </w:r>
      <w:r>
        <w:rPr>
          <w:b/>
        </w:rPr>
        <w:t xml:space="preserve">have </w:t>
      </w:r>
      <w:r w:rsidR="001726DF">
        <w:rPr>
          <w:b/>
        </w:rPr>
        <w:t xml:space="preserve">increasingly focused </w:t>
      </w:r>
      <w:r>
        <w:rPr>
          <w:b/>
        </w:rPr>
        <w:t xml:space="preserve">on </w:t>
      </w:r>
      <w:r w:rsidR="00AA6A91">
        <w:rPr>
          <w:b/>
        </w:rPr>
        <w:t xml:space="preserve">alleviating </w:t>
      </w:r>
      <w:r>
        <w:rPr>
          <w:b/>
        </w:rPr>
        <w:t>supply-side constraints</w:t>
      </w:r>
      <w:r w:rsidR="00C2799B">
        <w:rPr>
          <w:b/>
        </w:rPr>
        <w:t xml:space="preserve"> while retaining </w:t>
      </w:r>
      <w:r w:rsidR="00BD2A97">
        <w:rPr>
          <w:b/>
        </w:rPr>
        <w:t xml:space="preserve">demand </w:t>
      </w:r>
      <w:r w:rsidR="00C2799B">
        <w:rPr>
          <w:b/>
        </w:rPr>
        <w:t>stimuli</w:t>
      </w:r>
      <w:r w:rsidR="00E97AA4">
        <w:rPr>
          <w:b/>
        </w:rPr>
        <w:t xml:space="preserve">. </w:t>
      </w:r>
      <w:r w:rsidR="00E97AA4">
        <w:t xml:space="preserve">The </w:t>
      </w:r>
      <w:r w:rsidR="00387380">
        <w:t xml:space="preserve">initial </w:t>
      </w:r>
      <w:r w:rsidR="00E97AA4">
        <w:t xml:space="preserve">policy response to the slowdown </w:t>
      </w:r>
      <w:r w:rsidR="00B76F90">
        <w:t>focused on boosting d</w:t>
      </w:r>
      <w:r w:rsidR="00016214">
        <w:t>emand</w:t>
      </w:r>
      <w:r w:rsidR="00CC35EB">
        <w:t xml:space="preserve"> </w:t>
      </w:r>
      <w:r w:rsidR="00603A26">
        <w:t xml:space="preserve">but it </w:t>
      </w:r>
      <w:r w:rsidR="00F034A6">
        <w:t xml:space="preserve">proved </w:t>
      </w:r>
      <w:r w:rsidR="00CC35EB">
        <w:t>less effective than expected</w:t>
      </w:r>
      <w:r w:rsidR="004C3A9D">
        <w:t>,</w:t>
      </w:r>
      <w:r w:rsidR="00CC35EB">
        <w:t xml:space="preserve"> in part </w:t>
      </w:r>
      <w:r w:rsidR="00F034A6">
        <w:t xml:space="preserve">because of </w:t>
      </w:r>
      <w:r w:rsidR="00E3343E">
        <w:t xml:space="preserve">weak </w:t>
      </w:r>
      <w:r w:rsidR="00B76F90">
        <w:t>investor confidence</w:t>
      </w:r>
      <w:r w:rsidR="00F034A6">
        <w:t xml:space="preserve"> associated with a private sector perception of increased policy uncertainty</w:t>
      </w:r>
      <w:r w:rsidR="00B76F90">
        <w:t>.</w:t>
      </w:r>
      <w:r w:rsidR="00673614">
        <w:t xml:space="preserve"> </w:t>
      </w:r>
      <w:r w:rsidR="00016214">
        <w:t>I</w:t>
      </w:r>
      <w:r w:rsidR="00F80BAA">
        <w:t xml:space="preserve">n the face of </w:t>
      </w:r>
      <w:r w:rsidR="004C5374">
        <w:t xml:space="preserve">persistently weak </w:t>
      </w:r>
      <w:r w:rsidR="00F034A6">
        <w:t>investment</w:t>
      </w:r>
      <w:r w:rsidR="004C5374">
        <w:t xml:space="preserve"> and </w:t>
      </w:r>
      <w:r w:rsidR="00F034A6">
        <w:t xml:space="preserve">growth and </w:t>
      </w:r>
      <w:r w:rsidR="00F80BAA">
        <w:t xml:space="preserve">elevated inflation, the authorities have </w:t>
      </w:r>
      <w:r w:rsidR="00016214">
        <w:t xml:space="preserve">sought </w:t>
      </w:r>
      <w:r w:rsidR="00CC35EB">
        <w:t>more recently</w:t>
      </w:r>
      <w:r w:rsidR="00CC35EB" w:rsidDel="00C2799B">
        <w:t xml:space="preserve"> </w:t>
      </w:r>
      <w:r w:rsidR="00C2799B">
        <w:t xml:space="preserve">to </w:t>
      </w:r>
      <w:r w:rsidR="00F80BAA">
        <w:t>emphasize mea</w:t>
      </w:r>
      <w:r w:rsidR="001537F1">
        <w:t xml:space="preserve">sures aimed at </w:t>
      </w:r>
      <w:r w:rsidR="00CC35EB">
        <w:t xml:space="preserve">alleviating bottlenecks and </w:t>
      </w:r>
      <w:r w:rsidR="001537F1">
        <w:t>bo</w:t>
      </w:r>
      <w:r w:rsidR="007E0B34">
        <w:t xml:space="preserve">lstering </w:t>
      </w:r>
      <w:r w:rsidR="00CC35EB">
        <w:t xml:space="preserve">the </w:t>
      </w:r>
      <w:r w:rsidR="001537F1">
        <w:t>supply</w:t>
      </w:r>
      <w:r w:rsidR="00CC35EB">
        <w:t xml:space="preserve"> response</w:t>
      </w:r>
      <w:r w:rsidR="007E0B34">
        <w:t>, including through infrastructure concessions</w:t>
      </w:r>
      <w:r w:rsidR="00CC35EB">
        <w:t>.</w:t>
      </w:r>
    </w:p>
    <w:p w:rsidR="00BF6D3F" w:rsidRPr="00B95AF4" w:rsidRDefault="00F80BAA" w:rsidP="007E0CFA">
      <w:pPr>
        <w:pStyle w:val="ListBullet"/>
        <w:spacing w:line="240" w:lineRule="auto"/>
      </w:pPr>
      <w:r w:rsidRPr="00470976">
        <w:rPr>
          <w:i/>
        </w:rPr>
        <w:t xml:space="preserve">Monetary </w:t>
      </w:r>
      <w:r w:rsidR="007E0B34">
        <w:rPr>
          <w:i/>
        </w:rPr>
        <w:t xml:space="preserve">and exchange rate </w:t>
      </w:r>
      <w:r w:rsidRPr="00470976">
        <w:rPr>
          <w:i/>
        </w:rPr>
        <w:t>policy</w:t>
      </w:r>
      <w:r w:rsidR="008720F8">
        <w:t>.</w:t>
      </w:r>
      <w:r w:rsidR="002430A2">
        <w:t xml:space="preserve"> </w:t>
      </w:r>
      <w:r w:rsidR="002F15B6">
        <w:t>The central bank</w:t>
      </w:r>
      <w:r w:rsidR="00CF67FE">
        <w:t xml:space="preserve"> has </w:t>
      </w:r>
      <w:r w:rsidR="00E3343E">
        <w:t>recently started</w:t>
      </w:r>
      <w:r w:rsidR="00CF67FE">
        <w:t xml:space="preserve"> a monetary tightening cycle, hiking the policy rate by 25 basis points</w:t>
      </w:r>
      <w:r w:rsidR="001A03E2">
        <w:t xml:space="preserve"> to 7½ percent </w:t>
      </w:r>
      <w:r w:rsidR="00CF67FE">
        <w:t xml:space="preserve">in April. Policy is currently very accommodative following a </w:t>
      </w:r>
      <w:r w:rsidR="00ED2711">
        <w:t xml:space="preserve">cumulative </w:t>
      </w:r>
      <w:r w:rsidR="002430A2">
        <w:t>cut</w:t>
      </w:r>
      <w:r w:rsidR="00ED2711">
        <w:t xml:space="preserve"> of </w:t>
      </w:r>
      <w:r w:rsidR="002430A2">
        <w:t>525 basis points</w:t>
      </w:r>
      <w:r w:rsidR="00ED2711">
        <w:t xml:space="preserve"> </w:t>
      </w:r>
      <w:r w:rsidR="00CF67FE">
        <w:t xml:space="preserve">during 2011-12 </w:t>
      </w:r>
      <w:r w:rsidR="002F15B6">
        <w:t xml:space="preserve">that brought the nominal policy rate </w:t>
      </w:r>
      <w:r w:rsidR="00ED2711">
        <w:t>to a decades-low of 7¼ percent</w:t>
      </w:r>
      <w:r w:rsidR="001E17B9">
        <w:t>. T</w:t>
      </w:r>
      <w:r w:rsidR="002430A2">
        <w:t>he real ex-ante policy rate</w:t>
      </w:r>
      <w:r w:rsidR="00BD2A97">
        <w:t>,</w:t>
      </w:r>
      <w:r w:rsidR="002430A2">
        <w:t xml:space="preserve"> </w:t>
      </w:r>
      <w:r w:rsidR="001E17B9">
        <w:t>at about 1½ percent</w:t>
      </w:r>
      <w:r w:rsidR="00BD2A97">
        <w:t>,</w:t>
      </w:r>
      <w:r w:rsidR="001E17B9">
        <w:t xml:space="preserve"> has remained </w:t>
      </w:r>
      <w:r w:rsidR="008720F8">
        <w:t>well below the neutral rate</w:t>
      </w:r>
      <w:r w:rsidR="001E17B9">
        <w:t xml:space="preserve">, </w:t>
      </w:r>
      <w:r w:rsidR="00FB15E2">
        <w:t>estimated</w:t>
      </w:r>
      <w:r w:rsidR="00E3343E">
        <w:t xml:space="preserve"> by staff</w:t>
      </w:r>
      <w:r w:rsidR="00FB15E2">
        <w:t xml:space="preserve"> </w:t>
      </w:r>
      <w:r w:rsidR="00BD2A97">
        <w:t xml:space="preserve">to be in the range of </w:t>
      </w:r>
      <w:r w:rsidR="00FB15E2">
        <w:t>5</w:t>
      </w:r>
      <w:r w:rsidR="00E3343E">
        <w:t>–</w:t>
      </w:r>
      <w:r w:rsidR="00ED2711">
        <w:t>6</w:t>
      </w:r>
      <w:r w:rsidR="00BD2A97">
        <w:t> </w:t>
      </w:r>
      <w:r w:rsidR="00FB15E2">
        <w:t>percent</w:t>
      </w:r>
      <w:r w:rsidR="001E0EF4">
        <w:t>. Th</w:t>
      </w:r>
      <w:r w:rsidR="00ED2711">
        <w:t>e effectiveness</w:t>
      </w:r>
      <w:r w:rsidR="001E17B9">
        <w:t xml:space="preserve"> of monetary policy</w:t>
      </w:r>
      <w:r w:rsidR="00ED2711">
        <w:t xml:space="preserve">, however, may have been reduced </w:t>
      </w:r>
      <w:r w:rsidR="001E17B9">
        <w:t xml:space="preserve">during this period </w:t>
      </w:r>
      <w:r w:rsidR="00BD2A97">
        <w:t xml:space="preserve">due to </w:t>
      </w:r>
      <w:r w:rsidR="00ED2711">
        <w:t xml:space="preserve">a </w:t>
      </w:r>
      <w:r w:rsidR="008720F8">
        <w:t xml:space="preserve">temporarily </w:t>
      </w:r>
      <w:r w:rsidR="001E17B9">
        <w:t xml:space="preserve">weakened </w:t>
      </w:r>
      <w:r w:rsidR="00ED2711">
        <w:t xml:space="preserve">credit channel </w:t>
      </w:r>
      <w:r w:rsidR="00BD2A97">
        <w:t xml:space="preserve">associated with </w:t>
      </w:r>
      <w:r w:rsidR="002F15B6">
        <w:t>previous</w:t>
      </w:r>
      <w:r w:rsidR="001E17B9">
        <w:t xml:space="preserve"> increase</w:t>
      </w:r>
      <w:r w:rsidR="002F15B6">
        <w:t>s</w:t>
      </w:r>
      <w:r w:rsidR="001E17B9">
        <w:t xml:space="preserve"> in</w:t>
      </w:r>
      <w:r w:rsidR="008720F8">
        <w:t xml:space="preserve"> non-performing loans. </w:t>
      </w:r>
      <w:r w:rsidR="004C5374">
        <w:t>The m</w:t>
      </w:r>
      <w:r w:rsidR="00CF67FE">
        <w:t>arket</w:t>
      </w:r>
      <w:r w:rsidR="004C5374">
        <w:t xml:space="preserve"> response to </w:t>
      </w:r>
      <w:r w:rsidR="00CF67FE">
        <w:t xml:space="preserve">central bank guidance </w:t>
      </w:r>
      <w:r w:rsidR="001A03E2">
        <w:t xml:space="preserve">about the </w:t>
      </w:r>
      <w:r w:rsidR="00CF67FE">
        <w:t>tightening cycle</w:t>
      </w:r>
      <w:r w:rsidR="004C5374">
        <w:t xml:space="preserve"> has been orderly</w:t>
      </w:r>
      <w:r w:rsidR="00CF67FE">
        <w:t>, with</w:t>
      </w:r>
      <w:r w:rsidR="001E0EF4">
        <w:t xml:space="preserve"> medium- and long-term real interest rates remain</w:t>
      </w:r>
      <w:r w:rsidR="00CF67FE">
        <w:t>ing</w:t>
      </w:r>
      <w:r w:rsidR="001E0EF4">
        <w:t xml:space="preserve"> </w:t>
      </w:r>
      <w:r w:rsidR="00AE540B">
        <w:t>be</w:t>
      </w:r>
      <w:r w:rsidR="001E0EF4">
        <w:t>low</w:t>
      </w:r>
      <w:r w:rsidR="00AE540B">
        <w:t xml:space="preserve"> the </w:t>
      </w:r>
      <w:r w:rsidR="001E0EF4">
        <w:t xml:space="preserve">levels </w:t>
      </w:r>
      <w:r w:rsidR="00BD2A97">
        <w:t xml:space="preserve">reached </w:t>
      </w:r>
      <w:r w:rsidR="001E0EF4">
        <w:t>in past cycles.</w:t>
      </w:r>
      <w:r w:rsidR="0090703F">
        <w:t xml:space="preserve"> </w:t>
      </w:r>
      <w:r w:rsidR="00BF6D3F" w:rsidRPr="007E0B34">
        <w:t>The a</w:t>
      </w:r>
      <w:r w:rsidR="00BF6D3F">
        <w:t xml:space="preserve">uthorities have </w:t>
      </w:r>
      <w:r w:rsidR="00FD341F">
        <w:t xml:space="preserve">also </w:t>
      </w:r>
      <w:r w:rsidR="00BF6D3F">
        <w:t>interven</w:t>
      </w:r>
      <w:r w:rsidR="00893CEB">
        <w:t>ed</w:t>
      </w:r>
      <w:r w:rsidR="00BF6D3F">
        <w:t xml:space="preserve"> </w:t>
      </w:r>
      <w:r w:rsidR="00F426B0">
        <w:t xml:space="preserve">in the FX market </w:t>
      </w:r>
      <w:r w:rsidR="00893CEB">
        <w:t>in recent quarters</w:t>
      </w:r>
      <w:r w:rsidR="00FB15E2">
        <w:t>,</w:t>
      </w:r>
      <w:r w:rsidR="00F426B0">
        <w:t xml:space="preserve"> mainly through the non-deliverable swaps market, </w:t>
      </w:r>
      <w:r w:rsidR="00FB15E2">
        <w:t xml:space="preserve">aiming mainly at </w:t>
      </w:r>
      <w:r w:rsidR="00893CEB" w:rsidRPr="00B95AF4">
        <w:t>stemming appreciation but also, for a brief period during late 2012, providing support to the currency</w:t>
      </w:r>
      <w:r w:rsidR="0063665A">
        <w:t>. International reserves have remained stable following a halt in reserve accumulation since mid-2012; as of April 2013</w:t>
      </w:r>
      <w:r w:rsidR="000B3DFF" w:rsidRPr="000B3DFF">
        <w:t>, international reserves stood at US$377 billion (about 15½ percent of GDP)</w:t>
      </w:r>
      <w:r w:rsidR="0079052B" w:rsidRPr="00B95AF4">
        <w:t xml:space="preserve">. </w:t>
      </w:r>
    </w:p>
    <w:p w:rsidR="001537F1" w:rsidRPr="00B95AF4" w:rsidRDefault="0063665A" w:rsidP="007E0CFA">
      <w:pPr>
        <w:pStyle w:val="ListBullet"/>
        <w:spacing w:line="240" w:lineRule="auto"/>
      </w:pPr>
      <w:r>
        <w:rPr>
          <w:i/>
        </w:rPr>
        <w:t>Fiscal policy and policy lending.</w:t>
      </w:r>
      <w:r>
        <w:t xml:space="preserve"> During 2012, the authorities</w:t>
      </w:r>
      <w:r w:rsidR="00B26023" w:rsidRPr="00B26023">
        <w:t xml:space="preserve"> </w:t>
      </w:r>
      <w:r w:rsidR="00E3343E">
        <w:t>adopted several</w:t>
      </w:r>
      <w:r w:rsidR="00B26023" w:rsidRPr="00B26023">
        <w:t xml:space="preserve"> measures, particularly tax stimulus </w:t>
      </w:r>
      <w:r w:rsidR="00E3343E">
        <w:t>that postponed</w:t>
      </w:r>
      <w:r w:rsidR="00E3343E" w:rsidRPr="00B26023">
        <w:t xml:space="preserve"> </w:t>
      </w:r>
      <w:r w:rsidR="00B26023" w:rsidRPr="00B26023">
        <w:t xml:space="preserve">the planned fiscal consolidation initially envisaged (Box </w:t>
      </w:r>
      <w:r w:rsidR="004C5374">
        <w:t>4</w:t>
      </w:r>
      <w:r w:rsidR="00B26023" w:rsidRPr="00B26023">
        <w:t xml:space="preserve">). The fiscal </w:t>
      </w:r>
      <w:r w:rsidR="00B26023" w:rsidRPr="00B26023">
        <w:lastRenderedPageBreak/>
        <w:t xml:space="preserve">primary surplus for 2012 was 2.1 percent of GDP (excluding proceeds from the sovereign wealth fund), with the authorities making full use of the </w:t>
      </w:r>
      <w:r w:rsidR="00444F24">
        <w:t xml:space="preserve">budget </w:t>
      </w:r>
      <w:r w:rsidR="00B26023" w:rsidRPr="00B26023">
        <w:t xml:space="preserve">adjustor </w:t>
      </w:r>
      <w:r w:rsidR="00444F24" w:rsidRPr="00B26023">
        <w:t>for investment</w:t>
      </w:r>
      <w:r w:rsidR="00B26023" w:rsidRPr="00B26023">
        <w:t xml:space="preserve">, as a broad recourse to extraordinary revenue was insufficient to compensate for current </w:t>
      </w:r>
      <w:r w:rsidR="00B26023" w:rsidRPr="00B95AF4">
        <w:t>expenditure growth and t</w:t>
      </w:r>
      <w:r>
        <w:t xml:space="preserve">he cost of stimulus measures. A number of previous tax stimuli were </w:t>
      </w:r>
      <w:proofErr w:type="gramStart"/>
      <w:r>
        <w:t>renewed</w:t>
      </w:r>
      <w:proofErr w:type="gramEnd"/>
      <w:r>
        <w:t xml:space="preserve"> and further measures implemented in early 2013, including broadening payroll tax cuts and incentives for car purchases. At the same time, lending to public banks increased by 1.7 percent of GDP in 2012 from 1.2 percent in 2011, </w:t>
      </w:r>
      <w:proofErr w:type="spellStart"/>
      <w:r>
        <w:t>resultingin</w:t>
      </w:r>
      <w:proofErr w:type="spellEnd"/>
      <w:r>
        <w:t xml:space="preserve"> higher gross public debt.</w:t>
      </w:r>
    </w:p>
    <w:p w:rsidR="00F80BAA" w:rsidRPr="00876DC1" w:rsidRDefault="0063665A" w:rsidP="007E0CFA">
      <w:pPr>
        <w:pStyle w:val="ListBullet"/>
        <w:spacing w:line="240" w:lineRule="auto"/>
        <w:rPr>
          <w:i/>
        </w:rPr>
      </w:pPr>
      <w:r>
        <w:rPr>
          <w:i/>
        </w:rPr>
        <w:t>Structural policies</w:t>
      </w:r>
      <w:r>
        <w:t xml:space="preserve">. Since </w:t>
      </w:r>
      <w:r w:rsidR="009C0F90">
        <w:t xml:space="preserve">the </w:t>
      </w:r>
      <w:r w:rsidR="00BC3511">
        <w:t xml:space="preserve">fall of </w:t>
      </w:r>
      <w:r>
        <w:t>2012</w:t>
      </w:r>
      <w:r w:rsidR="000B3DFF" w:rsidRPr="000B3DFF">
        <w:t xml:space="preserve">, </w:t>
      </w:r>
      <w:r w:rsidR="00591838" w:rsidRPr="00B95AF4">
        <w:t>t</w:t>
      </w:r>
      <w:r w:rsidR="0082174B" w:rsidRPr="00B95AF4">
        <w:t>he authorities</w:t>
      </w:r>
      <w:r w:rsidR="0082174B">
        <w:t xml:space="preserve"> have undertaken t</w:t>
      </w:r>
      <w:r w:rsidR="009F2789">
        <w:t>argeted effort</w:t>
      </w:r>
      <w:r w:rsidR="009F2789" w:rsidRPr="00876DC1">
        <w:rPr>
          <w:i/>
        </w:rPr>
        <w:t>s</w:t>
      </w:r>
      <w:r w:rsidR="009F2789" w:rsidRPr="00876DC1">
        <w:t xml:space="preserve"> to bo</w:t>
      </w:r>
      <w:r w:rsidR="0082174B">
        <w:t xml:space="preserve">lster </w:t>
      </w:r>
      <w:r w:rsidR="009F2789" w:rsidRPr="00876DC1">
        <w:t xml:space="preserve">investment </w:t>
      </w:r>
      <w:r w:rsidR="0072792F">
        <w:t>by boosting infrastructure, simplifying taxes, and reducing high energy costs</w:t>
      </w:r>
      <w:r w:rsidR="009F2789">
        <w:t xml:space="preserve">. </w:t>
      </w:r>
      <w:r w:rsidR="0090703F">
        <w:t>The centerpiece has</w:t>
      </w:r>
      <w:r w:rsidR="00D73539">
        <w:t xml:space="preserve"> been a new program to increase</w:t>
      </w:r>
      <w:r w:rsidR="0090703F">
        <w:t xml:space="preserve"> private participation in infrastructure investment through the </w:t>
      </w:r>
      <w:r w:rsidR="00D73539">
        <w:t>tender</w:t>
      </w:r>
      <w:r w:rsidR="0090703F">
        <w:t xml:space="preserve"> of concessions</w:t>
      </w:r>
      <w:r w:rsidR="00D73539">
        <w:t xml:space="preserve"> for the operation of new roads and </w:t>
      </w:r>
      <w:r w:rsidR="00C85988">
        <w:t xml:space="preserve">a </w:t>
      </w:r>
      <w:r w:rsidR="00D73539">
        <w:t>PPP model for rail</w:t>
      </w:r>
      <w:r w:rsidR="00C85988">
        <w:t>roads</w:t>
      </w:r>
      <w:r w:rsidR="00D73539">
        <w:t xml:space="preserve">. This program aims at a total investment of R$133 billion (3 percent of GDP) over the next 5 years. </w:t>
      </w:r>
      <w:r w:rsidR="00CA0BD2">
        <w:t xml:space="preserve">Additional programs </w:t>
      </w:r>
      <w:r w:rsidR="00C85988">
        <w:t xml:space="preserve">have </w:t>
      </w:r>
      <w:r w:rsidR="00CA0BD2">
        <w:t>focus</w:t>
      </w:r>
      <w:r w:rsidR="00C85988">
        <w:t>ed</w:t>
      </w:r>
      <w:r w:rsidR="00CA0BD2">
        <w:t xml:space="preserve"> on airports and seaports.</w:t>
      </w:r>
      <w:r w:rsidR="00A75C20">
        <w:t xml:space="preserve"> </w:t>
      </w:r>
      <w:r w:rsidR="0072792F">
        <w:t>The government is also attempting to simplify the complex inter</w:t>
      </w:r>
      <w:r w:rsidR="00A75C20">
        <w:t>-</w:t>
      </w:r>
      <w:r w:rsidR="0072792F">
        <w:t>state VAT</w:t>
      </w:r>
      <w:r w:rsidR="009F2789">
        <w:t xml:space="preserve"> </w:t>
      </w:r>
      <w:proofErr w:type="gramStart"/>
      <w:r w:rsidR="009F2789">
        <w:t>regime</w:t>
      </w:r>
      <w:r w:rsidR="0072792F">
        <w:t xml:space="preserve">  although</w:t>
      </w:r>
      <w:proofErr w:type="gramEnd"/>
      <w:r w:rsidR="0072792F">
        <w:t xml:space="preserve"> a long phase-in period will minimize the short-term impact</w:t>
      </w:r>
      <w:r w:rsidR="008720F8">
        <w:t xml:space="preserve">. </w:t>
      </w:r>
      <w:r w:rsidR="0072792F">
        <w:t>Industrial consumers have seen their e</w:t>
      </w:r>
      <w:r w:rsidR="008720F8">
        <w:t>nergy tariffs</w:t>
      </w:r>
      <w:r w:rsidR="0072792F">
        <w:t xml:space="preserve"> decline by an average 18 percent in 2013 due to the </w:t>
      </w:r>
      <w:r w:rsidR="005A6A35">
        <w:t xml:space="preserve">government’s </w:t>
      </w:r>
      <w:r w:rsidR="0072792F">
        <w:t xml:space="preserve">renegotiation of contracts with utility </w:t>
      </w:r>
      <w:proofErr w:type="gramStart"/>
      <w:r w:rsidR="0072792F">
        <w:t>companies</w:t>
      </w:r>
      <w:proofErr w:type="gramEnd"/>
      <w:r w:rsidR="003D3246">
        <w:t xml:space="preserve"> but the positive benefits may have been partially offset by the adverse private sector reaction</w:t>
      </w:r>
      <w:r w:rsidR="005A6A35">
        <w:t xml:space="preserve"> to what was seen as “heavy-handed” intervention</w:t>
      </w:r>
      <w:r w:rsidR="0091422C">
        <w:t xml:space="preserve"> in the energy sector</w:t>
      </w:r>
      <w:r w:rsidR="008720F8">
        <w:t xml:space="preserve">. </w:t>
      </w:r>
    </w:p>
    <w:p w:rsidR="00876DC1" w:rsidRDefault="00876DC1" w:rsidP="007E0CFA">
      <w:pPr>
        <w:pStyle w:val="ListBullet"/>
        <w:spacing w:line="240" w:lineRule="auto"/>
      </w:pPr>
      <w:r>
        <w:rPr>
          <w:i/>
        </w:rPr>
        <w:t>Macroprudential policy and capital flow measures (CFMs)</w:t>
      </w:r>
      <w:r>
        <w:t xml:space="preserve">. </w:t>
      </w:r>
      <w:r w:rsidR="00117D07">
        <w:t>In recent months, t</w:t>
      </w:r>
      <w:r w:rsidR="00853953">
        <w:t xml:space="preserve">he </w:t>
      </w:r>
      <w:r w:rsidR="00A75C20">
        <w:t xml:space="preserve">authorities have partially unwound the </w:t>
      </w:r>
      <w:r w:rsidR="00853953">
        <w:t xml:space="preserve">tightening in macroprudential policies </w:t>
      </w:r>
      <w:r w:rsidR="00453F79">
        <w:t>of</w:t>
      </w:r>
      <w:r w:rsidR="00853953">
        <w:t xml:space="preserve"> 2010</w:t>
      </w:r>
      <w:r w:rsidR="00117D07">
        <w:t>–</w:t>
      </w:r>
      <w:r w:rsidR="00853953">
        <w:t xml:space="preserve">11, mainly through </w:t>
      </w:r>
      <w:r w:rsidR="001D087A">
        <w:t>reduc</w:t>
      </w:r>
      <w:r w:rsidR="001D087A">
        <w:rPr>
          <w:rFonts w:eastAsia="Malgun Gothic" w:hint="eastAsia"/>
          <w:lang w:eastAsia="ko-KR"/>
        </w:rPr>
        <w:t>ing</w:t>
      </w:r>
      <w:r w:rsidR="001D087A">
        <w:t xml:space="preserve"> effective reserve requirements</w:t>
      </w:r>
      <w:r w:rsidR="001D087A">
        <w:rPr>
          <w:rFonts w:eastAsia="Malgun Gothic" w:hint="eastAsia"/>
          <w:lang w:eastAsia="ko-KR"/>
        </w:rPr>
        <w:t xml:space="preserve"> and </w:t>
      </w:r>
      <w:r w:rsidR="001D087A">
        <w:rPr>
          <w:rFonts w:eastAsia="Malgun Gothic"/>
          <w:lang w:eastAsia="ko-KR"/>
        </w:rPr>
        <w:t>easing</w:t>
      </w:r>
      <w:r w:rsidR="001D087A">
        <w:rPr>
          <w:rFonts w:eastAsia="Malgun Gothic" w:hint="eastAsia"/>
          <w:lang w:eastAsia="ko-KR"/>
        </w:rPr>
        <w:t xml:space="preserve"> sectoral capital requirements</w:t>
      </w:r>
      <w:r>
        <w:t xml:space="preserve">. CFMs </w:t>
      </w:r>
      <w:r w:rsidR="00A75C20">
        <w:t xml:space="preserve">have </w:t>
      </w:r>
      <w:r>
        <w:t xml:space="preserve">continued to be managed actively with the coverage and rate of the IOF tax </w:t>
      </w:r>
      <w:r w:rsidR="002A0394">
        <w:t>adjusted</w:t>
      </w:r>
      <w:r>
        <w:t xml:space="preserve">, </w:t>
      </w:r>
      <w:r w:rsidR="00E47C7A">
        <w:t>in</w:t>
      </w:r>
      <w:r>
        <w:t xml:space="preserve"> response to changing financial conditions and net inflow pressures.</w:t>
      </w:r>
      <w:r w:rsidR="0076373C">
        <w:t xml:space="preserve"> </w:t>
      </w:r>
      <w:r w:rsidR="00E47C7A">
        <w:t>O</w:t>
      </w:r>
      <w:r w:rsidR="00F470E9">
        <w:t>ver the last 12 months</w:t>
      </w:r>
      <w:r w:rsidR="00E47C7A">
        <w:t>,</w:t>
      </w:r>
      <w:r w:rsidR="00F470E9">
        <w:t xml:space="preserve"> CFMs </w:t>
      </w:r>
      <w:r w:rsidR="00E47C7A">
        <w:t xml:space="preserve">have been eased </w:t>
      </w:r>
      <w:r w:rsidR="00F470E9">
        <w:t xml:space="preserve">by narrowing the scope of the IOF tax, including by reducing the maturity of debt inflows subject to the tax and exempting certain investment vehicles (Table). </w:t>
      </w:r>
    </w:p>
    <w:p w:rsidR="00407838" w:rsidRDefault="00407838" w:rsidP="007E0CFA">
      <w:pPr>
        <w:spacing w:line="240" w:lineRule="auto"/>
      </w:pPr>
      <w:r>
        <w:rPr>
          <w:noProof/>
        </w:rPr>
        <w:lastRenderedPageBreak/>
        <w:drawing>
          <wp:anchor distT="0" distB="0" distL="114300" distR="114300" simplePos="0" relativeHeight="251666432" behindDoc="0" locked="0" layoutInCell="1" allowOverlap="1">
            <wp:simplePos x="0" y="0"/>
            <wp:positionH relativeFrom="column">
              <wp:posOffset>883285</wp:posOffset>
            </wp:positionH>
            <wp:positionV relativeFrom="paragraph">
              <wp:posOffset>185420</wp:posOffset>
            </wp:positionV>
            <wp:extent cx="3828415" cy="2126615"/>
            <wp:effectExtent l="19050" t="0" r="635" b="0"/>
            <wp:wrapTopAndBottom/>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3828415" cy="2126615"/>
                    </a:xfrm>
                    <a:prstGeom prst="rect">
                      <a:avLst/>
                    </a:prstGeom>
                    <a:noFill/>
                    <a:ln w="9525">
                      <a:noFill/>
                      <a:miter lim="800000"/>
                      <a:headEnd/>
                      <a:tailEnd/>
                    </a:ln>
                  </pic:spPr>
                </pic:pic>
              </a:graphicData>
            </a:graphic>
          </wp:anchor>
        </w:drawing>
      </w:r>
    </w:p>
    <w:p w:rsidR="00876DC1" w:rsidRPr="00F426B0" w:rsidRDefault="00876DC1" w:rsidP="007E0CFA">
      <w:pPr>
        <w:pStyle w:val="ListBullet"/>
        <w:spacing w:line="240" w:lineRule="auto"/>
        <w:rPr>
          <w:i/>
        </w:rPr>
      </w:pPr>
      <w:r>
        <w:rPr>
          <w:i/>
        </w:rPr>
        <w:t>Trade policies</w:t>
      </w:r>
      <w:r w:rsidRPr="00265963">
        <w:t>.</w:t>
      </w:r>
      <w:r>
        <w:t xml:space="preserve"> </w:t>
      </w:r>
      <w:r w:rsidR="00853953">
        <w:t xml:space="preserve">During </w:t>
      </w:r>
      <w:r w:rsidR="00A75C20">
        <w:t>the second half of</w:t>
      </w:r>
      <w:r>
        <w:t xml:space="preserve"> 2012</w:t>
      </w:r>
      <w:r w:rsidR="00853953">
        <w:t>, Brazil increased tariffs on imports from outside Mercosur on 100 goods from a range of sectors which accounted for US$9 billion and about 4 percent of total merchandise imports in 2011</w:t>
      </w:r>
      <w:r>
        <w:t>.</w:t>
      </w:r>
      <w:r w:rsidR="00853953">
        <w:t xml:space="preserve"> Tariff rates were increased up to a maximum of 25 percent, below the 35 percent ceiling consistent with WTO obligations. </w:t>
      </w:r>
    </w:p>
    <w:p w:rsidR="00F426B0" w:rsidRDefault="00407838" w:rsidP="007E0CFA">
      <w:pPr>
        <w:pStyle w:val="ListBullet"/>
        <w:numPr>
          <w:ilvl w:val="0"/>
          <w:numId w:val="0"/>
        </w:numPr>
        <w:spacing w:line="240" w:lineRule="auto"/>
        <w:rPr>
          <w:noProof/>
        </w:rPr>
      </w:pPr>
      <w:r>
        <w:t xml:space="preserve"> </w:t>
      </w:r>
      <w:r w:rsidR="00F426B0">
        <w:t>[</w:t>
      </w:r>
      <w:r w:rsidR="00F426B0" w:rsidRPr="00FB15E2">
        <w:rPr>
          <w:highlight w:val="yellow"/>
        </w:rPr>
        <w:t>Box</w:t>
      </w:r>
      <w:r w:rsidR="007449EC">
        <w:rPr>
          <w:highlight w:val="yellow"/>
        </w:rPr>
        <w:t xml:space="preserve"> </w:t>
      </w:r>
      <w:r w:rsidR="00CC26CC">
        <w:rPr>
          <w:highlight w:val="yellow"/>
        </w:rPr>
        <w:t>4</w:t>
      </w:r>
      <w:r w:rsidR="00F426B0" w:rsidRPr="00FB15E2">
        <w:rPr>
          <w:highlight w:val="yellow"/>
        </w:rPr>
        <w:t xml:space="preserve"> –</w:t>
      </w:r>
      <w:r w:rsidR="007449EC">
        <w:rPr>
          <w:highlight w:val="yellow"/>
        </w:rPr>
        <w:t xml:space="preserve"> </w:t>
      </w:r>
      <w:r w:rsidR="00F426B0" w:rsidRPr="00FB15E2">
        <w:rPr>
          <w:highlight w:val="yellow"/>
        </w:rPr>
        <w:t xml:space="preserve">Recent </w:t>
      </w:r>
      <w:r w:rsidR="00F426B0">
        <w:rPr>
          <w:highlight w:val="yellow"/>
        </w:rPr>
        <w:t xml:space="preserve">Fiscal </w:t>
      </w:r>
      <w:proofErr w:type="gramStart"/>
      <w:r w:rsidR="00F426B0">
        <w:rPr>
          <w:highlight w:val="yellow"/>
        </w:rPr>
        <w:t xml:space="preserve">Measures </w:t>
      </w:r>
      <w:r w:rsidR="00F426B0">
        <w:t>]</w:t>
      </w:r>
      <w:proofErr w:type="gramEnd"/>
      <w:r w:rsidRPr="00407838">
        <w:rPr>
          <w:noProof/>
        </w:rPr>
        <w:t xml:space="preserve"> </w:t>
      </w:r>
    </w:p>
    <w:p w:rsidR="00F80BAA" w:rsidRDefault="00E6042E" w:rsidP="007E0CFA">
      <w:pPr>
        <w:pStyle w:val="ParagraphNumbering"/>
        <w:spacing w:line="240" w:lineRule="auto"/>
      </w:pPr>
      <w:r w:rsidRPr="00E6042E">
        <w:rPr>
          <w:b/>
        </w:rPr>
        <w:t xml:space="preserve">Attention </w:t>
      </w:r>
      <w:r w:rsidRPr="00737607">
        <w:rPr>
          <w:b/>
        </w:rPr>
        <w:t>i</w:t>
      </w:r>
      <w:r w:rsidRPr="00E6042E">
        <w:rPr>
          <w:b/>
        </w:rPr>
        <w:t xml:space="preserve">n Brazil will increasingly turn to Presidential elections scheduled for </w:t>
      </w:r>
      <w:r w:rsidR="001726DF">
        <w:rPr>
          <w:b/>
        </w:rPr>
        <w:t xml:space="preserve">October </w:t>
      </w:r>
      <w:r w:rsidRPr="00E6042E">
        <w:rPr>
          <w:b/>
        </w:rPr>
        <w:t xml:space="preserve">2014, together with </w:t>
      </w:r>
      <w:r>
        <w:rPr>
          <w:b/>
        </w:rPr>
        <w:t xml:space="preserve">the hosting of high-profile global sporting events in </w:t>
      </w:r>
      <w:r w:rsidR="001726DF">
        <w:rPr>
          <w:b/>
        </w:rPr>
        <w:t>the summer</w:t>
      </w:r>
      <w:r w:rsidR="002F15B6">
        <w:rPr>
          <w:b/>
        </w:rPr>
        <w:t>s</w:t>
      </w:r>
      <w:r w:rsidR="001726DF">
        <w:rPr>
          <w:b/>
        </w:rPr>
        <w:t xml:space="preserve"> of </w:t>
      </w:r>
      <w:r>
        <w:rPr>
          <w:b/>
        </w:rPr>
        <w:t xml:space="preserve">2014 and 2016. </w:t>
      </w:r>
      <w:r>
        <w:t>President Dilm</w:t>
      </w:r>
      <w:r w:rsidR="00FB15E2">
        <w:t>a</w:t>
      </w:r>
      <w:r>
        <w:t xml:space="preserve"> Rousseff </w:t>
      </w:r>
      <w:r w:rsidR="000C6786">
        <w:t xml:space="preserve">enjoys high approval ratings and </w:t>
      </w:r>
      <w:r>
        <w:t xml:space="preserve">is </w:t>
      </w:r>
      <w:r w:rsidR="000C6786">
        <w:t xml:space="preserve">expected </w:t>
      </w:r>
      <w:r>
        <w:t>to seek a second 4-year term</w:t>
      </w:r>
      <w:r w:rsidR="000C6786">
        <w:t xml:space="preserve"> in</w:t>
      </w:r>
      <w:r w:rsidR="00FB15E2">
        <w:t xml:space="preserve"> the October 2014</w:t>
      </w:r>
      <w:r w:rsidR="000C6786" w:rsidRPr="000C6786">
        <w:t xml:space="preserve"> </w:t>
      </w:r>
      <w:r w:rsidR="000C6786">
        <w:t>election</w:t>
      </w:r>
      <w:r w:rsidR="00511E84">
        <w:t>.</w:t>
      </w:r>
      <w:r w:rsidR="00FB15E2">
        <w:t xml:space="preserve"> Preparations for the Soccer World Cup in 2014 and Olympic Games in Rio in 2016, including public investment in facilities and associated infrastructure </w:t>
      </w:r>
      <w:r w:rsidR="000C6786">
        <w:t>are</w:t>
      </w:r>
      <w:r w:rsidR="00FB15E2">
        <w:t xml:space="preserve"> </w:t>
      </w:r>
      <w:r w:rsidR="000C6786">
        <w:t>underway</w:t>
      </w:r>
      <w:r w:rsidR="00FB15E2">
        <w:t xml:space="preserve">. </w:t>
      </w:r>
    </w:p>
    <w:p w:rsidR="00E6042E" w:rsidRDefault="00E6042E" w:rsidP="007E0CFA">
      <w:pPr>
        <w:pStyle w:val="Heading1"/>
        <w:spacing w:line="240" w:lineRule="auto"/>
      </w:pPr>
      <w:r>
        <w:t>OUTLOOK AND RISKS</w:t>
      </w:r>
    </w:p>
    <w:p w:rsidR="00C05281" w:rsidRDefault="00C05281" w:rsidP="007E0CFA">
      <w:pPr>
        <w:spacing w:line="240" w:lineRule="auto"/>
      </w:pPr>
    </w:p>
    <w:p w:rsidR="00C05281" w:rsidRDefault="007757A3" w:rsidP="007E0CFA">
      <w:pPr>
        <w:pStyle w:val="ParagraphNumbering"/>
        <w:spacing w:line="240" w:lineRule="auto"/>
      </w:pPr>
      <w:r w:rsidRPr="00B91BF7">
        <w:rPr>
          <w:b/>
        </w:rPr>
        <w:t xml:space="preserve">The gradual recovery </w:t>
      </w:r>
      <w:r w:rsidR="00507338">
        <w:rPr>
          <w:b/>
        </w:rPr>
        <w:t xml:space="preserve">that </w:t>
      </w:r>
      <w:r w:rsidR="00507338" w:rsidRPr="00B95AF4">
        <w:rPr>
          <w:b/>
        </w:rPr>
        <w:t>started last year is expected to</w:t>
      </w:r>
      <w:r w:rsidR="0063665A">
        <w:rPr>
          <w:b/>
        </w:rPr>
        <w:t xml:space="preserve"> continue through 2013, supported by a pick-up in investment</w:t>
      </w:r>
      <w:r w:rsidR="0063665A">
        <w:t xml:space="preserve">. Growth is </w:t>
      </w:r>
      <w:proofErr w:type="gramStart"/>
      <w:r w:rsidR="0063665A">
        <w:t>expect</w:t>
      </w:r>
      <w:proofErr w:type="gramEnd"/>
      <w:r w:rsidR="0063665A">
        <w:t xml:space="preserve"> to reach about 3 percent this year, with fixed investment rising by about 7 percent in real terms. While the infrastructure build-out will take time to mature and relieve bottlenecks, a decisive advance</w:t>
      </w:r>
      <w:r w:rsidR="007E48CB" w:rsidRPr="007E48CB">
        <w:t xml:space="preserve"> on infrastructure concession</w:t>
      </w:r>
      <w:r w:rsidR="007E48CB">
        <w:t>s</w:t>
      </w:r>
      <w:r w:rsidR="007E48CB" w:rsidRPr="007E48CB">
        <w:t xml:space="preserve"> </w:t>
      </w:r>
      <w:r w:rsidR="00117D07">
        <w:t>could</w:t>
      </w:r>
      <w:r w:rsidR="00117D07" w:rsidRPr="007E48CB">
        <w:t xml:space="preserve"> </w:t>
      </w:r>
      <w:r w:rsidR="007E48CB" w:rsidRPr="007E48CB">
        <w:t xml:space="preserve">help bolster business confidence and </w:t>
      </w:r>
      <w:r w:rsidR="007E48CB">
        <w:t xml:space="preserve">private </w:t>
      </w:r>
      <w:r w:rsidR="007E48CB" w:rsidRPr="007E48CB">
        <w:t>investment (</w:t>
      </w:r>
      <w:r w:rsidR="007E48CB">
        <w:t xml:space="preserve">given </w:t>
      </w:r>
      <w:r w:rsidR="007E48CB" w:rsidRPr="007E48CB">
        <w:t xml:space="preserve">synergies between infrastructure </w:t>
      </w:r>
      <w:r w:rsidR="007E48CB">
        <w:t xml:space="preserve">upgrades </w:t>
      </w:r>
      <w:r w:rsidR="007E48CB" w:rsidRPr="007E48CB">
        <w:t xml:space="preserve">and returns on </w:t>
      </w:r>
      <w:r w:rsidR="007E48CB">
        <w:t>private capital</w:t>
      </w:r>
      <w:r w:rsidR="007769DF">
        <w:t>)</w:t>
      </w:r>
      <w:r w:rsidR="007E48CB">
        <w:t>. At the same time,</w:t>
      </w:r>
      <w:r w:rsidR="007E48CB" w:rsidRPr="007E48CB">
        <w:t xml:space="preserve"> private sector investment can have a more immediate payoff</w:t>
      </w:r>
      <w:r w:rsidR="007E48CB">
        <w:t>, particularly as it relates to</w:t>
      </w:r>
      <w:r w:rsidR="007E48CB" w:rsidRPr="007E48CB">
        <w:t xml:space="preserve"> overdue upgrades and expansion of existing capacity (</w:t>
      </w:r>
      <w:r w:rsidR="007769DF">
        <w:t xml:space="preserve">which </w:t>
      </w:r>
      <w:r w:rsidR="007E48CB">
        <w:t xml:space="preserve">will involve some </w:t>
      </w:r>
      <w:r w:rsidR="006F7DC1">
        <w:t>increase</w:t>
      </w:r>
      <w:r w:rsidR="007E48CB">
        <w:t xml:space="preserve"> in imports</w:t>
      </w:r>
      <w:r w:rsidR="007E48CB" w:rsidRPr="007E48CB">
        <w:t xml:space="preserve">). </w:t>
      </w:r>
      <w:r w:rsidR="00B91BF7">
        <w:t xml:space="preserve">Consumption </w:t>
      </w:r>
      <w:r w:rsidR="00276013">
        <w:t xml:space="preserve">is envisaged to remain resilient </w:t>
      </w:r>
      <w:r w:rsidR="00FB15E2">
        <w:t xml:space="preserve">as the </w:t>
      </w:r>
      <w:r w:rsidR="00B91BF7">
        <w:t>labor market</w:t>
      </w:r>
      <w:r w:rsidR="00FB15E2">
        <w:t xml:space="preserve"> </w:t>
      </w:r>
      <w:r w:rsidR="007E48CB">
        <w:t>stays</w:t>
      </w:r>
      <w:r w:rsidR="00276013">
        <w:t xml:space="preserve"> </w:t>
      </w:r>
      <w:r w:rsidR="00FB15E2">
        <w:t>buoyant,</w:t>
      </w:r>
      <w:r w:rsidR="00252192">
        <w:t xml:space="preserve"> </w:t>
      </w:r>
      <w:r w:rsidR="00507338">
        <w:t xml:space="preserve">with </w:t>
      </w:r>
      <w:r w:rsidR="00E9329C">
        <w:t xml:space="preserve">a more moderate increase in the </w:t>
      </w:r>
      <w:r w:rsidR="00FB15E2">
        <w:t xml:space="preserve">minimum wage </w:t>
      </w:r>
      <w:r w:rsidR="00507338">
        <w:t xml:space="preserve">expected to </w:t>
      </w:r>
      <w:r w:rsidR="00E9329C">
        <w:t xml:space="preserve">support </w:t>
      </w:r>
      <w:r w:rsidR="00FB15E2">
        <w:t>a</w:t>
      </w:r>
      <w:r w:rsidR="00E9329C">
        <w:t xml:space="preserve"> </w:t>
      </w:r>
      <w:r w:rsidR="00507338">
        <w:t xml:space="preserve">sustainable </w:t>
      </w:r>
      <w:r w:rsidR="00FB15E2">
        <w:t>pace of household spending</w:t>
      </w:r>
      <w:r w:rsidR="00B91BF7">
        <w:t>.</w:t>
      </w:r>
      <w:r w:rsidR="00386CF9">
        <w:t xml:space="preserve"> Improving </w:t>
      </w:r>
      <w:r w:rsidR="00386CF9">
        <w:lastRenderedPageBreak/>
        <w:t xml:space="preserve">confidence, the lagged effects of substantial stimulus and high rates of capacity utilization should </w:t>
      </w:r>
      <w:r w:rsidR="00276013">
        <w:t xml:space="preserve">underpin the recovery in </w:t>
      </w:r>
      <w:r w:rsidR="00386CF9">
        <w:t>investment.</w:t>
      </w:r>
      <w:r w:rsidR="00B91BF7">
        <w:t xml:space="preserve"> </w:t>
      </w:r>
      <w:r w:rsidR="00DD1FF7">
        <w:t>Net exports will account for a small negative contribution as improving external conditions are offset by investment related import growth.</w:t>
      </w:r>
      <w:r w:rsidR="0085422D">
        <w:t xml:space="preserve"> </w:t>
      </w:r>
      <w:r w:rsidR="00276013">
        <w:t>F</w:t>
      </w:r>
      <w:r w:rsidR="00FB15E2">
        <w:t>ollowing significant de-stocking over 2012</w:t>
      </w:r>
      <w:r w:rsidR="00276013">
        <w:t>, inventories should no longer act as a drag on growth</w:t>
      </w:r>
      <w:r w:rsidR="00FB15E2">
        <w:t>.</w:t>
      </w:r>
    </w:p>
    <w:p w:rsidR="00265963" w:rsidRDefault="0025200F" w:rsidP="007E0CFA">
      <w:pPr>
        <w:pStyle w:val="ParagraphNumbering"/>
        <w:spacing w:line="240" w:lineRule="auto"/>
      </w:pPr>
      <w:r>
        <w:rPr>
          <w:b/>
        </w:rPr>
        <w:t xml:space="preserve">Inflation is expected to </w:t>
      </w:r>
      <w:r w:rsidR="00025319">
        <w:rPr>
          <w:b/>
        </w:rPr>
        <w:t xml:space="preserve">fall </w:t>
      </w:r>
      <w:r w:rsidR="00EA083C">
        <w:rPr>
          <w:b/>
        </w:rPr>
        <w:t>only gradually towards</w:t>
      </w:r>
      <w:r w:rsidR="00FA1FB8">
        <w:rPr>
          <w:b/>
        </w:rPr>
        <w:t xml:space="preserve"> the target mid-point</w:t>
      </w:r>
      <w:r w:rsidR="00014C1D">
        <w:rPr>
          <w:b/>
        </w:rPr>
        <w:t xml:space="preserve"> through 2013-14</w:t>
      </w:r>
      <w:r w:rsidR="00FA1FB8">
        <w:rPr>
          <w:b/>
        </w:rPr>
        <w:t xml:space="preserve">, reflecting </w:t>
      </w:r>
      <w:r w:rsidR="00276013">
        <w:rPr>
          <w:b/>
        </w:rPr>
        <w:t xml:space="preserve">robust domestic demand in </w:t>
      </w:r>
      <w:r w:rsidR="00FA1FB8">
        <w:rPr>
          <w:b/>
        </w:rPr>
        <w:t xml:space="preserve">an </w:t>
      </w:r>
      <w:r>
        <w:rPr>
          <w:b/>
        </w:rPr>
        <w:t>economy already operating close to potential</w:t>
      </w:r>
      <w:r w:rsidR="00FA1FB8">
        <w:rPr>
          <w:b/>
        </w:rPr>
        <w:t xml:space="preserve">. </w:t>
      </w:r>
      <w:r w:rsidR="00FA1FB8">
        <w:t>Headline inflation is projected to fall to 5</w:t>
      </w:r>
      <w:r w:rsidR="00014C1D">
        <w:t>¾</w:t>
      </w:r>
      <w:r w:rsidR="00FA1FB8">
        <w:t xml:space="preserve"> </w:t>
      </w:r>
      <w:r w:rsidR="00014C1D">
        <w:t>and 5</w:t>
      </w:r>
      <w:r w:rsidR="00E47C7A">
        <w:t>¼</w:t>
      </w:r>
      <w:r w:rsidR="00276013">
        <w:t> </w:t>
      </w:r>
      <w:r w:rsidR="00014C1D">
        <w:t xml:space="preserve">percent </w:t>
      </w:r>
      <w:r w:rsidR="00FA1FB8">
        <w:t xml:space="preserve">by the end of 2013 </w:t>
      </w:r>
      <w:r w:rsidR="00014C1D">
        <w:t>and 2014, respectively</w:t>
      </w:r>
      <w:r w:rsidR="00EA083C">
        <w:t>. The</w:t>
      </w:r>
      <w:r w:rsidR="00276013">
        <w:t xml:space="preserve"> </w:t>
      </w:r>
      <w:r w:rsidR="00014C1D">
        <w:t xml:space="preserve">slow convergence </w:t>
      </w:r>
      <w:r w:rsidR="00FA1FB8">
        <w:t>to the target mid-point</w:t>
      </w:r>
      <w:r w:rsidR="00276013">
        <w:t>, even</w:t>
      </w:r>
      <w:r w:rsidR="00FA1FB8">
        <w:t xml:space="preserve"> </w:t>
      </w:r>
      <w:r w:rsidR="00014C1D">
        <w:t>in the absence of further supply shocks</w:t>
      </w:r>
      <w:r w:rsidR="00EA083C">
        <w:t>, reflects time-to-build associated with new investment to expand capacity and Brazil’s significant inflation inertia</w:t>
      </w:r>
      <w:r w:rsidR="00FA1FB8">
        <w:t xml:space="preserve">. </w:t>
      </w:r>
      <w:r w:rsidR="00FB15E2">
        <w:t xml:space="preserve">One-off reductions in energy tariffs and tax cuts to basic food items should together reduce inflation by </w:t>
      </w:r>
      <w:r w:rsidR="00295F87">
        <w:t xml:space="preserve">85 </w:t>
      </w:r>
      <w:r w:rsidR="00FB15E2">
        <w:t>basis points by year-end 2013.</w:t>
      </w:r>
      <w:r w:rsidR="000C1966">
        <w:t xml:space="preserve"> </w:t>
      </w:r>
    </w:p>
    <w:p w:rsidR="0025200F" w:rsidRPr="006D577D" w:rsidRDefault="00117D07" w:rsidP="007E48CB">
      <w:pPr>
        <w:pStyle w:val="ParagraphNumbering"/>
        <w:spacing w:line="240" w:lineRule="auto"/>
      </w:pPr>
      <w:r>
        <w:rPr>
          <w:b/>
        </w:rPr>
        <w:t xml:space="preserve">The current account deficit is envisaged to continue increasing </w:t>
      </w:r>
      <w:r w:rsidR="00573359">
        <w:rPr>
          <w:b/>
        </w:rPr>
        <w:t xml:space="preserve">through 2015 </w:t>
      </w:r>
      <w:r w:rsidR="005A6A35">
        <w:rPr>
          <w:b/>
        </w:rPr>
        <w:t xml:space="preserve">as the investment recovery outpaces domestic saving. </w:t>
      </w:r>
      <w:r w:rsidR="003C4230" w:rsidRPr="003C4230">
        <w:t>Notwithstanding some cyclical improvement, p</w:t>
      </w:r>
      <w:r w:rsidR="00490565" w:rsidRPr="005A6A35">
        <w:t xml:space="preserve">ublic and private saving </w:t>
      </w:r>
      <w:r>
        <w:t xml:space="preserve">would likely </w:t>
      </w:r>
      <w:r w:rsidR="00490565" w:rsidRPr="005A6A35">
        <w:t xml:space="preserve">remain low under current policies, </w:t>
      </w:r>
      <w:r w:rsidR="003C4230">
        <w:t>which implies greater recourse to foreign saving to finance the pick-up in investment</w:t>
      </w:r>
      <w:r w:rsidR="00490565" w:rsidRPr="005A6A35">
        <w:t>.</w:t>
      </w:r>
      <w:r w:rsidR="00490565">
        <w:rPr>
          <w:b/>
        </w:rPr>
        <w:t xml:space="preserve"> </w:t>
      </w:r>
      <w:r w:rsidR="00490565">
        <w:t xml:space="preserve">From a trade perspective, </w:t>
      </w:r>
      <w:r w:rsidR="003C4230">
        <w:t>the investment recovery and ongoing strength in consumer demand</w:t>
      </w:r>
      <w:r w:rsidR="005A6A35">
        <w:t xml:space="preserve"> </w:t>
      </w:r>
      <w:r w:rsidR="003C4230">
        <w:t xml:space="preserve">will likely cause a significant rebound in imports, consistent </w:t>
      </w:r>
      <w:r w:rsidR="00573359">
        <w:t xml:space="preserve">with </w:t>
      </w:r>
      <w:r w:rsidR="003C4230">
        <w:t xml:space="preserve">the </w:t>
      </w:r>
      <w:proofErr w:type="gramStart"/>
      <w:r w:rsidR="003C4230">
        <w:t>high income</w:t>
      </w:r>
      <w:proofErr w:type="gramEnd"/>
      <w:r w:rsidR="003C4230">
        <w:t xml:space="preserve"> elasticities observed in previous cycles. Exports </w:t>
      </w:r>
      <w:r w:rsidR="0091645B">
        <w:t xml:space="preserve">are envisaged to </w:t>
      </w:r>
      <w:r w:rsidR="00573359">
        <w:t xml:space="preserve">recover at a more gradual pace, </w:t>
      </w:r>
      <w:r w:rsidR="003C4230">
        <w:t xml:space="preserve">while the terms of trade </w:t>
      </w:r>
      <w:r w:rsidR="00DD5077">
        <w:t>are</w:t>
      </w:r>
      <w:r w:rsidR="003C4230">
        <w:t xml:space="preserve"> anticipated to remain broadly stable. </w:t>
      </w:r>
      <w:r w:rsidR="00573359">
        <w:t xml:space="preserve">Over the medium term, </w:t>
      </w:r>
      <w:r w:rsidR="00DD5077">
        <w:t xml:space="preserve">the </w:t>
      </w:r>
      <w:r w:rsidR="00632FDE">
        <w:t xml:space="preserve">current account </w:t>
      </w:r>
      <w:r w:rsidR="00DD5077">
        <w:t xml:space="preserve">deficit </w:t>
      </w:r>
      <w:r w:rsidR="00632FDE">
        <w:t xml:space="preserve">should stabilize (at </w:t>
      </w:r>
      <w:r w:rsidR="00573359">
        <w:t>about 3½ percent of GDP</w:t>
      </w:r>
      <w:r w:rsidR="00632FDE">
        <w:t xml:space="preserve">) </w:t>
      </w:r>
      <w:r w:rsidR="00573359">
        <w:t>as pre</w:t>
      </w:r>
      <w:r w:rsidR="0091422C">
        <w:t xml:space="preserve">-salt oilfields come </w:t>
      </w:r>
      <w:proofErr w:type="gramStart"/>
      <w:r w:rsidR="0091422C">
        <w:t>online</w:t>
      </w:r>
      <w:proofErr w:type="gramEnd"/>
      <w:r w:rsidR="0091422C">
        <w:t xml:space="preserve"> and Brazil becomes a net oil exporter.</w:t>
      </w:r>
    </w:p>
    <w:p w:rsidR="007E48CB" w:rsidRDefault="00736A79" w:rsidP="007E0CFA">
      <w:pPr>
        <w:pStyle w:val="ParagraphNumbering"/>
        <w:spacing w:line="240" w:lineRule="auto"/>
      </w:pPr>
      <w:r>
        <w:rPr>
          <w:b/>
        </w:rPr>
        <w:t>T</w:t>
      </w:r>
      <w:r w:rsidR="002A4B4A">
        <w:rPr>
          <w:b/>
        </w:rPr>
        <w:t>he p</w:t>
      </w:r>
      <w:r w:rsidR="00265963">
        <w:rPr>
          <w:b/>
        </w:rPr>
        <w:t xml:space="preserve">olicy </w:t>
      </w:r>
      <w:r w:rsidR="002A4B4A">
        <w:rPr>
          <w:b/>
        </w:rPr>
        <w:t xml:space="preserve">stance </w:t>
      </w:r>
      <w:r w:rsidR="00265963">
        <w:rPr>
          <w:b/>
        </w:rPr>
        <w:t>is</w:t>
      </w:r>
      <w:r w:rsidR="001537F1">
        <w:rPr>
          <w:b/>
        </w:rPr>
        <w:t xml:space="preserve"> </w:t>
      </w:r>
      <w:r>
        <w:rPr>
          <w:b/>
        </w:rPr>
        <w:t xml:space="preserve">expected </w:t>
      </w:r>
      <w:r w:rsidR="001537F1">
        <w:rPr>
          <w:b/>
        </w:rPr>
        <w:t xml:space="preserve">to </w:t>
      </w:r>
      <w:r w:rsidR="00DB0679">
        <w:rPr>
          <w:b/>
        </w:rPr>
        <w:t xml:space="preserve">remain </w:t>
      </w:r>
      <w:r w:rsidR="00B85AFE">
        <w:rPr>
          <w:b/>
        </w:rPr>
        <w:t xml:space="preserve">somewhat </w:t>
      </w:r>
      <w:proofErr w:type="spellStart"/>
      <w:r w:rsidR="00DB0679">
        <w:rPr>
          <w:b/>
        </w:rPr>
        <w:t>stimulative</w:t>
      </w:r>
      <w:proofErr w:type="spellEnd"/>
      <w:r w:rsidR="0091422C">
        <w:rPr>
          <w:b/>
        </w:rPr>
        <w:t>,</w:t>
      </w:r>
      <w:r>
        <w:rPr>
          <w:b/>
        </w:rPr>
        <w:t xml:space="preserve"> notwithstanding some </w:t>
      </w:r>
      <w:r w:rsidR="00263900">
        <w:rPr>
          <w:b/>
        </w:rPr>
        <w:t xml:space="preserve">monetary </w:t>
      </w:r>
      <w:r>
        <w:rPr>
          <w:b/>
        </w:rPr>
        <w:t>tightening</w:t>
      </w:r>
      <w:r w:rsidR="00B85AFE">
        <w:rPr>
          <w:b/>
        </w:rPr>
        <w:t xml:space="preserve"> and </w:t>
      </w:r>
      <w:r w:rsidR="00295F87">
        <w:rPr>
          <w:b/>
        </w:rPr>
        <w:t xml:space="preserve">an </w:t>
      </w:r>
      <w:r w:rsidR="00B85AFE">
        <w:rPr>
          <w:b/>
        </w:rPr>
        <w:t>expected reduction in policy lending</w:t>
      </w:r>
      <w:r w:rsidR="001537F1" w:rsidRPr="00DB0679">
        <w:t xml:space="preserve">. </w:t>
      </w:r>
    </w:p>
    <w:p w:rsidR="007E48CB" w:rsidRDefault="007E48CB" w:rsidP="007E48CB">
      <w:pPr>
        <w:pStyle w:val="ListBullet"/>
        <w:spacing w:line="240" w:lineRule="auto"/>
      </w:pPr>
      <w:r w:rsidRPr="007E48CB">
        <w:rPr>
          <w:i/>
        </w:rPr>
        <w:t>Fiscal policy is anticipated to remain broadly neutral</w:t>
      </w:r>
      <w:r w:rsidRPr="007E48CB">
        <w:t xml:space="preserve">, </w:t>
      </w:r>
      <w:r w:rsidR="00171C39">
        <w:t xml:space="preserve">without taking into account </w:t>
      </w:r>
      <w:r w:rsidRPr="007E48CB">
        <w:t>a</w:t>
      </w:r>
      <w:r w:rsidR="00171C39">
        <w:t>n</w:t>
      </w:r>
      <w:r w:rsidRPr="007E48CB">
        <w:t xml:space="preserve"> </w:t>
      </w:r>
      <w:r w:rsidR="00171C39">
        <w:t>expected reduction</w:t>
      </w:r>
      <w:r w:rsidRPr="007E48CB">
        <w:t xml:space="preserve"> in policy lending. Although the primary surplus target </w:t>
      </w:r>
      <w:r w:rsidR="00DD5077">
        <w:t>for 2013 is equivalent</w:t>
      </w:r>
      <w:r w:rsidR="00DD5077" w:rsidRPr="007E48CB">
        <w:t xml:space="preserve"> </w:t>
      </w:r>
      <w:r w:rsidRPr="007E48CB">
        <w:t>to [3.3] percent of GDP – which would imply a negative impulse of 1¼ percent of GDP</w:t>
      </w:r>
      <w:r w:rsidR="00171C39">
        <w:t xml:space="preserve"> -</w:t>
      </w:r>
      <w:r w:rsidRPr="007E48CB">
        <w:t xml:space="preserve"> stimulus measures </w:t>
      </w:r>
      <w:r w:rsidR="00171C39">
        <w:t xml:space="preserve">already </w:t>
      </w:r>
      <w:r w:rsidRPr="007E48CB">
        <w:t xml:space="preserve">in place and plans to sustain a high level of investment at the sub-national level suggest that the authorities will again </w:t>
      </w:r>
      <w:r w:rsidR="00171C39">
        <w:t xml:space="preserve">need to </w:t>
      </w:r>
      <w:r w:rsidRPr="007E48CB">
        <w:t xml:space="preserve">make full use of the </w:t>
      </w:r>
      <w:r w:rsidR="00171C39">
        <w:t xml:space="preserve">budget </w:t>
      </w:r>
      <w:r w:rsidRPr="007E48CB">
        <w:t xml:space="preserve">adjustor. Thus, the </w:t>
      </w:r>
      <w:r w:rsidR="00DD5077">
        <w:t xml:space="preserve">fiscal </w:t>
      </w:r>
      <w:r w:rsidRPr="007E48CB">
        <w:t xml:space="preserve">primary surplus is expected to fall to 1.9 percent of GDP, which </w:t>
      </w:r>
      <w:r w:rsidR="002D0B70">
        <w:t xml:space="preserve">would </w:t>
      </w:r>
      <w:r w:rsidRPr="007E48CB">
        <w:t xml:space="preserve">still require </w:t>
      </w:r>
      <w:r w:rsidR="00171C39">
        <w:t xml:space="preserve">an </w:t>
      </w:r>
      <w:r w:rsidRPr="007E48CB">
        <w:t>important spending restraint</w:t>
      </w:r>
      <w:r w:rsidR="00171C39">
        <w:t xml:space="preserve"> effort</w:t>
      </w:r>
      <w:r w:rsidRPr="007E48CB">
        <w:t xml:space="preserve"> (close to 1 percent of GDP) in the absence of large extraordinary revenues. </w:t>
      </w:r>
      <w:r w:rsidR="00171C39">
        <w:t xml:space="preserve">A </w:t>
      </w:r>
      <w:r w:rsidRPr="007E48CB">
        <w:t xml:space="preserve">retrenchment in policy lending </w:t>
      </w:r>
      <w:r w:rsidR="005E3A89">
        <w:t xml:space="preserve">is </w:t>
      </w:r>
      <w:r w:rsidR="00171C39">
        <w:t xml:space="preserve">expected </w:t>
      </w:r>
      <w:r w:rsidRPr="007E48CB">
        <w:t>(</w:t>
      </w:r>
      <w:r w:rsidR="005E3A89">
        <w:t xml:space="preserve">amounting to </w:t>
      </w:r>
      <w:r w:rsidRPr="007E48CB">
        <w:t>¾</w:t>
      </w:r>
      <w:r w:rsidR="000C1966">
        <w:t> </w:t>
      </w:r>
      <w:r w:rsidRPr="007E48CB">
        <w:t>percent of GDP) based on recent discussions with the authorities, although no official commitment has yet been made.</w:t>
      </w:r>
      <w:r w:rsidR="009C4455">
        <w:t xml:space="preserve"> </w:t>
      </w:r>
    </w:p>
    <w:p w:rsidR="004B197A" w:rsidRDefault="004B197A" w:rsidP="004B197A">
      <w:pPr>
        <w:pStyle w:val="ListBullet"/>
        <w:numPr>
          <w:ilvl w:val="0"/>
          <w:numId w:val="0"/>
        </w:numPr>
        <w:spacing w:line="240" w:lineRule="auto"/>
        <w:ind w:left="360" w:hanging="360"/>
        <w:jc w:val="center"/>
      </w:pPr>
      <w:r w:rsidRPr="004B197A">
        <w:rPr>
          <w:noProof/>
        </w:rPr>
        <w:lastRenderedPageBreak/>
        <w:drawing>
          <wp:inline distT="0" distB="0" distL="0" distR="0">
            <wp:extent cx="4319270" cy="2703195"/>
            <wp:effectExtent l="19050" t="0" r="508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319270" cy="2703195"/>
                    </a:xfrm>
                    <a:prstGeom prst="rect">
                      <a:avLst/>
                    </a:prstGeom>
                    <a:noFill/>
                    <a:ln w="9525">
                      <a:noFill/>
                      <a:miter lim="800000"/>
                      <a:headEnd/>
                      <a:tailEnd/>
                    </a:ln>
                  </pic:spPr>
                </pic:pic>
              </a:graphicData>
            </a:graphic>
          </wp:inline>
        </w:drawing>
      </w:r>
    </w:p>
    <w:p w:rsidR="009C4455" w:rsidRDefault="005E3A89" w:rsidP="007E48CB">
      <w:pPr>
        <w:pStyle w:val="ListBullet"/>
        <w:spacing w:line="240" w:lineRule="auto"/>
      </w:pPr>
      <w:r w:rsidRPr="005E3A89">
        <w:rPr>
          <w:i/>
        </w:rPr>
        <w:t xml:space="preserve">Monetary tightening </w:t>
      </w:r>
      <w:r w:rsidR="00171C39">
        <w:rPr>
          <w:i/>
        </w:rPr>
        <w:t xml:space="preserve">is envisaged to </w:t>
      </w:r>
      <w:r w:rsidRPr="005E3A89">
        <w:rPr>
          <w:i/>
        </w:rPr>
        <w:t xml:space="preserve">proceed cautiously </w:t>
      </w:r>
      <w:r w:rsidR="00171C39">
        <w:rPr>
          <w:i/>
        </w:rPr>
        <w:t xml:space="preserve">with </w:t>
      </w:r>
      <w:r w:rsidRPr="005E3A89">
        <w:rPr>
          <w:i/>
        </w:rPr>
        <w:t xml:space="preserve">policy </w:t>
      </w:r>
      <w:r w:rsidR="00171C39">
        <w:rPr>
          <w:i/>
        </w:rPr>
        <w:t xml:space="preserve">expected to </w:t>
      </w:r>
      <w:r w:rsidRPr="005E3A89">
        <w:rPr>
          <w:i/>
        </w:rPr>
        <w:t>remain accommodative</w:t>
      </w:r>
      <w:r>
        <w:t>. Cumulative policy rate hikes of about</w:t>
      </w:r>
      <w:r w:rsidR="007E48CB">
        <w:t xml:space="preserve"> </w:t>
      </w:r>
      <w:r w:rsidR="0085422D">
        <w:t xml:space="preserve">[150] basis points </w:t>
      </w:r>
      <w:r>
        <w:t>are expected over the next 12 months (and priced-in by the market)</w:t>
      </w:r>
      <w:r w:rsidR="00263900">
        <w:t>. G</w:t>
      </w:r>
      <w:r w:rsidR="0085422D">
        <w:t>iven that t</w:t>
      </w:r>
      <w:r w:rsidR="009C4455">
        <w:t xml:space="preserve">he </w:t>
      </w:r>
      <w:r w:rsidR="007E48CB">
        <w:t xml:space="preserve">real </w:t>
      </w:r>
      <w:r w:rsidR="009C4455">
        <w:t xml:space="preserve">policy interest rate is currently about </w:t>
      </w:r>
      <w:r w:rsidR="007E48CB">
        <w:t>400</w:t>
      </w:r>
      <w:r w:rsidR="009C4455">
        <w:t xml:space="preserve"> basis points below the neutral rate</w:t>
      </w:r>
      <w:r w:rsidR="00263900">
        <w:t>, this suggests that policy will remain accom</w:t>
      </w:r>
      <w:r w:rsidR="0091422C">
        <w:t>m</w:t>
      </w:r>
      <w:r w:rsidR="00263900">
        <w:t>odative</w:t>
      </w:r>
      <w:r w:rsidR="002D0B70">
        <w:t xml:space="preserve"> for some time</w:t>
      </w:r>
      <w:r w:rsidR="00263900">
        <w:t xml:space="preserve">. </w:t>
      </w:r>
    </w:p>
    <w:p w:rsidR="004A30C8" w:rsidRDefault="004A30C8" w:rsidP="007E0CFA">
      <w:pPr>
        <w:pStyle w:val="ParagraphNumbering"/>
        <w:numPr>
          <w:ilvl w:val="0"/>
          <w:numId w:val="0"/>
        </w:numPr>
        <w:spacing w:line="240" w:lineRule="auto"/>
        <w:jc w:val="center"/>
      </w:pPr>
    </w:p>
    <w:p w:rsidR="004A30C8" w:rsidRDefault="004A30C8" w:rsidP="007E0CFA">
      <w:pPr>
        <w:pStyle w:val="ParagraphNumbering"/>
        <w:numPr>
          <w:ilvl w:val="0"/>
          <w:numId w:val="0"/>
        </w:numPr>
        <w:spacing w:line="240" w:lineRule="auto"/>
      </w:pPr>
    </w:p>
    <w:p w:rsidR="004A30C8" w:rsidRDefault="00B91C9B" w:rsidP="004B197A">
      <w:pPr>
        <w:spacing w:line="240" w:lineRule="auto"/>
        <w:jc w:val="center"/>
      </w:pPr>
      <w:r w:rsidRPr="00B91C9B">
        <w:rPr>
          <w:noProof/>
        </w:rPr>
        <w:lastRenderedPageBreak/>
        <w:drawing>
          <wp:inline distT="0" distB="0" distL="0" distR="0">
            <wp:extent cx="4858385" cy="4253865"/>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4858385" cy="4253865"/>
                    </a:xfrm>
                    <a:prstGeom prst="rect">
                      <a:avLst/>
                    </a:prstGeom>
                    <a:noFill/>
                    <a:ln w="9525">
                      <a:noFill/>
                      <a:miter lim="800000"/>
                      <a:headEnd/>
                      <a:tailEnd/>
                    </a:ln>
                  </pic:spPr>
                </pic:pic>
              </a:graphicData>
            </a:graphic>
          </wp:inline>
        </w:drawing>
      </w:r>
    </w:p>
    <w:p w:rsidR="001537F1" w:rsidRDefault="009C4455" w:rsidP="007E0CFA">
      <w:pPr>
        <w:spacing w:line="240" w:lineRule="auto"/>
      </w:pPr>
      <w:r>
        <w:t xml:space="preserve"> </w:t>
      </w:r>
    </w:p>
    <w:p w:rsidR="00DD1FF7" w:rsidRDefault="00FA5F8C" w:rsidP="007E0CFA">
      <w:pPr>
        <w:pStyle w:val="ParagraphNumbering"/>
        <w:spacing w:line="240" w:lineRule="auto"/>
      </w:pPr>
      <w:r>
        <w:rPr>
          <w:b/>
        </w:rPr>
        <w:t xml:space="preserve">The balance of </w:t>
      </w:r>
      <w:r w:rsidR="00AD5B40">
        <w:rPr>
          <w:b/>
        </w:rPr>
        <w:t xml:space="preserve">short-term </w:t>
      </w:r>
      <w:r>
        <w:rPr>
          <w:b/>
        </w:rPr>
        <w:t>risks</w:t>
      </w:r>
      <w:r w:rsidR="00AD5B40">
        <w:rPr>
          <w:b/>
        </w:rPr>
        <w:t xml:space="preserve"> reflect</w:t>
      </w:r>
      <w:r w:rsidR="00207BEA">
        <w:rPr>
          <w:b/>
        </w:rPr>
        <w:t>s</w:t>
      </w:r>
      <w:r w:rsidR="00AD5B40">
        <w:rPr>
          <w:b/>
        </w:rPr>
        <w:t xml:space="preserve"> </w:t>
      </w:r>
      <w:r w:rsidR="00651F11">
        <w:rPr>
          <w:b/>
        </w:rPr>
        <w:t>deterioration</w:t>
      </w:r>
      <w:r w:rsidR="00D22376">
        <w:rPr>
          <w:b/>
        </w:rPr>
        <w:t xml:space="preserve"> in the </w:t>
      </w:r>
      <w:r w:rsidR="00017AAF" w:rsidRPr="0069005E">
        <w:rPr>
          <w:b/>
        </w:rPr>
        <w:t>growth-inflation trade-off</w:t>
      </w:r>
      <w:r w:rsidR="00D22376">
        <w:rPr>
          <w:b/>
        </w:rPr>
        <w:t xml:space="preserve"> and a weaker recovery in investment</w:t>
      </w:r>
      <w:r w:rsidR="0069005E">
        <w:rPr>
          <w:b/>
        </w:rPr>
        <w:t>.</w:t>
      </w:r>
      <w:r w:rsidR="00791FEE">
        <w:rPr>
          <w:b/>
        </w:rPr>
        <w:t xml:space="preserve"> </w:t>
      </w:r>
      <w:r w:rsidR="00207BEA">
        <w:t>T</w:t>
      </w:r>
      <w:r w:rsidR="00791FEE">
        <w:t>hese risks are linked.</w:t>
      </w:r>
    </w:p>
    <w:p w:rsidR="00B76F90" w:rsidRDefault="00B76F90" w:rsidP="007E0CFA">
      <w:pPr>
        <w:pStyle w:val="ListBullet"/>
        <w:spacing w:line="240" w:lineRule="auto"/>
      </w:pPr>
      <w:r w:rsidRPr="00D22376">
        <w:rPr>
          <w:i/>
        </w:rPr>
        <w:t>Higher and more</w:t>
      </w:r>
      <w:r w:rsidRPr="00016214">
        <w:rPr>
          <w:i/>
        </w:rPr>
        <w:t xml:space="preserve"> persistent inflation</w:t>
      </w:r>
      <w:r>
        <w:t>.</w:t>
      </w:r>
      <w:r w:rsidR="00016214">
        <w:t xml:space="preserve"> </w:t>
      </w:r>
      <w:r w:rsidR="00207BEA">
        <w:t>A</w:t>
      </w:r>
      <w:r w:rsidR="00AD5B40">
        <w:t xml:space="preserve"> slow path of convergence </w:t>
      </w:r>
      <w:r w:rsidR="00207BEA">
        <w:t xml:space="preserve">towards the inflation target mid-point </w:t>
      </w:r>
      <w:r w:rsidR="00AD5B40">
        <w:t xml:space="preserve">and elevated medium-term inflation expectations leave Brazil somewhat vulnerable to the adverse effects of a future supply shock. Even a temporary shock could push inflation beyond the upper end of the target range and </w:t>
      </w:r>
      <w:proofErr w:type="gramStart"/>
      <w:r w:rsidR="002D0B70">
        <w:t xml:space="preserve">generate </w:t>
      </w:r>
      <w:r w:rsidR="00AD5B40">
        <w:t xml:space="preserve"> sizable</w:t>
      </w:r>
      <w:proofErr w:type="gramEnd"/>
      <w:r w:rsidR="00AD5B40">
        <w:t xml:space="preserve"> second round effects. At the same time, should d</w:t>
      </w:r>
      <w:r w:rsidR="00016214">
        <w:t xml:space="preserve">omestic supply </w:t>
      </w:r>
      <w:r w:rsidR="00016214" w:rsidRPr="00D22376">
        <w:t xml:space="preserve">constraints </w:t>
      </w:r>
      <w:r w:rsidR="00AD5B40">
        <w:t xml:space="preserve">prove </w:t>
      </w:r>
      <w:r w:rsidR="00016214" w:rsidRPr="00D22376">
        <w:t>more binding tha</w:t>
      </w:r>
      <w:r w:rsidR="00AD5B40">
        <w:t>n</w:t>
      </w:r>
      <w:r w:rsidR="00016214" w:rsidRPr="00D22376">
        <w:t xml:space="preserve"> anticipated</w:t>
      </w:r>
      <w:r w:rsidR="00AD5B40">
        <w:t xml:space="preserve">, even </w:t>
      </w:r>
      <w:r w:rsidR="00207BEA">
        <w:t xml:space="preserve">the </w:t>
      </w:r>
      <w:r w:rsidR="00AD5B40">
        <w:t xml:space="preserve">moderate pick-up in </w:t>
      </w:r>
      <w:r w:rsidR="00207BEA">
        <w:t xml:space="preserve">domestic demand </w:t>
      </w:r>
      <w:r w:rsidR="00AD5B40">
        <w:t>envisaged</w:t>
      </w:r>
      <w:r w:rsidR="00791FEE">
        <w:t xml:space="preserve"> could forestall inflation convergence</w:t>
      </w:r>
      <w:r w:rsidR="00016214">
        <w:t>.</w:t>
      </w:r>
      <w:r w:rsidR="00207BEA">
        <w:t xml:space="preserve"> Elevated inflation for a protracted period would </w:t>
      </w:r>
      <w:r w:rsidR="002D0B70">
        <w:t xml:space="preserve">affect </w:t>
      </w:r>
      <w:r w:rsidR="00207BEA">
        <w:t>inflation expectations and increase the sacrifice ratio of bringing inflation back to the middle of the target range.</w:t>
      </w:r>
      <w:r w:rsidR="000C1966">
        <w:t xml:space="preserve"> </w:t>
      </w:r>
    </w:p>
    <w:p w:rsidR="00D22376" w:rsidRDefault="00D22376" w:rsidP="007E0CFA">
      <w:pPr>
        <w:pStyle w:val="ListBullet"/>
        <w:spacing w:line="240" w:lineRule="auto"/>
      </w:pPr>
      <w:r>
        <w:rPr>
          <w:i/>
        </w:rPr>
        <w:t>Protracted w</w:t>
      </w:r>
      <w:r w:rsidRPr="00016214">
        <w:rPr>
          <w:i/>
        </w:rPr>
        <w:t>eak investment</w:t>
      </w:r>
      <w:r>
        <w:t xml:space="preserve">. </w:t>
      </w:r>
      <w:r w:rsidR="00791FEE">
        <w:t xml:space="preserve">If the underlying factors driving weak investment are more structural in nature, including the steady erosion of competitiveness, </w:t>
      </w:r>
      <w:r w:rsidR="002C5380">
        <w:t xml:space="preserve">or </w:t>
      </w:r>
      <w:r w:rsidR="0043207F">
        <w:t xml:space="preserve">investor </w:t>
      </w:r>
      <w:r w:rsidR="002C5380">
        <w:t xml:space="preserve">confidence </w:t>
      </w:r>
      <w:r w:rsidR="0043207F">
        <w:t xml:space="preserve">remains fragile, </w:t>
      </w:r>
      <w:r w:rsidR="002C5380">
        <w:t xml:space="preserve">the </w:t>
      </w:r>
      <w:r w:rsidR="00791FEE">
        <w:t xml:space="preserve">recovery could prove </w:t>
      </w:r>
      <w:r w:rsidR="002C5380">
        <w:t xml:space="preserve">more </w:t>
      </w:r>
      <w:r w:rsidR="0043207F">
        <w:t xml:space="preserve">uneven </w:t>
      </w:r>
      <w:r w:rsidR="00791FEE">
        <w:t>and sluggish than expected</w:t>
      </w:r>
      <w:r w:rsidR="0043207F">
        <w:t>.</w:t>
      </w:r>
      <w:r w:rsidR="000C1966">
        <w:t xml:space="preserve"> </w:t>
      </w:r>
      <w:r>
        <w:t xml:space="preserve"> </w:t>
      </w:r>
    </w:p>
    <w:p w:rsidR="005A4977" w:rsidRDefault="005A4977" w:rsidP="005A4977">
      <w:pPr>
        <w:pStyle w:val="ListBullet"/>
        <w:numPr>
          <w:ilvl w:val="0"/>
          <w:numId w:val="0"/>
        </w:numPr>
        <w:spacing w:line="240" w:lineRule="auto"/>
        <w:ind w:left="360" w:hanging="360"/>
      </w:pPr>
      <w:r w:rsidRPr="005A4977">
        <w:rPr>
          <w:highlight w:val="yellow"/>
        </w:rPr>
        <w:t>[Box 5. Corporate sector balance sheets]</w:t>
      </w:r>
    </w:p>
    <w:p w:rsidR="001537F1" w:rsidRPr="00B95AF4" w:rsidRDefault="00791FEE" w:rsidP="007E0CFA">
      <w:pPr>
        <w:pStyle w:val="ListBullet"/>
        <w:spacing w:line="240" w:lineRule="auto"/>
      </w:pPr>
      <w:r w:rsidRPr="00B95AF4">
        <w:rPr>
          <w:i/>
        </w:rPr>
        <w:lastRenderedPageBreak/>
        <w:t>Worsening</w:t>
      </w:r>
      <w:r w:rsidR="00265963" w:rsidRPr="00B95AF4">
        <w:rPr>
          <w:i/>
        </w:rPr>
        <w:t xml:space="preserve"> demand imbalances</w:t>
      </w:r>
      <w:r w:rsidR="0063665A">
        <w:t xml:space="preserve">. A timely withdrawal of policy stimulus would be critical to avoid exacerbating existing imbalances in the composition of domestic demand and raising </w:t>
      </w:r>
      <w:proofErr w:type="gramStart"/>
      <w:r w:rsidR="0063665A">
        <w:t xml:space="preserve">vulnerabilities,  </w:t>
      </w:r>
      <w:r w:rsidR="000B3DFF" w:rsidRPr="000B3DFF">
        <w:t>in</w:t>
      </w:r>
      <w:proofErr w:type="gramEnd"/>
      <w:r w:rsidR="000B3DFF" w:rsidRPr="000B3DFF">
        <w:t xml:space="preserve"> </w:t>
      </w:r>
      <w:r w:rsidR="0079052B" w:rsidRPr="00B95AF4">
        <w:t xml:space="preserve">particular, </w:t>
      </w:r>
      <w:r w:rsidR="000B3DFF" w:rsidRPr="000B3DFF">
        <w:t xml:space="preserve">continued reliance on </w:t>
      </w:r>
      <w:r w:rsidR="0079052B" w:rsidRPr="00B95AF4">
        <w:t xml:space="preserve">consumption </w:t>
      </w:r>
      <w:r w:rsidR="0063665A">
        <w:t>growth, high non-</w:t>
      </w:r>
      <w:proofErr w:type="spellStart"/>
      <w:r w:rsidR="0063665A">
        <w:t>tradables</w:t>
      </w:r>
      <w:proofErr w:type="spellEnd"/>
      <w:r w:rsidR="0063665A">
        <w:t xml:space="preserve"> inflation, subdued investment, and a widening current account deficit. </w:t>
      </w:r>
    </w:p>
    <w:p w:rsidR="006A6C1D" w:rsidRDefault="0063665A" w:rsidP="007E0CFA">
      <w:pPr>
        <w:pStyle w:val="ListBullet"/>
        <w:spacing w:line="240" w:lineRule="auto"/>
      </w:pPr>
      <w:r>
        <w:rPr>
          <w:i/>
        </w:rPr>
        <w:t>Weakening of the fiscal policy framework</w:t>
      </w:r>
      <w:r w:rsidR="006A6C1D">
        <w:t>. The authorities remain committed to the framework</w:t>
      </w:r>
      <w:r w:rsidR="006F42C9">
        <w:t>s</w:t>
      </w:r>
      <w:r w:rsidR="006A6C1D">
        <w:t xml:space="preserve"> that ha</w:t>
      </w:r>
      <w:r w:rsidR="006F42C9">
        <w:t>ve</w:t>
      </w:r>
      <w:r w:rsidR="006A6C1D">
        <w:t xml:space="preserve"> delivered macroeconomic stability, including fiscal responsibility, inflation targeting, and a flexible exchange rate. At the same time, </w:t>
      </w:r>
      <w:r w:rsidR="0025200F">
        <w:t xml:space="preserve">the use of extraordinary revenues and </w:t>
      </w:r>
      <w:r w:rsidR="00B25AD1">
        <w:t>a</w:t>
      </w:r>
      <w:r w:rsidR="0025200F">
        <w:t xml:space="preserve"> range of adjustors to meet the established fiscal target, together with large transfers to public </w:t>
      </w:r>
      <w:r w:rsidR="006F42C9">
        <w:t>banks</w:t>
      </w:r>
      <w:r w:rsidR="0025200F">
        <w:t xml:space="preserve">, </w:t>
      </w:r>
      <w:r w:rsidR="006F42C9">
        <w:t xml:space="preserve">could </w:t>
      </w:r>
      <w:r w:rsidR="0025200F">
        <w:t xml:space="preserve">threaten to </w:t>
      </w:r>
      <w:r w:rsidR="00676CF9">
        <w:t xml:space="preserve">undermine confidence in </w:t>
      </w:r>
      <w:r w:rsidR="0025200F">
        <w:t xml:space="preserve">the existing framework. </w:t>
      </w:r>
      <w:r w:rsidR="00CD12FA">
        <w:t xml:space="preserve">In recent years, </w:t>
      </w:r>
      <w:r w:rsidR="003E1D5C">
        <w:t xml:space="preserve">transfers to public banks </w:t>
      </w:r>
      <w:r w:rsidR="00CD12FA">
        <w:t xml:space="preserve">(policy lending) </w:t>
      </w:r>
      <w:r w:rsidR="003E1D5C">
        <w:t xml:space="preserve">have reversed the </w:t>
      </w:r>
      <w:r w:rsidR="006F42C9">
        <w:t xml:space="preserve">long-pursued </w:t>
      </w:r>
      <w:r w:rsidR="003E1D5C">
        <w:t>downward trend in the ratio of gross debt to GDP.</w:t>
      </w:r>
    </w:p>
    <w:p w:rsidR="00507030" w:rsidRDefault="00507030" w:rsidP="00507030">
      <w:pPr>
        <w:pStyle w:val="ListBullet"/>
        <w:numPr>
          <w:ilvl w:val="0"/>
          <w:numId w:val="0"/>
        </w:numPr>
        <w:spacing w:line="240" w:lineRule="auto"/>
        <w:ind w:left="360" w:hanging="360"/>
      </w:pPr>
      <w:r w:rsidRPr="00507030">
        <w:rPr>
          <w:highlight w:val="yellow"/>
        </w:rPr>
        <w:t xml:space="preserve">[Box </w:t>
      </w:r>
      <w:r w:rsidR="005A4977">
        <w:rPr>
          <w:highlight w:val="yellow"/>
        </w:rPr>
        <w:t>6</w:t>
      </w:r>
      <w:r w:rsidRPr="00507030">
        <w:rPr>
          <w:highlight w:val="yellow"/>
        </w:rPr>
        <w:t>. Public Debt Dynamics]</w:t>
      </w:r>
    </w:p>
    <w:p w:rsidR="00017AAF" w:rsidRDefault="003F757B" w:rsidP="007E0CFA">
      <w:pPr>
        <w:pStyle w:val="ListBullet"/>
        <w:spacing w:line="240" w:lineRule="auto"/>
      </w:pPr>
      <w:r>
        <w:rPr>
          <w:i/>
        </w:rPr>
        <w:t>C</w:t>
      </w:r>
      <w:r w:rsidR="00AD03FF">
        <w:rPr>
          <w:i/>
        </w:rPr>
        <w:t>orrection in the real estate market</w:t>
      </w:r>
      <w:r>
        <w:rPr>
          <w:i/>
        </w:rPr>
        <w:t xml:space="preserve"> and household credit </w:t>
      </w:r>
      <w:r w:rsidRPr="00AB7FC2">
        <w:rPr>
          <w:i/>
        </w:rPr>
        <w:t>exposure</w:t>
      </w:r>
      <w:r w:rsidR="00162BED">
        <w:t>.</w:t>
      </w:r>
      <w:r w:rsidR="00152D6A">
        <w:t xml:space="preserve"> </w:t>
      </w:r>
      <w:r w:rsidR="006814C7">
        <w:t xml:space="preserve">Brazil’s large banks retain substantial buffers against shocks (as identified in the July 2012 FSAP), but a large property price correction </w:t>
      </w:r>
      <w:r w:rsidR="00DB15CD">
        <w:t>c</w:t>
      </w:r>
      <w:r w:rsidR="006814C7">
        <w:t xml:space="preserve">ould have adverse effects on some financial sector balance sheets. </w:t>
      </w:r>
      <w:r w:rsidR="00025A03">
        <w:t xml:space="preserve">The rapid expansion of credit to new customers including households and small businesses, </w:t>
      </w:r>
      <w:r>
        <w:t xml:space="preserve">particularly among public banks, </w:t>
      </w:r>
      <w:r w:rsidR="00025A03">
        <w:t xml:space="preserve">may worsen asset quality </w:t>
      </w:r>
      <w:r>
        <w:t>and</w:t>
      </w:r>
      <w:r w:rsidR="00025A03">
        <w:t xml:space="preserve"> increas</w:t>
      </w:r>
      <w:r>
        <w:t>e</w:t>
      </w:r>
      <w:r w:rsidR="00025A03">
        <w:t xml:space="preserve"> </w:t>
      </w:r>
      <w:r>
        <w:t xml:space="preserve">potential </w:t>
      </w:r>
      <w:r w:rsidR="00F200EE">
        <w:t xml:space="preserve">financial </w:t>
      </w:r>
      <w:r w:rsidR="00025A03">
        <w:t>vulnerabilities</w:t>
      </w:r>
      <w:r w:rsidR="0038650F">
        <w:t>.</w:t>
      </w:r>
    </w:p>
    <w:p w:rsidR="00461188" w:rsidRDefault="00757018" w:rsidP="007E0CFA">
      <w:pPr>
        <w:pStyle w:val="ListBullet"/>
        <w:numPr>
          <w:ilvl w:val="0"/>
          <w:numId w:val="0"/>
        </w:numPr>
        <w:spacing w:line="240" w:lineRule="auto"/>
        <w:ind w:left="360" w:hanging="360"/>
      </w:pPr>
      <w:r w:rsidRPr="00757018">
        <w:rPr>
          <w:highlight w:val="yellow"/>
        </w:rPr>
        <w:t xml:space="preserve">[Box </w:t>
      </w:r>
      <w:r w:rsidR="005A4977">
        <w:rPr>
          <w:highlight w:val="yellow"/>
        </w:rPr>
        <w:t>7</w:t>
      </w:r>
      <w:r w:rsidRPr="00757018">
        <w:rPr>
          <w:highlight w:val="yellow"/>
        </w:rPr>
        <w:t>. Household debt]</w:t>
      </w:r>
    </w:p>
    <w:p w:rsidR="009C4455" w:rsidRDefault="00676CF9" w:rsidP="007E0CFA">
      <w:pPr>
        <w:pStyle w:val="ParagraphNumbering"/>
        <w:spacing w:line="240" w:lineRule="auto"/>
      </w:pPr>
      <w:r>
        <w:rPr>
          <w:b/>
        </w:rPr>
        <w:t xml:space="preserve">External downside risks </w:t>
      </w:r>
      <w:r w:rsidR="00AD03FF" w:rsidRPr="00AD03FF">
        <w:rPr>
          <w:b/>
        </w:rPr>
        <w:t xml:space="preserve">to Brazil </w:t>
      </w:r>
      <w:r>
        <w:rPr>
          <w:b/>
        </w:rPr>
        <w:t xml:space="preserve">are associated with </w:t>
      </w:r>
      <w:r w:rsidR="00AD03FF" w:rsidRPr="00AD03FF">
        <w:rPr>
          <w:b/>
        </w:rPr>
        <w:t xml:space="preserve">commodity prices and </w:t>
      </w:r>
      <w:r w:rsidR="00043C10">
        <w:rPr>
          <w:b/>
        </w:rPr>
        <w:t xml:space="preserve">global </w:t>
      </w:r>
      <w:r w:rsidR="00AD03FF" w:rsidRPr="00AD03FF">
        <w:rPr>
          <w:b/>
        </w:rPr>
        <w:t>financial conditions</w:t>
      </w:r>
      <w:r w:rsidR="00AD03FF">
        <w:t xml:space="preserve">. </w:t>
      </w:r>
    </w:p>
    <w:p w:rsidR="009C4455" w:rsidRDefault="009C4455" w:rsidP="007E0CFA">
      <w:pPr>
        <w:pStyle w:val="ListBullet"/>
        <w:spacing w:line="240" w:lineRule="auto"/>
      </w:pPr>
      <w:r w:rsidRPr="009C4455">
        <w:rPr>
          <w:i/>
        </w:rPr>
        <w:t>Commodity prices and the terms of trade.</w:t>
      </w:r>
      <w:r>
        <w:t xml:space="preserve"> </w:t>
      </w:r>
      <w:r w:rsidR="00AD03FF">
        <w:t>Commodities account</w:t>
      </w:r>
      <w:r w:rsidR="00043C10">
        <w:t>ed</w:t>
      </w:r>
      <w:r w:rsidR="00AD03FF">
        <w:t xml:space="preserve"> for </w:t>
      </w:r>
      <w:r w:rsidR="00043C10">
        <w:t xml:space="preserve">almost half of </w:t>
      </w:r>
      <w:r w:rsidR="00AD03FF">
        <w:t xml:space="preserve">Brazil’s total </w:t>
      </w:r>
      <w:r w:rsidR="00043C10">
        <w:t xml:space="preserve">merchandise </w:t>
      </w:r>
      <w:r w:rsidR="00AD03FF">
        <w:t>exports</w:t>
      </w:r>
      <w:r w:rsidR="006814C7">
        <w:t xml:space="preserve"> </w:t>
      </w:r>
      <w:r w:rsidR="00043C10">
        <w:t>in 2012</w:t>
      </w:r>
      <w:r w:rsidR="009E5E70">
        <w:t xml:space="preserve"> leaving the external position vulnerable to large changes in commodity prices. The prices of Brazil’s four main commodity exports—iron ore, soybeans, coffee, and sugar</w:t>
      </w:r>
      <w:r w:rsidR="004A499A">
        <w:t>—are highly volatile</w:t>
      </w:r>
      <w:r w:rsidR="003142CE">
        <w:t xml:space="preserve"> but</w:t>
      </w:r>
      <w:r w:rsidR="00F470E9">
        <w:t xml:space="preserve">, in the absence of a very large global </w:t>
      </w:r>
      <w:r w:rsidR="0038650F">
        <w:t xml:space="preserve">demand </w:t>
      </w:r>
      <w:r w:rsidR="00F470E9">
        <w:t>shock,</w:t>
      </w:r>
      <w:r w:rsidR="003142CE">
        <w:t xml:space="preserve"> relatively uncorrelated</w:t>
      </w:r>
      <w:r w:rsidR="00F470E9">
        <w:t xml:space="preserve"> with each other</w:t>
      </w:r>
      <w:r w:rsidR="003142CE">
        <w:t>, mitigating some risk</w:t>
      </w:r>
      <w:r w:rsidR="006814C7">
        <w:t>.</w:t>
      </w:r>
      <w:r w:rsidR="000C1966">
        <w:t xml:space="preserve"> </w:t>
      </w:r>
    </w:p>
    <w:p w:rsidR="00595F29" w:rsidRDefault="009C4455" w:rsidP="007E0CFA">
      <w:pPr>
        <w:pStyle w:val="ListBullet"/>
        <w:spacing w:line="240" w:lineRule="auto"/>
      </w:pPr>
      <w:r>
        <w:rPr>
          <w:i/>
        </w:rPr>
        <w:t>Global financial conditions.</w:t>
      </w:r>
      <w:r>
        <w:t xml:space="preserve"> </w:t>
      </w:r>
      <w:r w:rsidR="00AD03FF">
        <w:t xml:space="preserve">Notwithstanding Brazil’s improved international investment position, its </w:t>
      </w:r>
      <w:r w:rsidR="00C018A4">
        <w:t xml:space="preserve">integrated financial markets and </w:t>
      </w:r>
      <w:r w:rsidR="00AD03FF">
        <w:t xml:space="preserve">continued reliance on foreign saving to fund investment </w:t>
      </w:r>
      <w:r w:rsidR="00C018A4">
        <w:t xml:space="preserve">could </w:t>
      </w:r>
      <w:r w:rsidR="00AD03FF">
        <w:t xml:space="preserve">leave it susceptible to changes in global financial conditions. </w:t>
      </w:r>
      <w:r w:rsidR="00265963">
        <w:t xml:space="preserve">Key risks include contagion from </w:t>
      </w:r>
      <w:r w:rsidR="001F3707">
        <w:t xml:space="preserve">an intensification of the crisis in </w:t>
      </w:r>
      <w:r w:rsidR="00265963">
        <w:t>Europe</w:t>
      </w:r>
      <w:r w:rsidR="001F3707">
        <w:t xml:space="preserve"> and a </w:t>
      </w:r>
      <w:r w:rsidR="00C018A4">
        <w:t>sudden monetary tightening in the</w:t>
      </w:r>
      <w:r w:rsidR="001F3707">
        <w:t xml:space="preserve"> U.S.</w:t>
      </w:r>
      <w:r w:rsidR="00265963">
        <w:t xml:space="preserve">, both of which could </w:t>
      </w:r>
      <w:r w:rsidR="00B25AD1">
        <w:t>prompt</w:t>
      </w:r>
      <w:r w:rsidR="00265963">
        <w:t xml:space="preserve"> </w:t>
      </w:r>
      <w:r w:rsidR="00676CF9">
        <w:t xml:space="preserve">a </w:t>
      </w:r>
      <w:r w:rsidR="00265963">
        <w:t>generalized flight from emerging markets</w:t>
      </w:r>
      <w:r w:rsidR="00C31A79">
        <w:t xml:space="preserve"> and </w:t>
      </w:r>
      <w:r w:rsidR="004116CE">
        <w:t>tighter</w:t>
      </w:r>
      <w:r w:rsidR="00B13372">
        <w:t xml:space="preserve"> </w:t>
      </w:r>
      <w:r w:rsidR="00C31A79">
        <w:t>external f</w:t>
      </w:r>
      <w:r w:rsidR="00B13372">
        <w:t>inancing conditions</w:t>
      </w:r>
      <w:r w:rsidR="00265963">
        <w:t xml:space="preserve">. </w:t>
      </w:r>
      <w:r w:rsidR="00595F29">
        <w:t xml:space="preserve">Direct vulnerabilities to external shocks in the banking system appear to be relatively low, with </w:t>
      </w:r>
      <w:r w:rsidR="00595F29">
        <w:lastRenderedPageBreak/>
        <w:t xml:space="preserve">external liabilities of Brazil’s banks accounting for </w:t>
      </w:r>
      <w:r w:rsidR="00632FDE">
        <w:t>[</w:t>
      </w:r>
      <w:r w:rsidR="00C1641B">
        <w:t>7</w:t>
      </w:r>
      <w:r w:rsidR="00632FDE">
        <w:t>]</w:t>
      </w:r>
      <w:r w:rsidR="00C1641B">
        <w:t xml:space="preserve"> percent of banks’ assets</w:t>
      </w:r>
      <w:r w:rsidR="00632FDE">
        <w:t xml:space="preserve"> and </w:t>
      </w:r>
      <w:r w:rsidR="00C1641B">
        <w:t>foreign banks</w:t>
      </w:r>
      <w:r w:rsidR="00632FDE">
        <w:t>, mostly funded locally,</w:t>
      </w:r>
      <w:r w:rsidR="00C1641B">
        <w:t xml:space="preserve"> </w:t>
      </w:r>
      <w:r w:rsidR="00632FDE">
        <w:t xml:space="preserve">representing </w:t>
      </w:r>
      <w:r w:rsidR="00C1641B">
        <w:t>less than 20 percent of banking sector assets</w:t>
      </w:r>
      <w:r w:rsidR="009C0F90">
        <w:t>.</w:t>
      </w:r>
    </w:p>
    <w:p w:rsidR="00AD03FF" w:rsidRPr="00E6042E" w:rsidRDefault="00AD03FF" w:rsidP="007E0CFA">
      <w:pPr>
        <w:pStyle w:val="ParagraphNumbering"/>
        <w:spacing w:line="240" w:lineRule="auto"/>
      </w:pPr>
      <w:r>
        <w:rPr>
          <w:b/>
        </w:rPr>
        <w:t>Brazil’s medium</w:t>
      </w:r>
      <w:r w:rsidRPr="00AD03FF">
        <w:rPr>
          <w:b/>
        </w:rPr>
        <w:t xml:space="preserve">-term challenges are </w:t>
      </w:r>
      <w:r w:rsidR="001364B1">
        <w:rPr>
          <w:b/>
        </w:rPr>
        <w:t xml:space="preserve">to bolster growth through higher productivity and </w:t>
      </w:r>
      <w:r w:rsidR="00595F29">
        <w:rPr>
          <w:b/>
        </w:rPr>
        <w:t>investment</w:t>
      </w:r>
      <w:r w:rsidR="001364B1">
        <w:rPr>
          <w:b/>
        </w:rPr>
        <w:t>, while m</w:t>
      </w:r>
      <w:r w:rsidR="00676CF9">
        <w:rPr>
          <w:b/>
        </w:rPr>
        <w:t>obiliz</w:t>
      </w:r>
      <w:r w:rsidR="001364B1">
        <w:rPr>
          <w:b/>
        </w:rPr>
        <w:t xml:space="preserve">ing </w:t>
      </w:r>
      <w:r w:rsidR="00676CF9">
        <w:rPr>
          <w:b/>
        </w:rPr>
        <w:t xml:space="preserve">domestic savings </w:t>
      </w:r>
      <w:r w:rsidR="001364B1">
        <w:rPr>
          <w:b/>
        </w:rPr>
        <w:t xml:space="preserve">to prevent </w:t>
      </w:r>
      <w:r w:rsidR="00595F29">
        <w:rPr>
          <w:b/>
        </w:rPr>
        <w:t xml:space="preserve">a significant </w:t>
      </w:r>
      <w:r w:rsidR="001364B1">
        <w:rPr>
          <w:b/>
        </w:rPr>
        <w:t xml:space="preserve">deterioration </w:t>
      </w:r>
      <w:r w:rsidR="001F3707">
        <w:rPr>
          <w:b/>
        </w:rPr>
        <w:t>in its</w:t>
      </w:r>
      <w:r w:rsidR="00595F29">
        <w:rPr>
          <w:b/>
        </w:rPr>
        <w:t xml:space="preserve"> external </w:t>
      </w:r>
      <w:r w:rsidR="001364B1">
        <w:rPr>
          <w:b/>
        </w:rPr>
        <w:t>accounts</w:t>
      </w:r>
      <w:r>
        <w:t xml:space="preserve">. </w:t>
      </w:r>
      <w:r w:rsidR="00595F29">
        <w:t xml:space="preserve">Brazil needs to raise </w:t>
      </w:r>
      <w:r w:rsidR="001364B1">
        <w:t xml:space="preserve">productivity and </w:t>
      </w:r>
      <w:r w:rsidR="00595F29">
        <w:t>investment</w:t>
      </w:r>
      <w:r w:rsidR="009F0B82">
        <w:t>.</w:t>
      </w:r>
      <w:r w:rsidR="00595F29">
        <w:t xml:space="preserve"> </w:t>
      </w:r>
      <w:r w:rsidR="009F0B82">
        <w:t>W</w:t>
      </w:r>
      <w:r w:rsidR="00595F29">
        <w:t xml:space="preserve">ithout a concomitant rise in domestic saving, this would lead to </w:t>
      </w:r>
      <w:r w:rsidR="00B25AD1">
        <w:t>higher</w:t>
      </w:r>
      <w:r w:rsidR="00595F29">
        <w:t xml:space="preserve"> external imbalances</w:t>
      </w:r>
      <w:r w:rsidR="00B25AD1">
        <w:t>.</w:t>
      </w:r>
      <w:r w:rsidR="009F0B82">
        <w:t xml:space="preserve"> </w:t>
      </w:r>
      <w:r w:rsidR="00B25AD1">
        <w:t>F</w:t>
      </w:r>
      <w:r w:rsidR="00C31A79">
        <w:t xml:space="preserve">or example, to bring investment as a </w:t>
      </w:r>
      <w:r w:rsidR="003E591F">
        <w:t xml:space="preserve">share of </w:t>
      </w:r>
      <w:r w:rsidR="009F358A">
        <w:t>GDP</w:t>
      </w:r>
      <w:r w:rsidR="003E591F">
        <w:t xml:space="preserve"> </w:t>
      </w:r>
      <w:r w:rsidR="00C31A79">
        <w:t>to average G-20 levels</w:t>
      </w:r>
      <w:r w:rsidR="00F470E9">
        <w:t xml:space="preserve"> </w:t>
      </w:r>
      <w:r w:rsidR="003E591F">
        <w:t xml:space="preserve">with unchanged </w:t>
      </w:r>
      <w:r w:rsidR="00F470E9">
        <w:t xml:space="preserve">domestic saving would imply a </w:t>
      </w:r>
      <w:r w:rsidR="003E591F">
        <w:t xml:space="preserve">deterioration in the </w:t>
      </w:r>
      <w:r w:rsidR="00F470E9">
        <w:t xml:space="preserve">current account deficit of </w:t>
      </w:r>
      <w:r w:rsidR="003E591F">
        <w:t>about 4 percentage points of GDP.</w:t>
      </w:r>
      <w:r w:rsidR="000C1966">
        <w:t xml:space="preserve"> </w:t>
      </w:r>
      <w:r>
        <w:t xml:space="preserve"> </w:t>
      </w:r>
    </w:p>
    <w:p w:rsidR="00152D6A" w:rsidRDefault="00470976" w:rsidP="007E0CFA">
      <w:pPr>
        <w:pStyle w:val="Heading1"/>
        <w:spacing w:line="240" w:lineRule="auto"/>
      </w:pPr>
      <w:r>
        <w:t xml:space="preserve">KEY POLICY </w:t>
      </w:r>
      <w:r w:rsidR="00152D6A">
        <w:t>ISSUES</w:t>
      </w:r>
      <w:r>
        <w:t xml:space="preserve"> </w:t>
      </w:r>
    </w:p>
    <w:p w:rsidR="004775CD" w:rsidRPr="004775CD" w:rsidRDefault="004775CD" w:rsidP="007E0CFA">
      <w:pPr>
        <w:pStyle w:val="ParagraphNumbering"/>
        <w:spacing w:line="240" w:lineRule="auto"/>
      </w:pPr>
      <w:r w:rsidRPr="004775CD">
        <w:rPr>
          <w:b/>
        </w:rPr>
        <w:t xml:space="preserve">With supply-side constraints restraining </w:t>
      </w:r>
      <w:r w:rsidR="00C66C5A">
        <w:rPr>
          <w:b/>
        </w:rPr>
        <w:t xml:space="preserve">short-term </w:t>
      </w:r>
      <w:r w:rsidRPr="004775CD">
        <w:rPr>
          <w:b/>
        </w:rPr>
        <w:t xml:space="preserve">growth, the overall policy </w:t>
      </w:r>
      <w:r w:rsidR="00C66C5A">
        <w:rPr>
          <w:b/>
        </w:rPr>
        <w:t xml:space="preserve">stance should </w:t>
      </w:r>
      <w:r w:rsidR="00B25AD1">
        <w:rPr>
          <w:b/>
        </w:rPr>
        <w:t xml:space="preserve">gradually </w:t>
      </w:r>
      <w:r w:rsidR="00C66C5A">
        <w:rPr>
          <w:b/>
        </w:rPr>
        <w:t xml:space="preserve">withdraw stimulus, </w:t>
      </w:r>
      <w:r w:rsidR="00B25AD1">
        <w:rPr>
          <w:b/>
        </w:rPr>
        <w:t>cast</w:t>
      </w:r>
      <w:r w:rsidR="00B25AD1" w:rsidRPr="004775CD">
        <w:rPr>
          <w:b/>
        </w:rPr>
        <w:t xml:space="preserve"> </w:t>
      </w:r>
      <w:r w:rsidRPr="004775CD">
        <w:rPr>
          <w:b/>
        </w:rPr>
        <w:t xml:space="preserve">policies </w:t>
      </w:r>
      <w:r>
        <w:rPr>
          <w:b/>
        </w:rPr>
        <w:t>i</w:t>
      </w:r>
      <w:r w:rsidRPr="004775CD">
        <w:rPr>
          <w:b/>
        </w:rPr>
        <w:t xml:space="preserve">n Brazil’s </w:t>
      </w:r>
      <w:r w:rsidR="009F0B82">
        <w:rPr>
          <w:b/>
        </w:rPr>
        <w:t>established</w:t>
      </w:r>
      <w:r w:rsidRPr="004775CD">
        <w:rPr>
          <w:b/>
        </w:rPr>
        <w:t xml:space="preserve"> frameworks</w:t>
      </w:r>
      <w:r w:rsidR="00C66C5A">
        <w:rPr>
          <w:b/>
        </w:rPr>
        <w:t xml:space="preserve">, and </w:t>
      </w:r>
      <w:r w:rsidR="00B25AD1">
        <w:rPr>
          <w:b/>
        </w:rPr>
        <w:t xml:space="preserve">rely on </w:t>
      </w:r>
      <w:r w:rsidR="00C66C5A">
        <w:rPr>
          <w:b/>
        </w:rPr>
        <w:t>monetary policy as the main counter-cyclical tool</w:t>
      </w:r>
      <w:r w:rsidRPr="004775CD">
        <w:rPr>
          <w:b/>
        </w:rPr>
        <w:t xml:space="preserve">. </w:t>
      </w:r>
    </w:p>
    <w:p w:rsidR="004775CD" w:rsidRDefault="002C1E1B" w:rsidP="007E0CFA">
      <w:pPr>
        <w:pStyle w:val="ListBullet"/>
        <w:spacing w:line="240" w:lineRule="auto"/>
      </w:pPr>
      <w:r>
        <w:rPr>
          <w:i/>
        </w:rPr>
        <w:t>Withdraw stimulus</w:t>
      </w:r>
      <w:r w:rsidR="004775CD">
        <w:t>: Weak</w:t>
      </w:r>
      <w:r w:rsidR="004775CD" w:rsidRPr="004775CD">
        <w:t xml:space="preserve"> investment </w:t>
      </w:r>
      <w:r w:rsidR="004775CD">
        <w:t>since mid-2011, combined with long-standing infrastructure gaps, ha</w:t>
      </w:r>
      <w:r w:rsidR="00453F79">
        <w:t>ve</w:t>
      </w:r>
      <w:r w:rsidR="00C66C5A">
        <w:t xml:space="preserve"> worsened Brazil’s short-term growth-inflation trade-off</w:t>
      </w:r>
      <w:r w:rsidR="004775CD" w:rsidRPr="004775CD">
        <w:t xml:space="preserve">. In this context, </w:t>
      </w:r>
      <w:r w:rsidR="005E6CFC">
        <w:t xml:space="preserve">withdrawing </w:t>
      </w:r>
      <w:r w:rsidR="004775CD" w:rsidRPr="004775CD">
        <w:t xml:space="preserve">policy stimulus </w:t>
      </w:r>
      <w:r w:rsidR="005E6CFC">
        <w:t xml:space="preserve">will be needed to avoid </w:t>
      </w:r>
      <w:r w:rsidR="00025319">
        <w:t>exacerbating</w:t>
      </w:r>
      <w:r w:rsidR="00C66C5A">
        <w:t xml:space="preserve"> </w:t>
      </w:r>
      <w:r w:rsidR="004775CD">
        <w:t xml:space="preserve">inflation and </w:t>
      </w:r>
      <w:r w:rsidR="005E6CFC">
        <w:t xml:space="preserve">the </w:t>
      </w:r>
      <w:r w:rsidR="004775CD" w:rsidRPr="004775CD">
        <w:t xml:space="preserve">perception of policy uncertainty. </w:t>
      </w:r>
    </w:p>
    <w:p w:rsidR="00C66C5A" w:rsidRDefault="002C1E1B" w:rsidP="007E0CFA">
      <w:pPr>
        <w:pStyle w:val="ListBullet"/>
        <w:spacing w:line="240" w:lineRule="auto"/>
      </w:pPr>
      <w:r>
        <w:rPr>
          <w:i/>
        </w:rPr>
        <w:t>E</w:t>
      </w:r>
      <w:r w:rsidR="00C66C5A" w:rsidRPr="00C66C5A">
        <w:rPr>
          <w:i/>
        </w:rPr>
        <w:t>mbed polic</w:t>
      </w:r>
      <w:r>
        <w:rPr>
          <w:i/>
        </w:rPr>
        <w:t>ies</w:t>
      </w:r>
      <w:r w:rsidR="00C66C5A" w:rsidRPr="00C66C5A">
        <w:rPr>
          <w:i/>
        </w:rPr>
        <w:t xml:space="preserve"> in the current framework</w:t>
      </w:r>
      <w:r w:rsidR="00C66C5A">
        <w:t xml:space="preserve">: Sustaining a </w:t>
      </w:r>
      <w:r w:rsidR="00025319">
        <w:t xml:space="preserve">private sector-led </w:t>
      </w:r>
      <w:r w:rsidR="00C66C5A">
        <w:t>investment recovery will require</w:t>
      </w:r>
      <w:r w:rsidR="00B25AD1">
        <w:t xml:space="preserve"> </w:t>
      </w:r>
      <w:r w:rsidR="00C66C5A">
        <w:t>greater policy clarity</w:t>
      </w:r>
      <w:r w:rsidR="00025319">
        <w:t xml:space="preserve"> to bolster </w:t>
      </w:r>
      <w:r w:rsidR="005E6CFC">
        <w:t xml:space="preserve">business </w:t>
      </w:r>
      <w:r w:rsidR="00025319">
        <w:t>confidence</w:t>
      </w:r>
      <w:r w:rsidR="00C66C5A">
        <w:t>. In particular, policies should</w:t>
      </w:r>
      <w:r>
        <w:t xml:space="preserve"> </w:t>
      </w:r>
      <w:r w:rsidR="00B25AD1">
        <w:t>adhere to</w:t>
      </w:r>
      <w:r w:rsidR="00C66C5A">
        <w:t xml:space="preserve"> Brazil’s </w:t>
      </w:r>
      <w:r w:rsidR="004775CD" w:rsidRPr="004775CD">
        <w:t xml:space="preserve">long-standing frameworks to contain inflation and inflation-expectations and put </w:t>
      </w:r>
      <w:r>
        <w:t>public</w:t>
      </w:r>
      <w:r w:rsidR="004775CD" w:rsidRPr="004775CD">
        <w:t xml:space="preserve"> debt on a clear downward path. </w:t>
      </w:r>
    </w:p>
    <w:p w:rsidR="008F5BCB" w:rsidRDefault="00C66C5A" w:rsidP="007E0CFA">
      <w:pPr>
        <w:pStyle w:val="ListBullet"/>
        <w:spacing w:line="240" w:lineRule="auto"/>
      </w:pPr>
      <w:r w:rsidRPr="002C1E1B">
        <w:rPr>
          <w:i/>
        </w:rPr>
        <w:t xml:space="preserve">Emphasize </w:t>
      </w:r>
      <w:r w:rsidR="002C1E1B" w:rsidRPr="002C1E1B">
        <w:rPr>
          <w:i/>
        </w:rPr>
        <w:t>monetary policy as the key counter-cyclical tool</w:t>
      </w:r>
      <w:r w:rsidR="002C1E1B">
        <w:t xml:space="preserve">: </w:t>
      </w:r>
      <w:r w:rsidR="004775CD" w:rsidRPr="004775CD">
        <w:t>At the current juncture, the policy mix should be adjusted to help lessen the burden on monetary policy in the process of</w:t>
      </w:r>
      <w:r w:rsidR="00A53D0D">
        <w:t xml:space="preserve"> policy rate </w:t>
      </w:r>
      <w:r w:rsidR="004775CD" w:rsidRPr="004775CD">
        <w:t>normaliz</w:t>
      </w:r>
      <w:r w:rsidR="00A53D0D">
        <w:t>ation</w:t>
      </w:r>
      <w:r w:rsidR="004775CD" w:rsidRPr="004775CD">
        <w:t>. More broadly, monetary policy should regain the helm of cyclical macro management, relieving fiscal policy and lending through public banks from that role</w:t>
      </w:r>
      <w:r w:rsidR="00B1067E">
        <w:t xml:space="preserve">. </w:t>
      </w:r>
    </w:p>
    <w:p w:rsidR="00262172" w:rsidRDefault="00262172" w:rsidP="007E0CFA">
      <w:pPr>
        <w:pStyle w:val="ParagraphNumbering"/>
        <w:spacing w:line="240" w:lineRule="auto"/>
      </w:pPr>
      <w:r w:rsidRPr="002C2666">
        <w:rPr>
          <w:b/>
        </w:rPr>
        <w:t xml:space="preserve">The task </w:t>
      </w:r>
      <w:r w:rsidR="00C36873">
        <w:rPr>
          <w:b/>
        </w:rPr>
        <w:t xml:space="preserve">ahead </w:t>
      </w:r>
      <w:r w:rsidRPr="002C2666">
        <w:rPr>
          <w:b/>
        </w:rPr>
        <w:t xml:space="preserve">for monetary policy </w:t>
      </w:r>
      <w:r w:rsidR="00FA5F8C">
        <w:rPr>
          <w:b/>
        </w:rPr>
        <w:t>is</w:t>
      </w:r>
      <w:r w:rsidR="002612EB">
        <w:rPr>
          <w:b/>
        </w:rPr>
        <w:t xml:space="preserve"> </w:t>
      </w:r>
      <w:r w:rsidRPr="002C2666">
        <w:rPr>
          <w:b/>
        </w:rPr>
        <w:t xml:space="preserve">to </w:t>
      </w:r>
      <w:r w:rsidR="000659B7">
        <w:rPr>
          <w:b/>
        </w:rPr>
        <w:t xml:space="preserve">contain inflationary pressures and </w:t>
      </w:r>
      <w:r w:rsidR="00B25AD1">
        <w:rPr>
          <w:b/>
        </w:rPr>
        <w:t>bring</w:t>
      </w:r>
      <w:r w:rsidRPr="002C2666">
        <w:rPr>
          <w:b/>
        </w:rPr>
        <w:t xml:space="preserve"> medium-term inflation expectations </w:t>
      </w:r>
      <w:r w:rsidR="00B25AD1">
        <w:rPr>
          <w:b/>
        </w:rPr>
        <w:t xml:space="preserve">closer to </w:t>
      </w:r>
      <w:r w:rsidRPr="002C2666">
        <w:rPr>
          <w:b/>
        </w:rPr>
        <w:t>the target mid-point</w:t>
      </w:r>
      <w:r>
        <w:t xml:space="preserve">. </w:t>
      </w:r>
      <w:r w:rsidR="00320E1E">
        <w:t xml:space="preserve">The recent start of monetary policy normalization is welcome, </w:t>
      </w:r>
      <w:r w:rsidR="00C36873">
        <w:t xml:space="preserve">and </w:t>
      </w:r>
      <w:r w:rsidR="00320E1E">
        <w:t>discussion</w:t>
      </w:r>
      <w:r w:rsidR="00C36873">
        <w:t>s</w:t>
      </w:r>
      <w:r w:rsidR="00320E1E">
        <w:t xml:space="preserve"> </w:t>
      </w:r>
      <w:r w:rsidR="00C36873">
        <w:t>will f</w:t>
      </w:r>
      <w:r w:rsidR="00320E1E">
        <w:t xml:space="preserve">ocus on </w:t>
      </w:r>
      <w:r w:rsidR="00442417">
        <w:t>the appropriate pace</w:t>
      </w:r>
      <w:r w:rsidR="000E6FC1">
        <w:t xml:space="preserve"> </w:t>
      </w:r>
      <w:r w:rsidR="00A53D0D">
        <w:t xml:space="preserve">of adjustment </w:t>
      </w:r>
      <w:r w:rsidR="00442417">
        <w:t xml:space="preserve">and the likely </w:t>
      </w:r>
      <w:r w:rsidR="000E6FC1">
        <w:t xml:space="preserve">range </w:t>
      </w:r>
      <w:r w:rsidR="00442417">
        <w:t>of the neutral interest rate.</w:t>
      </w:r>
      <w:r w:rsidR="00320E1E">
        <w:t xml:space="preserve"> Staff will argue that </w:t>
      </w:r>
      <w:r w:rsidR="00A53D0D">
        <w:t xml:space="preserve">more </w:t>
      </w:r>
      <w:r w:rsidR="00320E1E">
        <w:t xml:space="preserve">front-loaded action </w:t>
      </w:r>
      <w:r w:rsidR="00632FDE">
        <w:t xml:space="preserve">and clearer communication about the importance of restraining medium-term inflation expectations </w:t>
      </w:r>
      <w:r w:rsidR="00320E1E">
        <w:t xml:space="preserve">may pay-off in </w:t>
      </w:r>
      <w:r w:rsidR="00320E1E">
        <w:lastRenderedPageBreak/>
        <w:t xml:space="preserve">terms of credibility and </w:t>
      </w:r>
      <w:r w:rsidR="00C36873">
        <w:t>containing</w:t>
      </w:r>
      <w:r w:rsidR="00453F79">
        <w:t xml:space="preserve"> still-high</w:t>
      </w:r>
      <w:r w:rsidR="00C36873">
        <w:t xml:space="preserve"> inflation</w:t>
      </w:r>
      <w:r w:rsidR="00453F79">
        <w:t xml:space="preserve"> inertia</w:t>
      </w:r>
      <w:r w:rsidR="00A53D0D">
        <w:t xml:space="preserve">. This would </w:t>
      </w:r>
      <w:r w:rsidR="00453F79">
        <w:t xml:space="preserve">allow for </w:t>
      </w:r>
      <w:r w:rsidR="00A53D0D">
        <w:t xml:space="preserve">a faster </w:t>
      </w:r>
      <w:r w:rsidR="00453F79">
        <w:t>convergence</w:t>
      </w:r>
      <w:r w:rsidR="00A53D0D">
        <w:t xml:space="preserve"> of inflation</w:t>
      </w:r>
      <w:r w:rsidR="00453F79">
        <w:t xml:space="preserve"> to the target mi</w:t>
      </w:r>
      <w:r w:rsidR="00A53D0D">
        <w:t>d</w:t>
      </w:r>
      <w:r w:rsidR="00453F79">
        <w:t xml:space="preserve">-point </w:t>
      </w:r>
      <w:r w:rsidR="00A53D0D">
        <w:t xml:space="preserve">and </w:t>
      </w:r>
      <w:r w:rsidR="006A5317">
        <w:t xml:space="preserve">limit </w:t>
      </w:r>
      <w:r w:rsidR="00A53D0D">
        <w:t xml:space="preserve">potential </w:t>
      </w:r>
      <w:r w:rsidR="00453F79">
        <w:t>sacrifice</w:t>
      </w:r>
      <w:r w:rsidR="00A53D0D">
        <w:t xml:space="preserve"> </w:t>
      </w:r>
      <w:r w:rsidR="00453F79">
        <w:t>in</w:t>
      </w:r>
      <w:r w:rsidR="00A53D0D">
        <w:t xml:space="preserve"> </w:t>
      </w:r>
      <w:r w:rsidR="006A5317">
        <w:t>terms of output</w:t>
      </w:r>
      <w:r w:rsidR="00453F79">
        <w:t>.</w:t>
      </w:r>
      <w:r w:rsidR="00320E1E">
        <w:t xml:space="preserve"> </w:t>
      </w:r>
    </w:p>
    <w:p w:rsidR="00262172" w:rsidRDefault="005D167C" w:rsidP="007E0CFA">
      <w:pPr>
        <w:pStyle w:val="ParagraphNumbering"/>
        <w:spacing w:line="240" w:lineRule="auto"/>
      </w:pPr>
      <w:r>
        <w:rPr>
          <w:b/>
        </w:rPr>
        <w:t>F</w:t>
      </w:r>
      <w:r w:rsidR="002C2666" w:rsidRPr="002C2666">
        <w:rPr>
          <w:b/>
        </w:rPr>
        <w:t xml:space="preserve">iscal policy should </w:t>
      </w:r>
      <w:r w:rsidR="00535547">
        <w:rPr>
          <w:b/>
        </w:rPr>
        <w:t xml:space="preserve">help </w:t>
      </w:r>
      <w:r>
        <w:rPr>
          <w:b/>
        </w:rPr>
        <w:t xml:space="preserve">withdraw stimulus </w:t>
      </w:r>
      <w:r w:rsidR="0093668D">
        <w:rPr>
          <w:b/>
        </w:rPr>
        <w:t xml:space="preserve">and be </w:t>
      </w:r>
      <w:r w:rsidR="00FC568E">
        <w:rPr>
          <w:b/>
        </w:rPr>
        <w:t>embedded</w:t>
      </w:r>
      <w:r w:rsidR="0093668D">
        <w:rPr>
          <w:b/>
        </w:rPr>
        <w:t xml:space="preserve"> </w:t>
      </w:r>
      <w:r w:rsidR="002C2666" w:rsidRPr="002C2666">
        <w:rPr>
          <w:b/>
        </w:rPr>
        <w:t>in a transparent framework that aims t</w:t>
      </w:r>
      <w:r w:rsidR="005431C5">
        <w:rPr>
          <w:b/>
        </w:rPr>
        <w:t xml:space="preserve">o </w:t>
      </w:r>
      <w:r w:rsidR="00FA5F8C">
        <w:rPr>
          <w:b/>
        </w:rPr>
        <w:t>r</w:t>
      </w:r>
      <w:r w:rsidR="004116CE">
        <w:rPr>
          <w:b/>
        </w:rPr>
        <w:t>a</w:t>
      </w:r>
      <w:r w:rsidR="00FA5F8C">
        <w:rPr>
          <w:b/>
        </w:rPr>
        <w:t>ise</w:t>
      </w:r>
      <w:r w:rsidR="002C2666" w:rsidRPr="002C2666">
        <w:rPr>
          <w:b/>
        </w:rPr>
        <w:t xml:space="preserve"> </w:t>
      </w:r>
      <w:r w:rsidR="00793B3C">
        <w:rPr>
          <w:b/>
        </w:rPr>
        <w:t>public</w:t>
      </w:r>
      <w:r w:rsidR="002C2666" w:rsidRPr="002C2666">
        <w:rPr>
          <w:b/>
        </w:rPr>
        <w:t xml:space="preserve"> saving and </w:t>
      </w:r>
      <w:r w:rsidR="00CF0579">
        <w:rPr>
          <w:b/>
        </w:rPr>
        <w:t xml:space="preserve">put </w:t>
      </w:r>
      <w:r w:rsidR="00D1654E">
        <w:rPr>
          <w:b/>
        </w:rPr>
        <w:t xml:space="preserve">public </w:t>
      </w:r>
      <w:r w:rsidR="002C2666" w:rsidRPr="002C2666">
        <w:rPr>
          <w:b/>
        </w:rPr>
        <w:t>debt</w:t>
      </w:r>
      <w:r w:rsidR="00DD1FC1">
        <w:rPr>
          <w:b/>
        </w:rPr>
        <w:t xml:space="preserve"> o</w:t>
      </w:r>
      <w:r w:rsidR="00A5659D">
        <w:rPr>
          <w:b/>
        </w:rPr>
        <w:t>n a clear downward path.</w:t>
      </w:r>
      <w:r w:rsidR="002C2666">
        <w:t xml:space="preserve"> </w:t>
      </w:r>
      <w:r w:rsidR="00CF0579">
        <w:t>The current fiscal stance</w:t>
      </w:r>
      <w:r w:rsidR="0093668D">
        <w:t xml:space="preserve"> (including policy lending)</w:t>
      </w:r>
      <w:r w:rsidR="00CF0579">
        <w:t xml:space="preserve"> implies a </w:t>
      </w:r>
      <w:r w:rsidR="00B25AD1">
        <w:t xml:space="preserve">modest </w:t>
      </w:r>
      <w:r w:rsidR="00CF0579">
        <w:t xml:space="preserve">fiscal tightening </w:t>
      </w:r>
      <w:r w:rsidR="00B25AD1">
        <w:t>in 2013</w:t>
      </w:r>
      <w:r w:rsidR="0093668D">
        <w:t>. Limiting recourse to the use of adjustors would help withdraw stimulus and contribute to a supportive policy mix.</w:t>
      </w:r>
      <w:r w:rsidR="000C1966">
        <w:t xml:space="preserve"> </w:t>
      </w:r>
      <w:r w:rsidR="0093668D">
        <w:t xml:space="preserve">Achieving the </w:t>
      </w:r>
      <w:r w:rsidR="00B25AD1">
        <w:t xml:space="preserve">fiscal </w:t>
      </w:r>
      <w:r w:rsidR="0093668D">
        <w:t xml:space="preserve">primary target </w:t>
      </w:r>
      <w:r w:rsidR="00B25AD1">
        <w:t xml:space="preserve">in </w:t>
      </w:r>
      <w:proofErr w:type="gramStart"/>
      <w:r w:rsidR="00B25AD1">
        <w:t xml:space="preserve">2014 </w:t>
      </w:r>
      <w:r w:rsidR="0093668D">
        <w:t xml:space="preserve"> without</w:t>
      </w:r>
      <w:proofErr w:type="gramEnd"/>
      <w:r w:rsidR="0093668D">
        <w:t xml:space="preserve"> </w:t>
      </w:r>
      <w:r w:rsidR="00B25AD1">
        <w:t>relying on the</w:t>
      </w:r>
      <w:r w:rsidR="0093668D">
        <w:t xml:space="preserve"> adjustor, as well as </w:t>
      </w:r>
      <w:r w:rsidR="009659A8">
        <w:t xml:space="preserve">a </w:t>
      </w:r>
      <w:r w:rsidR="0093668D">
        <w:t>further reduction in policy lending, will help rebalance the policy mix</w:t>
      </w:r>
      <w:r w:rsidR="009659A8">
        <w:t xml:space="preserve"> and support the rebalancing of demand</w:t>
      </w:r>
      <w:r w:rsidR="00B77BC4">
        <w:t>, rebuild fiscal buffers</w:t>
      </w:r>
      <w:r w:rsidR="009659A8">
        <w:t>,</w:t>
      </w:r>
      <w:r w:rsidR="0093668D">
        <w:t xml:space="preserve"> and </w:t>
      </w:r>
      <w:r w:rsidR="009659A8">
        <w:t>put</w:t>
      </w:r>
      <w:r w:rsidR="0093668D">
        <w:t xml:space="preserve"> public debt back on a clear downward path</w:t>
      </w:r>
      <w:r w:rsidR="001D087A">
        <w:t xml:space="preserve">. </w:t>
      </w:r>
      <w:r w:rsidR="006D2B00">
        <w:t xml:space="preserve">Moreover, </w:t>
      </w:r>
      <w:r w:rsidR="00802501">
        <w:t>avoiding revisions to</w:t>
      </w:r>
      <w:r w:rsidR="006D2B00">
        <w:t xml:space="preserve"> the </w:t>
      </w:r>
      <w:r w:rsidR="00482B78">
        <w:t xml:space="preserve">adjustor of the </w:t>
      </w:r>
      <w:r w:rsidR="001D087A">
        <w:t>fiscal target</w:t>
      </w:r>
      <w:r w:rsidR="00482B78">
        <w:t xml:space="preserve"> and recourse to exceptional financing </w:t>
      </w:r>
      <w:r w:rsidR="006D2B00">
        <w:t xml:space="preserve">would </w:t>
      </w:r>
      <w:r w:rsidR="001D087A">
        <w:t>enhanc</w:t>
      </w:r>
      <w:r w:rsidR="006D2B00">
        <w:t>e</w:t>
      </w:r>
      <w:r w:rsidR="001D087A">
        <w:t xml:space="preserve"> confidence in the framework enshrined in the Fiscal Responsibility Law.</w:t>
      </w:r>
      <w:r w:rsidR="0093668D">
        <w:t xml:space="preserve"> </w:t>
      </w:r>
      <w:r w:rsidR="00442417">
        <w:t>Internal debate in Brazil has started to focus on the appropriate anchors for fiscal policy</w:t>
      </w:r>
      <w:r w:rsidR="00322AFD">
        <w:t xml:space="preserve">. </w:t>
      </w:r>
      <w:r w:rsidR="00442417">
        <w:t>The mission will engage the authorities on policy setting</w:t>
      </w:r>
      <w:r w:rsidR="0038650F">
        <w:t>s</w:t>
      </w:r>
      <w:r w:rsidR="00442417">
        <w:t xml:space="preserve"> for the near- and medium-term by emphasizing the following</w:t>
      </w:r>
      <w:r w:rsidR="00322AFD">
        <w:t>:</w:t>
      </w:r>
    </w:p>
    <w:p w:rsidR="00BD7C17" w:rsidRDefault="00B25AD1" w:rsidP="007E0CFA">
      <w:pPr>
        <w:pStyle w:val="ListBullet"/>
        <w:spacing w:line="240" w:lineRule="auto"/>
      </w:pPr>
      <w:r>
        <w:rPr>
          <w:i/>
        </w:rPr>
        <w:t>Adhere to</w:t>
      </w:r>
      <w:r w:rsidR="002C2666" w:rsidRPr="002C2666">
        <w:rPr>
          <w:i/>
        </w:rPr>
        <w:t xml:space="preserve"> a primary surplus target </w:t>
      </w:r>
      <w:r>
        <w:rPr>
          <w:i/>
        </w:rPr>
        <w:t>that puts</w:t>
      </w:r>
      <w:r w:rsidR="002C2666" w:rsidRPr="002C2666">
        <w:rPr>
          <w:i/>
        </w:rPr>
        <w:t xml:space="preserve"> </w:t>
      </w:r>
      <w:r w:rsidR="0093668D">
        <w:rPr>
          <w:i/>
        </w:rPr>
        <w:t xml:space="preserve">public </w:t>
      </w:r>
      <w:r w:rsidR="002C2666" w:rsidRPr="002C2666">
        <w:rPr>
          <w:i/>
        </w:rPr>
        <w:t xml:space="preserve">debt </w:t>
      </w:r>
      <w:r w:rsidR="00CD1AEF">
        <w:rPr>
          <w:i/>
        </w:rPr>
        <w:t xml:space="preserve">on a </w:t>
      </w:r>
      <w:r w:rsidR="002C2666" w:rsidRPr="002C2666">
        <w:rPr>
          <w:i/>
        </w:rPr>
        <w:t>firm downward path</w:t>
      </w:r>
      <w:r w:rsidR="002C2666">
        <w:t xml:space="preserve">. </w:t>
      </w:r>
      <w:r>
        <w:t>Staff estimates that the</w:t>
      </w:r>
      <w:r w:rsidR="0038650F">
        <w:t xml:space="preserve"> primary surplus </w:t>
      </w:r>
      <w:r w:rsidR="00482B78">
        <w:t xml:space="preserve">required to stabilize the gross debt-to-GDP ratio </w:t>
      </w:r>
      <w:r w:rsidR="0038650F">
        <w:t xml:space="preserve">over the medium term is about </w:t>
      </w:r>
      <w:r w:rsidR="00CD1AEF">
        <w:t>2</w:t>
      </w:r>
      <w:r w:rsidR="0038650F">
        <w:t xml:space="preserve"> percent of GDP</w:t>
      </w:r>
      <w:r w:rsidR="002C2666">
        <w:t>.</w:t>
      </w:r>
      <w:r w:rsidR="00B1067E">
        <w:t xml:space="preserve"> </w:t>
      </w:r>
      <w:r w:rsidR="004432BC" w:rsidRPr="004432BC">
        <w:t>Meeting the existing primary surplus target of 3.1 percent of GDP, as stated in the Budget Guidance Law</w:t>
      </w:r>
      <w:r w:rsidR="004432BC">
        <w:t xml:space="preserve"> and without recourse to adjustors or extraordinary operations</w:t>
      </w:r>
      <w:r w:rsidR="004432BC" w:rsidRPr="004432BC">
        <w:t>, would help to rebuild fiscal buffers and put gross public debt firmly back on a downward path.</w:t>
      </w:r>
      <w:r w:rsidR="006C35AB">
        <w:t xml:space="preserve"> </w:t>
      </w:r>
    </w:p>
    <w:p w:rsidR="002C2666" w:rsidRDefault="00BD7C17" w:rsidP="007E0CFA">
      <w:pPr>
        <w:pStyle w:val="ListBullet"/>
        <w:spacing w:line="240" w:lineRule="auto"/>
      </w:pPr>
      <w:r>
        <w:rPr>
          <w:i/>
        </w:rPr>
        <w:t>Recognizing contingent fiscal risks</w:t>
      </w:r>
      <w:r w:rsidRPr="00BD7C17">
        <w:t>.</w:t>
      </w:r>
      <w:r>
        <w:t xml:space="preserve"> Policy should recognize the risks that stem from public sector involvement in </w:t>
      </w:r>
      <w:r w:rsidR="006C35AB">
        <w:t>concessions and public banks.</w:t>
      </w:r>
      <w:r w:rsidR="001A6E59">
        <w:t xml:space="preserve"> </w:t>
      </w:r>
      <w:r w:rsidR="006E2533">
        <w:t xml:space="preserve">To that end, contingent liabilities associated with a possible deterioration of assets held by public banks, as well as with </w:t>
      </w:r>
      <w:r w:rsidR="005E62AB">
        <w:t>commitments contracted under</w:t>
      </w:r>
      <w:r w:rsidR="006E2533">
        <w:t xml:space="preserve"> concession agreements for infrastructure projects should be evaluated and included in the Fiscal Risks Annex to the annual Budget Guidance Law.  </w:t>
      </w:r>
    </w:p>
    <w:p w:rsidR="003D68E4" w:rsidRDefault="00322AFD" w:rsidP="007E0CFA">
      <w:pPr>
        <w:pStyle w:val="ListBullet"/>
        <w:spacing w:line="240" w:lineRule="auto"/>
      </w:pPr>
      <w:r>
        <w:rPr>
          <w:i/>
        </w:rPr>
        <w:t>I</w:t>
      </w:r>
      <w:r w:rsidR="003D68E4">
        <w:rPr>
          <w:i/>
        </w:rPr>
        <w:t>ncrease public saving</w:t>
      </w:r>
      <w:r>
        <w:rPr>
          <w:i/>
        </w:rPr>
        <w:t xml:space="preserve"> over the medium term</w:t>
      </w:r>
      <w:r w:rsidR="003D68E4">
        <w:t>. Increasing saving will require removing budget rigidities that support a high and growing level of public consumption.</w:t>
      </w:r>
      <w:r w:rsidR="00765FDD">
        <w:rPr>
          <w:rStyle w:val="FootnoteReference"/>
        </w:rPr>
        <w:footnoteReference w:id="3"/>
      </w:r>
      <w:r w:rsidR="004432BC">
        <w:t xml:space="preserve"> </w:t>
      </w:r>
      <w:r w:rsidR="00765FDD">
        <w:t>For example, a revision of the minimum wage indexation formula—in place until 2015—would help reduce costs associated with minimum pensions, estimated at 40 percent of total pension spending.</w:t>
      </w:r>
    </w:p>
    <w:p w:rsidR="00D3645F" w:rsidRPr="0023464B" w:rsidRDefault="00535547" w:rsidP="007E0CFA">
      <w:pPr>
        <w:pStyle w:val="ParagraphNumbering"/>
        <w:spacing w:line="240" w:lineRule="auto"/>
        <w:rPr>
          <w:b/>
        </w:rPr>
      </w:pPr>
      <w:r>
        <w:rPr>
          <w:b/>
        </w:rPr>
        <w:t xml:space="preserve">The cyclical </w:t>
      </w:r>
      <w:r w:rsidR="00B25AD1">
        <w:rPr>
          <w:b/>
        </w:rPr>
        <w:t xml:space="preserve">demand </w:t>
      </w:r>
      <w:r>
        <w:rPr>
          <w:b/>
        </w:rPr>
        <w:t xml:space="preserve">management </w:t>
      </w:r>
      <w:r w:rsidR="00CB6B18">
        <w:rPr>
          <w:b/>
        </w:rPr>
        <w:t>role</w:t>
      </w:r>
      <w:r>
        <w:rPr>
          <w:b/>
        </w:rPr>
        <w:t xml:space="preserve"> </w:t>
      </w:r>
      <w:r w:rsidR="001A6E59">
        <w:rPr>
          <w:b/>
        </w:rPr>
        <w:t xml:space="preserve">that </w:t>
      </w:r>
      <w:r w:rsidR="00B25AD1">
        <w:rPr>
          <w:b/>
        </w:rPr>
        <w:t xml:space="preserve">has been given to </w:t>
      </w:r>
      <w:r>
        <w:rPr>
          <w:b/>
        </w:rPr>
        <w:t>p</w:t>
      </w:r>
      <w:r w:rsidRPr="0023464B">
        <w:rPr>
          <w:b/>
        </w:rPr>
        <w:t>ublic banks</w:t>
      </w:r>
      <w:r w:rsidR="00B25AD1">
        <w:rPr>
          <w:b/>
        </w:rPr>
        <w:t xml:space="preserve"> </w:t>
      </w:r>
      <w:r w:rsidR="001A6E59">
        <w:rPr>
          <w:b/>
        </w:rPr>
        <w:t xml:space="preserve">in recent years </w:t>
      </w:r>
      <w:r w:rsidR="008514F7">
        <w:rPr>
          <w:b/>
        </w:rPr>
        <w:t xml:space="preserve">through policy lending </w:t>
      </w:r>
      <w:r>
        <w:rPr>
          <w:b/>
        </w:rPr>
        <w:t>should be</w:t>
      </w:r>
      <w:r w:rsidR="004F63EE">
        <w:rPr>
          <w:b/>
        </w:rPr>
        <w:t xml:space="preserve"> unwound</w:t>
      </w:r>
      <w:r w:rsidR="0033406A" w:rsidRPr="0023464B">
        <w:rPr>
          <w:b/>
        </w:rPr>
        <w:t xml:space="preserve">. </w:t>
      </w:r>
      <w:r w:rsidR="00442417" w:rsidRPr="00442417">
        <w:rPr>
          <w:bCs/>
        </w:rPr>
        <w:t xml:space="preserve">Staff will </w:t>
      </w:r>
      <w:r w:rsidR="00A359BB">
        <w:rPr>
          <w:bCs/>
        </w:rPr>
        <w:t>reiterate</w:t>
      </w:r>
      <w:r w:rsidR="00A359BB" w:rsidRPr="00442417">
        <w:rPr>
          <w:bCs/>
        </w:rPr>
        <w:t xml:space="preserve"> </w:t>
      </w:r>
      <w:r w:rsidR="00442417" w:rsidRPr="00442417">
        <w:rPr>
          <w:bCs/>
        </w:rPr>
        <w:t>that f</w:t>
      </w:r>
      <w:r w:rsidR="0033406A" w:rsidRPr="00CB3A65">
        <w:t xml:space="preserve">iscal </w:t>
      </w:r>
      <w:r w:rsidR="0033406A">
        <w:t>policy stimulus, when appropriate, should be imparted through the budget to enhance transparency, including of fiscal cost</w:t>
      </w:r>
      <w:r w:rsidR="00482B78">
        <w:t>s</w:t>
      </w:r>
      <w:r w:rsidR="0033406A">
        <w:t xml:space="preserve">, </w:t>
      </w:r>
      <w:r w:rsidR="0033406A">
        <w:lastRenderedPageBreak/>
        <w:t xml:space="preserve">and to minimize potential distortions in the financial sector. </w:t>
      </w:r>
      <w:r w:rsidR="001A6E59">
        <w:t xml:space="preserve">The recent rapid credit expansion </w:t>
      </w:r>
      <w:r w:rsidR="00BA1FFC">
        <w:t xml:space="preserve">of public banks </w:t>
      </w:r>
      <w:r w:rsidR="001A6E59">
        <w:t xml:space="preserve">risks undermining the quality of </w:t>
      </w:r>
      <w:r w:rsidR="00482B78">
        <w:t xml:space="preserve">their </w:t>
      </w:r>
      <w:r w:rsidR="001A6E59">
        <w:t>assets</w:t>
      </w:r>
      <w:r w:rsidR="00BA1FFC">
        <w:t xml:space="preserve"> in the future</w:t>
      </w:r>
      <w:r w:rsidR="001A6E59">
        <w:t xml:space="preserve">, and </w:t>
      </w:r>
      <w:r w:rsidR="00BA1FFC">
        <w:t>a potential fiscal burden from recapitalization needs.</w:t>
      </w:r>
      <w:r w:rsidR="001A6E59">
        <w:t xml:space="preserve"> </w:t>
      </w:r>
      <w:r w:rsidR="0023464B">
        <w:t>B</w:t>
      </w:r>
      <w:r w:rsidR="0033406A">
        <w:t xml:space="preserve">NDES </w:t>
      </w:r>
      <w:r w:rsidR="002612EB">
        <w:t xml:space="preserve">has </w:t>
      </w:r>
      <w:r w:rsidR="0033406A">
        <w:t>perform</w:t>
      </w:r>
      <w:r w:rsidR="002612EB">
        <w:t>ed</w:t>
      </w:r>
      <w:r w:rsidR="0033406A">
        <w:t xml:space="preserve"> an important function in financial development </w:t>
      </w:r>
      <w:r w:rsidR="002612EB">
        <w:t xml:space="preserve">and </w:t>
      </w:r>
      <w:r w:rsidR="0033406A">
        <w:t xml:space="preserve">its </w:t>
      </w:r>
      <w:r w:rsidR="00482B78">
        <w:t>role should be re</w:t>
      </w:r>
      <w:r w:rsidR="0033406A">
        <w:t>focus</w:t>
      </w:r>
      <w:r w:rsidR="00482B78">
        <w:t>ed</w:t>
      </w:r>
      <w:r w:rsidR="0033406A">
        <w:t xml:space="preserve"> on completing “missing markets</w:t>
      </w:r>
      <w:r>
        <w:t>.</w:t>
      </w:r>
      <w:r w:rsidR="0033406A">
        <w:t>”</w:t>
      </w:r>
      <w:r w:rsidR="00D3645F">
        <w:t xml:space="preserve"> </w:t>
      </w:r>
      <w:r w:rsidR="00482B78">
        <w:t>In this context, i</w:t>
      </w:r>
      <w:r>
        <w:t xml:space="preserve">ts role in providing </w:t>
      </w:r>
      <w:r w:rsidR="00D3645F">
        <w:t xml:space="preserve">subsidized </w:t>
      </w:r>
      <w:r w:rsidR="0033406A">
        <w:t xml:space="preserve">credit to prime </w:t>
      </w:r>
      <w:r w:rsidR="00D3645F">
        <w:t>corporate</w:t>
      </w:r>
      <w:r w:rsidR="00407838">
        <w:t>s</w:t>
      </w:r>
      <w:r w:rsidR="00D3645F">
        <w:t xml:space="preserve"> that already enjoy market access</w:t>
      </w:r>
      <w:r>
        <w:t xml:space="preserve"> should be curtailed</w:t>
      </w:r>
      <w:r w:rsidR="0033406A">
        <w:t xml:space="preserve">. </w:t>
      </w:r>
      <w:r w:rsidR="00D3645F">
        <w:t>Priorities include further developing the corporate debt market</w:t>
      </w:r>
      <w:r w:rsidR="00C31A79">
        <w:t xml:space="preserve"> where liquidity remains low</w:t>
      </w:r>
      <w:r w:rsidR="00D3645F">
        <w:t xml:space="preserve">. </w:t>
      </w:r>
    </w:p>
    <w:p w:rsidR="0023464B" w:rsidRDefault="0023464B" w:rsidP="007E0CFA">
      <w:pPr>
        <w:pStyle w:val="ParagraphNumbering"/>
        <w:spacing w:line="240" w:lineRule="auto"/>
      </w:pPr>
      <w:r>
        <w:rPr>
          <w:b/>
          <w:bCs/>
        </w:rPr>
        <w:t xml:space="preserve">Efforts to strengthen financial supervision are welcome, </w:t>
      </w:r>
      <w:r w:rsidR="001A6E59">
        <w:rPr>
          <w:b/>
          <w:bCs/>
        </w:rPr>
        <w:t xml:space="preserve">while </w:t>
      </w:r>
      <w:r w:rsidR="00442417">
        <w:rPr>
          <w:b/>
          <w:bCs/>
        </w:rPr>
        <w:t>ongoing vigilance of</w:t>
      </w:r>
      <w:r>
        <w:rPr>
          <w:b/>
          <w:bCs/>
        </w:rPr>
        <w:t xml:space="preserve"> potential risks is warranted.</w:t>
      </w:r>
      <w:r w:rsidR="000A5163" w:rsidRPr="000A5163">
        <w:rPr>
          <w:bCs/>
        </w:rPr>
        <w:t xml:space="preserve"> Last year’s </w:t>
      </w:r>
      <w:r>
        <w:t xml:space="preserve">FSAP Update </w:t>
      </w:r>
      <w:r w:rsidR="00FE4BBA">
        <w:t xml:space="preserve">concluded that </w:t>
      </w:r>
      <w:r>
        <w:t xml:space="preserve">financial supervision and </w:t>
      </w:r>
      <w:r w:rsidR="00FE4BBA">
        <w:t xml:space="preserve">the </w:t>
      </w:r>
      <w:r>
        <w:t>banking system are strong</w:t>
      </w:r>
      <w:r w:rsidR="001A6E59">
        <w:t xml:space="preserve"> (Box</w:t>
      </w:r>
      <w:r w:rsidR="00464B75">
        <w:t xml:space="preserve"> 6</w:t>
      </w:r>
      <w:r w:rsidR="001A6E59">
        <w:t>)</w:t>
      </w:r>
      <w:r>
        <w:t>. Since then, the authorities have issued regulations for the implementation of Basel III</w:t>
      </w:r>
      <w:r w:rsidR="00FE4BBA">
        <w:t>, a transition that th</w:t>
      </w:r>
      <w:r>
        <w:t>e system is well placed to manage (</w:t>
      </w:r>
      <w:r w:rsidR="001A6E59">
        <w:t xml:space="preserve">only </w:t>
      </w:r>
      <w:r>
        <w:t xml:space="preserve">a few banks will have </w:t>
      </w:r>
      <w:r w:rsidR="001A6E59">
        <w:t xml:space="preserve">some </w:t>
      </w:r>
      <w:r>
        <w:t xml:space="preserve">capital needs </w:t>
      </w:r>
      <w:r w:rsidR="001A6E59">
        <w:t>over the medium term</w:t>
      </w:r>
      <w:r>
        <w:t>).</w:t>
      </w:r>
      <w:r w:rsidR="00C31A79">
        <w:rPr>
          <w:rStyle w:val="FootnoteReference"/>
        </w:rPr>
        <w:footnoteReference w:id="4"/>
      </w:r>
      <w:r>
        <w:t xml:space="preserve"> </w:t>
      </w:r>
      <w:r w:rsidR="00FE4BBA">
        <w:t xml:space="preserve">Since the FSAP, a compression in </w:t>
      </w:r>
      <w:r>
        <w:t xml:space="preserve">spreads </w:t>
      </w:r>
      <w:r w:rsidR="00FE4BBA">
        <w:t>has adversely impacted</w:t>
      </w:r>
      <w:r>
        <w:t xml:space="preserve"> bank profitability, </w:t>
      </w:r>
      <w:r w:rsidR="00FE4BBA">
        <w:t xml:space="preserve">but </w:t>
      </w:r>
      <w:r>
        <w:t>financial soundness has improved</w:t>
      </w:r>
      <w:r w:rsidR="00FE4BBA">
        <w:t xml:space="preserve"> as n</w:t>
      </w:r>
      <w:r>
        <w:t xml:space="preserve">on-performing loans have started to decline and household repayment capacity has improved. Despite </w:t>
      </w:r>
      <w:r w:rsidR="00FE4BBA">
        <w:t xml:space="preserve">slower credit growth, </w:t>
      </w:r>
      <w:r>
        <w:t xml:space="preserve">financial stability risks arising from </w:t>
      </w:r>
      <w:r w:rsidR="00FE4BBA">
        <w:t xml:space="preserve">the past rapid build-up of </w:t>
      </w:r>
      <w:r>
        <w:t xml:space="preserve">household </w:t>
      </w:r>
      <w:r w:rsidR="00FE4BBA">
        <w:t xml:space="preserve">and mortgage </w:t>
      </w:r>
      <w:r>
        <w:t xml:space="preserve">credit </w:t>
      </w:r>
      <w:r w:rsidR="00FE4BBA">
        <w:t>warrants ongoing vigilance</w:t>
      </w:r>
      <w:r>
        <w:t xml:space="preserve">. </w:t>
      </w:r>
      <w:r w:rsidR="00C31A79">
        <w:t>Some s</w:t>
      </w:r>
      <w:r>
        <w:t>mall and medium banks remain vulnerable given their dependence on wholesale funding</w:t>
      </w:r>
      <w:r w:rsidR="00FE4BBA">
        <w:t xml:space="preserve"> (reflected in recent credit rating </w:t>
      </w:r>
      <w:r>
        <w:t>downgrade</w:t>
      </w:r>
      <w:r w:rsidR="00FE4BBA">
        <w:t>s) and s</w:t>
      </w:r>
      <w:r>
        <w:t xml:space="preserve">taff will discuss durable </w:t>
      </w:r>
      <w:r w:rsidR="00FE4BBA">
        <w:t xml:space="preserve">funding </w:t>
      </w:r>
      <w:r>
        <w:t xml:space="preserve">solutions for </w:t>
      </w:r>
      <w:r w:rsidR="00FE4BBA">
        <w:t>these institutions</w:t>
      </w:r>
      <w:r>
        <w:t>.</w:t>
      </w:r>
      <w:r w:rsidR="005D1DAD">
        <w:t xml:space="preserve"> </w:t>
      </w:r>
    </w:p>
    <w:p w:rsidR="00757018" w:rsidRDefault="00757018" w:rsidP="007E0CFA">
      <w:pPr>
        <w:pStyle w:val="ParagraphNumbering"/>
        <w:numPr>
          <w:ilvl w:val="0"/>
          <w:numId w:val="0"/>
        </w:numPr>
        <w:spacing w:line="240" w:lineRule="auto"/>
      </w:pPr>
      <w:r w:rsidRPr="00757018">
        <w:rPr>
          <w:highlight w:val="yellow"/>
        </w:rPr>
        <w:t xml:space="preserve">[Box </w:t>
      </w:r>
      <w:r w:rsidR="005A4977">
        <w:rPr>
          <w:highlight w:val="yellow"/>
        </w:rPr>
        <w:t>8</w:t>
      </w:r>
      <w:r w:rsidRPr="00757018">
        <w:rPr>
          <w:highlight w:val="yellow"/>
        </w:rPr>
        <w:t>. FSAP status]</w:t>
      </w:r>
    </w:p>
    <w:p w:rsidR="00757018" w:rsidRDefault="00757018" w:rsidP="007E0CFA">
      <w:pPr>
        <w:pStyle w:val="ParagraphNumbering"/>
        <w:numPr>
          <w:ilvl w:val="0"/>
          <w:numId w:val="0"/>
        </w:numPr>
        <w:spacing w:line="240" w:lineRule="auto"/>
      </w:pPr>
      <w:r w:rsidRPr="00757018">
        <w:rPr>
          <w:highlight w:val="yellow"/>
        </w:rPr>
        <w:t xml:space="preserve">[Box </w:t>
      </w:r>
      <w:r w:rsidR="005A4977">
        <w:rPr>
          <w:highlight w:val="yellow"/>
        </w:rPr>
        <w:t>9</w:t>
      </w:r>
      <w:r w:rsidRPr="00757018">
        <w:rPr>
          <w:highlight w:val="yellow"/>
        </w:rPr>
        <w:t>. Basel III]</w:t>
      </w:r>
    </w:p>
    <w:p w:rsidR="00D3645F" w:rsidRPr="00D3645F" w:rsidRDefault="005D1DAD" w:rsidP="007E0CFA">
      <w:pPr>
        <w:pStyle w:val="ParagraphNumbering"/>
        <w:spacing w:line="240" w:lineRule="auto"/>
        <w:rPr>
          <w:b/>
        </w:rPr>
      </w:pPr>
      <w:r>
        <w:rPr>
          <w:b/>
        </w:rPr>
        <w:t>E</w:t>
      </w:r>
      <w:r w:rsidR="00793B3C" w:rsidRPr="00793B3C">
        <w:rPr>
          <w:b/>
        </w:rPr>
        <w:t>xchange rate flexibility</w:t>
      </w:r>
      <w:r>
        <w:rPr>
          <w:b/>
        </w:rPr>
        <w:t xml:space="preserve"> and j</w:t>
      </w:r>
      <w:r w:rsidRPr="00793B3C">
        <w:rPr>
          <w:b/>
        </w:rPr>
        <w:t>udicious use of CFMs</w:t>
      </w:r>
      <w:r>
        <w:rPr>
          <w:b/>
        </w:rPr>
        <w:t xml:space="preserve"> </w:t>
      </w:r>
      <w:r w:rsidR="00A359BB">
        <w:rPr>
          <w:b/>
        </w:rPr>
        <w:t>may continue to</w:t>
      </w:r>
      <w:r w:rsidR="00A359BB" w:rsidRPr="00793B3C">
        <w:rPr>
          <w:b/>
        </w:rPr>
        <w:t xml:space="preserve"> </w:t>
      </w:r>
      <w:r w:rsidR="00DD1FC1">
        <w:rPr>
          <w:b/>
        </w:rPr>
        <w:t>help</w:t>
      </w:r>
      <w:r w:rsidR="00E86187">
        <w:rPr>
          <w:b/>
        </w:rPr>
        <w:t xml:space="preserve"> </w:t>
      </w:r>
      <w:r w:rsidR="00A359BB">
        <w:rPr>
          <w:b/>
        </w:rPr>
        <w:t xml:space="preserve">cope with </w:t>
      </w:r>
      <w:r w:rsidR="00793B3C" w:rsidRPr="00793B3C">
        <w:rPr>
          <w:b/>
        </w:rPr>
        <w:t>volatile capital flows.</w:t>
      </w:r>
      <w:r w:rsidR="00793B3C" w:rsidRPr="00ED24CB">
        <w:t xml:space="preserve"> </w:t>
      </w:r>
      <w:r w:rsidR="00CB6B18">
        <w:t>A</w:t>
      </w:r>
      <w:r w:rsidR="00ED24CB" w:rsidRPr="00ED24CB">
        <w:t xml:space="preserve"> policy mix</w:t>
      </w:r>
      <w:r w:rsidR="00BF0E9D">
        <w:t xml:space="preserve"> in which fiscal restraint accommodates a lower policy interest rate </w:t>
      </w:r>
      <w:r w:rsidR="00ED24CB">
        <w:t xml:space="preserve">remains </w:t>
      </w:r>
      <w:r w:rsidR="009C4949">
        <w:t xml:space="preserve">a key pillar of the </w:t>
      </w:r>
      <w:r w:rsidR="00BF0E9D">
        <w:t xml:space="preserve">response to sustained </w:t>
      </w:r>
      <w:r w:rsidR="00ED24CB">
        <w:t xml:space="preserve">inflow pressures. </w:t>
      </w:r>
      <w:r w:rsidR="00BF0E9D">
        <w:t xml:space="preserve">Exchange rate flexibility </w:t>
      </w:r>
      <w:r w:rsidR="006B1771">
        <w:t>is an important shock absorber, but the overvaluation of the Real implies that further significant appreciation could further erode competitiveness</w:t>
      </w:r>
      <w:r w:rsidR="00BF0E9D">
        <w:t xml:space="preserve">. </w:t>
      </w:r>
      <w:r w:rsidR="001B074D">
        <w:t>Consequently, reserve accumulation should remain an option to address temporary surges in capital inflows, notwithstanding that they are</w:t>
      </w:r>
      <w:r w:rsidR="00CC28C6">
        <w:t xml:space="preserve"> more than adequate based on most metrics. This means that CFMs </w:t>
      </w:r>
      <w:r w:rsidR="00CB6B18">
        <w:t>should</w:t>
      </w:r>
      <w:r w:rsidR="00CC28C6">
        <w:t xml:space="preserve"> remain an important part of the policy toolkit but should not substitute for appropriate macroeconomic policies. The IOF tax</w:t>
      </w:r>
      <w:r w:rsidR="00CB6B18">
        <w:t xml:space="preserve">, if applied consistently and communicated clearly, can be </w:t>
      </w:r>
      <w:r w:rsidR="00CB6B18" w:rsidRPr="00CB6B18">
        <w:t>transparent, targeted, temporary, and non-discriminatory</w:t>
      </w:r>
      <w:r w:rsidR="00CB6B18">
        <w:t>, which should enhance its effectiveness</w:t>
      </w:r>
      <w:r w:rsidR="00E86187">
        <w:t xml:space="preserve">. </w:t>
      </w:r>
    </w:p>
    <w:p w:rsidR="00CB3A65" w:rsidRPr="000B2A5F" w:rsidRDefault="0033406A" w:rsidP="001B074D">
      <w:pPr>
        <w:pStyle w:val="ParagraphNumbering"/>
        <w:spacing w:line="240" w:lineRule="auto"/>
        <w:rPr>
          <w:b/>
        </w:rPr>
      </w:pPr>
      <w:r w:rsidRPr="001B074D">
        <w:rPr>
          <w:b/>
        </w:rPr>
        <w:t xml:space="preserve">The renewed focus on supply-side policies, notably </w:t>
      </w:r>
      <w:r w:rsidR="005D1DAD" w:rsidRPr="001B074D">
        <w:rPr>
          <w:b/>
        </w:rPr>
        <w:t xml:space="preserve">infrastructure </w:t>
      </w:r>
      <w:r w:rsidRPr="001B074D">
        <w:rPr>
          <w:b/>
        </w:rPr>
        <w:t xml:space="preserve">concessions, is welcome but further efforts are needed to </w:t>
      </w:r>
      <w:r w:rsidR="005D1DAD" w:rsidRPr="001B074D">
        <w:rPr>
          <w:b/>
        </w:rPr>
        <w:t xml:space="preserve">mobilize </w:t>
      </w:r>
      <w:r w:rsidRPr="001B074D">
        <w:rPr>
          <w:b/>
        </w:rPr>
        <w:t>domestic saving</w:t>
      </w:r>
      <w:r w:rsidR="005D1DAD" w:rsidRPr="001B074D">
        <w:rPr>
          <w:b/>
        </w:rPr>
        <w:t xml:space="preserve">, increase </w:t>
      </w:r>
      <w:r w:rsidR="0085422D" w:rsidRPr="001B074D">
        <w:rPr>
          <w:b/>
        </w:rPr>
        <w:t>investment</w:t>
      </w:r>
      <w:r w:rsidR="005D1DAD" w:rsidRPr="001B074D">
        <w:rPr>
          <w:b/>
        </w:rPr>
        <w:t>,</w:t>
      </w:r>
      <w:r w:rsidR="00D3645F" w:rsidRPr="001B074D">
        <w:rPr>
          <w:b/>
        </w:rPr>
        <w:t xml:space="preserve"> </w:t>
      </w:r>
      <w:r w:rsidR="005D1DAD" w:rsidRPr="001B074D">
        <w:rPr>
          <w:b/>
        </w:rPr>
        <w:t xml:space="preserve">and </w:t>
      </w:r>
      <w:r w:rsidR="00D3645F" w:rsidRPr="001B074D">
        <w:rPr>
          <w:b/>
        </w:rPr>
        <w:t xml:space="preserve">enhance </w:t>
      </w:r>
      <w:r w:rsidR="005D1DAD" w:rsidRPr="001B074D">
        <w:rPr>
          <w:b/>
        </w:rPr>
        <w:t xml:space="preserve">productivity </w:t>
      </w:r>
      <w:r w:rsidR="005D1DAD" w:rsidRPr="001B074D">
        <w:rPr>
          <w:b/>
        </w:rPr>
        <w:lastRenderedPageBreak/>
        <w:t xml:space="preserve">and </w:t>
      </w:r>
      <w:r w:rsidR="00D3645F" w:rsidRPr="001B074D">
        <w:rPr>
          <w:b/>
        </w:rPr>
        <w:t>competitiveness</w:t>
      </w:r>
      <w:r w:rsidR="0085422D" w:rsidRPr="001B074D">
        <w:rPr>
          <w:b/>
        </w:rPr>
        <w:t xml:space="preserve">. </w:t>
      </w:r>
      <w:r w:rsidR="0085422D">
        <w:t>Investment as a percent of GDP remains low</w:t>
      </w:r>
      <w:r w:rsidR="001B074D">
        <w:t xml:space="preserve"> and this</w:t>
      </w:r>
      <w:r w:rsidR="0085422D">
        <w:t xml:space="preserve"> will weigh on long-term potential growth. Investment would need to rise by [8] percentage points of GDP to reach the emerging </w:t>
      </w:r>
      <w:r w:rsidR="0085422D" w:rsidRPr="00B95AF4">
        <w:t xml:space="preserve">markets average. This </w:t>
      </w:r>
      <w:r w:rsidR="0063665A">
        <w:t>increase will take years to occur and will have to be achieved by relying importantly on domestic saving to avoid a buildup of external vulnerabilities. Addressing budget rigidities to boost public saving and create more space for public investment could contribute importantly</w:t>
      </w:r>
      <w:r w:rsidR="001B074D" w:rsidRPr="00473889">
        <w:t xml:space="preserve"> to this goal.</w:t>
      </w:r>
      <w:r w:rsidR="004B197A" w:rsidRPr="00473889">
        <w:t xml:space="preserve"> A welcome start has been made on reforming pensions, but the system remains excessively generous and contributes to low saving.</w:t>
      </w:r>
      <w:r w:rsidR="001B074D" w:rsidRPr="00473889">
        <w:t xml:space="preserve"> Policies to foster private investment rather than consumption should complement these efforts, including by simplifying the tax regime</w:t>
      </w:r>
      <w:r w:rsidR="004B197A" w:rsidRPr="00473889">
        <w:t xml:space="preserve"> and </w:t>
      </w:r>
      <w:r w:rsidR="00765FDD" w:rsidRPr="00473889">
        <w:t>removing the tax stimulus to consumption</w:t>
      </w:r>
      <w:r w:rsidR="008442E0" w:rsidRPr="00473889">
        <w:t>.</w:t>
      </w:r>
      <w:r w:rsidR="001B074D" w:rsidRPr="00473889">
        <w:t xml:space="preserve"> </w:t>
      </w:r>
    </w:p>
    <w:p w:rsidR="000B2A5F" w:rsidRPr="00473889" w:rsidRDefault="000B2A5F" w:rsidP="001B074D">
      <w:pPr>
        <w:pStyle w:val="ParagraphNumbering"/>
        <w:spacing w:line="240" w:lineRule="auto"/>
        <w:rPr>
          <w:b/>
        </w:rPr>
      </w:pPr>
      <w:r w:rsidRPr="000B2A5F">
        <w:rPr>
          <w:b/>
        </w:rPr>
        <w:t>Policy space would be limited should the key short-term risks materialize since they would likely entail a deterioration in the growth-inflation trade-off</w:t>
      </w:r>
      <w:r w:rsidRPr="000B2A5F">
        <w:t xml:space="preserve">. Higher and more persistent inflation would require a sustained monetary policy effort to contain inflationary pressures, break inertial dynamics, and ensure inflation expectations converge to the middle of the target range. Persistently weak business confidence and investment would exacerbate supply-side constraints to short-term growth. </w:t>
      </w:r>
      <w:r w:rsidR="00F36361">
        <w:t>Further d</w:t>
      </w:r>
      <w:r w:rsidRPr="000B2A5F">
        <w:t>emand stimulus would prove counter-productive in this scenario</w:t>
      </w:r>
      <w:r w:rsidR="00F36361">
        <w:t xml:space="preserve">, with a </w:t>
      </w:r>
      <w:r w:rsidR="008313FD">
        <w:t xml:space="preserve">clear </w:t>
      </w:r>
      <w:r w:rsidR="00F36361">
        <w:t xml:space="preserve">need </w:t>
      </w:r>
      <w:r w:rsidRPr="000B2A5F">
        <w:t>to bolster confidence by adhering to e</w:t>
      </w:r>
      <w:r w:rsidR="00F36361">
        <w:t xml:space="preserve">stablished </w:t>
      </w:r>
      <w:r w:rsidRPr="000B2A5F">
        <w:t xml:space="preserve">policy frameworks and to </w:t>
      </w:r>
      <w:r w:rsidR="00F36361">
        <w:t xml:space="preserve">renew </w:t>
      </w:r>
      <w:r w:rsidRPr="000B2A5F">
        <w:t>efforts to enhance the economy’s supply potential over the medium term.</w:t>
      </w:r>
    </w:p>
    <w:p w:rsidR="008F5BCB" w:rsidRDefault="008F5BCB" w:rsidP="007E0CFA">
      <w:pPr>
        <w:spacing w:line="240" w:lineRule="auto"/>
        <w:rPr>
          <w:rFonts w:cs="Segoe UI"/>
        </w:rPr>
      </w:pPr>
    </w:p>
    <w:p w:rsidR="008F5BCB" w:rsidRDefault="008F5BCB" w:rsidP="007E0CFA">
      <w:pPr>
        <w:spacing w:line="240" w:lineRule="auto"/>
        <w:rPr>
          <w:rFonts w:cs="Segoe UI"/>
        </w:rPr>
      </w:pPr>
    </w:p>
    <w:p w:rsidR="008F5BCB" w:rsidRDefault="008F5BCB" w:rsidP="007E0CFA">
      <w:pPr>
        <w:spacing w:line="240" w:lineRule="auto"/>
        <w:rPr>
          <w:rFonts w:cs="Segoe UI"/>
        </w:rPr>
      </w:pPr>
    </w:p>
    <w:p w:rsidR="008F5BCB" w:rsidRDefault="008F5BCB" w:rsidP="007E0CFA">
      <w:pPr>
        <w:spacing w:line="240" w:lineRule="auto"/>
        <w:rPr>
          <w:rFonts w:cs="Segoe UI"/>
        </w:rPr>
      </w:pPr>
    </w:p>
    <w:p w:rsidR="008F5BCB" w:rsidRDefault="008F5BCB" w:rsidP="007E0CFA">
      <w:pPr>
        <w:spacing w:line="240" w:lineRule="auto"/>
        <w:rPr>
          <w:rFonts w:cs="Segoe UI"/>
        </w:rPr>
      </w:pPr>
    </w:p>
    <w:p w:rsidR="008F5BCB" w:rsidRPr="00B70F82" w:rsidRDefault="008F5BCB" w:rsidP="007E0CFA">
      <w:pPr>
        <w:spacing w:line="240" w:lineRule="auto"/>
        <w:rPr>
          <w:rFonts w:cs="Segoe UI"/>
        </w:rPr>
        <w:sectPr w:rsidR="008F5BCB" w:rsidRPr="00B70F82" w:rsidSect="005C4224">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1440" w:right="1440" w:bottom="1440" w:left="1800" w:header="720" w:footer="720" w:gutter="0"/>
          <w:cols w:space="720"/>
          <w:titlePg/>
          <w:docGrid w:type="lines" w:linePitch="360"/>
        </w:sectPr>
      </w:pPr>
    </w:p>
    <w:p w:rsidR="00CB1E84" w:rsidRPr="005D6ABB" w:rsidRDefault="00387380" w:rsidP="005D6ABB">
      <w:pPr>
        <w:pStyle w:val="Heading3"/>
        <w:spacing w:line="240" w:lineRule="auto"/>
        <w:jc w:val="center"/>
        <w:rPr>
          <w:color w:val="0070C0"/>
        </w:rPr>
      </w:pPr>
      <w:bookmarkStart w:id="2" w:name="bkMrkStart"/>
      <w:bookmarkEnd w:id="2"/>
      <w:r w:rsidRPr="005D6ABB">
        <w:rPr>
          <w:color w:val="0070C0"/>
        </w:rPr>
        <w:lastRenderedPageBreak/>
        <w:t>Brazil: Risk Assessment Matrix</w:t>
      </w:r>
    </w:p>
    <w:tbl>
      <w:tblPr>
        <w:tblStyle w:val="TableGrid"/>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1620"/>
        <w:gridCol w:w="2750"/>
      </w:tblGrid>
      <w:tr w:rsidR="00E00A9B" w:rsidTr="005D6ABB">
        <w:tc>
          <w:tcPr>
            <w:tcW w:w="5148"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 xml:space="preserve">Source of </w:t>
            </w:r>
            <w:r>
              <w:rPr>
                <w:b/>
              </w:rPr>
              <w:t xml:space="preserve">External </w:t>
            </w:r>
            <w:r w:rsidRPr="00E00A9B">
              <w:rPr>
                <w:b/>
              </w:rPr>
              <w:t>Risks</w:t>
            </w:r>
          </w:p>
        </w:tc>
        <w:tc>
          <w:tcPr>
            <w:tcW w:w="1620"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Relative Likelihood</w:t>
            </w:r>
          </w:p>
        </w:tc>
        <w:tc>
          <w:tcPr>
            <w:tcW w:w="2750"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Impact if Realized</w:t>
            </w:r>
          </w:p>
        </w:tc>
      </w:tr>
      <w:tr w:rsidR="00387380" w:rsidTr="005D6ABB">
        <w:trPr>
          <w:trHeight w:val="179"/>
        </w:trPr>
        <w:tc>
          <w:tcPr>
            <w:tcW w:w="5148" w:type="dxa"/>
            <w:tcBorders>
              <w:top w:val="single" w:sz="4" w:space="0" w:color="auto"/>
            </w:tcBorders>
          </w:tcPr>
          <w:p w:rsidR="00387380" w:rsidRDefault="00387380" w:rsidP="007E0CFA">
            <w:pPr>
              <w:spacing w:line="240" w:lineRule="auto"/>
            </w:pPr>
          </w:p>
        </w:tc>
        <w:tc>
          <w:tcPr>
            <w:tcW w:w="1620" w:type="dxa"/>
            <w:tcBorders>
              <w:top w:val="single" w:sz="4" w:space="0" w:color="auto"/>
            </w:tcBorders>
          </w:tcPr>
          <w:p w:rsidR="00387380" w:rsidRDefault="00387380" w:rsidP="007E0CFA">
            <w:pPr>
              <w:spacing w:line="240" w:lineRule="auto"/>
            </w:pPr>
          </w:p>
        </w:tc>
        <w:tc>
          <w:tcPr>
            <w:tcW w:w="2750" w:type="dxa"/>
            <w:tcBorders>
              <w:top w:val="single" w:sz="4" w:space="0" w:color="auto"/>
            </w:tcBorders>
          </w:tcPr>
          <w:p w:rsidR="00387380" w:rsidRDefault="00387380" w:rsidP="007E0CFA">
            <w:pPr>
              <w:spacing w:line="240" w:lineRule="auto"/>
            </w:pPr>
          </w:p>
        </w:tc>
      </w:tr>
      <w:tr w:rsidR="00387380" w:rsidTr="005D6ABB">
        <w:tc>
          <w:tcPr>
            <w:tcW w:w="5148" w:type="dxa"/>
          </w:tcPr>
          <w:p w:rsidR="00387380" w:rsidRDefault="00387380" w:rsidP="007E0CFA">
            <w:pPr>
              <w:spacing w:line="240" w:lineRule="auto"/>
            </w:pPr>
            <w:r w:rsidRPr="00387380">
              <w:t>Fiscal policy shock in the United States (sequestration and/or temporary government shutdown—medium likelihood; failure to raise the debt ceiling—low likelihood)</w:t>
            </w:r>
          </w:p>
          <w:p w:rsidR="005D6ABB" w:rsidRDefault="005D6ABB" w:rsidP="007E0CFA">
            <w:pPr>
              <w:spacing w:line="240" w:lineRule="auto"/>
            </w:pPr>
          </w:p>
        </w:tc>
        <w:tc>
          <w:tcPr>
            <w:tcW w:w="1620" w:type="dxa"/>
          </w:tcPr>
          <w:p w:rsidR="00387380" w:rsidRDefault="00387380" w:rsidP="007E0CFA">
            <w:pPr>
              <w:spacing w:line="240" w:lineRule="auto"/>
            </w:pPr>
            <w:r w:rsidRPr="00387380">
              <w:t>Low/Medium</w:t>
            </w:r>
          </w:p>
        </w:tc>
        <w:tc>
          <w:tcPr>
            <w:tcW w:w="2750" w:type="dxa"/>
          </w:tcPr>
          <w:p w:rsidR="00387380" w:rsidRDefault="00E00A9B" w:rsidP="007E0CFA">
            <w:pPr>
              <w:spacing w:line="240" w:lineRule="auto"/>
            </w:pPr>
            <w:r>
              <w:t>Low</w:t>
            </w:r>
          </w:p>
        </w:tc>
      </w:tr>
      <w:tr w:rsidR="00387380" w:rsidTr="005D6ABB">
        <w:tc>
          <w:tcPr>
            <w:tcW w:w="5148" w:type="dxa"/>
          </w:tcPr>
          <w:p w:rsidR="00387380" w:rsidRDefault="00E00A9B" w:rsidP="007E0CFA">
            <w:pPr>
              <w:spacing w:line="240" w:lineRule="auto"/>
            </w:pPr>
            <w:r w:rsidRPr="00E00A9B">
              <w:t>Emerging Markets capital flow reversal (associated with a strong unwinding of asset price overvaluation in some countries)</w:t>
            </w:r>
          </w:p>
          <w:p w:rsidR="005D6ABB" w:rsidRDefault="005D6ABB" w:rsidP="007E0CFA">
            <w:pPr>
              <w:spacing w:line="240" w:lineRule="auto"/>
            </w:pPr>
          </w:p>
        </w:tc>
        <w:tc>
          <w:tcPr>
            <w:tcW w:w="1620" w:type="dxa"/>
          </w:tcPr>
          <w:p w:rsidR="00387380" w:rsidRDefault="00E00A9B" w:rsidP="007E0CFA">
            <w:pPr>
              <w:spacing w:line="240" w:lineRule="auto"/>
            </w:pPr>
            <w:r w:rsidRPr="00387380">
              <w:t>Medium</w:t>
            </w:r>
          </w:p>
        </w:tc>
        <w:tc>
          <w:tcPr>
            <w:tcW w:w="2750" w:type="dxa"/>
          </w:tcPr>
          <w:p w:rsidR="00387380" w:rsidRDefault="00E00A9B" w:rsidP="007E0CFA">
            <w:pPr>
              <w:spacing w:line="240" w:lineRule="auto"/>
            </w:pPr>
            <w:r>
              <w:t>High</w:t>
            </w:r>
          </w:p>
        </w:tc>
      </w:tr>
      <w:tr w:rsidR="00E00A9B" w:rsidTr="005D6ABB">
        <w:tc>
          <w:tcPr>
            <w:tcW w:w="5148" w:type="dxa"/>
          </w:tcPr>
          <w:p w:rsidR="00E00A9B" w:rsidRDefault="00E00A9B" w:rsidP="007E0CFA">
            <w:pPr>
              <w:spacing w:line="240" w:lineRule="auto"/>
            </w:pPr>
            <w:r w:rsidRPr="00387380">
              <w:t xml:space="preserve">Stalled or incomplete delivery of Euro area policy commitments (financial stress </w:t>
            </w:r>
            <w:proofErr w:type="gramStart"/>
            <w:r w:rsidRPr="00387380">
              <w:t>re-emerges</w:t>
            </w:r>
            <w:proofErr w:type="gramEnd"/>
            <w:r w:rsidRPr="00387380">
              <w:t xml:space="preserve"> and bank-sovereign links re-intensify)</w:t>
            </w:r>
          </w:p>
          <w:p w:rsidR="005D6ABB" w:rsidRDefault="005D6ABB" w:rsidP="007E0CFA">
            <w:pPr>
              <w:spacing w:line="240" w:lineRule="auto"/>
            </w:pPr>
          </w:p>
        </w:tc>
        <w:tc>
          <w:tcPr>
            <w:tcW w:w="1620" w:type="dxa"/>
          </w:tcPr>
          <w:p w:rsidR="00E00A9B" w:rsidRDefault="00E00A9B" w:rsidP="007E0CFA">
            <w:pPr>
              <w:spacing w:line="240" w:lineRule="auto"/>
            </w:pPr>
            <w:r w:rsidRPr="00387380">
              <w:t>Medium</w:t>
            </w:r>
          </w:p>
        </w:tc>
        <w:tc>
          <w:tcPr>
            <w:tcW w:w="2750" w:type="dxa"/>
          </w:tcPr>
          <w:p w:rsidR="00E00A9B" w:rsidRDefault="00E00A9B" w:rsidP="007E0CFA">
            <w:pPr>
              <w:spacing w:line="240" w:lineRule="auto"/>
            </w:pPr>
            <w:r>
              <w:t>Medium</w:t>
            </w:r>
          </w:p>
        </w:tc>
      </w:tr>
      <w:tr w:rsidR="00387380" w:rsidTr="005D6ABB">
        <w:tc>
          <w:tcPr>
            <w:tcW w:w="5148" w:type="dxa"/>
          </w:tcPr>
          <w:p w:rsidR="00387380" w:rsidRDefault="00E00A9B" w:rsidP="007E0CFA">
            <w:pPr>
              <w:spacing w:line="240" w:lineRule="auto"/>
            </w:pPr>
            <w:r w:rsidRPr="00E00A9B">
              <w:t>Protracted period of slower European growth (larger than expected deleveraging or negative surprise on potential growth)</w:t>
            </w:r>
            <w:r w:rsidR="005D6ABB">
              <w:t>.</w:t>
            </w:r>
          </w:p>
          <w:p w:rsidR="005D6ABB" w:rsidRDefault="005D6ABB" w:rsidP="007E0CFA">
            <w:pPr>
              <w:spacing w:line="240" w:lineRule="auto"/>
            </w:pPr>
          </w:p>
        </w:tc>
        <w:tc>
          <w:tcPr>
            <w:tcW w:w="1620" w:type="dxa"/>
          </w:tcPr>
          <w:p w:rsidR="00387380" w:rsidRDefault="00E00A9B" w:rsidP="007E0CFA">
            <w:pPr>
              <w:spacing w:line="240" w:lineRule="auto"/>
            </w:pPr>
            <w:r w:rsidRPr="00387380">
              <w:t>Medium</w:t>
            </w:r>
          </w:p>
        </w:tc>
        <w:tc>
          <w:tcPr>
            <w:tcW w:w="2750" w:type="dxa"/>
          </w:tcPr>
          <w:p w:rsidR="00387380" w:rsidRDefault="00E00A9B" w:rsidP="007E0CFA">
            <w:pPr>
              <w:spacing w:line="240" w:lineRule="auto"/>
            </w:pPr>
            <w:r>
              <w:t>Low</w:t>
            </w:r>
          </w:p>
        </w:tc>
      </w:tr>
      <w:tr w:rsidR="00E00A9B" w:rsidTr="005D6ABB">
        <w:tc>
          <w:tcPr>
            <w:tcW w:w="5148" w:type="dxa"/>
          </w:tcPr>
          <w:p w:rsidR="00E00A9B" w:rsidRDefault="00E00A9B" w:rsidP="007E0CFA">
            <w:pPr>
              <w:spacing w:line="240" w:lineRule="auto"/>
            </w:pPr>
            <w:r>
              <w:t>Sharp sustained decline in non-oil commodity prices</w:t>
            </w:r>
          </w:p>
          <w:p w:rsidR="005D6ABB" w:rsidRPr="00E00A9B" w:rsidRDefault="005D6ABB" w:rsidP="007E0CFA">
            <w:pPr>
              <w:spacing w:line="240" w:lineRule="auto"/>
            </w:pPr>
          </w:p>
        </w:tc>
        <w:tc>
          <w:tcPr>
            <w:tcW w:w="1620" w:type="dxa"/>
          </w:tcPr>
          <w:p w:rsidR="00E00A9B" w:rsidRPr="00387380" w:rsidRDefault="00E00A9B" w:rsidP="007E0CFA">
            <w:pPr>
              <w:spacing w:line="240" w:lineRule="auto"/>
            </w:pPr>
            <w:r>
              <w:t>Low</w:t>
            </w:r>
          </w:p>
        </w:tc>
        <w:tc>
          <w:tcPr>
            <w:tcW w:w="2750" w:type="dxa"/>
          </w:tcPr>
          <w:p w:rsidR="00E00A9B" w:rsidRDefault="00E00A9B" w:rsidP="007E0CFA">
            <w:pPr>
              <w:spacing w:line="240" w:lineRule="auto"/>
            </w:pPr>
            <w:r>
              <w:t>High</w:t>
            </w:r>
          </w:p>
        </w:tc>
      </w:tr>
      <w:tr w:rsidR="005D6ABB" w:rsidTr="005D6ABB">
        <w:tc>
          <w:tcPr>
            <w:tcW w:w="5148" w:type="dxa"/>
            <w:tcBorders>
              <w:bottom w:val="single" w:sz="4" w:space="0" w:color="auto"/>
            </w:tcBorders>
          </w:tcPr>
          <w:p w:rsidR="005D6ABB" w:rsidRPr="00E00A9B" w:rsidRDefault="005D6ABB" w:rsidP="007E0CFA">
            <w:pPr>
              <w:spacing w:line="240" w:lineRule="auto"/>
              <w:rPr>
                <w:b/>
              </w:rPr>
            </w:pPr>
          </w:p>
        </w:tc>
        <w:tc>
          <w:tcPr>
            <w:tcW w:w="1620" w:type="dxa"/>
            <w:tcBorders>
              <w:bottom w:val="single" w:sz="4" w:space="0" w:color="auto"/>
            </w:tcBorders>
          </w:tcPr>
          <w:p w:rsidR="005D6ABB" w:rsidRPr="00E00A9B" w:rsidRDefault="005D6ABB" w:rsidP="007E0CFA">
            <w:pPr>
              <w:spacing w:line="240" w:lineRule="auto"/>
              <w:rPr>
                <w:b/>
              </w:rPr>
            </w:pPr>
          </w:p>
        </w:tc>
        <w:tc>
          <w:tcPr>
            <w:tcW w:w="2750" w:type="dxa"/>
            <w:tcBorders>
              <w:bottom w:val="single" w:sz="4" w:space="0" w:color="auto"/>
            </w:tcBorders>
          </w:tcPr>
          <w:p w:rsidR="005D6ABB" w:rsidRPr="00E00A9B" w:rsidRDefault="005D6ABB" w:rsidP="007E0CFA">
            <w:pPr>
              <w:spacing w:line="240" w:lineRule="auto"/>
              <w:rPr>
                <w:b/>
              </w:rPr>
            </w:pPr>
          </w:p>
        </w:tc>
      </w:tr>
      <w:tr w:rsidR="00E00A9B" w:rsidTr="005D6ABB">
        <w:tc>
          <w:tcPr>
            <w:tcW w:w="5148"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 xml:space="preserve">Source of </w:t>
            </w:r>
            <w:r>
              <w:rPr>
                <w:b/>
              </w:rPr>
              <w:t xml:space="preserve">Domestic </w:t>
            </w:r>
            <w:r w:rsidRPr="00E00A9B">
              <w:rPr>
                <w:b/>
              </w:rPr>
              <w:t>Risks</w:t>
            </w:r>
          </w:p>
        </w:tc>
        <w:tc>
          <w:tcPr>
            <w:tcW w:w="1620"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Relative Likelihood</w:t>
            </w:r>
          </w:p>
        </w:tc>
        <w:tc>
          <w:tcPr>
            <w:tcW w:w="2750"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Impact if Realized</w:t>
            </w:r>
          </w:p>
        </w:tc>
      </w:tr>
      <w:tr w:rsidR="005D6ABB" w:rsidTr="005D6ABB">
        <w:tc>
          <w:tcPr>
            <w:tcW w:w="5148" w:type="dxa"/>
            <w:tcBorders>
              <w:top w:val="single" w:sz="4" w:space="0" w:color="auto"/>
            </w:tcBorders>
          </w:tcPr>
          <w:p w:rsidR="005D6ABB" w:rsidRPr="00E00A9B" w:rsidRDefault="005D6ABB" w:rsidP="007E0CFA">
            <w:pPr>
              <w:spacing w:line="240" w:lineRule="auto"/>
            </w:pPr>
          </w:p>
        </w:tc>
        <w:tc>
          <w:tcPr>
            <w:tcW w:w="1620" w:type="dxa"/>
            <w:tcBorders>
              <w:top w:val="single" w:sz="4" w:space="0" w:color="auto"/>
            </w:tcBorders>
          </w:tcPr>
          <w:p w:rsidR="005D6ABB" w:rsidRDefault="005D6ABB" w:rsidP="007E0CFA">
            <w:pPr>
              <w:spacing w:line="240" w:lineRule="auto"/>
            </w:pPr>
          </w:p>
        </w:tc>
        <w:tc>
          <w:tcPr>
            <w:tcW w:w="2750" w:type="dxa"/>
            <w:tcBorders>
              <w:top w:val="single" w:sz="4" w:space="0" w:color="auto"/>
            </w:tcBorders>
          </w:tcPr>
          <w:p w:rsidR="005D6ABB" w:rsidRDefault="005D6ABB" w:rsidP="007E0CFA">
            <w:pPr>
              <w:spacing w:line="240" w:lineRule="auto"/>
            </w:pPr>
          </w:p>
        </w:tc>
      </w:tr>
      <w:tr w:rsidR="00E00A9B" w:rsidTr="00B634C3">
        <w:tc>
          <w:tcPr>
            <w:tcW w:w="5148" w:type="dxa"/>
          </w:tcPr>
          <w:p w:rsidR="00E00A9B" w:rsidRDefault="00E00A9B" w:rsidP="00B634C3">
            <w:pPr>
              <w:spacing w:line="240" w:lineRule="auto"/>
            </w:pPr>
            <w:r w:rsidRPr="00E00A9B">
              <w:t>Weak investment</w:t>
            </w:r>
          </w:p>
          <w:p w:rsidR="00B634C3" w:rsidRPr="00E00A9B" w:rsidRDefault="00B634C3" w:rsidP="00B634C3">
            <w:pPr>
              <w:spacing w:line="240" w:lineRule="auto"/>
            </w:pPr>
          </w:p>
        </w:tc>
        <w:tc>
          <w:tcPr>
            <w:tcW w:w="1620" w:type="dxa"/>
          </w:tcPr>
          <w:p w:rsidR="00E00A9B" w:rsidRDefault="00E00A9B" w:rsidP="00B634C3">
            <w:pPr>
              <w:spacing w:line="240" w:lineRule="auto"/>
            </w:pPr>
            <w:r>
              <w:t>Medium</w:t>
            </w:r>
          </w:p>
        </w:tc>
        <w:tc>
          <w:tcPr>
            <w:tcW w:w="2750" w:type="dxa"/>
          </w:tcPr>
          <w:p w:rsidR="00E00A9B" w:rsidRDefault="005D6ABB" w:rsidP="00B634C3">
            <w:pPr>
              <w:spacing w:line="240" w:lineRule="auto"/>
            </w:pPr>
            <w:r>
              <w:t>Medium</w:t>
            </w:r>
          </w:p>
        </w:tc>
      </w:tr>
      <w:tr w:rsidR="00E00A9B" w:rsidTr="00B634C3">
        <w:tc>
          <w:tcPr>
            <w:tcW w:w="5148" w:type="dxa"/>
          </w:tcPr>
          <w:p w:rsidR="00E00A9B" w:rsidRPr="00E00A9B" w:rsidRDefault="00E00A9B" w:rsidP="00B634C3">
            <w:pPr>
              <w:spacing w:line="240" w:lineRule="auto"/>
            </w:pPr>
            <w:r w:rsidRPr="00E00A9B">
              <w:t>Higher and more persistent inflation</w:t>
            </w:r>
          </w:p>
        </w:tc>
        <w:tc>
          <w:tcPr>
            <w:tcW w:w="1620" w:type="dxa"/>
          </w:tcPr>
          <w:p w:rsidR="00E00A9B" w:rsidRDefault="00E00A9B" w:rsidP="00B634C3">
            <w:pPr>
              <w:spacing w:line="240" w:lineRule="auto"/>
            </w:pPr>
            <w:r>
              <w:t>Medium</w:t>
            </w:r>
          </w:p>
        </w:tc>
        <w:tc>
          <w:tcPr>
            <w:tcW w:w="2750" w:type="dxa"/>
          </w:tcPr>
          <w:p w:rsidR="004C5374" w:rsidRDefault="005D6ABB" w:rsidP="00B634C3">
            <w:pPr>
              <w:spacing w:line="240" w:lineRule="auto"/>
            </w:pPr>
            <w:r>
              <w:t>Medium</w:t>
            </w:r>
          </w:p>
          <w:p w:rsidR="00B634C3" w:rsidRDefault="00B634C3" w:rsidP="00B634C3">
            <w:pPr>
              <w:spacing w:line="240" w:lineRule="auto"/>
            </w:pPr>
          </w:p>
        </w:tc>
      </w:tr>
      <w:tr w:rsidR="00B634C3" w:rsidTr="00B634C3">
        <w:tc>
          <w:tcPr>
            <w:tcW w:w="5148" w:type="dxa"/>
          </w:tcPr>
          <w:p w:rsidR="00B634C3" w:rsidRDefault="00B634C3" w:rsidP="00B634C3">
            <w:pPr>
              <w:spacing w:line="240" w:lineRule="auto"/>
            </w:pPr>
            <w:r>
              <w:t>Worsening demand imbalances</w:t>
            </w:r>
          </w:p>
          <w:p w:rsidR="00B634C3" w:rsidRDefault="00B634C3" w:rsidP="00B634C3">
            <w:pPr>
              <w:spacing w:line="240" w:lineRule="auto"/>
            </w:pPr>
          </w:p>
        </w:tc>
        <w:tc>
          <w:tcPr>
            <w:tcW w:w="1620" w:type="dxa"/>
          </w:tcPr>
          <w:p w:rsidR="00B634C3" w:rsidRDefault="00B634C3" w:rsidP="00B634C3">
            <w:pPr>
              <w:spacing w:line="240" w:lineRule="auto"/>
            </w:pPr>
            <w:r>
              <w:t>Medium</w:t>
            </w:r>
          </w:p>
        </w:tc>
        <w:tc>
          <w:tcPr>
            <w:tcW w:w="2750" w:type="dxa"/>
          </w:tcPr>
          <w:p w:rsidR="00B634C3" w:rsidRDefault="00B634C3" w:rsidP="00B634C3">
            <w:pPr>
              <w:spacing w:line="240" w:lineRule="auto"/>
            </w:pPr>
            <w:r>
              <w:t>Medium</w:t>
            </w:r>
          </w:p>
        </w:tc>
      </w:tr>
      <w:tr w:rsidR="005D6ABB" w:rsidTr="00B634C3">
        <w:tc>
          <w:tcPr>
            <w:tcW w:w="5148" w:type="dxa"/>
            <w:tcBorders>
              <w:bottom w:val="nil"/>
            </w:tcBorders>
          </w:tcPr>
          <w:p w:rsidR="004C5374" w:rsidRDefault="00E7095C" w:rsidP="00B634C3">
            <w:pPr>
              <w:spacing w:line="240" w:lineRule="auto"/>
            </w:pPr>
            <w:r>
              <w:t xml:space="preserve">Increased uncertainty about </w:t>
            </w:r>
            <w:r w:rsidR="005D6ABB">
              <w:t xml:space="preserve">the fiscal policy framework </w:t>
            </w:r>
          </w:p>
          <w:p w:rsidR="00B634C3" w:rsidRDefault="00B634C3" w:rsidP="00B634C3">
            <w:pPr>
              <w:spacing w:line="240" w:lineRule="auto"/>
            </w:pPr>
          </w:p>
        </w:tc>
        <w:tc>
          <w:tcPr>
            <w:tcW w:w="1620" w:type="dxa"/>
            <w:tcBorders>
              <w:bottom w:val="nil"/>
            </w:tcBorders>
          </w:tcPr>
          <w:p w:rsidR="005D6ABB" w:rsidRDefault="005D6ABB" w:rsidP="00B634C3">
            <w:pPr>
              <w:spacing w:line="240" w:lineRule="auto"/>
            </w:pPr>
            <w:r>
              <w:t>Low</w:t>
            </w:r>
          </w:p>
        </w:tc>
        <w:tc>
          <w:tcPr>
            <w:tcW w:w="2750" w:type="dxa"/>
            <w:tcBorders>
              <w:bottom w:val="nil"/>
            </w:tcBorders>
          </w:tcPr>
          <w:p w:rsidR="005D6ABB" w:rsidRDefault="005D6ABB" w:rsidP="00B634C3">
            <w:pPr>
              <w:spacing w:line="240" w:lineRule="auto"/>
            </w:pPr>
            <w:r>
              <w:t>High</w:t>
            </w:r>
          </w:p>
          <w:p w:rsidR="005D6ABB" w:rsidRDefault="005D6ABB" w:rsidP="00B634C3">
            <w:pPr>
              <w:spacing w:line="240" w:lineRule="auto"/>
            </w:pPr>
          </w:p>
        </w:tc>
      </w:tr>
      <w:tr w:rsidR="00E00A9B" w:rsidTr="00B634C3">
        <w:tc>
          <w:tcPr>
            <w:tcW w:w="5148" w:type="dxa"/>
            <w:tcBorders>
              <w:bottom w:val="nil"/>
            </w:tcBorders>
          </w:tcPr>
          <w:p w:rsidR="004C5374" w:rsidRDefault="00E7095C" w:rsidP="00B634C3">
            <w:pPr>
              <w:spacing w:line="240" w:lineRule="auto"/>
            </w:pPr>
            <w:r>
              <w:t>C</w:t>
            </w:r>
            <w:r w:rsidR="00AD03FF" w:rsidRPr="00AD03FF">
              <w:t>orrection in the real estate market</w:t>
            </w:r>
            <w:r>
              <w:t xml:space="preserve"> and household credit exposures</w:t>
            </w:r>
          </w:p>
          <w:p w:rsidR="00B634C3" w:rsidRDefault="00B634C3" w:rsidP="00B634C3">
            <w:pPr>
              <w:spacing w:line="240" w:lineRule="auto"/>
            </w:pPr>
          </w:p>
        </w:tc>
        <w:tc>
          <w:tcPr>
            <w:tcW w:w="1620" w:type="dxa"/>
            <w:tcBorders>
              <w:bottom w:val="nil"/>
            </w:tcBorders>
          </w:tcPr>
          <w:p w:rsidR="00E00A9B" w:rsidRDefault="00162BED" w:rsidP="00B634C3">
            <w:pPr>
              <w:spacing w:line="240" w:lineRule="auto"/>
            </w:pPr>
            <w:r>
              <w:t>Low</w:t>
            </w:r>
          </w:p>
        </w:tc>
        <w:tc>
          <w:tcPr>
            <w:tcW w:w="2750" w:type="dxa"/>
            <w:tcBorders>
              <w:bottom w:val="nil"/>
            </w:tcBorders>
          </w:tcPr>
          <w:p w:rsidR="00E00A9B" w:rsidRDefault="00162BED" w:rsidP="00B634C3">
            <w:pPr>
              <w:spacing w:line="240" w:lineRule="auto"/>
            </w:pPr>
            <w:r>
              <w:t>Medium</w:t>
            </w:r>
          </w:p>
        </w:tc>
      </w:tr>
      <w:tr w:rsidR="005D6ABB" w:rsidTr="005D6ABB">
        <w:tc>
          <w:tcPr>
            <w:tcW w:w="5148" w:type="dxa"/>
            <w:tcBorders>
              <w:top w:val="nil"/>
              <w:bottom w:val="single" w:sz="4" w:space="0" w:color="auto"/>
            </w:tcBorders>
          </w:tcPr>
          <w:p w:rsidR="005D6ABB" w:rsidRPr="00AD03FF" w:rsidRDefault="005D6ABB" w:rsidP="007E0CFA">
            <w:pPr>
              <w:spacing w:line="240" w:lineRule="auto"/>
            </w:pPr>
          </w:p>
        </w:tc>
        <w:tc>
          <w:tcPr>
            <w:tcW w:w="1620" w:type="dxa"/>
            <w:tcBorders>
              <w:top w:val="nil"/>
              <w:bottom w:val="single" w:sz="4" w:space="0" w:color="auto"/>
            </w:tcBorders>
          </w:tcPr>
          <w:p w:rsidR="005D6ABB" w:rsidRDefault="005D6ABB" w:rsidP="007E0CFA">
            <w:pPr>
              <w:spacing w:line="240" w:lineRule="auto"/>
            </w:pPr>
          </w:p>
        </w:tc>
        <w:tc>
          <w:tcPr>
            <w:tcW w:w="2750" w:type="dxa"/>
            <w:tcBorders>
              <w:top w:val="nil"/>
              <w:bottom w:val="single" w:sz="4" w:space="0" w:color="auto"/>
            </w:tcBorders>
          </w:tcPr>
          <w:p w:rsidR="005D6ABB" w:rsidRDefault="005D6ABB" w:rsidP="005D6ABB">
            <w:pPr>
              <w:spacing w:line="240" w:lineRule="auto"/>
            </w:pPr>
          </w:p>
        </w:tc>
      </w:tr>
    </w:tbl>
    <w:p w:rsidR="00387380" w:rsidRDefault="00387380" w:rsidP="007E0CFA">
      <w:pPr>
        <w:spacing w:line="240" w:lineRule="auto"/>
      </w:pPr>
    </w:p>
    <w:p w:rsidR="00C317BA" w:rsidRDefault="00C317BA" w:rsidP="004B197A">
      <w:pPr>
        <w:spacing w:line="240" w:lineRule="auto"/>
      </w:pPr>
    </w:p>
    <w:p w:rsidR="004B197A" w:rsidRDefault="004B197A" w:rsidP="004B197A">
      <w:pPr>
        <w:spacing w:line="240" w:lineRule="auto"/>
      </w:pPr>
      <w:r>
        <w:br w:type="page"/>
      </w:r>
    </w:p>
    <w:p w:rsidR="004B197A" w:rsidRDefault="005E673B" w:rsidP="004B197A">
      <w:pPr>
        <w:keepNext/>
        <w:spacing w:line="240" w:lineRule="auto"/>
        <w:jc w:val="center"/>
      </w:pPr>
      <w:r w:rsidRPr="005E673B">
        <w:rPr>
          <w:noProof/>
        </w:rPr>
        <w:lastRenderedPageBreak/>
        <w:drawing>
          <wp:inline distT="0" distB="0" distL="0" distR="0">
            <wp:extent cx="5715000" cy="8145702"/>
            <wp:effectExtent l="1905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srcRect/>
                    <a:stretch>
                      <a:fillRect/>
                    </a:stretch>
                  </pic:blipFill>
                  <pic:spPr bwMode="auto">
                    <a:xfrm>
                      <a:off x="0" y="0"/>
                      <a:ext cx="5715000" cy="8145702"/>
                    </a:xfrm>
                    <a:prstGeom prst="rect">
                      <a:avLst/>
                    </a:prstGeom>
                    <a:noFill/>
                    <a:ln w="9525">
                      <a:noFill/>
                      <a:miter lim="800000"/>
                      <a:headEnd/>
                      <a:tailEnd/>
                    </a:ln>
                  </pic:spPr>
                </pic:pic>
              </a:graphicData>
            </a:graphic>
          </wp:inline>
        </w:drawing>
      </w:r>
    </w:p>
    <w:p w:rsidR="004B197A" w:rsidRDefault="005E673B" w:rsidP="004B197A">
      <w:pPr>
        <w:keepNext/>
        <w:spacing w:line="240" w:lineRule="auto"/>
        <w:jc w:val="center"/>
      </w:pPr>
      <w:r w:rsidRPr="005E673B">
        <w:rPr>
          <w:noProof/>
        </w:rPr>
        <w:lastRenderedPageBreak/>
        <w:drawing>
          <wp:inline distT="0" distB="0" distL="0" distR="0">
            <wp:extent cx="5715000" cy="8272078"/>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5715000" cy="8272078"/>
                    </a:xfrm>
                    <a:prstGeom prst="rect">
                      <a:avLst/>
                    </a:prstGeom>
                    <a:noFill/>
                    <a:ln w="9525">
                      <a:noFill/>
                      <a:miter lim="800000"/>
                      <a:headEnd/>
                      <a:tailEnd/>
                    </a:ln>
                  </pic:spPr>
                </pic:pic>
              </a:graphicData>
            </a:graphic>
          </wp:inline>
        </w:drawing>
      </w:r>
    </w:p>
    <w:p w:rsidR="004B197A" w:rsidRDefault="005E673B" w:rsidP="004B197A">
      <w:pPr>
        <w:keepNext/>
        <w:spacing w:line="240" w:lineRule="auto"/>
        <w:jc w:val="center"/>
      </w:pPr>
      <w:r w:rsidRPr="005E673B">
        <w:rPr>
          <w:noProof/>
        </w:rPr>
        <w:lastRenderedPageBreak/>
        <w:drawing>
          <wp:inline distT="0" distB="0" distL="0" distR="0">
            <wp:extent cx="5715000" cy="8200591"/>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srcRect/>
                    <a:stretch>
                      <a:fillRect/>
                    </a:stretch>
                  </pic:blipFill>
                  <pic:spPr bwMode="auto">
                    <a:xfrm>
                      <a:off x="0" y="0"/>
                      <a:ext cx="5715000" cy="8200591"/>
                    </a:xfrm>
                    <a:prstGeom prst="rect">
                      <a:avLst/>
                    </a:prstGeom>
                    <a:noFill/>
                    <a:ln w="9525">
                      <a:noFill/>
                      <a:miter lim="800000"/>
                      <a:headEnd/>
                      <a:tailEnd/>
                    </a:ln>
                  </pic:spPr>
                </pic:pic>
              </a:graphicData>
            </a:graphic>
          </wp:inline>
        </w:drawing>
      </w:r>
    </w:p>
    <w:p w:rsidR="004B197A" w:rsidRDefault="005E673B" w:rsidP="004B197A">
      <w:pPr>
        <w:keepNext/>
        <w:spacing w:line="240" w:lineRule="auto"/>
        <w:jc w:val="center"/>
      </w:pPr>
      <w:r w:rsidRPr="005E673B">
        <w:rPr>
          <w:noProof/>
        </w:rPr>
        <w:lastRenderedPageBreak/>
        <w:drawing>
          <wp:inline distT="0" distB="0" distL="0" distR="0">
            <wp:extent cx="5715000" cy="8295968"/>
            <wp:effectExtent l="19050" t="0" r="0" b="0"/>
            <wp:docPr id="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srcRect/>
                    <a:stretch>
                      <a:fillRect/>
                    </a:stretch>
                  </pic:blipFill>
                  <pic:spPr bwMode="auto">
                    <a:xfrm>
                      <a:off x="0" y="0"/>
                      <a:ext cx="5715000" cy="8295968"/>
                    </a:xfrm>
                    <a:prstGeom prst="rect">
                      <a:avLst/>
                    </a:prstGeom>
                    <a:noFill/>
                    <a:ln w="9525">
                      <a:noFill/>
                      <a:miter lim="800000"/>
                      <a:headEnd/>
                      <a:tailEnd/>
                    </a:ln>
                  </pic:spPr>
                </pic:pic>
              </a:graphicData>
            </a:graphic>
          </wp:inline>
        </w:drawing>
      </w:r>
    </w:p>
    <w:p w:rsidR="004B197A" w:rsidRDefault="005E673B" w:rsidP="004B197A">
      <w:pPr>
        <w:keepNext/>
        <w:spacing w:line="240" w:lineRule="auto"/>
        <w:jc w:val="center"/>
      </w:pPr>
      <w:r w:rsidRPr="005E673B">
        <w:rPr>
          <w:noProof/>
        </w:rPr>
        <w:lastRenderedPageBreak/>
        <w:drawing>
          <wp:inline distT="0" distB="0" distL="0" distR="0">
            <wp:extent cx="5715000" cy="7511501"/>
            <wp:effectExtent l="19050" t="0" r="0" b="0"/>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srcRect/>
                    <a:stretch>
                      <a:fillRect/>
                    </a:stretch>
                  </pic:blipFill>
                  <pic:spPr bwMode="auto">
                    <a:xfrm>
                      <a:off x="0" y="0"/>
                      <a:ext cx="5715000" cy="7511501"/>
                    </a:xfrm>
                    <a:prstGeom prst="rect">
                      <a:avLst/>
                    </a:prstGeom>
                    <a:noFill/>
                    <a:ln w="9525">
                      <a:noFill/>
                      <a:miter lim="800000"/>
                      <a:headEnd/>
                      <a:tailEnd/>
                    </a:ln>
                  </pic:spPr>
                </pic:pic>
              </a:graphicData>
            </a:graphic>
          </wp:inline>
        </w:drawing>
      </w:r>
    </w:p>
    <w:p w:rsidR="004B197A" w:rsidRDefault="004B197A" w:rsidP="004B197A">
      <w:pPr>
        <w:keepNext/>
        <w:spacing w:line="240" w:lineRule="auto"/>
        <w:jc w:val="center"/>
      </w:pPr>
    </w:p>
    <w:p w:rsidR="004B197A" w:rsidRDefault="004B197A" w:rsidP="004B197A">
      <w:pPr>
        <w:keepNext/>
        <w:spacing w:line="240" w:lineRule="auto"/>
        <w:jc w:val="center"/>
      </w:pPr>
    </w:p>
    <w:p w:rsidR="008E25A4" w:rsidRDefault="008E25A4" w:rsidP="008E25A4">
      <w:pPr>
        <w:spacing w:line="240" w:lineRule="auto"/>
        <w:jc w:val="center"/>
      </w:pPr>
      <w:r w:rsidRPr="008E25A4">
        <w:rPr>
          <w:noProof/>
        </w:rPr>
        <w:lastRenderedPageBreak/>
        <w:drawing>
          <wp:inline distT="0" distB="0" distL="0" distR="0">
            <wp:extent cx="5714282" cy="7399020"/>
            <wp:effectExtent l="19050" t="0" r="718"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5715000" cy="7399950"/>
                    </a:xfrm>
                    <a:prstGeom prst="rect">
                      <a:avLst/>
                    </a:prstGeom>
                    <a:noFill/>
                    <a:ln w="9525">
                      <a:noFill/>
                      <a:miter lim="800000"/>
                      <a:headEnd/>
                      <a:tailEnd/>
                    </a:ln>
                  </pic:spPr>
                </pic:pic>
              </a:graphicData>
            </a:graphic>
          </wp:inline>
        </w:drawing>
      </w:r>
    </w:p>
    <w:p w:rsidR="00305AD9" w:rsidRDefault="00305AD9" w:rsidP="008E25A4">
      <w:pPr>
        <w:spacing w:line="240" w:lineRule="auto"/>
        <w:jc w:val="center"/>
      </w:pPr>
      <w:r>
        <w:br w:type="page"/>
      </w:r>
    </w:p>
    <w:p w:rsidR="00305AD9" w:rsidRDefault="005E673B" w:rsidP="000C1966">
      <w:pPr>
        <w:keepNext/>
        <w:spacing w:line="240" w:lineRule="auto"/>
        <w:jc w:val="center"/>
        <w:rPr>
          <w:noProof/>
        </w:rPr>
      </w:pPr>
      <w:r w:rsidRPr="005E673B">
        <w:rPr>
          <w:noProof/>
        </w:rPr>
        <w:lastRenderedPageBreak/>
        <w:drawing>
          <wp:inline distT="0" distB="0" distL="0" distR="0">
            <wp:extent cx="5715000" cy="7989952"/>
            <wp:effectExtent l="1905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5715000" cy="7989952"/>
                    </a:xfrm>
                    <a:prstGeom prst="rect">
                      <a:avLst/>
                    </a:prstGeom>
                    <a:noFill/>
                    <a:ln w="9525">
                      <a:noFill/>
                      <a:miter lim="800000"/>
                      <a:headEnd/>
                      <a:tailEnd/>
                    </a:ln>
                  </pic:spPr>
                </pic:pic>
              </a:graphicData>
            </a:graphic>
          </wp:inline>
        </w:drawing>
      </w:r>
    </w:p>
    <w:p w:rsidR="005E673B" w:rsidRDefault="005E673B" w:rsidP="000C1966">
      <w:pPr>
        <w:keepNext/>
        <w:spacing w:line="240" w:lineRule="auto"/>
        <w:jc w:val="center"/>
      </w:pPr>
    </w:p>
    <w:p w:rsidR="00305AD9" w:rsidRDefault="008E25A4" w:rsidP="000C1966">
      <w:pPr>
        <w:keepNext/>
        <w:spacing w:line="240" w:lineRule="auto"/>
        <w:jc w:val="center"/>
      </w:pPr>
      <w:r w:rsidRPr="008E25A4">
        <w:rPr>
          <w:noProof/>
        </w:rPr>
        <w:lastRenderedPageBreak/>
        <w:drawing>
          <wp:inline distT="0" distB="0" distL="0" distR="0">
            <wp:extent cx="5715000" cy="7676136"/>
            <wp:effectExtent l="19050" t="0" r="0" b="0"/>
            <wp:docPr id="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srcRect/>
                    <a:stretch>
                      <a:fillRect/>
                    </a:stretch>
                  </pic:blipFill>
                  <pic:spPr bwMode="auto">
                    <a:xfrm>
                      <a:off x="0" y="0"/>
                      <a:ext cx="5715000" cy="7676136"/>
                    </a:xfrm>
                    <a:prstGeom prst="rect">
                      <a:avLst/>
                    </a:prstGeom>
                    <a:noFill/>
                    <a:ln w="9525">
                      <a:noFill/>
                      <a:miter lim="800000"/>
                      <a:headEnd/>
                      <a:tailEnd/>
                    </a:ln>
                  </pic:spPr>
                </pic:pic>
              </a:graphicData>
            </a:graphic>
          </wp:inline>
        </w:drawing>
      </w:r>
    </w:p>
    <w:p w:rsidR="00305AD9" w:rsidRDefault="00305AD9" w:rsidP="000C1966">
      <w:pPr>
        <w:keepNext/>
        <w:spacing w:line="240" w:lineRule="auto"/>
        <w:jc w:val="center"/>
        <w:rPr>
          <w:noProof/>
        </w:rPr>
      </w:pPr>
    </w:p>
    <w:p w:rsidR="008E25A4" w:rsidRDefault="008E25A4" w:rsidP="000C1966">
      <w:pPr>
        <w:keepNext/>
        <w:spacing w:line="240" w:lineRule="auto"/>
        <w:jc w:val="center"/>
        <w:rPr>
          <w:noProof/>
        </w:rPr>
      </w:pPr>
    </w:p>
    <w:p w:rsidR="008E25A4" w:rsidRDefault="008E25A4" w:rsidP="000C1966">
      <w:pPr>
        <w:keepNext/>
        <w:spacing w:line="240" w:lineRule="auto"/>
        <w:jc w:val="center"/>
      </w:pPr>
      <w:r w:rsidRPr="008E25A4">
        <w:rPr>
          <w:noProof/>
        </w:rPr>
        <w:lastRenderedPageBreak/>
        <w:drawing>
          <wp:inline distT="0" distB="0" distL="0" distR="0">
            <wp:extent cx="5715000" cy="7171765"/>
            <wp:effectExtent l="19050" t="0" r="0" b="0"/>
            <wp:docPr id="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5715000" cy="7171765"/>
                    </a:xfrm>
                    <a:prstGeom prst="rect">
                      <a:avLst/>
                    </a:prstGeom>
                    <a:noFill/>
                    <a:ln w="9525">
                      <a:noFill/>
                      <a:miter lim="800000"/>
                      <a:headEnd/>
                      <a:tailEnd/>
                    </a:ln>
                  </pic:spPr>
                </pic:pic>
              </a:graphicData>
            </a:graphic>
          </wp:inline>
        </w:drawing>
      </w:r>
    </w:p>
    <w:p w:rsidR="008E25A4" w:rsidRDefault="008E25A4">
      <w:pPr>
        <w:spacing w:line="22" w:lineRule="auto"/>
        <w:rPr>
          <w:noProof/>
        </w:rPr>
      </w:pPr>
      <w:r>
        <w:rPr>
          <w:noProof/>
        </w:rPr>
        <w:br w:type="page"/>
      </w:r>
    </w:p>
    <w:p w:rsidR="00305AD9" w:rsidRDefault="008E25A4" w:rsidP="000C1966">
      <w:pPr>
        <w:keepNext/>
        <w:spacing w:line="240" w:lineRule="auto"/>
        <w:jc w:val="center"/>
      </w:pPr>
      <w:r w:rsidRPr="008E25A4">
        <w:rPr>
          <w:noProof/>
        </w:rPr>
        <w:lastRenderedPageBreak/>
        <w:drawing>
          <wp:inline distT="0" distB="0" distL="0" distR="0">
            <wp:extent cx="5715000" cy="7382760"/>
            <wp:effectExtent l="19050" t="0" r="0" b="0"/>
            <wp:docPr id="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srcRect/>
                    <a:stretch>
                      <a:fillRect/>
                    </a:stretch>
                  </pic:blipFill>
                  <pic:spPr bwMode="auto">
                    <a:xfrm>
                      <a:off x="0" y="0"/>
                      <a:ext cx="5715000" cy="7382760"/>
                    </a:xfrm>
                    <a:prstGeom prst="rect">
                      <a:avLst/>
                    </a:prstGeom>
                    <a:noFill/>
                    <a:ln w="9525">
                      <a:noFill/>
                      <a:miter lim="800000"/>
                      <a:headEnd/>
                      <a:tailEnd/>
                    </a:ln>
                  </pic:spPr>
                </pic:pic>
              </a:graphicData>
            </a:graphic>
          </wp:inline>
        </w:drawing>
      </w:r>
    </w:p>
    <w:p w:rsidR="00305AD9" w:rsidRDefault="00305AD9" w:rsidP="00305AD9">
      <w:pPr>
        <w:keepNext/>
        <w:spacing w:line="240" w:lineRule="auto"/>
      </w:pPr>
    </w:p>
    <w:p w:rsidR="00305AD9" w:rsidRDefault="00305AD9" w:rsidP="00305AD9">
      <w:pPr>
        <w:keepNext/>
        <w:spacing w:line="240" w:lineRule="auto"/>
      </w:pPr>
    </w:p>
    <w:p w:rsidR="00305AD9" w:rsidRDefault="00305AD9" w:rsidP="00305AD9">
      <w:pPr>
        <w:keepNext/>
        <w:spacing w:line="240" w:lineRule="auto"/>
      </w:pPr>
    </w:p>
    <w:p w:rsidR="00305AD9" w:rsidRDefault="00054127" w:rsidP="000C1966">
      <w:pPr>
        <w:keepNext/>
        <w:spacing w:line="240" w:lineRule="auto"/>
        <w:jc w:val="center"/>
      </w:pPr>
      <w:r w:rsidRPr="00054127">
        <w:rPr>
          <w:noProof/>
        </w:rPr>
        <w:lastRenderedPageBreak/>
        <w:drawing>
          <wp:inline distT="0" distB="0" distL="0" distR="0">
            <wp:extent cx="5715000" cy="7282091"/>
            <wp:effectExtent l="19050" t="0" r="0" b="0"/>
            <wp:docPr id="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srcRect/>
                    <a:stretch>
                      <a:fillRect/>
                    </a:stretch>
                  </pic:blipFill>
                  <pic:spPr bwMode="auto">
                    <a:xfrm>
                      <a:off x="0" y="0"/>
                      <a:ext cx="5715000" cy="7282091"/>
                    </a:xfrm>
                    <a:prstGeom prst="rect">
                      <a:avLst/>
                    </a:prstGeom>
                    <a:noFill/>
                    <a:ln w="9525">
                      <a:noFill/>
                      <a:miter lim="800000"/>
                      <a:headEnd/>
                      <a:tailEnd/>
                    </a:ln>
                  </pic:spPr>
                </pic:pic>
              </a:graphicData>
            </a:graphic>
          </wp:inline>
        </w:drawing>
      </w:r>
    </w:p>
    <w:p w:rsidR="00305AD9" w:rsidRDefault="00305AD9" w:rsidP="00305AD9">
      <w:pPr>
        <w:keepNext/>
        <w:spacing w:line="240" w:lineRule="auto"/>
      </w:pPr>
    </w:p>
    <w:p w:rsidR="00054127" w:rsidRDefault="00054127">
      <w:pPr>
        <w:spacing w:line="22" w:lineRule="auto"/>
        <w:rPr>
          <w:noProof/>
        </w:rPr>
      </w:pPr>
      <w:r>
        <w:rPr>
          <w:noProof/>
        </w:rPr>
        <w:br w:type="page"/>
      </w:r>
    </w:p>
    <w:p w:rsidR="00305AD9" w:rsidRDefault="00054127" w:rsidP="000C1966">
      <w:pPr>
        <w:keepNext/>
        <w:spacing w:line="240" w:lineRule="auto"/>
        <w:jc w:val="center"/>
      </w:pPr>
      <w:r w:rsidRPr="00054127">
        <w:rPr>
          <w:noProof/>
        </w:rPr>
        <w:lastRenderedPageBreak/>
        <w:drawing>
          <wp:inline distT="0" distB="0" distL="0" distR="0">
            <wp:extent cx="5715000" cy="3142226"/>
            <wp:effectExtent l="19050" t="0" r="0" b="0"/>
            <wp:docPr id="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5715000" cy="3142226"/>
                    </a:xfrm>
                    <a:prstGeom prst="rect">
                      <a:avLst/>
                    </a:prstGeom>
                    <a:noFill/>
                    <a:ln w="9525">
                      <a:noFill/>
                      <a:miter lim="800000"/>
                      <a:headEnd/>
                      <a:tailEnd/>
                    </a:ln>
                  </pic:spPr>
                </pic:pic>
              </a:graphicData>
            </a:graphic>
          </wp:inline>
        </w:drawing>
      </w:r>
    </w:p>
    <w:p w:rsidR="00054127" w:rsidRDefault="00054127">
      <w:pPr>
        <w:spacing w:line="22" w:lineRule="auto"/>
        <w:rPr>
          <w:noProof/>
        </w:rPr>
      </w:pPr>
      <w:r>
        <w:rPr>
          <w:noProof/>
        </w:rPr>
        <w:br w:type="page"/>
      </w:r>
    </w:p>
    <w:p w:rsidR="00305AD9" w:rsidRDefault="00054127" w:rsidP="000C1966">
      <w:pPr>
        <w:keepNext/>
        <w:spacing w:line="240" w:lineRule="auto"/>
        <w:jc w:val="center"/>
      </w:pPr>
      <w:r w:rsidRPr="00054127">
        <w:rPr>
          <w:noProof/>
        </w:rPr>
        <w:lastRenderedPageBreak/>
        <w:drawing>
          <wp:inline distT="0" distB="0" distL="0" distR="0">
            <wp:extent cx="5715000" cy="7544751"/>
            <wp:effectExtent l="19050" t="0" r="0" b="0"/>
            <wp:docPr id="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srcRect/>
                    <a:stretch>
                      <a:fillRect/>
                    </a:stretch>
                  </pic:blipFill>
                  <pic:spPr bwMode="auto">
                    <a:xfrm>
                      <a:off x="0" y="0"/>
                      <a:ext cx="5715000" cy="7544751"/>
                    </a:xfrm>
                    <a:prstGeom prst="rect">
                      <a:avLst/>
                    </a:prstGeom>
                    <a:noFill/>
                    <a:ln w="9525">
                      <a:noFill/>
                      <a:miter lim="800000"/>
                      <a:headEnd/>
                      <a:tailEnd/>
                    </a:ln>
                  </pic:spPr>
                </pic:pic>
              </a:graphicData>
            </a:graphic>
          </wp:inline>
        </w:drawing>
      </w:r>
    </w:p>
    <w:p w:rsidR="00305AD9" w:rsidRDefault="00305AD9" w:rsidP="00305AD9">
      <w:pPr>
        <w:keepNext/>
        <w:spacing w:line="240" w:lineRule="auto"/>
      </w:pPr>
    </w:p>
    <w:p w:rsidR="00305AD9" w:rsidRDefault="00305AD9" w:rsidP="000C1966">
      <w:pPr>
        <w:keepNext/>
        <w:spacing w:line="240" w:lineRule="auto"/>
        <w:jc w:val="center"/>
      </w:pPr>
    </w:p>
    <w:p w:rsidR="00305AD9" w:rsidRDefault="00305AD9" w:rsidP="000C1966">
      <w:pPr>
        <w:keepNext/>
        <w:spacing w:line="240" w:lineRule="auto"/>
        <w:jc w:val="center"/>
      </w:pPr>
    </w:p>
    <w:p w:rsidR="00305AD9" w:rsidRDefault="00054127" w:rsidP="00305AD9">
      <w:pPr>
        <w:keepNext/>
        <w:spacing w:line="240" w:lineRule="auto"/>
      </w:pPr>
      <w:r w:rsidRPr="00054127">
        <w:rPr>
          <w:noProof/>
        </w:rPr>
        <w:drawing>
          <wp:inline distT="0" distB="0" distL="0" distR="0">
            <wp:extent cx="5715000" cy="5111042"/>
            <wp:effectExtent l="19050" t="0" r="0" b="0"/>
            <wp:docPr id="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srcRect/>
                    <a:stretch>
                      <a:fillRect/>
                    </a:stretch>
                  </pic:blipFill>
                  <pic:spPr bwMode="auto">
                    <a:xfrm>
                      <a:off x="0" y="0"/>
                      <a:ext cx="5715000" cy="5111042"/>
                    </a:xfrm>
                    <a:prstGeom prst="rect">
                      <a:avLst/>
                    </a:prstGeom>
                    <a:noFill/>
                    <a:ln w="9525">
                      <a:noFill/>
                      <a:miter lim="800000"/>
                      <a:headEnd/>
                      <a:tailEnd/>
                    </a:ln>
                  </pic:spPr>
                </pic:pic>
              </a:graphicData>
            </a:graphic>
          </wp:inline>
        </w:drawing>
      </w:r>
    </w:p>
    <w:p w:rsidR="00305AD9" w:rsidRDefault="00305AD9" w:rsidP="00305AD9">
      <w:pPr>
        <w:keepNext/>
        <w:spacing w:line="240" w:lineRule="auto"/>
      </w:pPr>
    </w:p>
    <w:p w:rsidR="005E673B" w:rsidRDefault="005E673B">
      <w:pPr>
        <w:spacing w:line="22" w:lineRule="auto"/>
      </w:pPr>
      <w:r>
        <w:br w:type="page"/>
      </w:r>
    </w:p>
    <w:p w:rsidR="00305AD9" w:rsidRDefault="005E673B" w:rsidP="00305AD9">
      <w:pPr>
        <w:keepNext/>
        <w:spacing w:line="240" w:lineRule="auto"/>
      </w:pPr>
      <w:r w:rsidRPr="005E673B">
        <w:rPr>
          <w:noProof/>
        </w:rPr>
        <w:lastRenderedPageBreak/>
        <w:drawing>
          <wp:inline distT="0" distB="0" distL="0" distR="0">
            <wp:extent cx="5715000" cy="7270640"/>
            <wp:effectExtent l="0" t="0" r="0" b="0"/>
            <wp:docPr id="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srcRect/>
                    <a:stretch>
                      <a:fillRect/>
                    </a:stretch>
                  </pic:blipFill>
                  <pic:spPr bwMode="auto">
                    <a:xfrm>
                      <a:off x="0" y="0"/>
                      <a:ext cx="5715000" cy="7270640"/>
                    </a:xfrm>
                    <a:prstGeom prst="rect">
                      <a:avLst/>
                    </a:prstGeom>
                    <a:noFill/>
                    <a:ln w="9525">
                      <a:noFill/>
                      <a:miter lim="800000"/>
                      <a:headEnd/>
                      <a:tailEnd/>
                    </a:ln>
                  </pic:spPr>
                </pic:pic>
              </a:graphicData>
            </a:graphic>
          </wp:inline>
        </w:drawing>
      </w:r>
    </w:p>
    <w:p w:rsidR="00305AD9" w:rsidRDefault="00305AD9" w:rsidP="000C1966">
      <w:pPr>
        <w:keepNext/>
        <w:spacing w:line="240" w:lineRule="auto"/>
        <w:jc w:val="center"/>
      </w:pPr>
    </w:p>
    <w:p w:rsidR="00305AD9" w:rsidRDefault="00305AD9" w:rsidP="000C1966">
      <w:pPr>
        <w:keepNext/>
        <w:spacing w:line="240" w:lineRule="auto"/>
        <w:jc w:val="center"/>
        <w:rPr>
          <w:noProof/>
        </w:rPr>
      </w:pPr>
    </w:p>
    <w:p w:rsidR="005E673B" w:rsidRDefault="005E673B" w:rsidP="000C1966">
      <w:pPr>
        <w:keepNext/>
        <w:spacing w:line="240" w:lineRule="auto"/>
        <w:jc w:val="center"/>
      </w:pPr>
    </w:p>
    <w:p w:rsidR="00305AD9" w:rsidRDefault="00305AD9" w:rsidP="00305AD9">
      <w:pPr>
        <w:keepNext/>
        <w:spacing w:line="240" w:lineRule="auto"/>
      </w:pPr>
    </w:p>
    <w:p w:rsidR="00305AD9" w:rsidRDefault="00054127" w:rsidP="005A2A6A">
      <w:pPr>
        <w:keepNext/>
        <w:spacing w:line="240" w:lineRule="auto"/>
      </w:pPr>
      <w:r w:rsidRPr="00054127">
        <w:rPr>
          <w:noProof/>
        </w:rPr>
        <w:lastRenderedPageBreak/>
        <w:drawing>
          <wp:inline distT="0" distB="0" distL="0" distR="0">
            <wp:extent cx="5715000" cy="4976300"/>
            <wp:effectExtent l="19050" t="0" r="0" b="0"/>
            <wp:docPr id="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srcRect/>
                    <a:stretch>
                      <a:fillRect/>
                    </a:stretch>
                  </pic:blipFill>
                  <pic:spPr bwMode="auto">
                    <a:xfrm>
                      <a:off x="0" y="0"/>
                      <a:ext cx="5715000" cy="4976300"/>
                    </a:xfrm>
                    <a:prstGeom prst="rect">
                      <a:avLst/>
                    </a:prstGeom>
                    <a:noFill/>
                    <a:ln w="9525">
                      <a:noFill/>
                      <a:miter lim="800000"/>
                      <a:headEnd/>
                      <a:tailEnd/>
                    </a:ln>
                  </pic:spPr>
                </pic:pic>
              </a:graphicData>
            </a:graphic>
          </wp:inline>
        </w:drawing>
      </w:r>
    </w:p>
    <w:p w:rsidR="00305AD9" w:rsidRDefault="00305AD9" w:rsidP="005A2A6A">
      <w:pPr>
        <w:keepNext/>
        <w:spacing w:line="240" w:lineRule="auto"/>
      </w:pPr>
    </w:p>
    <w:p w:rsidR="00305AD9" w:rsidRDefault="00305AD9" w:rsidP="005A2A6A">
      <w:pPr>
        <w:spacing w:line="240" w:lineRule="auto"/>
      </w:pPr>
      <w:r>
        <w:br w:type="page"/>
      </w:r>
    </w:p>
    <w:p w:rsidR="00305AD9" w:rsidRDefault="005E673B" w:rsidP="005A2A6A">
      <w:pPr>
        <w:keepNext/>
        <w:spacing w:line="240" w:lineRule="auto"/>
      </w:pPr>
      <w:r w:rsidRPr="005E673B">
        <w:rPr>
          <w:noProof/>
        </w:rPr>
        <w:lastRenderedPageBreak/>
        <w:drawing>
          <wp:inline distT="0" distB="0" distL="0" distR="0">
            <wp:extent cx="5715000" cy="7268206"/>
            <wp:effectExtent l="0" t="0" r="0" b="0"/>
            <wp:docPr id="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srcRect/>
                    <a:stretch>
                      <a:fillRect/>
                    </a:stretch>
                  </pic:blipFill>
                  <pic:spPr bwMode="auto">
                    <a:xfrm>
                      <a:off x="0" y="0"/>
                      <a:ext cx="5715000" cy="7268206"/>
                    </a:xfrm>
                    <a:prstGeom prst="rect">
                      <a:avLst/>
                    </a:prstGeom>
                    <a:noFill/>
                    <a:ln w="9525">
                      <a:noFill/>
                      <a:miter lim="800000"/>
                      <a:headEnd/>
                      <a:tailEnd/>
                    </a:ln>
                  </pic:spPr>
                </pic:pic>
              </a:graphicData>
            </a:graphic>
          </wp:inline>
        </w:drawing>
      </w:r>
    </w:p>
    <w:p w:rsidR="00054127" w:rsidRDefault="00054127">
      <w:pPr>
        <w:spacing w:line="22" w:lineRule="auto"/>
        <w:rPr>
          <w:noProof/>
        </w:rPr>
      </w:pPr>
      <w:r>
        <w:rPr>
          <w:noProof/>
        </w:rPr>
        <w:br w:type="page"/>
      </w:r>
    </w:p>
    <w:p w:rsidR="005A2A6A" w:rsidRDefault="00054127" w:rsidP="000C1966">
      <w:pPr>
        <w:keepNext/>
        <w:spacing w:line="240" w:lineRule="auto"/>
        <w:jc w:val="center"/>
      </w:pPr>
      <w:r w:rsidRPr="00054127">
        <w:rPr>
          <w:noProof/>
        </w:rPr>
        <w:lastRenderedPageBreak/>
        <w:drawing>
          <wp:inline distT="0" distB="0" distL="0" distR="0">
            <wp:extent cx="5715000" cy="5386601"/>
            <wp:effectExtent l="19050" t="0" r="0" b="0"/>
            <wp:docPr id="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srcRect/>
                    <a:stretch>
                      <a:fillRect/>
                    </a:stretch>
                  </pic:blipFill>
                  <pic:spPr bwMode="auto">
                    <a:xfrm>
                      <a:off x="0" y="0"/>
                      <a:ext cx="5715000" cy="5386601"/>
                    </a:xfrm>
                    <a:prstGeom prst="rect">
                      <a:avLst/>
                    </a:prstGeom>
                    <a:noFill/>
                    <a:ln w="9525">
                      <a:noFill/>
                      <a:miter lim="800000"/>
                      <a:headEnd/>
                      <a:tailEnd/>
                    </a:ln>
                  </pic:spPr>
                </pic:pic>
              </a:graphicData>
            </a:graphic>
          </wp:inline>
        </w:drawing>
      </w:r>
    </w:p>
    <w:p w:rsidR="005E673B" w:rsidRDefault="005E673B">
      <w:pPr>
        <w:spacing w:line="22" w:lineRule="auto"/>
        <w:rPr>
          <w:noProof/>
        </w:rPr>
      </w:pPr>
      <w:r>
        <w:rPr>
          <w:noProof/>
        </w:rPr>
        <w:br w:type="page"/>
      </w:r>
    </w:p>
    <w:p w:rsidR="005A2A6A" w:rsidRPr="00C410E7" w:rsidRDefault="005E673B" w:rsidP="000C1966">
      <w:pPr>
        <w:keepNext/>
        <w:spacing w:line="240" w:lineRule="auto"/>
        <w:jc w:val="center"/>
      </w:pPr>
      <w:r w:rsidRPr="005E673B">
        <w:rPr>
          <w:noProof/>
        </w:rPr>
        <w:lastRenderedPageBreak/>
        <w:drawing>
          <wp:inline distT="0" distB="0" distL="0" distR="0">
            <wp:extent cx="5715000" cy="7384399"/>
            <wp:effectExtent l="0" t="0" r="0" b="0"/>
            <wp:docPr id="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srcRect/>
                    <a:stretch>
                      <a:fillRect/>
                    </a:stretch>
                  </pic:blipFill>
                  <pic:spPr bwMode="auto">
                    <a:xfrm>
                      <a:off x="0" y="0"/>
                      <a:ext cx="5715000" cy="7384399"/>
                    </a:xfrm>
                    <a:prstGeom prst="rect">
                      <a:avLst/>
                    </a:prstGeom>
                    <a:noFill/>
                    <a:ln w="9525">
                      <a:noFill/>
                      <a:miter lim="800000"/>
                      <a:headEnd/>
                      <a:tailEnd/>
                    </a:ln>
                  </pic:spPr>
                </pic:pic>
              </a:graphicData>
            </a:graphic>
          </wp:inline>
        </w:drawing>
      </w:r>
    </w:p>
    <w:p w:rsidR="00305AD9" w:rsidRPr="00C410E7" w:rsidRDefault="00305AD9" w:rsidP="00305AD9">
      <w:pPr>
        <w:keepNext/>
        <w:spacing w:line="240" w:lineRule="auto"/>
      </w:pPr>
    </w:p>
    <w:p w:rsidR="00305AD9" w:rsidRDefault="00305AD9" w:rsidP="00305AD9">
      <w:pPr>
        <w:keepNext/>
        <w:spacing w:line="240" w:lineRule="auto"/>
      </w:pPr>
    </w:p>
    <w:p w:rsidR="00770A9F" w:rsidRDefault="00770A9F" w:rsidP="004B197A">
      <w:pPr>
        <w:spacing w:line="240" w:lineRule="auto"/>
        <w:rPr>
          <w:rFonts w:eastAsia="Malgun Gothic" w:cs="Segoe UI"/>
          <w:b/>
          <w:color w:val="4B82AD"/>
          <w:sz w:val="20"/>
          <w:szCs w:val="20"/>
          <w:lang w:eastAsia="ko-KR"/>
        </w:rPr>
      </w:pPr>
      <w:r>
        <w:rPr>
          <w:rFonts w:eastAsia="Malgun Gothic" w:cs="Segoe UI"/>
          <w:b/>
          <w:color w:val="4B82AD"/>
          <w:sz w:val="20"/>
          <w:szCs w:val="20"/>
          <w:lang w:eastAsia="ko-KR"/>
        </w:rPr>
        <w:br w:type="page"/>
      </w:r>
    </w:p>
    <w:p w:rsidR="00C317BA" w:rsidRPr="007449EC" w:rsidRDefault="00C317BA" w:rsidP="007E0CFA">
      <w:pPr>
        <w:widowControl w:val="0"/>
        <w:spacing w:line="240" w:lineRule="auto"/>
        <w:jc w:val="center"/>
        <w:rPr>
          <w:rFonts w:eastAsia="Malgun Gothic" w:cs="Segoe UI"/>
          <w:b/>
          <w:color w:val="4B82AD"/>
          <w:sz w:val="20"/>
          <w:szCs w:val="20"/>
          <w:lang w:eastAsia="ko-KR"/>
        </w:rPr>
      </w:pPr>
      <w:r w:rsidRPr="007449EC">
        <w:rPr>
          <w:rFonts w:eastAsia="Malgun Gothic" w:cs="Segoe UI"/>
          <w:b/>
          <w:color w:val="4B82AD"/>
          <w:sz w:val="20"/>
          <w:szCs w:val="20"/>
          <w:lang w:eastAsia="ko-KR"/>
        </w:rPr>
        <w:lastRenderedPageBreak/>
        <w:t>Box 1. Brazil: Why Has Investment Been So Weak?</w:t>
      </w:r>
    </w:p>
    <w:p w:rsidR="003E4509" w:rsidRPr="00533954" w:rsidRDefault="003E4509" w:rsidP="007E0CFA">
      <w:pPr>
        <w:widowControl w:val="0"/>
        <w:spacing w:line="240" w:lineRule="auto"/>
        <w:rPr>
          <w:rFonts w:eastAsia="Malgun Gothic" w:cs="Segoe UI"/>
          <w:b/>
          <w:color w:val="4B82AD"/>
          <w:sz w:val="19"/>
          <w:szCs w:val="19"/>
          <w:lang w:eastAsia="ko-KR"/>
        </w:rPr>
      </w:pPr>
    </w:p>
    <w:p w:rsidR="00C317BA" w:rsidRPr="00533954" w:rsidRDefault="00C317BA" w:rsidP="007E0CFA">
      <w:pPr>
        <w:widowControl w:val="0"/>
        <w:spacing w:line="240" w:lineRule="auto"/>
        <w:rPr>
          <w:rFonts w:cs="Segoe UI"/>
          <w:sz w:val="19"/>
          <w:szCs w:val="19"/>
        </w:rPr>
      </w:pPr>
      <w:r w:rsidRPr="00533954">
        <w:rPr>
          <w:rFonts w:cs="Segoe UI"/>
          <w:b/>
          <w:sz w:val="19"/>
          <w:szCs w:val="19"/>
        </w:rPr>
        <w:t xml:space="preserve">Investment in Brazil has been remarkably weak since mid-2011. </w:t>
      </w:r>
      <w:r w:rsidRPr="00533954">
        <w:rPr>
          <w:rFonts w:cs="Segoe UI"/>
          <w:sz w:val="19"/>
          <w:szCs w:val="19"/>
        </w:rPr>
        <w:t>Investment growth slowed across emerging market economies following the post-crisis recovery but, on average has continued to expand. In contrast, starting in 2011 Brazil’s investment stalled then began to contract and is now 5 percent below peak levels. Detailed data on Brazil’s investment by sector is not available, but manufacturing capacity utilization near cyclical highs despite weak output (Panel 1, middle right figure), suggests that industry has been a major contributor to this investment decline. What explains this poor investment performance?</w:t>
      </w:r>
    </w:p>
    <w:p w:rsidR="00C317BA" w:rsidRDefault="007E0CFA" w:rsidP="007E0CFA">
      <w:pPr>
        <w:widowControl w:val="0"/>
        <w:spacing w:line="240" w:lineRule="auto"/>
        <w:rPr>
          <w:rFonts w:cs="Segoe UI"/>
          <w:sz w:val="19"/>
          <w:szCs w:val="19"/>
        </w:rPr>
      </w:pPr>
      <w:r w:rsidRPr="007E0CFA">
        <w:rPr>
          <w:rFonts w:cs="Segoe UI"/>
          <w:noProof/>
          <w:sz w:val="19"/>
          <w:szCs w:val="19"/>
        </w:rPr>
        <w:drawing>
          <wp:inline distT="0" distB="0" distL="0" distR="0">
            <wp:extent cx="3264535" cy="263144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srcRect/>
                    <a:stretch>
                      <a:fillRect/>
                    </a:stretch>
                  </pic:blipFill>
                  <pic:spPr bwMode="auto">
                    <a:xfrm>
                      <a:off x="0" y="0"/>
                      <a:ext cx="3264535" cy="2631440"/>
                    </a:xfrm>
                    <a:prstGeom prst="rect">
                      <a:avLst/>
                    </a:prstGeom>
                    <a:noFill/>
                    <a:ln w="9525">
                      <a:noFill/>
                      <a:miter lim="800000"/>
                      <a:headEnd/>
                      <a:tailEnd/>
                    </a:ln>
                  </pic:spPr>
                </pic:pic>
              </a:graphicData>
            </a:graphic>
          </wp:inline>
        </w:drawing>
      </w:r>
    </w:p>
    <w:p w:rsidR="007E0CFA" w:rsidRPr="00533954" w:rsidRDefault="007E0CFA" w:rsidP="007E0CFA">
      <w:pPr>
        <w:widowControl w:val="0"/>
        <w:spacing w:line="240" w:lineRule="auto"/>
        <w:rPr>
          <w:rFonts w:cs="Segoe UI"/>
          <w:sz w:val="19"/>
          <w:szCs w:val="19"/>
        </w:rPr>
      </w:pPr>
    </w:p>
    <w:p w:rsidR="00C317BA" w:rsidRPr="00533954" w:rsidRDefault="00C317BA" w:rsidP="007E0CFA">
      <w:pPr>
        <w:widowControl w:val="0"/>
        <w:spacing w:line="240" w:lineRule="auto"/>
        <w:rPr>
          <w:rFonts w:cs="Segoe UI"/>
          <w:sz w:val="19"/>
          <w:szCs w:val="19"/>
        </w:rPr>
      </w:pPr>
      <w:r w:rsidRPr="00533954">
        <w:rPr>
          <w:rFonts w:cs="Segoe UI"/>
          <w:b/>
          <w:sz w:val="19"/>
          <w:szCs w:val="19"/>
        </w:rPr>
        <w:t xml:space="preserve">Commodity prices, growth expectations, and measures of uncertainty, both domestic and global, have been the most important drivers of quarterly variation in overall growth in recent years. </w:t>
      </w:r>
      <w:r w:rsidRPr="00533954">
        <w:rPr>
          <w:rFonts w:cs="Segoe UI"/>
          <w:sz w:val="19"/>
          <w:szCs w:val="19"/>
        </w:rPr>
        <w:t>A simple reduced form model suggests that the change in commodity prices and the implied volatility of U.S. equities are both important in explaining investment. This is consistent with previous analysis that identifies commodities and global financial conditions as the two key spillover channels to Brazil. Domestically, expectations for growth and investor uncertainty appear to play a key role. In particular, the dispersion of forecasts for output growth over the next 12 months from the central bank’s weekly survey of market participants was highly significant and robust to changes in specification. In this simple model, these two variables likely reflect the impact of other important determinants of investment, including the real interest rate and the real exchange rate, which more complex dynamic models indicate are important in explaining investment (Text Table).</w:t>
      </w:r>
    </w:p>
    <w:p w:rsidR="00C317BA" w:rsidRDefault="00C317BA" w:rsidP="007E0CFA">
      <w:pPr>
        <w:widowControl w:val="0"/>
        <w:spacing w:line="240" w:lineRule="auto"/>
        <w:rPr>
          <w:rFonts w:cs="Segoe UI"/>
          <w:sz w:val="19"/>
          <w:szCs w:val="19"/>
        </w:rPr>
      </w:pPr>
    </w:p>
    <w:p w:rsidR="00533954" w:rsidRDefault="00533954" w:rsidP="007E0CFA">
      <w:pPr>
        <w:widowControl w:val="0"/>
        <w:spacing w:line="240" w:lineRule="auto"/>
        <w:rPr>
          <w:rFonts w:cs="Segoe UI"/>
          <w:sz w:val="19"/>
          <w:szCs w:val="19"/>
        </w:rPr>
      </w:pPr>
    </w:p>
    <w:p w:rsidR="00533954" w:rsidRDefault="00533954" w:rsidP="007E0CFA">
      <w:pPr>
        <w:widowControl w:val="0"/>
        <w:spacing w:line="240" w:lineRule="auto"/>
        <w:rPr>
          <w:rFonts w:cs="Segoe UI"/>
          <w:sz w:val="19"/>
          <w:szCs w:val="19"/>
        </w:rPr>
      </w:pPr>
    </w:p>
    <w:p w:rsidR="007E0CFA" w:rsidRDefault="007E0CFA" w:rsidP="007E0CFA">
      <w:pPr>
        <w:widowControl w:val="0"/>
        <w:spacing w:line="240" w:lineRule="auto"/>
        <w:rPr>
          <w:rFonts w:cs="Segoe UI"/>
          <w:sz w:val="19"/>
          <w:szCs w:val="19"/>
        </w:rPr>
      </w:pPr>
    </w:p>
    <w:p w:rsidR="00C317BA" w:rsidRPr="00533954" w:rsidRDefault="00C317BA" w:rsidP="000C1966">
      <w:pPr>
        <w:widowControl w:val="0"/>
        <w:spacing w:line="240" w:lineRule="auto"/>
        <w:jc w:val="center"/>
        <w:rPr>
          <w:rFonts w:cs="Segoe UI"/>
          <w:b/>
          <w:color w:val="0070C0"/>
          <w:sz w:val="19"/>
          <w:szCs w:val="19"/>
        </w:rPr>
      </w:pPr>
      <w:r w:rsidRPr="00533954">
        <w:rPr>
          <w:rFonts w:cs="Segoe UI"/>
          <w:b/>
          <w:color w:val="0070C0"/>
          <w:sz w:val="19"/>
          <w:szCs w:val="19"/>
        </w:rPr>
        <w:t>Coefficients from Investment Regressions, Q4-2002 to Q4-2012</w:t>
      </w:r>
    </w:p>
    <w:p w:rsidR="00C317BA" w:rsidRPr="00533954" w:rsidRDefault="00533954" w:rsidP="007E0CFA">
      <w:pPr>
        <w:widowControl w:val="0"/>
        <w:spacing w:line="240" w:lineRule="auto"/>
        <w:rPr>
          <w:rFonts w:cs="Segoe UI"/>
          <w:sz w:val="19"/>
          <w:szCs w:val="19"/>
        </w:rPr>
      </w:pPr>
      <w:r>
        <w:rPr>
          <w:rFonts w:cs="Segoe UI"/>
          <w:noProof/>
          <w:sz w:val="19"/>
          <w:szCs w:val="19"/>
        </w:rPr>
        <w:lastRenderedPageBreak/>
        <w:drawing>
          <wp:anchor distT="0" distB="0" distL="114300" distR="114300" simplePos="0" relativeHeight="251702272" behindDoc="0" locked="0" layoutInCell="1" allowOverlap="1">
            <wp:simplePos x="0" y="0"/>
            <wp:positionH relativeFrom="column">
              <wp:posOffset>234315</wp:posOffset>
            </wp:positionH>
            <wp:positionV relativeFrom="paragraph">
              <wp:posOffset>144145</wp:posOffset>
            </wp:positionV>
            <wp:extent cx="5145405" cy="2223770"/>
            <wp:effectExtent l="1905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srcRect/>
                    <a:stretch>
                      <a:fillRect/>
                    </a:stretch>
                  </pic:blipFill>
                  <pic:spPr bwMode="auto">
                    <a:xfrm>
                      <a:off x="0" y="0"/>
                      <a:ext cx="5145405" cy="2223770"/>
                    </a:xfrm>
                    <a:prstGeom prst="rect">
                      <a:avLst/>
                    </a:prstGeom>
                    <a:noFill/>
                    <a:ln w="9525">
                      <a:noFill/>
                      <a:miter lim="800000"/>
                      <a:headEnd/>
                      <a:tailEnd/>
                    </a:ln>
                  </pic:spPr>
                </pic:pic>
              </a:graphicData>
            </a:graphic>
          </wp:anchor>
        </w:drawing>
      </w:r>
    </w:p>
    <w:p w:rsidR="00C317BA" w:rsidRPr="00533954" w:rsidRDefault="00C317BA" w:rsidP="007E0CFA">
      <w:pPr>
        <w:widowControl w:val="0"/>
        <w:spacing w:line="240" w:lineRule="auto"/>
        <w:rPr>
          <w:rFonts w:cs="Segoe UI"/>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C317BA" w:rsidRPr="00533954" w:rsidRDefault="00C317BA" w:rsidP="007E0CFA">
      <w:pPr>
        <w:widowControl w:val="0"/>
        <w:spacing w:line="240" w:lineRule="auto"/>
        <w:rPr>
          <w:rFonts w:cs="Segoe UI"/>
          <w:sz w:val="19"/>
          <w:szCs w:val="19"/>
        </w:rPr>
      </w:pPr>
      <w:r w:rsidRPr="00533954">
        <w:rPr>
          <w:rFonts w:cs="Segoe UI"/>
          <w:b/>
          <w:sz w:val="19"/>
          <w:szCs w:val="19"/>
        </w:rPr>
        <w:t>While global factors explained some part of the initial period of weak investment, domestic factors have been more important since the start of 2012.</w:t>
      </w:r>
      <w:r w:rsidRPr="00533954">
        <w:rPr>
          <w:rFonts w:cs="Segoe UI"/>
          <w:sz w:val="19"/>
          <w:szCs w:val="19"/>
        </w:rPr>
        <w:t xml:space="preserve"> This model does a good job of explaining investment during the initial weakness between mid-2011 and the first quarter of 2012. Falling commodity prices and tighter global financial conditions mainly contributed to the sharper-than-expected decline in investment in 2011. However, since the start of 2012, the improving global environment has failed to ignite an investment pick-up, as was predicted by the model and observed in other emerging markets. Instead, deteriorating domestic factors, notably persistent downgrades to growth and greater uncertainty about the outlook, appear to have weighed on investment. </w:t>
      </w:r>
    </w:p>
    <w:p w:rsidR="00C317BA" w:rsidRPr="00533954" w:rsidRDefault="00533954" w:rsidP="007E0CFA">
      <w:pPr>
        <w:widowControl w:val="0"/>
        <w:spacing w:line="240" w:lineRule="auto"/>
        <w:rPr>
          <w:rFonts w:cs="Segoe UI"/>
          <w:sz w:val="19"/>
          <w:szCs w:val="19"/>
        </w:rPr>
      </w:pPr>
      <w:r>
        <w:rPr>
          <w:rFonts w:cs="Segoe UI"/>
          <w:noProof/>
          <w:sz w:val="19"/>
          <w:szCs w:val="19"/>
        </w:rPr>
        <w:drawing>
          <wp:anchor distT="0" distB="0" distL="114300" distR="114300" simplePos="0" relativeHeight="251700224" behindDoc="0" locked="0" layoutInCell="1" allowOverlap="1">
            <wp:simplePos x="0" y="0"/>
            <wp:positionH relativeFrom="column">
              <wp:posOffset>16510</wp:posOffset>
            </wp:positionH>
            <wp:positionV relativeFrom="paragraph">
              <wp:posOffset>88900</wp:posOffset>
            </wp:positionV>
            <wp:extent cx="5709285" cy="2679065"/>
            <wp:effectExtent l="19050" t="0" r="5715" b="0"/>
            <wp:wrapSquare wrapText="bothSides"/>
            <wp:docPr id="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srcRect/>
                    <a:stretch>
                      <a:fillRect/>
                    </a:stretch>
                  </pic:blipFill>
                  <pic:spPr bwMode="auto">
                    <a:xfrm>
                      <a:off x="0" y="0"/>
                      <a:ext cx="5709285" cy="2679065"/>
                    </a:xfrm>
                    <a:prstGeom prst="rect">
                      <a:avLst/>
                    </a:prstGeom>
                    <a:noFill/>
                    <a:ln w="9525">
                      <a:noFill/>
                      <a:miter lim="800000"/>
                      <a:headEnd/>
                      <a:tailEnd/>
                    </a:ln>
                  </pic:spPr>
                </pic:pic>
              </a:graphicData>
            </a:graphic>
          </wp:anchor>
        </w:drawing>
      </w:r>
    </w:p>
    <w:p w:rsidR="007449EC" w:rsidRDefault="00C317BA" w:rsidP="007E0CFA">
      <w:pPr>
        <w:widowControl w:val="0"/>
        <w:spacing w:line="240" w:lineRule="auto"/>
        <w:rPr>
          <w:rFonts w:cs="Segoe UI"/>
          <w:sz w:val="19"/>
          <w:szCs w:val="19"/>
        </w:rPr>
      </w:pPr>
      <w:r w:rsidRPr="00533954">
        <w:rPr>
          <w:rFonts w:cs="Segoe UI"/>
          <w:b/>
          <w:sz w:val="19"/>
          <w:szCs w:val="19"/>
        </w:rPr>
        <w:t>The puzzle of weak investment has not been fully solved, however</w:t>
      </w:r>
      <w:r w:rsidRPr="00533954">
        <w:rPr>
          <w:rFonts w:cs="Segoe UI"/>
          <w:sz w:val="19"/>
          <w:szCs w:val="19"/>
        </w:rPr>
        <w:t xml:space="preserve">. While the preceding analysis suggests that domestic factors have become more important it does not provide a structural explanation and does not provide much guidance on whether the decline is permanent or transitory. Some potential underlying factors may be unwound quickly, including the impact of domestic policy uncertainty on the investment climate. Other factors may take more time, notably the steady erosion of competitiveness (only partially reversed in 2012) and the apparent decline in </w:t>
      </w:r>
      <w:r w:rsidRPr="00533954">
        <w:rPr>
          <w:rFonts w:cs="Segoe UI"/>
          <w:sz w:val="19"/>
          <w:szCs w:val="19"/>
        </w:rPr>
        <w:lastRenderedPageBreak/>
        <w:t>productivity.</w:t>
      </w:r>
    </w:p>
    <w:p w:rsidR="007449EC" w:rsidRDefault="007449EC" w:rsidP="007E0CFA">
      <w:pPr>
        <w:widowControl w:val="0"/>
        <w:spacing w:line="240" w:lineRule="auto"/>
        <w:rPr>
          <w:rFonts w:cs="Segoe UI"/>
          <w:sz w:val="19"/>
          <w:szCs w:val="19"/>
        </w:rPr>
      </w:pPr>
    </w:p>
    <w:p w:rsidR="00AE6BD6" w:rsidRDefault="00AE6BD6">
      <w:pPr>
        <w:spacing w:line="22" w:lineRule="auto"/>
        <w:rPr>
          <w:rFonts w:cs="Segoe UI"/>
          <w:sz w:val="19"/>
          <w:szCs w:val="19"/>
        </w:rPr>
      </w:pPr>
      <w:r>
        <w:rPr>
          <w:rFonts w:cs="Segoe UI"/>
          <w:sz w:val="19"/>
          <w:szCs w:val="19"/>
        </w:rPr>
        <w:br w:type="page"/>
      </w:r>
    </w:p>
    <w:p w:rsidR="00AE6BD6" w:rsidRPr="0060056E" w:rsidRDefault="00AE6BD6" w:rsidP="00AE6BD6">
      <w:pPr>
        <w:keepNext/>
        <w:spacing w:line="240" w:lineRule="auto"/>
        <w:rPr>
          <w:rFonts w:cs="Segoe UI"/>
          <w:b/>
          <w:color w:val="0070C0"/>
        </w:rPr>
      </w:pPr>
      <w:r w:rsidRPr="0060056E">
        <w:rPr>
          <w:rFonts w:cs="Segoe UI"/>
          <w:b/>
          <w:color w:val="0070C0"/>
        </w:rPr>
        <w:lastRenderedPageBreak/>
        <w:t>Box</w:t>
      </w:r>
      <w:r>
        <w:rPr>
          <w:rFonts w:cs="Segoe UI"/>
          <w:b/>
          <w:color w:val="0070C0"/>
        </w:rPr>
        <w:t xml:space="preserve"> 2</w:t>
      </w:r>
      <w:r w:rsidRPr="0060056E">
        <w:rPr>
          <w:rFonts w:cs="Segoe UI"/>
          <w:b/>
          <w:color w:val="0070C0"/>
        </w:rPr>
        <w:t xml:space="preserve">. How Fast Can Brazil Grow? </w:t>
      </w:r>
    </w:p>
    <w:p w:rsidR="00AE6BD6" w:rsidRDefault="00AE6BD6" w:rsidP="00AE6BD6">
      <w:pPr>
        <w:keepNext/>
        <w:spacing w:line="240" w:lineRule="auto"/>
      </w:pPr>
    </w:p>
    <w:p w:rsidR="00AE6BD6" w:rsidRDefault="00AE6BD6" w:rsidP="00AE6BD6">
      <w:pPr>
        <w:keepNext/>
        <w:spacing w:line="240" w:lineRule="auto"/>
      </w:pPr>
      <w:r w:rsidRPr="004E0BED">
        <w:rPr>
          <w:b/>
        </w:rPr>
        <w:t>Brazil’s poor growth performance since 2011 has re-ignited the debate about its medium-term potential growth rate</w:t>
      </w:r>
      <w:r>
        <w:t xml:space="preserve">. Consensus estimates of potential growth have been steadily revised lower in recent quarters and are now at their lowest level since commodity prices began to surge higher in the mid-2000s. Brazil is not alone in seeing its potential growth rate revised lower with estimates for the larger emerging markets also marked down in recent quarters.  </w:t>
      </w:r>
    </w:p>
    <w:p w:rsidR="00AE6BD6" w:rsidRDefault="00AE6BD6" w:rsidP="00AE6BD6">
      <w:pPr>
        <w:keepNext/>
        <w:spacing w:line="240" w:lineRule="auto"/>
      </w:pPr>
      <w:r w:rsidRPr="00E941D9">
        <w:rPr>
          <w:noProof/>
        </w:rPr>
        <w:drawing>
          <wp:inline distT="0" distB="0" distL="0" distR="0">
            <wp:extent cx="2819400" cy="2301829"/>
            <wp:effectExtent l="1905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srcRect/>
                    <a:stretch>
                      <a:fillRect/>
                    </a:stretch>
                  </pic:blipFill>
                  <pic:spPr bwMode="auto">
                    <a:xfrm>
                      <a:off x="0" y="0"/>
                      <a:ext cx="2823772" cy="2305399"/>
                    </a:xfrm>
                    <a:prstGeom prst="rect">
                      <a:avLst/>
                    </a:prstGeom>
                    <a:noFill/>
                    <a:ln w="9525">
                      <a:noFill/>
                      <a:miter lim="800000"/>
                      <a:headEnd/>
                      <a:tailEnd/>
                    </a:ln>
                  </pic:spPr>
                </pic:pic>
              </a:graphicData>
            </a:graphic>
          </wp:inline>
        </w:drawing>
      </w:r>
    </w:p>
    <w:p w:rsidR="00AE6BD6" w:rsidRDefault="00AE6BD6" w:rsidP="00AE6BD6">
      <w:pPr>
        <w:keepNext/>
        <w:spacing w:line="240" w:lineRule="auto"/>
      </w:pPr>
    </w:p>
    <w:p w:rsidR="00AE6BD6" w:rsidRDefault="00AE6BD6" w:rsidP="00AE6BD6">
      <w:pPr>
        <w:keepNext/>
        <w:spacing w:line="240" w:lineRule="auto"/>
      </w:pPr>
      <w:r w:rsidRPr="004E0BED">
        <w:rPr>
          <w:b/>
        </w:rPr>
        <w:t xml:space="preserve">A supply-side </w:t>
      </w:r>
      <w:r>
        <w:rPr>
          <w:b/>
        </w:rPr>
        <w:t>decomposition</w:t>
      </w:r>
      <w:r w:rsidRPr="004E0BED">
        <w:rPr>
          <w:b/>
        </w:rPr>
        <w:t xml:space="preserve"> suggests that Brazil’s sustainable future growth rate is about 3½ percent, about ¾ percentage point lower than assumed by staff in recent years</w:t>
      </w:r>
      <w:r>
        <w:t>. This compares to an average real growth rate of about 3½ percent from 2000-12 and a range of 2-3 percent based on a range of statistical filters.</w:t>
      </w:r>
    </w:p>
    <w:p w:rsidR="00AE6BD6" w:rsidRDefault="00AE6BD6" w:rsidP="00AE6BD6">
      <w:pPr>
        <w:keepNext/>
        <w:spacing w:line="240" w:lineRule="auto"/>
      </w:pPr>
    </w:p>
    <w:p w:rsidR="00AE6BD6" w:rsidRDefault="00AE6BD6" w:rsidP="00AE6BD6">
      <w:pPr>
        <w:keepNext/>
        <w:spacing w:line="240" w:lineRule="auto"/>
      </w:pPr>
      <w:r w:rsidRPr="00717CF6">
        <w:rPr>
          <w:noProof/>
        </w:rPr>
        <w:drawing>
          <wp:inline distT="0" distB="0" distL="0" distR="0">
            <wp:extent cx="2914650" cy="2210339"/>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2914582" cy="2210288"/>
                    </a:xfrm>
                    <a:prstGeom prst="rect">
                      <a:avLst/>
                    </a:prstGeom>
                    <a:noFill/>
                    <a:ln w="9525">
                      <a:noFill/>
                      <a:miter lim="800000"/>
                      <a:headEnd/>
                      <a:tailEnd/>
                    </a:ln>
                  </pic:spPr>
                </pic:pic>
              </a:graphicData>
            </a:graphic>
          </wp:inline>
        </w:drawing>
      </w:r>
    </w:p>
    <w:p w:rsidR="00AE6BD6" w:rsidRDefault="00AE6BD6" w:rsidP="00AE6BD6">
      <w:pPr>
        <w:keepNext/>
        <w:spacing w:line="240" w:lineRule="auto"/>
      </w:pPr>
    </w:p>
    <w:p w:rsidR="00AE6BD6" w:rsidRDefault="00AE6BD6" w:rsidP="00AE6BD6">
      <w:pPr>
        <w:keepNext/>
        <w:spacing w:line="240" w:lineRule="auto"/>
      </w:pPr>
      <w:r>
        <w:rPr>
          <w:b/>
        </w:rPr>
        <w:lastRenderedPageBreak/>
        <w:t xml:space="preserve">Over the next decade, </w:t>
      </w:r>
      <w:r w:rsidRPr="00A52039">
        <w:rPr>
          <w:b/>
        </w:rPr>
        <w:t xml:space="preserve">Brazil will </w:t>
      </w:r>
      <w:r>
        <w:rPr>
          <w:b/>
        </w:rPr>
        <w:t>n</w:t>
      </w:r>
      <w:r w:rsidRPr="00A52039">
        <w:rPr>
          <w:b/>
        </w:rPr>
        <w:t>eed to rely more on investment and productivity</w:t>
      </w:r>
      <w:r>
        <w:rPr>
          <w:b/>
        </w:rPr>
        <w:t>—given likely constraints on employment gains--</w:t>
      </w:r>
      <w:r w:rsidRPr="00A52039">
        <w:rPr>
          <w:b/>
        </w:rPr>
        <w:t xml:space="preserve">to </w:t>
      </w:r>
      <w:r>
        <w:rPr>
          <w:b/>
        </w:rPr>
        <w:t>sustain</w:t>
      </w:r>
      <w:r w:rsidRPr="00A52039">
        <w:rPr>
          <w:b/>
        </w:rPr>
        <w:t xml:space="preserve"> growth</w:t>
      </w:r>
      <w:r>
        <w:t>. The demographic dividend of a rapidly rising working age population and rapid gains in employment are coming to an end. Over the next decade, the labor pool will expand at a much slower rate, reflecting demographic trends that will slow labor force growth, but also employment and participation rates at their highest levels for at least four decades. Assuming that capital accumulation will be constrained by a domestic saving rate near current low levels and a current account (or foreign saving) consistent with longer-term fundamentals, much will depend on productivity. Brazil’s past record is modest, at best, and to deliver the productivity growth required to deliver 3½ percent growth many of the supply constraints currently challenging the economy, notably large infrastructure gaps, will need to be addressed comprehensively. Without such progress, the risks are that long-term growth could fall short of even this downwardly revised estimate.</w:t>
      </w:r>
    </w:p>
    <w:p w:rsidR="00AE6BD6" w:rsidRDefault="00AE6BD6" w:rsidP="00AE6BD6">
      <w:pPr>
        <w:keepNext/>
        <w:spacing w:line="240" w:lineRule="auto"/>
      </w:pPr>
    </w:p>
    <w:p w:rsidR="00AE6BD6" w:rsidRPr="00C410E7" w:rsidRDefault="00AE6BD6" w:rsidP="00AE6BD6">
      <w:pPr>
        <w:keepNext/>
        <w:spacing w:line="240" w:lineRule="auto"/>
      </w:pPr>
      <w:r w:rsidRPr="00056957">
        <w:rPr>
          <w:noProof/>
        </w:rPr>
        <w:drawing>
          <wp:inline distT="0" distB="0" distL="0" distR="0">
            <wp:extent cx="5715000" cy="4805378"/>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srcRect/>
                    <a:stretch>
                      <a:fillRect/>
                    </a:stretch>
                  </pic:blipFill>
                  <pic:spPr bwMode="auto">
                    <a:xfrm>
                      <a:off x="0" y="0"/>
                      <a:ext cx="5715000" cy="4805378"/>
                    </a:xfrm>
                    <a:prstGeom prst="rect">
                      <a:avLst/>
                    </a:prstGeom>
                    <a:noFill/>
                    <a:ln w="9525">
                      <a:noFill/>
                      <a:miter lim="800000"/>
                      <a:headEnd/>
                      <a:tailEnd/>
                    </a:ln>
                  </pic:spPr>
                </pic:pic>
              </a:graphicData>
            </a:graphic>
          </wp:inline>
        </w:drawing>
      </w:r>
      <w:r>
        <w:t xml:space="preserve"> </w:t>
      </w:r>
    </w:p>
    <w:p w:rsidR="007449EC" w:rsidRDefault="007449EC" w:rsidP="00AE6BD6">
      <w:pPr>
        <w:spacing w:line="240" w:lineRule="auto"/>
        <w:rPr>
          <w:rFonts w:cs="Segoe UI"/>
          <w:sz w:val="19"/>
          <w:szCs w:val="19"/>
        </w:rPr>
      </w:pPr>
    </w:p>
    <w:tbl>
      <w:tblPr>
        <w:tblStyle w:val="TableGrid"/>
        <w:tblW w:w="9314" w:type="dxa"/>
        <w:jc w:val="center"/>
        <w:tblBorders>
          <w:insideH w:val="none" w:sz="0" w:space="0" w:color="auto"/>
          <w:insideV w:val="none" w:sz="0" w:space="0" w:color="auto"/>
        </w:tblBorders>
        <w:shd w:val="clear" w:color="auto" w:fill="DBE5F1" w:themeFill="accent1" w:themeFillTint="33"/>
        <w:tblLayout w:type="fixed"/>
        <w:tblLook w:val="04A0" w:firstRow="1" w:lastRow="0" w:firstColumn="1" w:lastColumn="0" w:noHBand="0" w:noVBand="1"/>
      </w:tblPr>
      <w:tblGrid>
        <w:gridCol w:w="9314"/>
      </w:tblGrid>
      <w:tr w:rsidR="00D65DD6" w:rsidTr="00CF67FE">
        <w:trPr>
          <w:trHeight w:val="458"/>
          <w:jc w:val="center"/>
        </w:trPr>
        <w:tc>
          <w:tcPr>
            <w:tcW w:w="9314" w:type="dxa"/>
            <w:shd w:val="clear" w:color="auto" w:fill="auto"/>
            <w:vAlign w:val="center"/>
          </w:tcPr>
          <w:p w:rsidR="00D65DD6" w:rsidRPr="002F1B10" w:rsidRDefault="00D65DD6" w:rsidP="00D65DD6">
            <w:pPr>
              <w:jc w:val="center"/>
              <w:rPr>
                <w:rFonts w:cs="Segoe UI"/>
                <w:b/>
                <w:color w:val="4B82AD"/>
                <w:szCs w:val="21"/>
              </w:rPr>
            </w:pPr>
            <w:r w:rsidRPr="002F1B10">
              <w:rPr>
                <w:rFonts w:eastAsia="Malgun Gothic" w:cs="Segoe UI" w:hint="eastAsia"/>
                <w:b/>
                <w:color w:val="4B82AD"/>
                <w:szCs w:val="21"/>
                <w:lang w:eastAsia="ko-KR"/>
              </w:rPr>
              <w:lastRenderedPageBreak/>
              <w:t xml:space="preserve">Box </w:t>
            </w:r>
            <w:r>
              <w:rPr>
                <w:rFonts w:eastAsia="Malgun Gothic" w:cs="Segoe UI"/>
                <w:b/>
                <w:color w:val="4B82AD"/>
                <w:szCs w:val="21"/>
                <w:lang w:eastAsia="ko-KR"/>
              </w:rPr>
              <w:t>3</w:t>
            </w:r>
            <w:r w:rsidRPr="002F1B10">
              <w:rPr>
                <w:rFonts w:eastAsia="Malgun Gothic" w:cs="Segoe UI" w:hint="eastAsia"/>
                <w:b/>
                <w:color w:val="4B82AD"/>
                <w:szCs w:val="21"/>
                <w:lang w:eastAsia="ko-KR"/>
              </w:rPr>
              <w:t xml:space="preserve">. Brazil: </w:t>
            </w:r>
            <w:r>
              <w:rPr>
                <w:rFonts w:eastAsia="Malgun Gothic" w:cs="Segoe UI"/>
                <w:b/>
                <w:color w:val="4B82AD"/>
                <w:szCs w:val="21"/>
                <w:lang w:eastAsia="ko-KR"/>
              </w:rPr>
              <w:t xml:space="preserve">Rapid Expansion of </w:t>
            </w:r>
            <w:r>
              <w:rPr>
                <w:rFonts w:eastAsia="Malgun Gothic" w:cs="Segoe UI" w:hint="eastAsia"/>
                <w:b/>
                <w:color w:val="4B82AD"/>
                <w:szCs w:val="21"/>
                <w:lang w:eastAsia="ko-KR"/>
              </w:rPr>
              <w:t>Public Banks</w:t>
            </w:r>
            <w:r>
              <w:rPr>
                <w:rFonts w:eastAsia="Malgun Gothic" w:cs="Segoe UI"/>
                <w:b/>
                <w:color w:val="4B82AD"/>
                <w:szCs w:val="21"/>
                <w:lang w:eastAsia="ko-KR"/>
              </w:rPr>
              <w:t xml:space="preserve"> in Recent Years</w:t>
            </w:r>
            <w:r w:rsidRPr="002F1B10">
              <w:rPr>
                <w:rFonts w:eastAsia="Malgun Gothic" w:cs="Segoe UI" w:hint="eastAsia"/>
                <w:b/>
                <w:color w:val="4B82AD"/>
                <w:szCs w:val="21"/>
                <w:vertAlign w:val="superscript"/>
                <w:lang w:eastAsia="ko-KR"/>
              </w:rPr>
              <w:t>1</w:t>
            </w:r>
          </w:p>
        </w:tc>
      </w:tr>
      <w:tr w:rsidR="00D65DD6" w:rsidTr="00CF67FE">
        <w:trPr>
          <w:trHeight w:val="968"/>
          <w:jc w:val="center"/>
        </w:trPr>
        <w:tc>
          <w:tcPr>
            <w:tcW w:w="9314" w:type="dxa"/>
            <w:shd w:val="clear" w:color="auto" w:fill="auto"/>
          </w:tcPr>
          <w:p w:rsidR="00D65DD6" w:rsidRDefault="00D65DD6" w:rsidP="00D65DD6">
            <w:pPr>
              <w:spacing w:after="120" w:line="240" w:lineRule="auto"/>
              <w:rPr>
                <w:rFonts w:eastAsiaTheme="minorEastAsia" w:cs="Segoe UI"/>
                <w:sz w:val="19"/>
                <w:szCs w:val="19"/>
                <w:lang w:eastAsia="ko-KR"/>
              </w:rPr>
            </w:pPr>
            <w:r>
              <w:rPr>
                <w:rFonts w:eastAsiaTheme="minorEastAsia" w:cs="Segoe UI" w:hint="eastAsia"/>
                <w:b/>
                <w:sz w:val="19"/>
                <w:szCs w:val="19"/>
                <w:lang w:eastAsia="ko-KR"/>
              </w:rPr>
              <w:t>P</w:t>
            </w:r>
            <w:r w:rsidRPr="005F7651">
              <w:rPr>
                <w:rFonts w:eastAsiaTheme="minorEastAsia" w:cs="Segoe UI" w:hint="eastAsia"/>
                <w:b/>
                <w:sz w:val="19"/>
                <w:szCs w:val="19"/>
                <w:lang w:eastAsia="ko-KR"/>
              </w:rPr>
              <w:t>ublic banks</w:t>
            </w:r>
            <w:r>
              <w:rPr>
                <w:rFonts w:eastAsiaTheme="minorEastAsia" w:cs="Segoe UI"/>
                <w:b/>
                <w:sz w:val="19"/>
                <w:szCs w:val="19"/>
                <w:lang w:eastAsia="ko-KR"/>
              </w:rPr>
              <w:t>’</w:t>
            </w:r>
            <w:r w:rsidRPr="005F7651">
              <w:rPr>
                <w:rFonts w:eastAsiaTheme="minorEastAsia" w:cs="Segoe UI" w:hint="eastAsia"/>
                <w:b/>
                <w:sz w:val="19"/>
                <w:szCs w:val="19"/>
                <w:lang w:eastAsia="ko-KR"/>
              </w:rPr>
              <w:t xml:space="preserve"> </w:t>
            </w:r>
            <w:r>
              <w:rPr>
                <w:rFonts w:eastAsiaTheme="minorEastAsia" w:cs="Segoe UI"/>
                <w:b/>
                <w:sz w:val="19"/>
                <w:szCs w:val="19"/>
                <w:lang w:eastAsia="ko-KR"/>
              </w:rPr>
              <w:t>lending has grown very rapidly</w:t>
            </w:r>
            <w:r w:rsidRPr="005F7651">
              <w:rPr>
                <w:rFonts w:eastAsiaTheme="minorEastAsia" w:cs="Segoe UI" w:hint="eastAsia"/>
                <w:b/>
                <w:sz w:val="19"/>
                <w:szCs w:val="19"/>
                <w:lang w:eastAsia="ko-KR"/>
              </w:rPr>
              <w:t xml:space="preserve"> </w:t>
            </w:r>
            <w:r>
              <w:rPr>
                <w:rFonts w:eastAsiaTheme="minorEastAsia" w:cs="Segoe UI" w:hint="eastAsia"/>
                <w:b/>
                <w:noProof/>
                <w:sz w:val="19"/>
                <w:szCs w:val="19"/>
                <w:lang w:eastAsia="ko-KR"/>
              </w:rPr>
              <w:t>s</w:t>
            </w:r>
            <w:r w:rsidRPr="005F7651">
              <w:rPr>
                <w:rFonts w:eastAsiaTheme="minorEastAsia" w:cs="Segoe UI" w:hint="eastAsia"/>
                <w:b/>
                <w:sz w:val="19"/>
                <w:szCs w:val="19"/>
                <w:lang w:eastAsia="ko-KR"/>
              </w:rPr>
              <w:t>ince the global financial crisis.</w:t>
            </w:r>
            <w:r>
              <w:rPr>
                <w:rFonts w:eastAsiaTheme="minorEastAsia" w:cs="Segoe UI" w:hint="eastAsia"/>
                <w:sz w:val="19"/>
                <w:szCs w:val="19"/>
                <w:lang w:eastAsia="ko-KR"/>
              </w:rPr>
              <w:t xml:space="preserve"> </w:t>
            </w:r>
            <w:r>
              <w:rPr>
                <w:rFonts w:eastAsiaTheme="minorEastAsia" w:cs="Segoe UI"/>
                <w:sz w:val="19"/>
                <w:szCs w:val="19"/>
                <w:lang w:eastAsia="ko-KR"/>
              </w:rPr>
              <w:t>Public</w:t>
            </w:r>
            <w:r>
              <w:rPr>
                <w:rFonts w:eastAsiaTheme="minorEastAsia" w:cs="Segoe UI" w:hint="eastAsia"/>
                <w:sz w:val="19"/>
                <w:szCs w:val="19"/>
                <w:lang w:eastAsia="ko-KR"/>
              </w:rPr>
              <w:t xml:space="preserve"> banks have </w:t>
            </w:r>
            <w:r w:rsidRPr="00C15E75">
              <w:rPr>
                <w:rFonts w:eastAsiaTheme="minorEastAsia" w:cs="Segoe UI" w:hint="eastAsia"/>
                <w:bCs/>
                <w:sz w:val="19"/>
                <w:szCs w:val="19"/>
                <w:lang w:eastAsia="ko-KR"/>
              </w:rPr>
              <w:t>carried out a</w:t>
            </w:r>
            <w:r w:rsidRPr="00C15E75">
              <w:rPr>
                <w:rFonts w:cs="Segoe UI"/>
                <w:bCs/>
                <w:sz w:val="19"/>
                <w:szCs w:val="19"/>
              </w:rPr>
              <w:t xml:space="preserve"> </w:t>
            </w:r>
            <w:r w:rsidRPr="00C15E75">
              <w:rPr>
                <w:rFonts w:eastAsiaTheme="minorEastAsia" w:cs="Segoe UI" w:hint="eastAsia"/>
                <w:bCs/>
                <w:sz w:val="19"/>
                <w:szCs w:val="19"/>
                <w:lang w:eastAsia="ko-KR"/>
              </w:rPr>
              <w:t xml:space="preserve">social lending mandate </w:t>
            </w:r>
            <w:r w:rsidRPr="00C15E75">
              <w:rPr>
                <w:rFonts w:cs="Segoe UI"/>
                <w:bCs/>
                <w:sz w:val="19"/>
                <w:szCs w:val="19"/>
              </w:rPr>
              <w:t>to expand access to finance</w:t>
            </w:r>
            <w:r w:rsidRPr="00C15E75">
              <w:rPr>
                <w:rFonts w:eastAsiaTheme="minorEastAsia" w:cs="Segoe UI" w:hint="eastAsia"/>
                <w:bCs/>
                <w:sz w:val="19"/>
                <w:szCs w:val="19"/>
                <w:lang w:eastAsia="ko-KR"/>
              </w:rPr>
              <w:t xml:space="preserve"> and </w:t>
            </w:r>
            <w:r w:rsidRPr="00C15E75">
              <w:rPr>
                <w:rFonts w:cs="Segoe UI"/>
                <w:bCs/>
                <w:sz w:val="19"/>
                <w:szCs w:val="19"/>
              </w:rPr>
              <w:t>support development</w:t>
            </w:r>
            <w:r>
              <w:rPr>
                <w:rFonts w:eastAsiaTheme="minorEastAsia" w:cs="Segoe UI" w:hint="eastAsia"/>
                <w:sz w:val="19"/>
                <w:szCs w:val="19"/>
                <w:lang w:eastAsia="ko-KR"/>
              </w:rPr>
              <w:t xml:space="preserve">: </w:t>
            </w:r>
            <w:r w:rsidRPr="003968D6">
              <w:rPr>
                <w:rFonts w:cs="Segoe UI"/>
                <w:sz w:val="19"/>
                <w:szCs w:val="19"/>
              </w:rPr>
              <w:t>Caixa</w:t>
            </w:r>
            <w:r>
              <w:rPr>
                <w:rFonts w:cs="Segoe UI"/>
                <w:sz w:val="19"/>
                <w:szCs w:val="19"/>
              </w:rPr>
              <w:t xml:space="preserve"> has focused on housing loans</w:t>
            </w:r>
            <w:r>
              <w:rPr>
                <w:rFonts w:eastAsiaTheme="minorEastAsia" w:cs="Segoe UI" w:hint="eastAsia"/>
                <w:sz w:val="19"/>
                <w:szCs w:val="19"/>
                <w:lang w:eastAsia="ko-KR"/>
              </w:rPr>
              <w:t xml:space="preserve">, </w:t>
            </w:r>
            <w:r>
              <w:rPr>
                <w:rFonts w:eastAsiaTheme="minorEastAsia" w:cs="Segoe UI"/>
                <w:sz w:val="19"/>
                <w:szCs w:val="19"/>
                <w:lang w:eastAsia="ko-KR"/>
              </w:rPr>
              <w:t>while</w:t>
            </w:r>
            <w:r>
              <w:rPr>
                <w:rFonts w:eastAsiaTheme="minorEastAsia" w:cs="Segoe UI" w:hint="eastAsia"/>
                <w:sz w:val="19"/>
                <w:szCs w:val="19"/>
                <w:lang w:eastAsia="ko-KR"/>
              </w:rPr>
              <w:t xml:space="preserve"> </w:t>
            </w:r>
            <w:r w:rsidRPr="003968D6">
              <w:rPr>
                <w:rFonts w:cs="Segoe UI"/>
                <w:sz w:val="19"/>
                <w:szCs w:val="19"/>
              </w:rPr>
              <w:t xml:space="preserve">BNDES </w:t>
            </w:r>
            <w:r>
              <w:rPr>
                <w:rFonts w:cs="Segoe UI"/>
                <w:sz w:val="19"/>
                <w:szCs w:val="19"/>
              </w:rPr>
              <w:t xml:space="preserve">has </w:t>
            </w:r>
            <w:r>
              <w:rPr>
                <w:rFonts w:eastAsiaTheme="minorEastAsia" w:cs="Segoe UI" w:hint="eastAsia"/>
                <w:sz w:val="19"/>
                <w:szCs w:val="19"/>
                <w:lang w:eastAsia="ko-KR"/>
              </w:rPr>
              <w:t>provide</w:t>
            </w:r>
            <w:r>
              <w:rPr>
                <w:rFonts w:eastAsiaTheme="minorEastAsia" w:cs="Segoe UI"/>
                <w:sz w:val="19"/>
                <w:szCs w:val="19"/>
                <w:lang w:eastAsia="ko-KR"/>
              </w:rPr>
              <w:t>d</w:t>
            </w:r>
            <w:r>
              <w:rPr>
                <w:rFonts w:eastAsiaTheme="minorEastAsia" w:cs="Segoe UI" w:hint="eastAsia"/>
                <w:sz w:val="19"/>
                <w:szCs w:val="19"/>
                <w:lang w:eastAsia="ko-KR"/>
              </w:rPr>
              <w:t xml:space="preserve"> financing for long-term investments in economic </w:t>
            </w:r>
            <w:r>
              <w:rPr>
                <w:rFonts w:eastAsiaTheme="minorEastAsia" w:cs="Segoe UI"/>
                <w:sz w:val="19"/>
                <w:szCs w:val="19"/>
                <w:lang w:eastAsia="ko-KR"/>
              </w:rPr>
              <w:t>development</w:t>
            </w:r>
            <w:r>
              <w:rPr>
                <w:rFonts w:eastAsiaTheme="minorEastAsia" w:cs="Segoe UI" w:hint="eastAsia"/>
                <w:sz w:val="19"/>
                <w:szCs w:val="19"/>
                <w:lang w:eastAsia="ko-KR"/>
              </w:rPr>
              <w:t xml:space="preserve"> programs.</w:t>
            </w:r>
            <w:r w:rsidRPr="00C15E75">
              <w:rPr>
                <w:rFonts w:eastAsiaTheme="minorEastAsia" w:cs="Segoe UI" w:hint="eastAsia"/>
                <w:bCs/>
                <w:sz w:val="19"/>
                <w:szCs w:val="19"/>
                <w:lang w:eastAsia="ko-KR"/>
              </w:rPr>
              <w:t xml:space="preserve"> </w:t>
            </w:r>
            <w:r>
              <w:rPr>
                <w:rFonts w:cs="Segoe UI"/>
                <w:sz w:val="19"/>
                <w:szCs w:val="19"/>
                <w:lang w:eastAsia="ko-KR"/>
              </w:rPr>
              <w:t xml:space="preserve">During this period, lending by public banks grew at an average rate of 28 percent per year, increasing the share of </w:t>
            </w:r>
            <w:r>
              <w:rPr>
                <w:rFonts w:eastAsiaTheme="minorEastAsia" w:cs="Segoe UI" w:hint="eastAsia"/>
                <w:sz w:val="19"/>
                <w:szCs w:val="19"/>
                <w:lang w:eastAsia="ko-KR"/>
              </w:rPr>
              <w:t xml:space="preserve">total credit from </w:t>
            </w:r>
            <w:r>
              <w:rPr>
                <w:rFonts w:eastAsiaTheme="minorEastAsia" w:cs="Segoe UI"/>
                <w:sz w:val="19"/>
                <w:szCs w:val="19"/>
                <w:lang w:eastAsia="ko-KR"/>
              </w:rPr>
              <w:t>36</w:t>
            </w:r>
            <w:r>
              <w:rPr>
                <w:rFonts w:eastAsiaTheme="minorEastAsia" w:cs="Segoe UI" w:hint="eastAsia"/>
                <w:sz w:val="19"/>
                <w:szCs w:val="19"/>
                <w:lang w:eastAsia="ko-KR"/>
              </w:rPr>
              <w:t xml:space="preserve"> to 48 percent. Notably, Caixa expanded its </w:t>
            </w:r>
            <w:r>
              <w:rPr>
                <w:rFonts w:eastAsiaTheme="minorEastAsia" w:cs="Segoe UI"/>
                <w:sz w:val="19"/>
                <w:szCs w:val="19"/>
                <w:lang w:eastAsia="ko-KR"/>
              </w:rPr>
              <w:t xml:space="preserve">lending </w:t>
            </w:r>
            <w:r>
              <w:rPr>
                <w:rFonts w:eastAsiaTheme="minorEastAsia" w:cs="Segoe UI" w:hint="eastAsia"/>
                <w:sz w:val="19"/>
                <w:szCs w:val="19"/>
                <w:lang w:eastAsia="ko-KR"/>
              </w:rPr>
              <w:t>by 42 percent in 2011</w:t>
            </w:r>
            <w:r>
              <w:rPr>
                <w:rFonts w:eastAsiaTheme="minorEastAsia" w:cs="Segoe UI"/>
                <w:sz w:val="19"/>
                <w:szCs w:val="19"/>
                <w:lang w:eastAsia="ko-KR"/>
              </w:rPr>
              <w:t xml:space="preserve"> and 20</w:t>
            </w:r>
            <w:r>
              <w:rPr>
                <w:rFonts w:eastAsiaTheme="minorEastAsia" w:cs="Segoe UI" w:hint="eastAsia"/>
                <w:sz w:val="19"/>
                <w:szCs w:val="19"/>
                <w:lang w:eastAsia="ko-KR"/>
              </w:rPr>
              <w:t>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41"/>
              <w:gridCol w:w="4542"/>
            </w:tblGrid>
            <w:tr w:rsidR="00D65DD6" w:rsidTr="00CF67FE">
              <w:tc>
                <w:tcPr>
                  <w:tcW w:w="4541" w:type="dxa"/>
                </w:tcPr>
                <w:p w:rsidR="00D65DD6" w:rsidRDefault="00D65DD6" w:rsidP="00D65DD6">
                  <w:pPr>
                    <w:spacing w:after="240"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2009775"/>
                        <wp:effectExtent l="19050" t="0" r="0" b="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srcRect/>
                                <a:stretch>
                                  <a:fillRect/>
                                </a:stretch>
                              </pic:blipFill>
                              <pic:spPr bwMode="auto">
                                <a:xfrm>
                                  <a:off x="0" y="0"/>
                                  <a:ext cx="2743200" cy="2009775"/>
                                </a:xfrm>
                                <a:prstGeom prst="rect">
                                  <a:avLst/>
                                </a:prstGeom>
                                <a:noFill/>
                                <a:ln w="9525">
                                  <a:noFill/>
                                  <a:miter lim="800000"/>
                                  <a:headEnd/>
                                  <a:tailEnd/>
                                </a:ln>
                              </pic:spPr>
                            </pic:pic>
                          </a:graphicData>
                        </a:graphic>
                      </wp:inline>
                    </w:drawing>
                  </w:r>
                </w:p>
              </w:tc>
              <w:tc>
                <w:tcPr>
                  <w:tcW w:w="4542" w:type="dxa"/>
                </w:tcPr>
                <w:p w:rsidR="00D65DD6" w:rsidRDefault="00D65DD6" w:rsidP="00D65DD6">
                  <w:pPr>
                    <w:spacing w:after="240"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2019300"/>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srcRect/>
                                <a:stretch>
                                  <a:fillRect/>
                                </a:stretch>
                              </pic:blipFill>
                              <pic:spPr bwMode="auto">
                                <a:xfrm>
                                  <a:off x="0" y="0"/>
                                  <a:ext cx="2743200" cy="2019300"/>
                                </a:xfrm>
                                <a:prstGeom prst="rect">
                                  <a:avLst/>
                                </a:prstGeom>
                                <a:noFill/>
                                <a:ln w="9525">
                                  <a:noFill/>
                                  <a:miter lim="800000"/>
                                  <a:headEnd/>
                                  <a:tailEnd/>
                                </a:ln>
                              </pic:spPr>
                            </pic:pic>
                          </a:graphicData>
                        </a:graphic>
                      </wp:inline>
                    </w:drawing>
                  </w:r>
                </w:p>
              </w:tc>
            </w:tr>
          </w:tbl>
          <w:p w:rsidR="00D65DD6" w:rsidRDefault="00D65DD6" w:rsidP="00D65DD6">
            <w:pPr>
              <w:spacing w:after="240" w:line="240" w:lineRule="auto"/>
              <w:contextualSpacing/>
              <w:rPr>
                <w:rFonts w:eastAsiaTheme="minorEastAsia" w:cs="Segoe UI"/>
                <w:sz w:val="19"/>
                <w:szCs w:val="19"/>
                <w:lang w:eastAsia="ko-KR"/>
              </w:rPr>
            </w:pPr>
          </w:p>
          <w:p w:rsidR="00D65DD6" w:rsidRDefault="00D65DD6" w:rsidP="00D65DD6">
            <w:pPr>
              <w:autoSpaceDE w:val="0"/>
              <w:autoSpaceDN w:val="0"/>
              <w:adjustRightInd w:val="0"/>
              <w:spacing w:after="120" w:line="240" w:lineRule="auto"/>
              <w:rPr>
                <w:rFonts w:eastAsiaTheme="minorEastAsia" w:cs="Segoe UI"/>
                <w:sz w:val="19"/>
                <w:szCs w:val="19"/>
                <w:lang w:eastAsia="ko-KR"/>
              </w:rPr>
            </w:pPr>
            <w:r w:rsidRPr="00020638">
              <w:rPr>
                <w:rFonts w:eastAsiaTheme="minorEastAsia" w:cs="Segoe UI" w:hint="eastAsia"/>
                <w:b/>
                <w:bCs/>
                <w:sz w:val="19"/>
                <w:szCs w:val="19"/>
                <w:lang w:eastAsia="ko-KR"/>
              </w:rPr>
              <w:t>Public banks</w:t>
            </w:r>
            <w:r>
              <w:rPr>
                <w:rFonts w:eastAsiaTheme="minorEastAsia" w:cs="Segoe UI"/>
                <w:b/>
                <w:bCs/>
                <w:sz w:val="19"/>
                <w:szCs w:val="19"/>
                <w:lang w:eastAsia="ko-KR"/>
              </w:rPr>
              <w:t xml:space="preserve"> have also expanded into new credit segments. </w:t>
            </w:r>
            <w:r>
              <w:rPr>
                <w:rFonts w:eastAsiaTheme="minorEastAsia" w:cs="Segoe UI"/>
                <w:sz w:val="19"/>
                <w:szCs w:val="19"/>
                <w:lang w:eastAsia="ko-KR"/>
              </w:rPr>
              <w:t>Caixa has continued to play a key role in the housing market, leading the overall increase in h</w:t>
            </w:r>
            <w:r>
              <w:rPr>
                <w:rFonts w:eastAsiaTheme="minorEastAsia" w:cs="Segoe UI" w:hint="eastAsia"/>
                <w:sz w:val="19"/>
                <w:szCs w:val="19"/>
                <w:lang w:eastAsia="ko-KR"/>
              </w:rPr>
              <w:t xml:space="preserve">ousing loans </w:t>
            </w:r>
            <w:r>
              <w:rPr>
                <w:rFonts w:eastAsiaTheme="minorEastAsia" w:cs="Segoe UI"/>
                <w:sz w:val="19"/>
                <w:szCs w:val="19"/>
                <w:lang w:eastAsia="ko-KR"/>
              </w:rPr>
              <w:t xml:space="preserve">which more than double </w:t>
            </w:r>
            <w:r>
              <w:rPr>
                <w:rFonts w:eastAsiaTheme="minorEastAsia" w:cs="Segoe UI" w:hint="eastAsia"/>
                <w:sz w:val="19"/>
                <w:szCs w:val="19"/>
                <w:lang w:eastAsia="ko-KR"/>
              </w:rPr>
              <w:t>from 3.2 to 6.8</w:t>
            </w:r>
            <w:r w:rsidR="000C1966">
              <w:rPr>
                <w:rFonts w:eastAsiaTheme="minorEastAsia" w:cs="Segoe UI"/>
                <w:sz w:val="19"/>
                <w:szCs w:val="19"/>
                <w:lang w:eastAsia="ko-KR"/>
              </w:rPr>
              <w:t> </w:t>
            </w:r>
            <w:r>
              <w:rPr>
                <w:rFonts w:eastAsiaTheme="minorEastAsia" w:cs="Segoe UI" w:hint="eastAsia"/>
                <w:sz w:val="19"/>
                <w:szCs w:val="19"/>
                <w:lang w:eastAsia="ko-KR"/>
              </w:rPr>
              <w:t xml:space="preserve">percent of GDP in 2011-12. </w:t>
            </w:r>
            <w:r>
              <w:rPr>
                <w:rFonts w:eastAsiaTheme="minorEastAsia" w:cs="Segoe UI"/>
                <w:sz w:val="19"/>
                <w:szCs w:val="19"/>
                <w:lang w:eastAsia="ko-KR"/>
              </w:rPr>
              <w:t xml:space="preserve">In addition, Caixa has been actively expanding its </w:t>
            </w:r>
            <w:r>
              <w:rPr>
                <w:rFonts w:eastAsiaTheme="minorEastAsia" w:cs="Segoe UI" w:hint="eastAsia"/>
                <w:sz w:val="19"/>
                <w:szCs w:val="19"/>
                <w:lang w:eastAsia="ko-KR"/>
              </w:rPr>
              <w:t>business to individuals and corporations</w:t>
            </w:r>
            <w:r>
              <w:rPr>
                <w:rFonts w:eastAsiaTheme="minorEastAsia" w:cs="Segoe UI"/>
                <w:sz w:val="19"/>
                <w:szCs w:val="19"/>
                <w:lang w:eastAsia="ko-KR"/>
              </w:rPr>
              <w:t>, including</w:t>
            </w:r>
            <w:r>
              <w:rPr>
                <w:rFonts w:eastAsiaTheme="minorEastAsia" w:cs="Segoe UI" w:hint="eastAsia"/>
                <w:sz w:val="19"/>
                <w:szCs w:val="19"/>
                <w:lang w:eastAsia="ko-KR"/>
              </w:rPr>
              <w:t xml:space="preserve"> credit cards, trade credit, and securitization of real estate loans</w:t>
            </w:r>
            <w:r>
              <w:rPr>
                <w:rFonts w:eastAsiaTheme="minorEastAsia" w:cs="Segoe UI"/>
                <w:sz w:val="19"/>
                <w:szCs w:val="19"/>
                <w:lang w:eastAsia="ko-KR"/>
              </w:rPr>
              <w:t xml:space="preserve">. </w:t>
            </w:r>
            <w:r w:rsidRPr="00FD1F08">
              <w:rPr>
                <w:rFonts w:eastAsiaTheme="minorEastAsia" w:cs="Segoe UI"/>
                <w:sz w:val="19"/>
                <w:szCs w:val="19"/>
                <w:lang w:eastAsia="ko-KR"/>
              </w:rPr>
              <w:t>BNDES has typically been a major source of long</w:t>
            </w:r>
            <w:r>
              <w:rPr>
                <w:rFonts w:eastAsiaTheme="minorEastAsia" w:cs="Segoe UI" w:hint="eastAsia"/>
                <w:sz w:val="19"/>
                <w:szCs w:val="19"/>
                <w:lang w:eastAsia="ko-KR"/>
              </w:rPr>
              <w:t>-</w:t>
            </w:r>
            <w:r w:rsidRPr="00FD1F08">
              <w:rPr>
                <w:rFonts w:eastAsiaTheme="minorEastAsia" w:cs="Segoe UI"/>
                <w:sz w:val="19"/>
                <w:szCs w:val="19"/>
                <w:lang w:eastAsia="ko-KR"/>
              </w:rPr>
              <w:t>term financing for industry and infrastructure</w:t>
            </w:r>
            <w:r>
              <w:rPr>
                <w:rFonts w:eastAsiaTheme="minorEastAsia" w:cs="Segoe UI" w:hint="eastAsia"/>
                <w:sz w:val="19"/>
                <w:szCs w:val="19"/>
                <w:lang w:eastAsia="ko-KR"/>
              </w:rPr>
              <w:t xml:space="preserve">, but </w:t>
            </w:r>
            <w:r>
              <w:rPr>
                <w:rFonts w:eastAsiaTheme="minorEastAsia" w:cs="Segoe UI"/>
                <w:sz w:val="19"/>
                <w:szCs w:val="19"/>
                <w:lang w:eastAsia="ko-KR"/>
              </w:rPr>
              <w:t xml:space="preserve">has </w:t>
            </w:r>
            <w:r>
              <w:rPr>
                <w:rFonts w:eastAsiaTheme="minorEastAsia" w:cs="Segoe UI" w:hint="eastAsia"/>
                <w:sz w:val="19"/>
                <w:szCs w:val="19"/>
                <w:lang w:eastAsia="ko-KR"/>
              </w:rPr>
              <w:t xml:space="preserve">also played a market development role: </w:t>
            </w:r>
            <w:r>
              <w:rPr>
                <w:rFonts w:eastAsiaTheme="minorEastAsia" w:cs="Segoe UI"/>
                <w:sz w:val="19"/>
                <w:szCs w:val="19"/>
                <w:lang w:eastAsia="ko-KR"/>
              </w:rPr>
              <w:t xml:space="preserve">its </w:t>
            </w:r>
            <w:r w:rsidRPr="00FD1F08">
              <w:rPr>
                <w:rFonts w:eastAsiaTheme="minorEastAsia" w:cs="Segoe UI"/>
                <w:sz w:val="19"/>
                <w:szCs w:val="19"/>
                <w:lang w:eastAsia="ko-KR"/>
              </w:rPr>
              <w:t xml:space="preserve">holding company </w:t>
            </w:r>
            <w:r>
              <w:rPr>
                <w:rFonts w:eastAsiaTheme="minorEastAsia" w:cs="Segoe UI" w:hint="eastAsia"/>
                <w:sz w:val="19"/>
                <w:szCs w:val="19"/>
                <w:lang w:eastAsia="ko-KR"/>
              </w:rPr>
              <w:t>(</w:t>
            </w:r>
            <w:proofErr w:type="spellStart"/>
            <w:r w:rsidRPr="00FD1F08">
              <w:rPr>
                <w:rFonts w:eastAsiaTheme="minorEastAsia" w:cs="Segoe UI"/>
                <w:sz w:val="19"/>
                <w:szCs w:val="19"/>
                <w:lang w:eastAsia="ko-KR"/>
              </w:rPr>
              <w:t>BNDESPar</w:t>
            </w:r>
            <w:proofErr w:type="spellEnd"/>
            <w:r>
              <w:rPr>
                <w:rFonts w:eastAsiaTheme="minorEastAsia" w:cs="Segoe UI" w:hint="eastAsia"/>
                <w:sz w:val="19"/>
                <w:szCs w:val="19"/>
                <w:lang w:eastAsia="ko-KR"/>
              </w:rPr>
              <w:t>)</w:t>
            </w:r>
            <w:r w:rsidRPr="00FD1F08">
              <w:rPr>
                <w:rFonts w:eastAsiaTheme="minorEastAsia" w:cs="Segoe UI"/>
                <w:sz w:val="19"/>
                <w:szCs w:val="19"/>
                <w:lang w:eastAsia="ko-KR"/>
              </w:rPr>
              <w:t xml:space="preserve"> </w:t>
            </w:r>
            <w:r>
              <w:rPr>
                <w:rFonts w:eastAsiaTheme="minorEastAsia" w:cs="Segoe UI"/>
                <w:sz w:val="19"/>
                <w:szCs w:val="19"/>
                <w:lang w:eastAsia="ko-KR"/>
              </w:rPr>
              <w:t xml:space="preserve">has </w:t>
            </w:r>
            <w:r w:rsidRPr="00FD1F08">
              <w:rPr>
                <w:rFonts w:eastAsiaTheme="minorEastAsia" w:cs="Segoe UI"/>
                <w:sz w:val="19"/>
                <w:szCs w:val="19"/>
                <w:lang w:eastAsia="ko-KR"/>
              </w:rPr>
              <w:t xml:space="preserve">issued corporate bonds under </w:t>
            </w:r>
            <w:r>
              <w:rPr>
                <w:rFonts w:eastAsiaTheme="minorEastAsia" w:cs="Segoe UI"/>
                <w:sz w:val="19"/>
                <w:szCs w:val="19"/>
                <w:lang w:eastAsia="ko-KR"/>
              </w:rPr>
              <w:t xml:space="preserve">the </w:t>
            </w:r>
            <w:r w:rsidRPr="00FD1F08">
              <w:rPr>
                <w:rFonts w:eastAsiaTheme="minorEastAsia" w:cs="Segoe UI"/>
                <w:sz w:val="19"/>
                <w:szCs w:val="19"/>
                <w:lang w:eastAsia="ko-KR"/>
              </w:rPr>
              <w:t>guidelines of</w:t>
            </w:r>
            <w:r>
              <w:rPr>
                <w:rFonts w:eastAsiaTheme="minorEastAsia" w:cs="Segoe UI"/>
                <w:sz w:val="19"/>
                <w:szCs w:val="19"/>
                <w:lang w:eastAsia="ko-KR"/>
              </w:rPr>
              <w:t xml:space="preserve"> the</w:t>
            </w:r>
            <w:r w:rsidRPr="00FD1F08">
              <w:rPr>
                <w:rFonts w:eastAsiaTheme="minorEastAsia" w:cs="Segoe UI"/>
                <w:sz w:val="19"/>
                <w:szCs w:val="19"/>
                <w:lang w:eastAsia="ko-KR"/>
              </w:rPr>
              <w:t xml:space="preserve"> </w:t>
            </w:r>
            <w:r>
              <w:rPr>
                <w:rFonts w:eastAsiaTheme="minorEastAsia" w:cs="Segoe UI"/>
                <w:sz w:val="19"/>
                <w:szCs w:val="19"/>
                <w:lang w:eastAsia="ko-KR"/>
              </w:rPr>
              <w:t>“</w:t>
            </w:r>
            <w:r>
              <w:rPr>
                <w:rFonts w:eastAsiaTheme="minorEastAsia" w:cs="Segoe UI" w:hint="eastAsia"/>
                <w:sz w:val="19"/>
                <w:szCs w:val="19"/>
                <w:lang w:eastAsia="ko-KR"/>
              </w:rPr>
              <w:t>New Fixed Income Market</w:t>
            </w:r>
            <w:r>
              <w:rPr>
                <w:rFonts w:eastAsiaTheme="minorEastAsia" w:cs="Segoe UI"/>
                <w:sz w:val="19"/>
                <w:szCs w:val="19"/>
                <w:lang w:eastAsia="ko-KR"/>
              </w:rPr>
              <w:t>”</w:t>
            </w:r>
            <w:r>
              <w:rPr>
                <w:rFonts w:eastAsiaTheme="minorEastAsia" w:cs="Segoe UI" w:hint="eastAsia"/>
                <w:sz w:val="19"/>
                <w:szCs w:val="19"/>
                <w:lang w:eastAsia="ko-KR"/>
              </w:rPr>
              <w:t xml:space="preserve"> </w:t>
            </w:r>
            <w:r>
              <w:rPr>
                <w:rFonts w:eastAsiaTheme="minorEastAsia" w:cs="Segoe UI"/>
                <w:sz w:val="19"/>
                <w:szCs w:val="19"/>
                <w:lang w:eastAsia="ko-KR"/>
              </w:rPr>
              <w:t xml:space="preserve">program to support the development of the market </w:t>
            </w:r>
            <w:r w:rsidRPr="00BA3C0D">
              <w:rPr>
                <w:rFonts w:eastAsiaTheme="minorEastAsia" w:cs="Segoe UI" w:hint="eastAsia"/>
                <w:sz w:val="19"/>
                <w:szCs w:val="19"/>
                <w:vertAlign w:val="superscript"/>
                <w:lang w:eastAsia="ko-KR"/>
              </w:rPr>
              <w:t>2</w:t>
            </w:r>
            <w:r w:rsidRPr="00FD1F08">
              <w:rPr>
                <w:rFonts w:eastAsiaTheme="minorEastAsia" w:cs="Segoe UI" w:hint="eastAsia"/>
                <w:sz w:val="19"/>
                <w:szCs w:val="19"/>
                <w:lang w:eastAsia="ko-KR"/>
              </w:rPr>
              <w:t xml:space="preserve"> </w:t>
            </w:r>
            <w:r>
              <w:rPr>
                <w:rFonts w:eastAsiaTheme="minorEastAsia" w:cs="Segoe UI" w:hint="eastAsia"/>
                <w:sz w:val="19"/>
                <w:szCs w:val="19"/>
                <w:lang w:eastAsia="ko-KR"/>
              </w:rPr>
              <w:t>and</w:t>
            </w:r>
            <w:r w:rsidRPr="00BA3C0D">
              <w:rPr>
                <w:rFonts w:eastAsiaTheme="minorEastAsia" w:cs="Segoe UI" w:hint="eastAsia"/>
                <w:sz w:val="19"/>
                <w:szCs w:val="19"/>
                <w:lang w:eastAsia="ko-KR"/>
              </w:rPr>
              <w:t xml:space="preserve"> </w:t>
            </w:r>
            <w:r>
              <w:rPr>
                <w:rFonts w:eastAsiaTheme="minorEastAsia" w:cs="Segoe UI"/>
                <w:sz w:val="19"/>
                <w:szCs w:val="19"/>
                <w:lang w:eastAsia="ko-KR"/>
              </w:rPr>
              <w:t xml:space="preserve">has </w:t>
            </w:r>
            <w:r w:rsidRPr="00BA3C0D">
              <w:rPr>
                <w:rFonts w:eastAsiaTheme="minorEastAsia" w:cs="Segoe UI" w:hint="eastAsia"/>
                <w:sz w:val="19"/>
                <w:szCs w:val="19"/>
                <w:lang w:eastAsia="ko-KR"/>
              </w:rPr>
              <w:t>signed an agreement to foster a market for environmental assets in Brazil together with the state of Rio de Janeiro and Acre in March 2013.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41"/>
              <w:gridCol w:w="4542"/>
            </w:tblGrid>
            <w:tr w:rsidR="00D65DD6" w:rsidTr="00CF67FE">
              <w:tc>
                <w:tcPr>
                  <w:tcW w:w="4541" w:type="dxa"/>
                </w:tcPr>
                <w:p w:rsidR="00D65DD6" w:rsidRDefault="00D65DD6" w:rsidP="00D65DD6">
                  <w:pPr>
                    <w:spacing w:after="240"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2009775"/>
                        <wp:effectExtent l="1905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srcRect/>
                                <a:stretch>
                                  <a:fillRect/>
                                </a:stretch>
                              </pic:blipFill>
                              <pic:spPr bwMode="auto">
                                <a:xfrm>
                                  <a:off x="0" y="0"/>
                                  <a:ext cx="2743200" cy="2009775"/>
                                </a:xfrm>
                                <a:prstGeom prst="rect">
                                  <a:avLst/>
                                </a:prstGeom>
                                <a:noFill/>
                                <a:ln w="9525">
                                  <a:noFill/>
                                  <a:miter lim="800000"/>
                                  <a:headEnd/>
                                  <a:tailEnd/>
                                </a:ln>
                              </pic:spPr>
                            </pic:pic>
                          </a:graphicData>
                        </a:graphic>
                      </wp:inline>
                    </w:drawing>
                  </w:r>
                </w:p>
              </w:tc>
              <w:tc>
                <w:tcPr>
                  <w:tcW w:w="4542" w:type="dxa"/>
                </w:tcPr>
                <w:p w:rsidR="00D65DD6" w:rsidRDefault="00D65DD6" w:rsidP="00D65DD6">
                  <w:pPr>
                    <w:spacing w:after="240" w:line="240" w:lineRule="auto"/>
                    <w:contextualSpacing/>
                    <w:rPr>
                      <w:rFonts w:eastAsiaTheme="minorEastAsia" w:cs="Segoe UI"/>
                      <w:sz w:val="19"/>
                      <w:szCs w:val="19"/>
                    </w:rPr>
                  </w:pPr>
                  <w:r w:rsidRPr="00A63DE5">
                    <w:rPr>
                      <w:rFonts w:eastAsiaTheme="minorEastAsia" w:cs="Segoe UI"/>
                      <w:noProof/>
                      <w:sz w:val="19"/>
                      <w:szCs w:val="19"/>
                    </w:rPr>
                    <w:drawing>
                      <wp:inline distT="0" distB="0" distL="0" distR="0">
                        <wp:extent cx="2743200" cy="2011680"/>
                        <wp:effectExtent l="1905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srcRect/>
                                <a:stretch>
                                  <a:fillRect/>
                                </a:stretch>
                              </pic:blipFill>
                              <pic:spPr bwMode="auto">
                                <a:xfrm>
                                  <a:off x="0" y="0"/>
                                  <a:ext cx="2743200" cy="2011680"/>
                                </a:xfrm>
                                <a:prstGeom prst="rect">
                                  <a:avLst/>
                                </a:prstGeom>
                                <a:noFill/>
                                <a:ln w="9525">
                                  <a:noFill/>
                                  <a:miter lim="800000"/>
                                  <a:headEnd/>
                                  <a:tailEnd/>
                                </a:ln>
                              </pic:spPr>
                            </pic:pic>
                          </a:graphicData>
                        </a:graphic>
                      </wp:inline>
                    </w:drawing>
                  </w:r>
                </w:p>
              </w:tc>
            </w:tr>
          </w:tbl>
          <w:p w:rsidR="00D65DD6" w:rsidRDefault="00D65DD6" w:rsidP="00D65DD6">
            <w:pPr>
              <w:keepNext/>
              <w:spacing w:line="240" w:lineRule="auto"/>
              <w:rPr>
                <w:rFonts w:eastAsiaTheme="minorEastAsia" w:cs="Segoe UI"/>
                <w:color w:val="000000" w:themeColor="text1"/>
                <w:sz w:val="19"/>
                <w:szCs w:val="19"/>
                <w:lang w:eastAsia="ko-KR"/>
              </w:rPr>
            </w:pPr>
          </w:p>
          <w:p w:rsidR="00D65DD6" w:rsidRDefault="002D4229" w:rsidP="00D65DD6">
            <w:pPr>
              <w:keepNext/>
              <w:spacing w:line="240" w:lineRule="auto"/>
              <w:rPr>
                <w:rFonts w:eastAsiaTheme="minorEastAsia" w:cs="Segoe UI"/>
                <w:color w:val="000000" w:themeColor="text1"/>
                <w:sz w:val="19"/>
                <w:szCs w:val="19"/>
                <w:lang w:eastAsia="ko-KR"/>
              </w:rPr>
            </w:pPr>
            <w:r>
              <w:rPr>
                <w:rFonts w:eastAsiaTheme="minorEastAsia" w:cs="Segoe UI"/>
                <w:noProof/>
                <w:color w:val="000000" w:themeColor="text1"/>
                <w:sz w:val="19"/>
                <w:szCs w:val="19"/>
                <w:lang w:eastAsia="ko-KR"/>
              </w:rPr>
              <w:pict>
                <v:shapetype id="_x0000_t32" coordsize="21600,21600" o:spt="32" o:oned="t" path="m,l21600,21600e" filled="f">
                  <v:path arrowok="t" fillok="f" o:connecttype="none"/>
                  <o:lock v:ext="edit" shapetype="t"/>
                </v:shapetype>
                <v:shape id="_x0000_s1026" type="#_x0000_t32" alt="" style="position:absolute;margin-left:.95pt;margin-top:6.9pt;width:392.25pt;height:0;z-index:251712512;mso-wrap-edited:f;mso-width-percent:0;mso-height-percent:0;mso-width-percent:0;mso-height-percent:0" o:connectortype="straight"/>
              </w:pict>
            </w:r>
          </w:p>
          <w:p w:rsidR="00D65DD6" w:rsidRPr="00574496" w:rsidRDefault="00D65DD6" w:rsidP="00D65DD6">
            <w:pPr>
              <w:keepNext/>
              <w:spacing w:after="120" w:line="240" w:lineRule="auto"/>
              <w:rPr>
                <w:rFonts w:eastAsiaTheme="minorEastAsia" w:cs="Segoe UI"/>
                <w:color w:val="000000" w:themeColor="text1"/>
                <w:sz w:val="17"/>
                <w:szCs w:val="17"/>
                <w:lang w:eastAsia="ko-KR"/>
              </w:rPr>
            </w:pPr>
            <w:r w:rsidRPr="00FD1F08">
              <w:rPr>
                <w:rFonts w:eastAsiaTheme="minorEastAsia" w:cs="Segoe UI" w:hint="eastAsia"/>
                <w:sz w:val="17"/>
                <w:szCs w:val="17"/>
                <w:lang w:eastAsia="ko-KR"/>
              </w:rPr>
              <w:t>1/</w:t>
            </w:r>
            <w:r w:rsidRPr="00FD1F08">
              <w:rPr>
                <w:rFonts w:eastAsiaTheme="minorEastAsia" w:cs="Segoe UI"/>
                <w:sz w:val="17"/>
                <w:szCs w:val="17"/>
                <w:lang w:eastAsia="ko-KR"/>
              </w:rPr>
              <w:t xml:space="preserve"> </w:t>
            </w:r>
            <w:r w:rsidRPr="00574496">
              <w:rPr>
                <w:rFonts w:eastAsiaTheme="minorEastAsia" w:cs="Segoe UI" w:hint="eastAsia"/>
                <w:color w:val="000000" w:themeColor="text1"/>
                <w:sz w:val="17"/>
                <w:szCs w:val="17"/>
                <w:lang w:eastAsia="ko-KR"/>
              </w:rPr>
              <w:t>Prepared by Mercedes Garcia-</w:t>
            </w:r>
            <w:proofErr w:type="spellStart"/>
            <w:r w:rsidRPr="00574496">
              <w:rPr>
                <w:rFonts w:eastAsiaTheme="minorEastAsia" w:cs="Segoe UI" w:hint="eastAsia"/>
                <w:color w:val="000000" w:themeColor="text1"/>
                <w:sz w:val="17"/>
                <w:szCs w:val="17"/>
                <w:lang w:eastAsia="ko-KR"/>
              </w:rPr>
              <w:t>Escribano</w:t>
            </w:r>
            <w:proofErr w:type="spellEnd"/>
            <w:r w:rsidRPr="00574496">
              <w:rPr>
                <w:rFonts w:eastAsiaTheme="minorEastAsia" w:cs="Segoe UI" w:hint="eastAsia"/>
                <w:color w:val="000000" w:themeColor="text1"/>
                <w:sz w:val="17"/>
                <w:szCs w:val="17"/>
                <w:lang w:eastAsia="ko-KR"/>
              </w:rPr>
              <w:t xml:space="preserve"> (WHD) and </w:t>
            </w:r>
            <w:proofErr w:type="spellStart"/>
            <w:r w:rsidRPr="00574496">
              <w:rPr>
                <w:rFonts w:eastAsiaTheme="minorEastAsia" w:cs="Segoe UI" w:hint="eastAsia"/>
                <w:color w:val="000000" w:themeColor="text1"/>
                <w:sz w:val="17"/>
                <w:szCs w:val="17"/>
                <w:lang w:eastAsia="ko-KR"/>
              </w:rPr>
              <w:t>Heedon</w:t>
            </w:r>
            <w:proofErr w:type="spellEnd"/>
            <w:r w:rsidRPr="00574496">
              <w:rPr>
                <w:rFonts w:eastAsiaTheme="minorEastAsia" w:cs="Segoe UI" w:hint="eastAsia"/>
                <w:color w:val="000000" w:themeColor="text1"/>
                <w:sz w:val="17"/>
                <w:szCs w:val="17"/>
                <w:lang w:eastAsia="ko-KR"/>
              </w:rPr>
              <w:t xml:space="preserve"> Kang (MCM).</w:t>
            </w:r>
          </w:p>
          <w:p w:rsidR="00D65DD6" w:rsidRDefault="00D65DD6" w:rsidP="00D65DD6">
            <w:pPr>
              <w:keepNext/>
              <w:spacing w:after="120" w:line="240" w:lineRule="auto"/>
              <w:rPr>
                <w:rFonts w:eastAsiaTheme="minorEastAsia" w:cs="Segoe UI"/>
                <w:sz w:val="17"/>
                <w:szCs w:val="17"/>
                <w:lang w:eastAsia="ko-KR"/>
              </w:rPr>
            </w:pPr>
            <w:r>
              <w:rPr>
                <w:rFonts w:eastAsiaTheme="minorEastAsia" w:cs="Segoe UI" w:hint="eastAsia"/>
                <w:sz w:val="17"/>
                <w:szCs w:val="17"/>
                <w:lang w:eastAsia="ko-KR"/>
              </w:rPr>
              <w:t xml:space="preserve">2/ </w:t>
            </w:r>
            <w:r w:rsidRPr="00FD1F08">
              <w:rPr>
                <w:rFonts w:eastAsiaTheme="minorEastAsia" w:cs="Segoe UI"/>
                <w:sz w:val="17"/>
                <w:szCs w:val="17"/>
                <w:lang w:eastAsia="ko-KR"/>
              </w:rPr>
              <w:t>The private capital markets association (</w:t>
            </w:r>
            <w:proofErr w:type="spellStart"/>
            <w:r w:rsidRPr="00FD1F08">
              <w:rPr>
                <w:rFonts w:eastAsiaTheme="minorEastAsia" w:cs="Segoe UI"/>
                <w:sz w:val="17"/>
                <w:szCs w:val="17"/>
                <w:lang w:eastAsia="ko-KR"/>
              </w:rPr>
              <w:t>Anbima</w:t>
            </w:r>
            <w:proofErr w:type="spellEnd"/>
            <w:r w:rsidRPr="00FD1F08">
              <w:rPr>
                <w:rFonts w:eastAsiaTheme="minorEastAsia" w:cs="Segoe UI"/>
                <w:sz w:val="17"/>
                <w:szCs w:val="17"/>
                <w:lang w:eastAsia="ko-KR"/>
              </w:rPr>
              <w:t xml:space="preserve">) launched </w:t>
            </w:r>
            <w:r>
              <w:rPr>
                <w:rFonts w:eastAsiaTheme="minorEastAsia" w:cs="Segoe UI"/>
                <w:sz w:val="17"/>
                <w:szCs w:val="17"/>
                <w:lang w:eastAsia="ko-KR"/>
              </w:rPr>
              <w:t>the</w:t>
            </w:r>
            <w:r w:rsidRPr="00FD1F08">
              <w:rPr>
                <w:rFonts w:eastAsiaTheme="minorEastAsia" w:cs="Segoe UI"/>
                <w:sz w:val="17"/>
                <w:szCs w:val="17"/>
                <w:lang w:eastAsia="ko-KR"/>
              </w:rPr>
              <w:t xml:space="preserve"> “New Fixed Income Market” </w:t>
            </w:r>
            <w:r>
              <w:rPr>
                <w:rFonts w:eastAsiaTheme="minorEastAsia" w:cs="Segoe UI"/>
                <w:sz w:val="17"/>
                <w:szCs w:val="17"/>
                <w:lang w:eastAsia="ko-KR"/>
              </w:rPr>
              <w:t>program</w:t>
            </w:r>
            <w:r w:rsidRPr="00FD1F08">
              <w:rPr>
                <w:rFonts w:eastAsiaTheme="minorEastAsia" w:cs="Segoe UI"/>
                <w:sz w:val="17"/>
                <w:szCs w:val="17"/>
                <w:lang w:eastAsia="ko-KR"/>
              </w:rPr>
              <w:t xml:space="preserve"> to facilitate long-term financing operation</w:t>
            </w:r>
            <w:r>
              <w:rPr>
                <w:rFonts w:eastAsiaTheme="minorEastAsia" w:cs="Segoe UI"/>
                <w:sz w:val="17"/>
                <w:szCs w:val="17"/>
                <w:lang w:eastAsia="ko-KR"/>
              </w:rPr>
              <w:t>s</w:t>
            </w:r>
            <w:r w:rsidRPr="00FD1F08">
              <w:rPr>
                <w:rFonts w:eastAsiaTheme="minorEastAsia" w:cs="Segoe UI"/>
                <w:sz w:val="17"/>
                <w:szCs w:val="17"/>
                <w:lang w:eastAsia="ko-KR"/>
              </w:rPr>
              <w:t>. This proposal includes a set of measures aiming to support secondary market liquidity that include standardization of issu</w:t>
            </w:r>
            <w:r>
              <w:rPr>
                <w:rFonts w:eastAsiaTheme="minorEastAsia" w:cs="Segoe UI"/>
                <w:sz w:val="17"/>
                <w:szCs w:val="17"/>
                <w:lang w:eastAsia="ko-KR"/>
              </w:rPr>
              <w:t>ances</w:t>
            </w:r>
            <w:r w:rsidRPr="00FD1F08">
              <w:rPr>
                <w:rFonts w:eastAsiaTheme="minorEastAsia" w:cs="Segoe UI"/>
                <w:sz w:val="17"/>
                <w:szCs w:val="17"/>
                <w:lang w:eastAsia="ko-KR"/>
              </w:rPr>
              <w:t xml:space="preserve"> and the plan for a liquidity improvement fund as w</w:t>
            </w:r>
            <w:r>
              <w:rPr>
                <w:rFonts w:eastAsiaTheme="minorEastAsia" w:cs="Segoe UI"/>
                <w:sz w:val="17"/>
                <w:szCs w:val="17"/>
                <w:lang w:eastAsia="ko-KR"/>
              </w:rPr>
              <w:t>ell as a liquidity guarantee fund</w:t>
            </w:r>
            <w:r>
              <w:rPr>
                <w:rFonts w:eastAsiaTheme="minorEastAsia" w:cs="Segoe UI" w:hint="eastAsia"/>
                <w:sz w:val="17"/>
                <w:szCs w:val="17"/>
                <w:lang w:eastAsia="ko-KR"/>
              </w:rPr>
              <w:t xml:space="preserve"> (Park, </w:t>
            </w:r>
            <w:proofErr w:type="spellStart"/>
            <w:r>
              <w:rPr>
                <w:rFonts w:eastAsiaTheme="minorEastAsia" w:cs="Segoe UI" w:hint="eastAsia"/>
                <w:sz w:val="17"/>
                <w:szCs w:val="17"/>
                <w:lang w:eastAsia="ko-KR"/>
              </w:rPr>
              <w:t>Joonkyu</w:t>
            </w:r>
            <w:proofErr w:type="spellEnd"/>
            <w:r>
              <w:rPr>
                <w:rFonts w:eastAsiaTheme="minorEastAsia" w:cs="Segoe UI" w:hint="eastAsia"/>
                <w:sz w:val="17"/>
                <w:szCs w:val="17"/>
                <w:lang w:eastAsia="ko-KR"/>
              </w:rPr>
              <w:t xml:space="preserve">, 2012, </w:t>
            </w:r>
            <w:r>
              <w:rPr>
                <w:rFonts w:eastAsiaTheme="minorEastAsia" w:cs="Segoe UI"/>
                <w:sz w:val="17"/>
                <w:szCs w:val="17"/>
                <w:lang w:eastAsia="ko-KR"/>
              </w:rPr>
              <w:t>“</w:t>
            </w:r>
            <w:r>
              <w:rPr>
                <w:rFonts w:eastAsiaTheme="minorEastAsia" w:cs="Segoe UI" w:hint="eastAsia"/>
                <w:sz w:val="17"/>
                <w:szCs w:val="17"/>
                <w:lang w:eastAsia="ko-KR"/>
              </w:rPr>
              <w:t>Brazil</w:t>
            </w:r>
            <w:r>
              <w:rPr>
                <w:rFonts w:eastAsiaTheme="minorEastAsia" w:cs="Segoe UI"/>
                <w:sz w:val="17"/>
                <w:szCs w:val="17"/>
                <w:lang w:eastAsia="ko-KR"/>
              </w:rPr>
              <w:t>’</w:t>
            </w:r>
            <w:r>
              <w:rPr>
                <w:rFonts w:eastAsiaTheme="minorEastAsia" w:cs="Segoe UI" w:hint="eastAsia"/>
                <w:sz w:val="17"/>
                <w:szCs w:val="17"/>
                <w:lang w:eastAsia="ko-KR"/>
              </w:rPr>
              <w:t>s Capital Market: Current Status and Issues for Further Development,</w:t>
            </w:r>
            <w:r>
              <w:rPr>
                <w:rFonts w:eastAsiaTheme="minorEastAsia" w:cs="Segoe UI"/>
                <w:sz w:val="17"/>
                <w:szCs w:val="17"/>
                <w:lang w:eastAsia="ko-KR"/>
              </w:rPr>
              <w:t>”</w:t>
            </w:r>
            <w:r>
              <w:rPr>
                <w:rFonts w:eastAsiaTheme="minorEastAsia" w:cs="Segoe UI" w:hint="eastAsia"/>
                <w:sz w:val="17"/>
                <w:szCs w:val="17"/>
                <w:lang w:eastAsia="ko-KR"/>
              </w:rPr>
              <w:t xml:space="preserve"> WP/12/224 (Washington: International Monetary Fund).</w:t>
            </w:r>
          </w:p>
          <w:p w:rsidR="004B165B" w:rsidRDefault="004B165B" w:rsidP="004B165B">
            <w:pPr>
              <w:autoSpaceDE w:val="0"/>
              <w:autoSpaceDN w:val="0"/>
              <w:adjustRightInd w:val="0"/>
              <w:spacing w:line="240" w:lineRule="auto"/>
              <w:rPr>
                <w:rFonts w:cs="Segoe UI"/>
                <w:b/>
                <w:noProof/>
                <w:sz w:val="19"/>
                <w:szCs w:val="19"/>
                <w:lang w:eastAsia="ko-KR"/>
              </w:rPr>
            </w:pPr>
          </w:p>
          <w:p w:rsidR="00D65DD6" w:rsidRPr="004B165B" w:rsidRDefault="00D65DD6" w:rsidP="00D65DD6">
            <w:pPr>
              <w:keepNext/>
              <w:spacing w:before="120" w:line="240" w:lineRule="auto"/>
              <w:rPr>
                <w:rFonts w:eastAsiaTheme="minorEastAsia" w:cs="Segoe UI"/>
                <w:sz w:val="19"/>
                <w:szCs w:val="19"/>
                <w:lang w:eastAsia="ko-KR"/>
              </w:rPr>
            </w:pPr>
            <w:r>
              <w:rPr>
                <w:rFonts w:cs="Segoe UI"/>
                <w:b/>
                <w:sz w:val="19"/>
                <w:szCs w:val="19"/>
              </w:rPr>
              <w:t>T</w:t>
            </w:r>
            <w:r w:rsidRPr="004D202D">
              <w:rPr>
                <w:rFonts w:cs="Segoe UI"/>
                <w:b/>
                <w:sz w:val="19"/>
                <w:szCs w:val="19"/>
              </w:rPr>
              <w:t xml:space="preserve">he substantial </w:t>
            </w:r>
            <w:r>
              <w:rPr>
                <w:rFonts w:eastAsiaTheme="minorEastAsia" w:cs="Segoe UI" w:hint="eastAsia"/>
                <w:b/>
                <w:sz w:val="19"/>
                <w:szCs w:val="19"/>
                <w:lang w:eastAsia="ko-KR"/>
              </w:rPr>
              <w:t>credit expansion</w:t>
            </w:r>
            <w:r w:rsidRPr="004D202D">
              <w:rPr>
                <w:rFonts w:cs="Segoe UI"/>
                <w:b/>
                <w:sz w:val="19"/>
                <w:szCs w:val="19"/>
              </w:rPr>
              <w:t xml:space="preserve"> by public banks</w:t>
            </w:r>
            <w:r>
              <w:rPr>
                <w:rFonts w:cs="Segoe UI"/>
                <w:b/>
                <w:sz w:val="19"/>
                <w:szCs w:val="19"/>
              </w:rPr>
              <w:t xml:space="preserve"> in recent years </w:t>
            </w:r>
            <w:r w:rsidRPr="004D202D">
              <w:rPr>
                <w:rFonts w:cs="Segoe UI"/>
                <w:b/>
                <w:sz w:val="19"/>
                <w:szCs w:val="19"/>
              </w:rPr>
              <w:t xml:space="preserve">has been </w:t>
            </w:r>
            <w:r>
              <w:rPr>
                <w:rFonts w:cs="Segoe UI"/>
                <w:b/>
                <w:sz w:val="19"/>
                <w:szCs w:val="19"/>
              </w:rPr>
              <w:t>financed with</w:t>
            </w:r>
            <w:r w:rsidRPr="004D202D">
              <w:rPr>
                <w:rFonts w:cs="Segoe UI"/>
                <w:b/>
                <w:sz w:val="19"/>
                <w:szCs w:val="19"/>
              </w:rPr>
              <w:t xml:space="preserve"> transfers from the </w:t>
            </w:r>
            <w:r w:rsidRPr="004D202D">
              <w:rPr>
                <w:rFonts w:cs="Segoe UI"/>
                <w:b/>
                <w:sz w:val="19"/>
                <w:szCs w:val="19"/>
              </w:rPr>
              <w:lastRenderedPageBreak/>
              <w:t>Treasury</w:t>
            </w:r>
            <w:r w:rsidRPr="004D202D">
              <w:rPr>
                <w:rFonts w:cs="Segoe UI"/>
                <w:sz w:val="19"/>
                <w:szCs w:val="19"/>
              </w:rPr>
              <w:t xml:space="preserve">. </w:t>
            </w:r>
            <w:r>
              <w:rPr>
                <w:rFonts w:eastAsiaTheme="minorEastAsia" w:cs="Segoe UI"/>
                <w:sz w:val="19"/>
                <w:szCs w:val="19"/>
                <w:lang w:eastAsia="ko-KR"/>
              </w:rPr>
              <w:t>Before</w:t>
            </w:r>
            <w:r>
              <w:rPr>
                <w:rFonts w:eastAsiaTheme="minorEastAsia" w:cs="Segoe UI" w:hint="eastAsia"/>
                <w:sz w:val="19"/>
                <w:szCs w:val="19"/>
                <w:lang w:eastAsia="ko-KR"/>
              </w:rPr>
              <w:t xml:space="preserve"> 2008, </w:t>
            </w:r>
            <w:r>
              <w:rPr>
                <w:rFonts w:eastAsiaTheme="minorEastAsia" w:cs="Segoe UI"/>
                <w:sz w:val="19"/>
                <w:szCs w:val="19"/>
                <w:lang w:eastAsia="ko-KR"/>
              </w:rPr>
              <w:t>public</w:t>
            </w:r>
            <w:r>
              <w:rPr>
                <w:rFonts w:eastAsiaTheme="minorEastAsia" w:cs="Segoe UI" w:hint="eastAsia"/>
                <w:sz w:val="19"/>
                <w:szCs w:val="19"/>
                <w:lang w:eastAsia="ko-KR"/>
              </w:rPr>
              <w:t xml:space="preserve"> banks</w:t>
            </w:r>
            <w:r>
              <w:rPr>
                <w:rFonts w:eastAsiaTheme="minorEastAsia" w:cs="Segoe UI"/>
                <w:sz w:val="19"/>
                <w:szCs w:val="19"/>
                <w:lang w:eastAsia="ko-KR"/>
              </w:rPr>
              <w:t>’</w:t>
            </w:r>
            <w:r>
              <w:rPr>
                <w:rFonts w:eastAsiaTheme="minorEastAsia" w:cs="Segoe UI" w:hint="eastAsia"/>
                <w:sz w:val="19"/>
                <w:szCs w:val="19"/>
                <w:lang w:eastAsia="ko-KR"/>
              </w:rPr>
              <w:t xml:space="preserve"> </w:t>
            </w:r>
            <w:r>
              <w:rPr>
                <w:rFonts w:eastAsiaTheme="minorEastAsia" w:cs="Segoe UI"/>
                <w:sz w:val="19"/>
                <w:szCs w:val="19"/>
                <w:lang w:eastAsia="ko-KR"/>
              </w:rPr>
              <w:t xml:space="preserve">funding </w:t>
            </w:r>
            <w:r>
              <w:rPr>
                <w:rFonts w:eastAsiaTheme="minorEastAsia" w:cs="Segoe UI" w:hint="eastAsia"/>
                <w:sz w:val="19"/>
                <w:szCs w:val="19"/>
                <w:lang w:eastAsia="ko-KR"/>
              </w:rPr>
              <w:t>mainly relied on the earmarked allocation from savings account (SBPE), worker</w:t>
            </w:r>
            <w:r>
              <w:rPr>
                <w:rFonts w:eastAsiaTheme="minorEastAsia" w:cs="Segoe UI"/>
                <w:sz w:val="19"/>
                <w:szCs w:val="19"/>
                <w:lang w:eastAsia="ko-KR"/>
              </w:rPr>
              <w:t>s’</w:t>
            </w:r>
            <w:r>
              <w:rPr>
                <w:rFonts w:eastAsiaTheme="minorEastAsia" w:cs="Segoe UI" w:hint="eastAsia"/>
                <w:sz w:val="19"/>
                <w:szCs w:val="19"/>
                <w:lang w:eastAsia="ko-KR"/>
              </w:rPr>
              <w:t xml:space="preserve"> severance fund (FGTS), and workers</w:t>
            </w:r>
            <w:r>
              <w:rPr>
                <w:rFonts w:eastAsiaTheme="minorEastAsia" w:cs="Segoe UI"/>
                <w:sz w:val="19"/>
                <w:szCs w:val="19"/>
                <w:lang w:eastAsia="ko-KR"/>
              </w:rPr>
              <w:t>’</w:t>
            </w:r>
            <w:r>
              <w:rPr>
                <w:rFonts w:eastAsiaTheme="minorEastAsia" w:cs="Segoe UI" w:hint="eastAsia"/>
                <w:sz w:val="19"/>
                <w:szCs w:val="19"/>
                <w:lang w:eastAsia="ko-KR"/>
              </w:rPr>
              <w:t xml:space="preserve"> protection fund (FAT). </w:t>
            </w:r>
            <w:r>
              <w:rPr>
                <w:rFonts w:cs="Segoe UI"/>
                <w:color w:val="000000" w:themeColor="text1"/>
                <w:sz w:val="19"/>
                <w:szCs w:val="19"/>
              </w:rPr>
              <w:t>Since the global crisis</w:t>
            </w:r>
            <w:r w:rsidRPr="004D202D">
              <w:rPr>
                <w:rFonts w:cs="Segoe UI"/>
                <w:color w:val="000000" w:themeColor="text1"/>
                <w:sz w:val="19"/>
                <w:szCs w:val="19"/>
              </w:rPr>
              <w:t xml:space="preserve">, the Treasury has provided </w:t>
            </w:r>
            <w:r>
              <w:rPr>
                <w:rFonts w:cs="Segoe UI"/>
                <w:color w:val="000000" w:themeColor="text1"/>
                <w:sz w:val="19"/>
                <w:szCs w:val="19"/>
              </w:rPr>
              <w:t xml:space="preserve">a </w:t>
            </w:r>
            <w:r w:rsidRPr="004B165B">
              <w:rPr>
                <w:rFonts w:cs="Segoe UI"/>
                <w:sz w:val="19"/>
                <w:szCs w:val="19"/>
              </w:rPr>
              <w:t>cumulative [9] percentage</w:t>
            </w:r>
            <w:r w:rsidRPr="004D202D">
              <w:rPr>
                <w:rFonts w:cs="Segoe UI"/>
                <w:color w:val="000000" w:themeColor="text1"/>
                <w:sz w:val="19"/>
                <w:szCs w:val="19"/>
              </w:rPr>
              <w:t xml:space="preserve"> points of GDP of subsidized direct lending to public banks, mostly to BNDES. In 2012</w:t>
            </w:r>
            <w:r>
              <w:rPr>
                <w:rFonts w:cs="Segoe UI"/>
                <w:color w:val="000000" w:themeColor="text1"/>
                <w:sz w:val="19"/>
                <w:szCs w:val="19"/>
              </w:rPr>
              <w:t xml:space="preserve"> alone</w:t>
            </w:r>
            <w:r w:rsidRPr="004D202D">
              <w:rPr>
                <w:rFonts w:cs="Segoe UI"/>
                <w:color w:val="000000" w:themeColor="text1"/>
                <w:sz w:val="19"/>
                <w:szCs w:val="19"/>
              </w:rPr>
              <w:t xml:space="preserve">, </w:t>
            </w:r>
            <w:r>
              <w:rPr>
                <w:rFonts w:cs="Segoe UI"/>
                <w:color w:val="000000" w:themeColor="text1"/>
                <w:sz w:val="19"/>
                <w:szCs w:val="19"/>
              </w:rPr>
              <w:t>Treasury transfers amounted to a</w:t>
            </w:r>
            <w:r w:rsidRPr="004D202D">
              <w:rPr>
                <w:rFonts w:cs="Segoe UI"/>
                <w:color w:val="000000" w:themeColor="text1"/>
                <w:sz w:val="19"/>
                <w:szCs w:val="19"/>
              </w:rPr>
              <w:t>bout 1 percent of GDP to BNDES</w:t>
            </w:r>
            <w:r>
              <w:rPr>
                <w:rFonts w:cs="Segoe UI"/>
                <w:color w:val="000000" w:themeColor="text1"/>
                <w:sz w:val="19"/>
                <w:szCs w:val="19"/>
              </w:rPr>
              <w:t xml:space="preserve"> and </w:t>
            </w:r>
            <w:r w:rsidRPr="004D202D">
              <w:rPr>
                <w:rFonts w:cs="Segoe UI"/>
                <w:color w:val="000000" w:themeColor="text1"/>
                <w:sz w:val="19"/>
                <w:szCs w:val="19"/>
              </w:rPr>
              <w:t xml:space="preserve">0.5 percent to Caixa and Banco do </w:t>
            </w:r>
            <w:proofErr w:type="spellStart"/>
            <w:r w:rsidRPr="004D202D">
              <w:rPr>
                <w:rFonts w:cs="Segoe UI"/>
                <w:color w:val="000000" w:themeColor="text1"/>
                <w:sz w:val="19"/>
                <w:szCs w:val="19"/>
              </w:rPr>
              <w:t>Brasil</w:t>
            </w:r>
            <w:proofErr w:type="spellEnd"/>
            <w:r w:rsidRPr="004D202D">
              <w:rPr>
                <w:rFonts w:cs="Segoe UI"/>
                <w:color w:val="000000" w:themeColor="text1"/>
                <w:sz w:val="19"/>
                <w:szCs w:val="19"/>
              </w:rPr>
              <w:t>. As a result of these operations, by end-2012, total net obligations from public</w:t>
            </w:r>
            <w:r>
              <w:rPr>
                <w:rFonts w:eastAsiaTheme="minorEastAsia" w:cs="Segoe UI" w:hint="eastAsia"/>
                <w:color w:val="000000" w:themeColor="text1"/>
                <w:sz w:val="19"/>
                <w:szCs w:val="19"/>
                <w:lang w:eastAsia="ko-KR"/>
              </w:rPr>
              <w:t xml:space="preserve"> banks</w:t>
            </w:r>
            <w:r w:rsidRPr="004D202D">
              <w:rPr>
                <w:rFonts w:cs="Segoe UI"/>
                <w:color w:val="000000" w:themeColor="text1"/>
                <w:sz w:val="19"/>
                <w:szCs w:val="19"/>
              </w:rPr>
              <w:t xml:space="preserve"> to the Treasury </w:t>
            </w:r>
            <w:r>
              <w:rPr>
                <w:rFonts w:cs="Segoe UI"/>
                <w:color w:val="000000" w:themeColor="text1"/>
                <w:sz w:val="19"/>
                <w:szCs w:val="19"/>
              </w:rPr>
              <w:t>stood</w:t>
            </w:r>
            <w:r w:rsidRPr="004D202D">
              <w:rPr>
                <w:rFonts w:cs="Segoe UI"/>
                <w:color w:val="000000" w:themeColor="text1"/>
                <w:sz w:val="19"/>
                <w:szCs w:val="19"/>
              </w:rPr>
              <w:t xml:space="preserve"> at 9.2 percent of GDP, of which 8.4 percent are with BNDES. The fiscal cost of government lending </w:t>
            </w:r>
            <w:r>
              <w:rPr>
                <w:rFonts w:cs="Segoe UI"/>
                <w:color w:val="000000" w:themeColor="text1"/>
                <w:sz w:val="19"/>
                <w:szCs w:val="19"/>
              </w:rPr>
              <w:t xml:space="preserve">to public banks </w:t>
            </w:r>
            <w:r w:rsidRPr="004D202D">
              <w:rPr>
                <w:rFonts w:cs="Segoe UI"/>
                <w:color w:val="000000" w:themeColor="text1"/>
                <w:sz w:val="19"/>
                <w:szCs w:val="19"/>
              </w:rPr>
              <w:t xml:space="preserve">has also increased as the long-term interest rate (TJLP)–the rate charged </w:t>
            </w:r>
            <w:r>
              <w:rPr>
                <w:rFonts w:cs="Segoe UI"/>
                <w:color w:val="000000" w:themeColor="text1"/>
                <w:sz w:val="19"/>
                <w:szCs w:val="19"/>
              </w:rPr>
              <w:t xml:space="preserve">to </w:t>
            </w:r>
            <w:r w:rsidRPr="004D202D">
              <w:rPr>
                <w:rFonts w:cs="Segoe UI"/>
                <w:color w:val="000000" w:themeColor="text1"/>
                <w:sz w:val="19"/>
                <w:szCs w:val="19"/>
              </w:rPr>
              <w:t>public bank</w:t>
            </w:r>
            <w:r>
              <w:rPr>
                <w:rFonts w:eastAsiaTheme="minorEastAsia" w:cs="Segoe UI" w:hint="eastAsia"/>
                <w:color w:val="000000" w:themeColor="text1"/>
                <w:sz w:val="19"/>
                <w:szCs w:val="19"/>
                <w:lang w:eastAsia="ko-KR"/>
              </w:rPr>
              <w:t>s</w:t>
            </w:r>
            <w:r w:rsidRPr="004D202D">
              <w:rPr>
                <w:rFonts w:cs="Segoe UI"/>
                <w:color w:val="000000" w:themeColor="text1"/>
                <w:sz w:val="19"/>
                <w:szCs w:val="19"/>
              </w:rPr>
              <w:t xml:space="preserve">—was reduced by 100 bps to 5 percent </w:t>
            </w:r>
            <w:r>
              <w:rPr>
                <w:rFonts w:cs="Segoe UI"/>
                <w:color w:val="000000" w:themeColor="text1"/>
                <w:sz w:val="19"/>
                <w:szCs w:val="19"/>
              </w:rPr>
              <w:t xml:space="preserve">in </w:t>
            </w:r>
            <w:r w:rsidRPr="004D202D">
              <w:rPr>
                <w:rFonts w:cs="Segoe UI"/>
                <w:color w:val="000000" w:themeColor="text1"/>
                <w:sz w:val="19"/>
                <w:szCs w:val="19"/>
              </w:rPr>
              <w:t xml:space="preserve">2012, with the lower rate applying not just to new lending but to the </w:t>
            </w:r>
            <w:r>
              <w:rPr>
                <w:rFonts w:cs="Segoe UI"/>
                <w:color w:val="000000" w:themeColor="text1"/>
                <w:sz w:val="19"/>
                <w:szCs w:val="19"/>
              </w:rPr>
              <w:t xml:space="preserve">whole </w:t>
            </w:r>
            <w:r w:rsidRPr="004D202D">
              <w:rPr>
                <w:rFonts w:cs="Segoe UI"/>
                <w:color w:val="000000" w:themeColor="text1"/>
                <w:sz w:val="19"/>
                <w:szCs w:val="19"/>
              </w:rPr>
              <w:t xml:space="preserve">outstanding portfolio. </w:t>
            </w:r>
            <w:r>
              <w:rPr>
                <w:rFonts w:cs="Segoe UI"/>
                <w:color w:val="000000" w:themeColor="text1"/>
                <w:sz w:val="19"/>
                <w:szCs w:val="19"/>
              </w:rPr>
              <w:t>The Treasury has also capitalized public banks</w:t>
            </w:r>
            <w:r w:rsidRPr="004D202D">
              <w:rPr>
                <w:rFonts w:cs="Segoe UI"/>
                <w:color w:val="000000" w:themeColor="text1"/>
                <w:sz w:val="19"/>
                <w:szCs w:val="19"/>
              </w:rPr>
              <w:t xml:space="preserve"> with the transfer of </w:t>
            </w:r>
            <w:r>
              <w:rPr>
                <w:rFonts w:cs="Segoe UI"/>
                <w:color w:val="000000" w:themeColor="text1"/>
                <w:sz w:val="19"/>
                <w:szCs w:val="19"/>
              </w:rPr>
              <w:t xml:space="preserve">“securitized” future payments from </w:t>
            </w:r>
            <w:proofErr w:type="spellStart"/>
            <w:r w:rsidRPr="004D202D">
              <w:rPr>
                <w:rFonts w:cs="Segoe UI"/>
                <w:color w:val="000000" w:themeColor="text1"/>
                <w:sz w:val="19"/>
                <w:szCs w:val="19"/>
              </w:rPr>
              <w:t>Itaipu</w:t>
            </w:r>
            <w:proofErr w:type="spellEnd"/>
            <w:r>
              <w:rPr>
                <w:rFonts w:cs="Segoe UI"/>
                <w:color w:val="000000" w:themeColor="text1"/>
                <w:sz w:val="19"/>
                <w:szCs w:val="19"/>
              </w:rPr>
              <w:t xml:space="preserve"> to </w:t>
            </w:r>
            <w:r w:rsidRPr="004B165B">
              <w:rPr>
                <w:rFonts w:cs="Segoe UI"/>
                <w:sz w:val="19"/>
                <w:szCs w:val="19"/>
              </w:rPr>
              <w:t xml:space="preserve">the Treasury </w:t>
            </w:r>
            <w:r w:rsidRPr="004B165B">
              <w:rPr>
                <w:rFonts w:eastAsiaTheme="minorEastAsia" w:cs="Segoe UI" w:hint="eastAsia"/>
                <w:sz w:val="19"/>
                <w:szCs w:val="19"/>
                <w:lang w:eastAsia="ko-KR"/>
              </w:rPr>
              <w:t>[</w:t>
            </w:r>
            <w:r w:rsidRPr="004B165B">
              <w:rPr>
                <w:rFonts w:cs="Segoe UI"/>
                <w:sz w:val="19"/>
                <w:szCs w:val="19"/>
              </w:rPr>
              <w:t>in 2011</w:t>
            </w:r>
            <w:r w:rsidRPr="004B165B">
              <w:rPr>
                <w:rFonts w:eastAsiaTheme="minorEastAsia" w:cs="Segoe UI" w:hint="eastAsia"/>
                <w:sz w:val="19"/>
                <w:szCs w:val="19"/>
                <w:lang w:eastAsia="ko-KR"/>
              </w:rPr>
              <w:t>]</w:t>
            </w:r>
            <w:r w:rsidRPr="004B165B">
              <w:rPr>
                <w:rFonts w:cs="Segoe UI"/>
                <w:sz w:val="19"/>
                <w:szCs w:val="19"/>
              </w:rPr>
              <w:t>.</w:t>
            </w:r>
          </w:p>
          <w:p w:rsidR="00D65DD6" w:rsidRDefault="00D65DD6" w:rsidP="00D65DD6">
            <w:pPr>
              <w:autoSpaceDE w:val="0"/>
              <w:autoSpaceDN w:val="0"/>
              <w:adjustRightInd w:val="0"/>
              <w:spacing w:line="240" w:lineRule="auto"/>
              <w:rPr>
                <w:rFonts w:cs="Segoe UI"/>
                <w:b/>
                <w:noProof/>
                <w:sz w:val="19"/>
                <w:szCs w:val="19"/>
                <w:lang w:eastAsia="ko-KR"/>
              </w:rPr>
            </w:pPr>
          </w:p>
          <w:p w:rsidR="00D65DD6" w:rsidRDefault="00D65DD6" w:rsidP="00D65DD6">
            <w:pPr>
              <w:autoSpaceDE w:val="0"/>
              <w:autoSpaceDN w:val="0"/>
              <w:adjustRightInd w:val="0"/>
              <w:spacing w:line="240" w:lineRule="auto"/>
              <w:rPr>
                <w:rFonts w:eastAsiaTheme="minorEastAsia" w:cs="Segoe UI"/>
                <w:sz w:val="19"/>
                <w:szCs w:val="19"/>
                <w:lang w:eastAsia="ko-KR"/>
              </w:rPr>
            </w:pPr>
            <w:r w:rsidRPr="002F1B10">
              <w:rPr>
                <w:rFonts w:cs="Segoe UI"/>
                <w:b/>
                <w:noProof/>
                <w:sz w:val="19"/>
                <w:szCs w:val="19"/>
                <w:lang w:eastAsia="ko-KR"/>
              </w:rPr>
              <w:t>R</w:t>
            </w:r>
            <w:r w:rsidRPr="002F1B10">
              <w:rPr>
                <w:rFonts w:cs="Segoe UI"/>
                <w:b/>
                <w:noProof/>
                <w:sz w:val="19"/>
                <w:szCs w:val="19"/>
              </w:rPr>
              <w:t>apid credit growth</w:t>
            </w:r>
            <w:r w:rsidRPr="002F1B10">
              <w:rPr>
                <w:rFonts w:cs="Segoe UI"/>
                <w:b/>
                <w:noProof/>
                <w:sz w:val="19"/>
                <w:szCs w:val="19"/>
                <w:lang w:eastAsia="ko-KR"/>
              </w:rPr>
              <w:t xml:space="preserve"> by public banks</w:t>
            </w:r>
            <w:r>
              <w:rPr>
                <w:rFonts w:eastAsiaTheme="minorEastAsia" w:cs="Segoe UI" w:hint="eastAsia"/>
                <w:b/>
                <w:noProof/>
                <w:sz w:val="19"/>
                <w:szCs w:val="19"/>
                <w:lang w:eastAsia="ko-KR"/>
              </w:rPr>
              <w:t xml:space="preserve"> </w:t>
            </w:r>
            <w:r>
              <w:rPr>
                <w:rFonts w:eastAsiaTheme="minorEastAsia" w:cs="Segoe UI"/>
                <w:b/>
                <w:noProof/>
                <w:sz w:val="19"/>
                <w:szCs w:val="19"/>
                <w:lang w:eastAsia="ko-KR"/>
              </w:rPr>
              <w:t>warrant heightened vigilance</w:t>
            </w:r>
            <w:r w:rsidRPr="002F1B10">
              <w:rPr>
                <w:rFonts w:cs="Segoe UI"/>
                <w:b/>
                <w:noProof/>
                <w:sz w:val="19"/>
                <w:szCs w:val="19"/>
              </w:rPr>
              <w:t>.</w:t>
            </w:r>
            <w:r>
              <w:rPr>
                <w:rFonts w:eastAsiaTheme="minorEastAsia" w:cs="Segoe UI" w:hint="eastAsia"/>
                <w:b/>
                <w:noProof/>
                <w:sz w:val="19"/>
                <w:szCs w:val="19"/>
                <w:lang w:eastAsia="ko-KR"/>
              </w:rPr>
              <w:t xml:space="preserve"> </w:t>
            </w:r>
            <w:r w:rsidRPr="00F2617D">
              <w:rPr>
                <w:rFonts w:eastAsiaTheme="minorEastAsia" w:cs="Segoe UI"/>
                <w:noProof/>
                <w:sz w:val="19"/>
                <w:szCs w:val="19"/>
                <w:lang w:eastAsia="ko-KR"/>
              </w:rPr>
              <w:t xml:space="preserve">Public banks’ credit portfolios have traditionally been less risky than those of private banks because of </w:t>
            </w:r>
            <w:r>
              <w:rPr>
                <w:rFonts w:eastAsiaTheme="minorEastAsia" w:cs="Segoe UI"/>
                <w:noProof/>
                <w:sz w:val="19"/>
                <w:szCs w:val="19"/>
                <w:lang w:eastAsia="ko-KR"/>
              </w:rPr>
              <w:t xml:space="preserve">subsidized lending rates, prudent housing </w:t>
            </w:r>
            <w:r>
              <w:rPr>
                <w:rFonts w:eastAsiaTheme="minorEastAsia" w:cs="Segoe UI" w:hint="eastAsia"/>
                <w:noProof/>
                <w:sz w:val="19"/>
                <w:szCs w:val="19"/>
                <w:lang w:eastAsia="ko-KR"/>
              </w:rPr>
              <w:t>loan-to-value ratios</w:t>
            </w:r>
            <w:r>
              <w:rPr>
                <w:rFonts w:eastAsiaTheme="minorEastAsia" w:cs="Segoe UI"/>
                <w:noProof/>
                <w:sz w:val="19"/>
                <w:szCs w:val="19"/>
                <w:lang w:eastAsia="ko-KR"/>
              </w:rPr>
              <w:t>, government guaranteed low-income housing loans, and BNDES’s lending to prime corporates.</w:t>
            </w:r>
            <w:r>
              <w:rPr>
                <w:rFonts w:eastAsiaTheme="minorEastAsia" w:cs="Segoe UI" w:hint="eastAsia"/>
                <w:noProof/>
                <w:sz w:val="19"/>
                <w:szCs w:val="19"/>
                <w:lang w:eastAsia="ko-KR"/>
              </w:rPr>
              <w:t xml:space="preserve"> </w:t>
            </w:r>
            <w:r>
              <w:rPr>
                <w:rFonts w:eastAsiaTheme="minorEastAsia" w:cs="Segoe UI"/>
                <w:noProof/>
                <w:sz w:val="19"/>
                <w:szCs w:val="19"/>
                <w:lang w:eastAsia="ko-KR"/>
              </w:rPr>
              <w:t>Currently</w:t>
            </w:r>
            <w:r>
              <w:rPr>
                <w:rFonts w:eastAsiaTheme="minorEastAsia" w:cs="Segoe UI" w:hint="eastAsia"/>
                <w:noProof/>
                <w:sz w:val="19"/>
                <w:szCs w:val="19"/>
                <w:lang w:eastAsia="ko-KR"/>
              </w:rPr>
              <w:t xml:space="preserve">, </w:t>
            </w:r>
            <w:r>
              <w:rPr>
                <w:rFonts w:eastAsiaTheme="minorEastAsia" w:cs="Segoe UI"/>
                <w:noProof/>
                <w:sz w:val="19"/>
                <w:szCs w:val="19"/>
                <w:lang w:eastAsia="ko-KR"/>
              </w:rPr>
              <w:t>public banks</w:t>
            </w:r>
            <w:r>
              <w:rPr>
                <w:rFonts w:eastAsiaTheme="minorEastAsia" w:cs="Segoe UI" w:hint="eastAsia"/>
                <w:noProof/>
                <w:sz w:val="19"/>
                <w:szCs w:val="19"/>
                <w:lang w:eastAsia="ko-KR"/>
              </w:rPr>
              <w:t xml:space="preserve"> have low default rates (2 percent) and are capitalized above the regulatory requirement level (11 percent). </w:t>
            </w:r>
            <w:r>
              <w:rPr>
                <w:rFonts w:eastAsiaTheme="minorEastAsia" w:cs="Segoe UI"/>
                <w:noProof/>
                <w:sz w:val="19"/>
                <w:szCs w:val="19"/>
                <w:lang w:eastAsia="ko-KR"/>
              </w:rPr>
              <w:t>The very rapid credit expansion in recent years represents a potential risk to the banks’ financial soundness. P</w:t>
            </w:r>
            <w:r>
              <w:rPr>
                <w:rFonts w:eastAsiaTheme="minorEastAsia" w:cs="Segoe UI" w:hint="eastAsia"/>
                <w:noProof/>
                <w:sz w:val="19"/>
                <w:szCs w:val="19"/>
                <w:lang w:eastAsia="ko-KR"/>
              </w:rPr>
              <w:t>ublic banks</w:t>
            </w:r>
            <w:r>
              <w:rPr>
                <w:rFonts w:eastAsiaTheme="minorEastAsia" w:cs="Segoe UI"/>
                <w:noProof/>
                <w:sz w:val="19"/>
                <w:szCs w:val="19"/>
                <w:lang w:eastAsia="ko-KR"/>
              </w:rPr>
              <w:t>’</w:t>
            </w:r>
            <w:r>
              <w:rPr>
                <w:rFonts w:eastAsiaTheme="minorEastAsia" w:cs="Segoe UI" w:hint="eastAsia"/>
                <w:noProof/>
                <w:sz w:val="19"/>
                <w:szCs w:val="19"/>
                <w:lang w:eastAsia="ko-KR"/>
              </w:rPr>
              <w:t xml:space="preserve"> return on assets </w:t>
            </w:r>
            <w:r>
              <w:rPr>
                <w:rFonts w:eastAsiaTheme="minorEastAsia" w:cs="Segoe UI"/>
                <w:noProof/>
                <w:sz w:val="19"/>
                <w:szCs w:val="19"/>
                <w:lang w:eastAsia="ko-KR"/>
              </w:rPr>
              <w:t xml:space="preserve">has fallen </w:t>
            </w:r>
            <w:r>
              <w:rPr>
                <w:rFonts w:eastAsiaTheme="minorEastAsia" w:cs="Segoe UI" w:hint="eastAsia"/>
                <w:noProof/>
                <w:sz w:val="19"/>
                <w:szCs w:val="19"/>
                <w:lang w:eastAsia="ko-KR"/>
              </w:rPr>
              <w:t xml:space="preserve">in 2012 with </w:t>
            </w:r>
            <w:r>
              <w:rPr>
                <w:rFonts w:eastAsiaTheme="minorEastAsia" w:cs="Segoe UI"/>
                <w:noProof/>
                <w:sz w:val="19"/>
                <w:szCs w:val="19"/>
                <w:lang w:eastAsia="ko-KR"/>
              </w:rPr>
              <w:t>reduced</w:t>
            </w:r>
            <w:r>
              <w:rPr>
                <w:rFonts w:eastAsiaTheme="minorEastAsia" w:cs="Segoe UI" w:hint="eastAsia"/>
                <w:noProof/>
                <w:sz w:val="19"/>
                <w:szCs w:val="19"/>
                <w:lang w:eastAsia="ko-KR"/>
              </w:rPr>
              <w:t xml:space="preserve"> profit margins </w:t>
            </w:r>
            <w:r>
              <w:rPr>
                <w:rFonts w:eastAsiaTheme="minorEastAsia" w:cs="Segoe UI"/>
                <w:noProof/>
                <w:sz w:val="19"/>
                <w:szCs w:val="19"/>
                <w:lang w:eastAsia="ko-KR"/>
              </w:rPr>
              <w:t>from</w:t>
            </w:r>
            <w:r>
              <w:rPr>
                <w:rFonts w:eastAsiaTheme="minorEastAsia" w:cs="Segoe UI" w:hint="eastAsia"/>
                <w:noProof/>
                <w:sz w:val="19"/>
                <w:szCs w:val="19"/>
                <w:lang w:eastAsia="ko-KR"/>
              </w:rPr>
              <w:t xml:space="preserve"> lower lending rates, </w:t>
            </w:r>
            <w:r>
              <w:rPr>
                <w:rFonts w:eastAsiaTheme="minorEastAsia" w:cs="Segoe UI"/>
                <w:noProof/>
                <w:sz w:val="19"/>
                <w:szCs w:val="19"/>
                <w:lang w:eastAsia="ko-KR"/>
              </w:rPr>
              <w:t>while</w:t>
            </w:r>
            <w:r>
              <w:rPr>
                <w:rFonts w:eastAsiaTheme="minorEastAsia" w:cs="Segoe UI" w:hint="eastAsia"/>
                <w:noProof/>
                <w:sz w:val="19"/>
                <w:szCs w:val="19"/>
                <w:lang w:eastAsia="ko-KR"/>
              </w:rPr>
              <w:t xml:space="preserve"> the rapid credit expansion resulted in a decline of capital levels. In </w:t>
            </w:r>
            <w:r>
              <w:rPr>
                <w:rFonts w:eastAsiaTheme="minorEastAsia" w:cs="Segoe UI"/>
                <w:noProof/>
                <w:sz w:val="19"/>
                <w:szCs w:val="19"/>
                <w:lang w:eastAsia="ko-KR"/>
              </w:rPr>
              <w:t>this context</w:t>
            </w:r>
            <w:r>
              <w:rPr>
                <w:rFonts w:eastAsiaTheme="minorEastAsia" w:cs="Segoe UI" w:hint="eastAsia"/>
                <w:noProof/>
                <w:sz w:val="19"/>
                <w:szCs w:val="19"/>
                <w:lang w:eastAsia="ko-KR"/>
              </w:rPr>
              <w:t xml:space="preserve">, </w:t>
            </w:r>
            <w:r w:rsidRPr="002F1B10">
              <w:rPr>
                <w:rFonts w:cs="Segoe UI"/>
                <w:sz w:val="19"/>
                <w:szCs w:val="19"/>
                <w:lang w:eastAsia="ko-KR"/>
              </w:rPr>
              <w:t xml:space="preserve">Moody’s downgraded </w:t>
            </w:r>
            <w:r>
              <w:rPr>
                <w:rFonts w:cs="Segoe UI"/>
                <w:sz w:val="19"/>
                <w:szCs w:val="19"/>
                <w:lang w:eastAsia="ko-KR"/>
              </w:rPr>
              <w:t xml:space="preserve">last March </w:t>
            </w:r>
            <w:r w:rsidRPr="002F1B10">
              <w:rPr>
                <w:rFonts w:cs="Segoe UI"/>
                <w:sz w:val="19"/>
                <w:szCs w:val="19"/>
                <w:lang w:eastAsia="ko-KR"/>
              </w:rPr>
              <w:t xml:space="preserve">BNDES’s and Caixa’s senior ratings from A3 to Baa2, </w:t>
            </w:r>
            <w:r>
              <w:rPr>
                <w:rFonts w:eastAsiaTheme="minorEastAsia" w:cs="Segoe UI" w:hint="eastAsia"/>
                <w:sz w:val="19"/>
                <w:szCs w:val="19"/>
                <w:lang w:eastAsia="ko-KR"/>
              </w:rPr>
              <w:t xml:space="preserve">pointing out </w:t>
            </w:r>
            <w:r>
              <w:rPr>
                <w:rFonts w:eastAsiaTheme="minorEastAsia" w:cs="Segoe UI"/>
                <w:sz w:val="19"/>
                <w:szCs w:val="19"/>
                <w:lang w:eastAsia="ko-KR"/>
              </w:rPr>
              <w:t>a</w:t>
            </w:r>
            <w:r w:rsidRPr="002F1B10">
              <w:rPr>
                <w:rFonts w:cs="Segoe UI"/>
                <w:sz w:val="19"/>
                <w:szCs w:val="19"/>
                <w:lang w:eastAsia="ko-KR"/>
              </w:rPr>
              <w:t xml:space="preserve"> deterioration of standalone creditworthiness.</w:t>
            </w:r>
          </w:p>
          <w:p w:rsidR="00D65DD6" w:rsidRPr="00A63DE5" w:rsidRDefault="00D65DD6" w:rsidP="00D65DD6">
            <w:pPr>
              <w:autoSpaceDE w:val="0"/>
              <w:autoSpaceDN w:val="0"/>
              <w:adjustRightInd w:val="0"/>
              <w:spacing w:line="240" w:lineRule="auto"/>
              <w:rPr>
                <w:rFonts w:ascii="TimesNewRomanPSMT" w:eastAsiaTheme="minorEastAsia" w:hAnsi="TimesNewRomanPSMT" w:cs="TimesNewRomanPSMT"/>
              </w:rPr>
            </w:pPr>
          </w:p>
          <w:tbl>
            <w:tblPr>
              <w:tblStyle w:val="TableGrid"/>
              <w:tblW w:w="0" w:type="auto"/>
              <w:tblLayout w:type="fixed"/>
              <w:tblLook w:val="04A0" w:firstRow="1" w:lastRow="0" w:firstColumn="1" w:lastColumn="0" w:noHBand="0" w:noVBand="1"/>
            </w:tblPr>
            <w:tblGrid>
              <w:gridCol w:w="4541"/>
              <w:gridCol w:w="4542"/>
            </w:tblGrid>
            <w:tr w:rsidR="00D65DD6" w:rsidTr="00CF67FE">
              <w:tc>
                <w:tcPr>
                  <w:tcW w:w="4541" w:type="dxa"/>
                  <w:tcBorders>
                    <w:top w:val="nil"/>
                    <w:left w:val="nil"/>
                    <w:bottom w:val="nil"/>
                    <w:right w:val="nil"/>
                  </w:tcBorders>
                </w:tcPr>
                <w:p w:rsidR="00D65DD6" w:rsidRPr="00855842" w:rsidRDefault="00D65DD6" w:rsidP="00D65DD6">
                  <w:pPr>
                    <w:keepNext/>
                    <w:spacing w:line="240" w:lineRule="auto"/>
                    <w:contextualSpacing/>
                    <w:rPr>
                      <w:rFonts w:eastAsiaTheme="minorEastAsia" w:cs="Segoe UI"/>
                      <w:sz w:val="19"/>
                      <w:szCs w:val="19"/>
                      <w:lang w:eastAsia="ko-KR"/>
                    </w:rPr>
                  </w:pPr>
                  <w:r w:rsidRPr="00855842">
                    <w:rPr>
                      <w:rFonts w:eastAsiaTheme="minorEastAsia" w:cs="Segoe UI"/>
                      <w:noProof/>
                      <w:sz w:val="19"/>
                      <w:szCs w:val="19"/>
                    </w:rPr>
                    <w:drawing>
                      <wp:inline distT="0" distB="0" distL="0" distR="0">
                        <wp:extent cx="2741295" cy="1920240"/>
                        <wp:effectExtent l="19050" t="0" r="1905" b="0"/>
                        <wp:docPr id="28"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srcRect/>
                                <a:stretch>
                                  <a:fillRect/>
                                </a:stretch>
                              </pic:blipFill>
                              <pic:spPr bwMode="auto">
                                <a:xfrm>
                                  <a:off x="0" y="0"/>
                                  <a:ext cx="2741295" cy="1920240"/>
                                </a:xfrm>
                                <a:prstGeom prst="rect">
                                  <a:avLst/>
                                </a:prstGeom>
                                <a:noFill/>
                                <a:ln w="9525">
                                  <a:noFill/>
                                  <a:miter lim="800000"/>
                                  <a:headEnd/>
                                  <a:tailEnd/>
                                </a:ln>
                              </pic:spPr>
                            </pic:pic>
                          </a:graphicData>
                        </a:graphic>
                      </wp:inline>
                    </w:drawing>
                  </w:r>
                </w:p>
              </w:tc>
              <w:tc>
                <w:tcPr>
                  <w:tcW w:w="4542" w:type="dxa"/>
                  <w:tcBorders>
                    <w:top w:val="nil"/>
                    <w:left w:val="nil"/>
                    <w:bottom w:val="nil"/>
                    <w:right w:val="nil"/>
                  </w:tcBorders>
                </w:tcPr>
                <w:p w:rsidR="00D65DD6" w:rsidRDefault="00D65DD6" w:rsidP="00D65DD6">
                  <w:pPr>
                    <w:keepNext/>
                    <w:spacing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1920240"/>
                        <wp:effectExtent l="19050" t="0" r="0" b="0"/>
                        <wp:docPr id="2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srcRect/>
                                <a:stretch>
                                  <a:fillRect/>
                                </a:stretch>
                              </pic:blipFill>
                              <pic:spPr bwMode="auto">
                                <a:xfrm>
                                  <a:off x="0" y="0"/>
                                  <a:ext cx="2743200" cy="1920240"/>
                                </a:xfrm>
                                <a:prstGeom prst="rect">
                                  <a:avLst/>
                                </a:prstGeom>
                                <a:noFill/>
                                <a:ln w="9525">
                                  <a:noFill/>
                                  <a:miter lim="800000"/>
                                  <a:headEnd/>
                                  <a:tailEnd/>
                                </a:ln>
                              </pic:spPr>
                            </pic:pic>
                          </a:graphicData>
                        </a:graphic>
                      </wp:inline>
                    </w:drawing>
                  </w:r>
                </w:p>
              </w:tc>
            </w:tr>
            <w:tr w:rsidR="00D65DD6" w:rsidTr="00CF67FE">
              <w:tc>
                <w:tcPr>
                  <w:tcW w:w="4541" w:type="dxa"/>
                  <w:tcBorders>
                    <w:top w:val="nil"/>
                    <w:left w:val="nil"/>
                    <w:bottom w:val="nil"/>
                    <w:right w:val="nil"/>
                  </w:tcBorders>
                </w:tcPr>
                <w:p w:rsidR="00D65DD6" w:rsidRDefault="00D65DD6" w:rsidP="00D65DD6">
                  <w:pPr>
                    <w:keepNext/>
                    <w:spacing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1920240"/>
                        <wp:effectExtent l="19050" t="0" r="0" b="0"/>
                        <wp:docPr id="1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srcRect/>
                                <a:stretch>
                                  <a:fillRect/>
                                </a:stretch>
                              </pic:blipFill>
                              <pic:spPr bwMode="auto">
                                <a:xfrm>
                                  <a:off x="0" y="0"/>
                                  <a:ext cx="2743200" cy="1920240"/>
                                </a:xfrm>
                                <a:prstGeom prst="rect">
                                  <a:avLst/>
                                </a:prstGeom>
                                <a:noFill/>
                                <a:ln w="9525">
                                  <a:noFill/>
                                  <a:miter lim="800000"/>
                                  <a:headEnd/>
                                  <a:tailEnd/>
                                </a:ln>
                              </pic:spPr>
                            </pic:pic>
                          </a:graphicData>
                        </a:graphic>
                      </wp:inline>
                    </w:drawing>
                  </w:r>
                </w:p>
              </w:tc>
              <w:tc>
                <w:tcPr>
                  <w:tcW w:w="4542" w:type="dxa"/>
                  <w:tcBorders>
                    <w:top w:val="nil"/>
                    <w:left w:val="nil"/>
                    <w:bottom w:val="nil"/>
                    <w:right w:val="nil"/>
                  </w:tcBorders>
                </w:tcPr>
                <w:p w:rsidR="00D65DD6" w:rsidRDefault="00D65DD6" w:rsidP="00D65DD6">
                  <w:pPr>
                    <w:keepNext/>
                    <w:spacing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1920240"/>
                        <wp:effectExtent l="19050" t="0" r="0" b="0"/>
                        <wp:docPr id="2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srcRect/>
                                <a:stretch>
                                  <a:fillRect/>
                                </a:stretch>
                              </pic:blipFill>
                              <pic:spPr bwMode="auto">
                                <a:xfrm>
                                  <a:off x="0" y="0"/>
                                  <a:ext cx="2743200" cy="1920240"/>
                                </a:xfrm>
                                <a:prstGeom prst="rect">
                                  <a:avLst/>
                                </a:prstGeom>
                                <a:noFill/>
                                <a:ln w="9525">
                                  <a:noFill/>
                                  <a:miter lim="800000"/>
                                  <a:headEnd/>
                                  <a:tailEnd/>
                                </a:ln>
                              </pic:spPr>
                            </pic:pic>
                          </a:graphicData>
                        </a:graphic>
                      </wp:inline>
                    </w:drawing>
                  </w:r>
                </w:p>
              </w:tc>
            </w:tr>
          </w:tbl>
          <w:p w:rsidR="00D65DD6" w:rsidRPr="002F1DD6" w:rsidRDefault="00D65DD6" w:rsidP="00D65DD6">
            <w:pPr>
              <w:keepNext/>
              <w:spacing w:line="240" w:lineRule="auto"/>
              <w:rPr>
                <w:rFonts w:eastAsia="Malgun Gothic" w:cs="Segoe UI"/>
                <w:sz w:val="19"/>
                <w:szCs w:val="19"/>
                <w:lang w:eastAsia="ko-KR"/>
              </w:rPr>
            </w:pPr>
          </w:p>
        </w:tc>
      </w:tr>
    </w:tbl>
    <w:p w:rsidR="00D65DD6" w:rsidRDefault="00D65DD6">
      <w:pPr>
        <w:spacing w:line="22" w:lineRule="auto"/>
        <w:rPr>
          <w:b/>
          <w:color w:val="0070C0"/>
        </w:rPr>
      </w:pPr>
      <w:r>
        <w:rPr>
          <w:b/>
          <w:color w:val="0070C0"/>
        </w:rPr>
        <w:lastRenderedPageBreak/>
        <w:br w:type="page"/>
      </w:r>
    </w:p>
    <w:p w:rsidR="007449EC" w:rsidRPr="007449EC" w:rsidRDefault="007449EC" w:rsidP="007449EC">
      <w:pPr>
        <w:keepNext/>
        <w:jc w:val="center"/>
        <w:rPr>
          <w:b/>
          <w:color w:val="0070C0"/>
        </w:rPr>
      </w:pPr>
      <w:r w:rsidRPr="007449EC">
        <w:rPr>
          <w:b/>
          <w:color w:val="0070C0"/>
        </w:rPr>
        <w:lastRenderedPageBreak/>
        <w:t xml:space="preserve">Box </w:t>
      </w:r>
      <w:r>
        <w:rPr>
          <w:b/>
          <w:color w:val="0070C0"/>
        </w:rPr>
        <w:t>4</w:t>
      </w:r>
      <w:r w:rsidRPr="007449EC">
        <w:rPr>
          <w:b/>
          <w:color w:val="0070C0"/>
        </w:rPr>
        <w:t xml:space="preserve">. Fiscal Stimulus </w:t>
      </w:r>
    </w:p>
    <w:p w:rsidR="007449EC" w:rsidRDefault="007449EC" w:rsidP="007449EC">
      <w:pPr>
        <w:keepNext/>
        <w:jc w:val="center"/>
        <w:rPr>
          <w:b/>
        </w:rPr>
      </w:pPr>
    </w:p>
    <w:p w:rsidR="004B197A" w:rsidRDefault="004B197A" w:rsidP="00B6291E">
      <w:pPr>
        <w:keepNext/>
        <w:spacing w:line="240" w:lineRule="auto"/>
      </w:pPr>
      <w:r>
        <w:rPr>
          <w:b/>
        </w:rPr>
        <w:t>In response to the sharp deceleration in activity since 2011, the authorities have introduced several rounds of fiscal stimulus.</w:t>
      </w:r>
      <w:r>
        <w:t xml:space="preserve"> Following an initial round at the end of 2011 (mostly aimed at supporting consumption and the construction sector),</w:t>
      </w:r>
      <w:r w:rsidR="000C1966">
        <w:rPr>
          <w:rStyle w:val="CommentReference"/>
        </w:rPr>
        <w:t xml:space="preserve"> </w:t>
      </w:r>
      <w:r>
        <w:t>several other rounds of stimulus were announced in 2012 and 2013.</w:t>
      </w:r>
      <w:r>
        <w:rPr>
          <w:rStyle w:val="FootnoteReference"/>
        </w:rPr>
        <w:footnoteReference w:id="5"/>
      </w:r>
      <w:r>
        <w:t xml:space="preserve"> These subsequent rounds renewed or expanded the original stimulus measures while increasingly focusing on supply side considerations, in particular labor and energy costs</w:t>
      </w:r>
      <w:r w:rsidR="004F0F10">
        <w:t>, and inflation control</w:t>
      </w:r>
      <w:r>
        <w:t xml:space="preserve">. The table below accounts for the most significant measures taken since end-2011, with the estimated impact on the fiscal accounts for 2012−14. </w:t>
      </w:r>
    </w:p>
    <w:p w:rsidR="004B197A" w:rsidRDefault="004B197A" w:rsidP="00B6291E">
      <w:pPr>
        <w:keepNext/>
        <w:spacing w:line="240" w:lineRule="auto"/>
      </w:pPr>
    </w:p>
    <w:p w:rsidR="004B197A" w:rsidRDefault="0009232A" w:rsidP="00B6291E">
      <w:pPr>
        <w:keepNext/>
        <w:spacing w:line="240" w:lineRule="auto"/>
        <w:jc w:val="center"/>
      </w:pPr>
      <w:r w:rsidRPr="0009232A">
        <w:rPr>
          <w:noProof/>
        </w:rPr>
        <w:drawing>
          <wp:inline distT="0" distB="0" distL="0" distR="0">
            <wp:extent cx="4628559" cy="4430486"/>
            <wp:effectExtent l="19050" t="0" r="59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srcRect/>
                    <a:stretch>
                      <a:fillRect/>
                    </a:stretch>
                  </pic:blipFill>
                  <pic:spPr bwMode="auto">
                    <a:xfrm>
                      <a:off x="0" y="0"/>
                      <a:ext cx="4627321" cy="4429301"/>
                    </a:xfrm>
                    <a:prstGeom prst="rect">
                      <a:avLst/>
                    </a:prstGeom>
                    <a:noFill/>
                    <a:ln w="9525">
                      <a:noFill/>
                      <a:miter lim="800000"/>
                      <a:headEnd/>
                      <a:tailEnd/>
                    </a:ln>
                  </pic:spPr>
                </pic:pic>
              </a:graphicData>
            </a:graphic>
          </wp:inline>
        </w:drawing>
      </w:r>
    </w:p>
    <w:p w:rsidR="004B197A" w:rsidRDefault="004B197A" w:rsidP="00B6291E">
      <w:pPr>
        <w:keepNext/>
        <w:spacing w:line="240" w:lineRule="auto"/>
      </w:pPr>
    </w:p>
    <w:p w:rsidR="004B197A" w:rsidRPr="00935A38" w:rsidRDefault="004B197A" w:rsidP="00B6291E">
      <w:pPr>
        <w:keepNext/>
        <w:spacing w:line="240" w:lineRule="auto"/>
      </w:pPr>
      <w:r>
        <w:rPr>
          <w:b/>
        </w:rPr>
        <w:lastRenderedPageBreak/>
        <w:t xml:space="preserve">Most stimulus measures took the form of tax incentives. </w:t>
      </w:r>
      <w:r>
        <w:t>The government has repeatedly renewed and expanded tax cuts on the consumption of durables, particularly home appliances and automobiles/trucks (introduced first in August 2011 (see footnote 1)). Similarly, the exemption of employer social contributions, initially applied to a few (tradable) sectors was subsequently expanded to many other activities, including retail. More recently, a reform of the PIS/</w:t>
      </w:r>
      <w:proofErr w:type="spellStart"/>
      <w:r>
        <w:t>Cofins</w:t>
      </w:r>
      <w:proofErr w:type="spellEnd"/>
      <w:r>
        <w:t xml:space="preserve"> (social contributions levied on consumption) is currently under discussion to be implemented in 2014.</w:t>
      </w:r>
    </w:p>
    <w:p w:rsidR="00507030" w:rsidRDefault="00507030" w:rsidP="005A4977">
      <w:pPr>
        <w:spacing w:line="240" w:lineRule="auto"/>
      </w:pPr>
      <w:r>
        <w:br w:type="page"/>
      </w:r>
    </w:p>
    <w:p w:rsidR="00507030" w:rsidRPr="00507030" w:rsidRDefault="00507030" w:rsidP="005A4977">
      <w:pPr>
        <w:spacing w:line="240" w:lineRule="auto"/>
        <w:jc w:val="center"/>
        <w:rPr>
          <w:rFonts w:cstheme="minorHAnsi"/>
          <w:b/>
          <w:color w:val="0070C0"/>
        </w:rPr>
      </w:pPr>
      <w:r w:rsidRPr="00507030">
        <w:rPr>
          <w:rFonts w:cstheme="minorHAnsi"/>
          <w:b/>
          <w:color w:val="0070C0"/>
        </w:rPr>
        <w:lastRenderedPageBreak/>
        <w:t>Box</w:t>
      </w:r>
      <w:r w:rsidR="005A4977">
        <w:rPr>
          <w:rFonts w:cstheme="minorHAnsi"/>
          <w:b/>
          <w:color w:val="0070C0"/>
        </w:rPr>
        <w:t xml:space="preserve"> 6</w:t>
      </w:r>
      <w:r w:rsidRPr="00507030">
        <w:rPr>
          <w:rFonts w:cstheme="minorHAnsi"/>
          <w:b/>
          <w:color w:val="0070C0"/>
        </w:rPr>
        <w:t>. Brazil: Public Debt Dynamics</w:t>
      </w:r>
    </w:p>
    <w:p w:rsidR="00507030" w:rsidRDefault="00507030" w:rsidP="005A4977">
      <w:pPr>
        <w:spacing w:line="240" w:lineRule="auto"/>
        <w:rPr>
          <w:rFonts w:cstheme="minorHAnsi"/>
        </w:rPr>
      </w:pPr>
    </w:p>
    <w:p w:rsidR="00507030" w:rsidRDefault="00507030" w:rsidP="005A4977">
      <w:pPr>
        <w:spacing w:line="240" w:lineRule="auto"/>
      </w:pPr>
      <w:r>
        <w:rPr>
          <w:b/>
          <w:noProof/>
        </w:rPr>
        <w:drawing>
          <wp:anchor distT="0" distB="0" distL="114300" distR="114300" simplePos="0" relativeHeight="251716608" behindDoc="1" locked="0" layoutInCell="1" allowOverlap="1">
            <wp:simplePos x="0" y="0"/>
            <wp:positionH relativeFrom="column">
              <wp:posOffset>3112770</wp:posOffset>
            </wp:positionH>
            <wp:positionV relativeFrom="paragraph">
              <wp:posOffset>643255</wp:posOffset>
            </wp:positionV>
            <wp:extent cx="2495550" cy="1950720"/>
            <wp:effectExtent l="19050" t="0" r="0" b="0"/>
            <wp:wrapTight wrapText="bothSides">
              <wp:wrapPolygon edited="0">
                <wp:start x="-165" y="0"/>
                <wp:lineTo x="-165" y="21094"/>
                <wp:lineTo x="21600" y="21094"/>
                <wp:lineTo x="21600" y="0"/>
                <wp:lineTo x="-165" y="0"/>
              </wp:wrapPolygon>
            </wp:wrapTight>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srcRect/>
                    <a:stretch>
                      <a:fillRect/>
                    </a:stretch>
                  </pic:blipFill>
                  <pic:spPr bwMode="auto">
                    <a:xfrm>
                      <a:off x="0" y="0"/>
                      <a:ext cx="2495550" cy="1950720"/>
                    </a:xfrm>
                    <a:prstGeom prst="rect">
                      <a:avLst/>
                    </a:prstGeom>
                    <a:noFill/>
                    <a:ln w="9525">
                      <a:noFill/>
                      <a:miter lim="800000"/>
                      <a:headEnd/>
                      <a:tailEnd/>
                    </a:ln>
                  </pic:spPr>
                </pic:pic>
              </a:graphicData>
            </a:graphic>
          </wp:anchor>
        </w:drawing>
      </w:r>
      <w:r w:rsidRPr="00B02536">
        <w:rPr>
          <w:b/>
        </w:rPr>
        <w:t xml:space="preserve">Fiscal responsibility has </w:t>
      </w:r>
      <w:r>
        <w:rPr>
          <w:b/>
        </w:rPr>
        <w:t xml:space="preserve">been instrumental </w:t>
      </w:r>
      <w:r w:rsidRPr="00B02536">
        <w:rPr>
          <w:b/>
        </w:rPr>
        <w:t xml:space="preserve">to lower </w:t>
      </w:r>
      <w:r>
        <w:rPr>
          <w:b/>
        </w:rPr>
        <w:t xml:space="preserve">Brazil’s </w:t>
      </w:r>
      <w:r w:rsidRPr="00B02536">
        <w:rPr>
          <w:b/>
        </w:rPr>
        <w:t>public debt</w:t>
      </w:r>
      <w:r>
        <w:t>. The ratio of gross debt to GDP for the non-financial public sector has declined gradually during the past decade. Many years of robust primary surpluses and output growth have supported the decline in gross debt. Net debt has exhibited a larger decline than gross debt reflecting the accumulation of financial assets, notably international reserves and credit to public financial institutions.</w:t>
      </w:r>
      <w:r w:rsidRPr="003E1F7D">
        <w:t xml:space="preserve"> </w:t>
      </w:r>
      <w:r>
        <w:t>During this period, prudent debt management has also improved the debt profile by increasing the average maturity of the outstanding debt; gradually replacing floating-rate securities by fixed-rate and inflation-linked instruments; and reducing the share of total debt in hands of non-residents (including external debt).</w:t>
      </w:r>
    </w:p>
    <w:p w:rsidR="00507030" w:rsidRDefault="00507030" w:rsidP="005A4977">
      <w:pPr>
        <w:spacing w:line="240" w:lineRule="auto"/>
      </w:pPr>
    </w:p>
    <w:p w:rsidR="00507030" w:rsidRDefault="00507030" w:rsidP="005A4977">
      <w:pPr>
        <w:spacing w:line="240" w:lineRule="auto"/>
        <w:jc w:val="center"/>
        <w:rPr>
          <w:color w:val="FF0000"/>
        </w:rPr>
      </w:pPr>
      <w:r w:rsidRPr="006B4138">
        <w:rPr>
          <w:noProof/>
        </w:rPr>
        <w:drawing>
          <wp:inline distT="0" distB="0" distL="0" distR="0">
            <wp:extent cx="5524500" cy="1839847"/>
            <wp:effectExtent l="1905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srcRect/>
                    <a:stretch>
                      <a:fillRect/>
                    </a:stretch>
                  </pic:blipFill>
                  <pic:spPr bwMode="auto">
                    <a:xfrm>
                      <a:off x="0" y="0"/>
                      <a:ext cx="5520819" cy="1838621"/>
                    </a:xfrm>
                    <a:prstGeom prst="rect">
                      <a:avLst/>
                    </a:prstGeom>
                    <a:noFill/>
                    <a:ln w="9525">
                      <a:noFill/>
                      <a:miter lim="800000"/>
                      <a:headEnd/>
                      <a:tailEnd/>
                    </a:ln>
                  </pic:spPr>
                </pic:pic>
              </a:graphicData>
            </a:graphic>
          </wp:inline>
        </w:drawing>
      </w:r>
    </w:p>
    <w:p w:rsidR="00507030" w:rsidRPr="00C431DB" w:rsidRDefault="00507030" w:rsidP="005A4977">
      <w:pPr>
        <w:spacing w:line="240" w:lineRule="auto"/>
        <w:rPr>
          <w:color w:val="FF0000"/>
        </w:rPr>
      </w:pPr>
    </w:p>
    <w:p w:rsidR="00507030" w:rsidRDefault="000C1966" w:rsidP="005A4977">
      <w:pPr>
        <w:spacing w:line="240" w:lineRule="auto"/>
      </w:pPr>
      <w:r>
        <w:rPr>
          <w:b/>
          <w:noProof/>
        </w:rPr>
        <w:drawing>
          <wp:anchor distT="0" distB="0" distL="114300" distR="114300" simplePos="0" relativeHeight="251714560" behindDoc="1" locked="0" layoutInCell="1" allowOverlap="1">
            <wp:simplePos x="0" y="0"/>
            <wp:positionH relativeFrom="column">
              <wp:posOffset>2992120</wp:posOffset>
            </wp:positionH>
            <wp:positionV relativeFrom="paragraph">
              <wp:posOffset>23495</wp:posOffset>
            </wp:positionV>
            <wp:extent cx="2753360" cy="1791970"/>
            <wp:effectExtent l="19050" t="0" r="8890" b="0"/>
            <wp:wrapTight wrapText="bothSides">
              <wp:wrapPolygon edited="0">
                <wp:start x="-149" y="0"/>
                <wp:lineTo x="-149" y="21355"/>
                <wp:lineTo x="21670" y="21355"/>
                <wp:lineTo x="21670" y="0"/>
                <wp:lineTo x="-149" y="0"/>
              </wp:wrapPolygon>
            </wp:wrapTight>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srcRect/>
                    <a:stretch>
                      <a:fillRect/>
                    </a:stretch>
                  </pic:blipFill>
                  <pic:spPr bwMode="auto">
                    <a:xfrm>
                      <a:off x="0" y="0"/>
                      <a:ext cx="2753360" cy="1791970"/>
                    </a:xfrm>
                    <a:prstGeom prst="rect">
                      <a:avLst/>
                    </a:prstGeom>
                    <a:noFill/>
                    <a:ln w="9525">
                      <a:noFill/>
                      <a:miter lim="800000"/>
                      <a:headEnd/>
                      <a:tailEnd/>
                    </a:ln>
                  </pic:spPr>
                </pic:pic>
              </a:graphicData>
            </a:graphic>
          </wp:anchor>
        </w:drawing>
      </w:r>
      <w:r w:rsidR="00507030" w:rsidRPr="00B62100">
        <w:rPr>
          <w:b/>
        </w:rPr>
        <w:t xml:space="preserve">The reduction in public debt has been </w:t>
      </w:r>
      <w:r w:rsidR="00507030">
        <w:rPr>
          <w:b/>
        </w:rPr>
        <w:t xml:space="preserve">a key </w:t>
      </w:r>
      <w:r w:rsidR="00507030" w:rsidRPr="00B62100">
        <w:rPr>
          <w:b/>
        </w:rPr>
        <w:t>driver of the decline in the interest bill</w:t>
      </w:r>
      <w:r w:rsidR="00507030">
        <w:t>. More recently, the reductions in the policy rate have also favored debt dynamics. The policy rate cuts implemented since August 2011 have helped reduce the implicit interest rate by about 50 bps to 11½ percent in 2012.</w:t>
      </w:r>
      <w:r w:rsidR="00507030" w:rsidRPr="006B4138">
        <w:rPr>
          <w:rStyle w:val="FootnoteReference"/>
        </w:rPr>
        <w:t xml:space="preserve"> </w:t>
      </w:r>
      <w:r w:rsidR="00507030">
        <w:rPr>
          <w:rStyle w:val="FootnoteReference"/>
        </w:rPr>
        <w:footnoteReference w:id="6"/>
      </w:r>
      <w:r w:rsidR="00507030">
        <w:t xml:space="preserve"> However, the sensitivity of the interest bill to </w:t>
      </w:r>
      <w:r w:rsidR="00507030">
        <w:lastRenderedPageBreak/>
        <w:t xml:space="preserve">policy rate changes has been limited, as 95 percent of total gross debt is domestic debt, of which only a quarter is floating rate securities. </w:t>
      </w:r>
    </w:p>
    <w:p w:rsidR="00507030" w:rsidRDefault="00507030" w:rsidP="005A4977">
      <w:pPr>
        <w:spacing w:line="240" w:lineRule="auto"/>
      </w:pPr>
      <w:r>
        <w:rPr>
          <w:b/>
        </w:rPr>
        <w:t xml:space="preserve">Going </w:t>
      </w:r>
      <w:r w:rsidRPr="000D796A">
        <w:rPr>
          <w:b/>
        </w:rPr>
        <w:t xml:space="preserve">forward, the </w:t>
      </w:r>
      <w:r>
        <w:rPr>
          <w:b/>
        </w:rPr>
        <w:t xml:space="preserve">path </w:t>
      </w:r>
      <w:r w:rsidRPr="000D796A">
        <w:rPr>
          <w:b/>
        </w:rPr>
        <w:t xml:space="preserve">of </w:t>
      </w:r>
      <w:r>
        <w:rPr>
          <w:b/>
        </w:rPr>
        <w:t xml:space="preserve">the </w:t>
      </w:r>
      <w:r w:rsidRPr="000D796A">
        <w:rPr>
          <w:b/>
        </w:rPr>
        <w:t xml:space="preserve">debt-to-GDP </w:t>
      </w:r>
      <w:r>
        <w:rPr>
          <w:b/>
        </w:rPr>
        <w:t xml:space="preserve">ratio </w:t>
      </w:r>
      <w:r w:rsidRPr="000D796A">
        <w:rPr>
          <w:b/>
        </w:rPr>
        <w:t>would depend on the primary balance</w:t>
      </w:r>
      <w:r>
        <w:rPr>
          <w:b/>
        </w:rPr>
        <w:t xml:space="preserve"> (including policy lending),</w:t>
      </w:r>
      <w:r w:rsidRPr="000D796A">
        <w:rPr>
          <w:b/>
        </w:rPr>
        <w:t xml:space="preserve"> in </w:t>
      </w:r>
      <w:r>
        <w:rPr>
          <w:b/>
        </w:rPr>
        <w:t xml:space="preserve">a context of a </w:t>
      </w:r>
      <w:r w:rsidRPr="000D796A">
        <w:rPr>
          <w:b/>
        </w:rPr>
        <w:t>relati</w:t>
      </w:r>
      <w:r>
        <w:rPr>
          <w:b/>
        </w:rPr>
        <w:t xml:space="preserve">vely worse </w:t>
      </w:r>
      <w:r w:rsidRPr="000D796A">
        <w:rPr>
          <w:b/>
        </w:rPr>
        <w:t>interest</w:t>
      </w:r>
      <w:r>
        <w:rPr>
          <w:b/>
        </w:rPr>
        <w:t>-</w:t>
      </w:r>
      <w:r w:rsidRPr="000D796A">
        <w:rPr>
          <w:b/>
        </w:rPr>
        <w:t>growth</w:t>
      </w:r>
      <w:r>
        <w:rPr>
          <w:b/>
        </w:rPr>
        <w:t xml:space="preserve"> </w:t>
      </w:r>
      <w:r w:rsidRPr="000D796A">
        <w:rPr>
          <w:b/>
        </w:rPr>
        <w:t>differential</w:t>
      </w:r>
      <w:r>
        <w:t>.</w:t>
      </w:r>
      <w:r>
        <w:rPr>
          <w:rStyle w:val="FootnoteReference"/>
        </w:rPr>
        <w:footnoteReference w:id="7"/>
      </w:r>
      <w:r w:rsidR="000C1966">
        <w:t xml:space="preserve"> </w:t>
      </w:r>
      <w:r>
        <w:t>The debt stabilizing primary balance, under plausible scenarios of growth and interest rates, ranges between 1½ and 2½ percent of GDP.</w:t>
      </w:r>
      <w:r w:rsidRPr="00167C13">
        <w:t xml:space="preserve"> </w:t>
      </w:r>
      <w:r>
        <w:t>This balance, however, would need to be augmented by other debt-creating flows such as lending to public banks for on</w:t>
      </w:r>
      <w:r>
        <w:noBreakHyphen/>
        <w:t>lending (policy lending).</w:t>
      </w:r>
    </w:p>
    <w:p w:rsidR="00507030" w:rsidRDefault="00507030" w:rsidP="005A4977">
      <w:pPr>
        <w:spacing w:line="240" w:lineRule="auto"/>
      </w:pPr>
    </w:p>
    <w:p w:rsidR="00507030" w:rsidRDefault="00507030" w:rsidP="005A4977">
      <w:pPr>
        <w:spacing w:line="240" w:lineRule="auto"/>
      </w:pPr>
      <w:r w:rsidRPr="006B4138">
        <w:rPr>
          <w:noProof/>
        </w:rPr>
        <w:drawing>
          <wp:inline distT="0" distB="0" distL="0" distR="0">
            <wp:extent cx="5478001" cy="2653483"/>
            <wp:effectExtent l="19050" t="0" r="8399" b="0"/>
            <wp:docPr id="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srcRect/>
                    <a:stretch>
                      <a:fillRect/>
                    </a:stretch>
                  </pic:blipFill>
                  <pic:spPr bwMode="auto">
                    <a:xfrm>
                      <a:off x="0" y="0"/>
                      <a:ext cx="5482404" cy="2655616"/>
                    </a:xfrm>
                    <a:prstGeom prst="rect">
                      <a:avLst/>
                    </a:prstGeom>
                    <a:noFill/>
                    <a:ln w="9525">
                      <a:noFill/>
                      <a:miter lim="800000"/>
                      <a:headEnd/>
                      <a:tailEnd/>
                    </a:ln>
                  </pic:spPr>
                </pic:pic>
              </a:graphicData>
            </a:graphic>
          </wp:inline>
        </w:drawing>
      </w:r>
    </w:p>
    <w:p w:rsidR="00507030" w:rsidRDefault="00507030" w:rsidP="005A4977">
      <w:pPr>
        <w:spacing w:line="240" w:lineRule="auto"/>
      </w:pPr>
    </w:p>
    <w:p w:rsidR="00507030" w:rsidRDefault="00507030" w:rsidP="005A4977">
      <w:pPr>
        <w:spacing w:line="240" w:lineRule="auto"/>
      </w:pPr>
      <w:r>
        <w:rPr>
          <w:b/>
          <w:noProof/>
        </w:rPr>
        <w:drawing>
          <wp:anchor distT="0" distB="0" distL="114300" distR="114300" simplePos="0" relativeHeight="251715584" behindDoc="1" locked="0" layoutInCell="1" allowOverlap="1">
            <wp:simplePos x="0" y="0"/>
            <wp:positionH relativeFrom="column">
              <wp:posOffset>2872740</wp:posOffset>
            </wp:positionH>
            <wp:positionV relativeFrom="paragraph">
              <wp:posOffset>431165</wp:posOffset>
            </wp:positionV>
            <wp:extent cx="2784475" cy="1802765"/>
            <wp:effectExtent l="19050" t="0" r="0" b="0"/>
            <wp:wrapTight wrapText="bothSides">
              <wp:wrapPolygon edited="0">
                <wp:start x="-148" y="0"/>
                <wp:lineTo x="-148" y="21455"/>
                <wp:lineTo x="21575" y="21455"/>
                <wp:lineTo x="21575" y="0"/>
                <wp:lineTo x="-148" y="0"/>
              </wp:wrapPolygon>
            </wp:wrapTight>
            <wp:docPr id="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srcRect/>
                    <a:stretch>
                      <a:fillRect/>
                    </a:stretch>
                  </pic:blipFill>
                  <pic:spPr bwMode="auto">
                    <a:xfrm>
                      <a:off x="0" y="0"/>
                      <a:ext cx="2784475" cy="1802765"/>
                    </a:xfrm>
                    <a:prstGeom prst="rect">
                      <a:avLst/>
                    </a:prstGeom>
                    <a:noFill/>
                    <a:ln w="9525">
                      <a:noFill/>
                      <a:miter lim="800000"/>
                      <a:headEnd/>
                      <a:tailEnd/>
                    </a:ln>
                  </pic:spPr>
                </pic:pic>
              </a:graphicData>
            </a:graphic>
          </wp:anchor>
        </w:drawing>
      </w:r>
      <w:r w:rsidRPr="00866E21">
        <w:rPr>
          <w:b/>
        </w:rPr>
        <w:t>Since the global crisis</w:t>
      </w:r>
      <w:r>
        <w:rPr>
          <w:b/>
        </w:rPr>
        <w:t xml:space="preserve">, policy lending has contributed significantly to </w:t>
      </w:r>
      <w:r w:rsidRPr="00866E21">
        <w:rPr>
          <w:b/>
        </w:rPr>
        <w:t>gross public debt.</w:t>
      </w:r>
      <w:r>
        <w:t xml:space="preserve"> Subsidized lending by the Treasury to public banks, in particular BNDES, has explained a substantial rise in federal public debt. Treasury transfers to BNDES and other public banks have added [8] percent of GDP to the stock of gross debt</w:t>
      </w:r>
      <w:r w:rsidRPr="00F72154">
        <w:t xml:space="preserve"> </w:t>
      </w:r>
      <w:r>
        <w:t xml:space="preserve">during 2008-12. In 2012, the increase in gross public debt was driven by Treasury lending to public banks, which amounted 1.7 percent of GDP (1.2 percent to BNDES and 0.5 to Caixa and Banco do </w:t>
      </w:r>
      <w:proofErr w:type="spellStart"/>
      <w:r>
        <w:t>Brasil</w:t>
      </w:r>
      <w:proofErr w:type="spellEnd"/>
      <w:r>
        <w:t>). Policy lending has not impacted the authorities’ definition of net debt as financial assets (public bank obligations to the Treasury) increased accordingly.</w:t>
      </w:r>
    </w:p>
    <w:p w:rsidR="007449EC" w:rsidRPr="00935A38" w:rsidRDefault="007449EC" w:rsidP="005A4977">
      <w:pPr>
        <w:keepNext/>
        <w:spacing w:line="240" w:lineRule="auto"/>
      </w:pPr>
    </w:p>
    <w:p w:rsidR="007449EC" w:rsidRDefault="00C317BA" w:rsidP="003E4509">
      <w:pPr>
        <w:widowControl w:val="0"/>
        <w:rPr>
          <w:rFonts w:cs="Segoe UI"/>
          <w:sz w:val="19"/>
          <w:szCs w:val="19"/>
        </w:rPr>
      </w:pPr>
      <w:r w:rsidRPr="00533954">
        <w:rPr>
          <w:rFonts w:cs="Segoe UI"/>
          <w:sz w:val="19"/>
          <w:szCs w:val="19"/>
        </w:rPr>
        <w:t xml:space="preserve"> </w:t>
      </w:r>
    </w:p>
    <w:p w:rsidR="007449EC" w:rsidRDefault="007449EC">
      <w:pPr>
        <w:spacing w:line="22" w:lineRule="auto"/>
        <w:rPr>
          <w:rFonts w:cs="Segoe UI"/>
          <w:sz w:val="19"/>
          <w:szCs w:val="19"/>
        </w:rPr>
      </w:pPr>
      <w:r>
        <w:rPr>
          <w:rFonts w:cs="Segoe UI"/>
          <w:sz w:val="19"/>
          <w:szCs w:val="19"/>
        </w:rPr>
        <w:br w:type="page"/>
      </w:r>
    </w:p>
    <w:tbl>
      <w:tblPr>
        <w:tblStyle w:val="TableGrid"/>
        <w:tblW w:w="9314" w:type="dxa"/>
        <w:jc w:val="center"/>
        <w:tblBorders>
          <w:insideH w:val="none" w:sz="0" w:space="0" w:color="auto"/>
          <w:insideV w:val="none" w:sz="0" w:space="0" w:color="auto"/>
        </w:tblBorders>
        <w:shd w:val="clear" w:color="auto" w:fill="DBE5F1" w:themeFill="accent1" w:themeFillTint="33"/>
        <w:tblLayout w:type="fixed"/>
        <w:tblLook w:val="04A0" w:firstRow="1" w:lastRow="0" w:firstColumn="1" w:lastColumn="0" w:noHBand="0" w:noVBand="1"/>
      </w:tblPr>
      <w:tblGrid>
        <w:gridCol w:w="9314"/>
      </w:tblGrid>
      <w:tr w:rsidR="007449EC" w:rsidRPr="00E62D8D" w:rsidTr="004A30C8">
        <w:trPr>
          <w:trHeight w:val="458"/>
          <w:jc w:val="center"/>
        </w:trPr>
        <w:tc>
          <w:tcPr>
            <w:tcW w:w="9314" w:type="dxa"/>
            <w:shd w:val="clear" w:color="auto" w:fill="auto"/>
            <w:vAlign w:val="center"/>
          </w:tcPr>
          <w:p w:rsidR="007449EC" w:rsidRPr="00E62D8D" w:rsidRDefault="007449EC" w:rsidP="00507030">
            <w:pPr>
              <w:jc w:val="center"/>
              <w:rPr>
                <w:rFonts w:cs="Segoe UI"/>
                <w:b/>
                <w:color w:val="4B82AD"/>
                <w:szCs w:val="21"/>
              </w:rPr>
            </w:pPr>
            <w:r>
              <w:rPr>
                <w:rFonts w:eastAsia="Malgun Gothic" w:cs="Segoe UI" w:hint="eastAsia"/>
                <w:b/>
                <w:color w:val="4B82AD"/>
                <w:szCs w:val="21"/>
                <w:lang w:eastAsia="ko-KR"/>
              </w:rPr>
              <w:lastRenderedPageBreak/>
              <w:t xml:space="preserve">Box </w:t>
            </w:r>
            <w:r w:rsidR="005A4977">
              <w:rPr>
                <w:rFonts w:eastAsia="Malgun Gothic" w:cs="Segoe UI"/>
                <w:b/>
                <w:color w:val="4B82AD"/>
                <w:szCs w:val="21"/>
                <w:lang w:eastAsia="ko-KR"/>
              </w:rPr>
              <w:t>7</w:t>
            </w:r>
            <w:r>
              <w:rPr>
                <w:rFonts w:eastAsia="Malgun Gothic" w:cs="Segoe UI" w:hint="eastAsia"/>
                <w:b/>
                <w:color w:val="4B82AD"/>
                <w:szCs w:val="21"/>
                <w:lang w:eastAsia="ko-KR"/>
              </w:rPr>
              <w:t>. Brazil: Household Financial Soundness</w:t>
            </w:r>
          </w:p>
        </w:tc>
      </w:tr>
      <w:tr w:rsidR="007449EC" w:rsidRPr="00D32F76" w:rsidTr="004A30C8">
        <w:trPr>
          <w:trHeight w:val="1080"/>
          <w:jc w:val="center"/>
        </w:trPr>
        <w:tc>
          <w:tcPr>
            <w:tcW w:w="9314" w:type="dxa"/>
            <w:shd w:val="clear" w:color="auto" w:fill="auto"/>
          </w:tcPr>
          <w:p w:rsidR="007449EC" w:rsidRDefault="007449EC" w:rsidP="004A30C8">
            <w:pPr>
              <w:pStyle w:val="ListBullet"/>
              <w:numPr>
                <w:ilvl w:val="0"/>
                <w:numId w:val="0"/>
              </w:numPr>
              <w:rPr>
                <w:rFonts w:eastAsiaTheme="minorEastAsia" w:cs="Segoe UI"/>
                <w:sz w:val="19"/>
                <w:szCs w:val="19"/>
                <w:lang w:eastAsia="ko-KR"/>
              </w:rPr>
            </w:pPr>
            <w:r>
              <w:rPr>
                <w:rFonts w:eastAsiaTheme="minorEastAsia" w:cs="Segoe UI" w:hint="eastAsia"/>
                <w:b/>
                <w:sz w:val="19"/>
                <w:szCs w:val="19"/>
                <w:lang w:eastAsia="ko-KR"/>
              </w:rPr>
              <w:t>Household financial soundness improved in 2012, with nonperforming loans (NPLs) starting to decline gradually at the end of the year</w:t>
            </w:r>
            <w:r w:rsidRPr="00314F00">
              <w:rPr>
                <w:rFonts w:eastAsiaTheme="minorEastAsia" w:cs="Segoe UI" w:hint="eastAsia"/>
                <w:b/>
                <w:sz w:val="19"/>
                <w:szCs w:val="19"/>
                <w:lang w:eastAsia="ko-KR"/>
              </w:rPr>
              <w:t>.</w:t>
            </w:r>
            <w:r>
              <w:rPr>
                <w:rFonts w:eastAsiaTheme="minorEastAsia" w:cs="Segoe UI" w:hint="eastAsia"/>
                <w:sz w:val="19"/>
                <w:szCs w:val="19"/>
                <w:lang w:eastAsia="ko-KR"/>
              </w:rPr>
              <w:t xml:space="preserve"> Favorable labor market conditions, with strong wage growth and declining unemployment rate, enhanced households</w:t>
            </w:r>
            <w:r>
              <w:rPr>
                <w:rFonts w:eastAsiaTheme="minorEastAsia" w:cs="Segoe UI"/>
                <w:sz w:val="19"/>
                <w:szCs w:val="19"/>
                <w:lang w:eastAsia="ko-KR"/>
              </w:rPr>
              <w:t>’</w:t>
            </w:r>
            <w:r>
              <w:rPr>
                <w:rFonts w:eastAsiaTheme="minorEastAsia" w:cs="Segoe UI" w:hint="eastAsia"/>
                <w:sz w:val="19"/>
                <w:szCs w:val="19"/>
                <w:lang w:eastAsia="ko-KR"/>
              </w:rPr>
              <w:t xml:space="preserve"> financial capacity, debt service costs decreased, and household saving increased. Household NPLs started to gradually decline after peaking in mid-2012.</w:t>
            </w:r>
          </w:p>
          <w:p w:rsidR="007449EC" w:rsidRDefault="007449EC" w:rsidP="004A30C8">
            <w:pPr>
              <w:pStyle w:val="ListBullet"/>
              <w:numPr>
                <w:ilvl w:val="0"/>
                <w:numId w:val="0"/>
              </w:numPr>
              <w:spacing w:after="120"/>
              <w:rPr>
                <w:rFonts w:eastAsiaTheme="minorEastAsia" w:cs="Segoe UI"/>
                <w:sz w:val="19"/>
                <w:szCs w:val="19"/>
                <w:lang w:eastAsia="ko-KR"/>
              </w:rPr>
            </w:pPr>
            <w:r w:rsidRPr="00314F00">
              <w:rPr>
                <w:rFonts w:eastAsiaTheme="minorEastAsia" w:cs="Segoe UI"/>
                <w:b/>
                <w:noProof/>
                <w:sz w:val="19"/>
                <w:szCs w:val="19"/>
              </w:rPr>
              <w:drawing>
                <wp:anchor distT="0" distB="0" distL="114300" distR="114300" simplePos="0" relativeHeight="251705344" behindDoc="0" locked="0" layoutInCell="1" allowOverlap="1">
                  <wp:simplePos x="0" y="0"/>
                  <wp:positionH relativeFrom="column">
                    <wp:posOffset>3165475</wp:posOffset>
                  </wp:positionH>
                  <wp:positionV relativeFrom="paragraph">
                    <wp:posOffset>-798195</wp:posOffset>
                  </wp:positionV>
                  <wp:extent cx="2631440" cy="2087245"/>
                  <wp:effectExtent l="19050" t="0" r="0" b="0"/>
                  <wp:wrapSquare wrapText="bothSides"/>
                  <wp:docPr id="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srcRect/>
                          <a:stretch>
                            <a:fillRect/>
                          </a:stretch>
                        </pic:blipFill>
                        <pic:spPr bwMode="auto">
                          <a:xfrm>
                            <a:off x="0" y="0"/>
                            <a:ext cx="2631440" cy="2087245"/>
                          </a:xfrm>
                          <a:prstGeom prst="rect">
                            <a:avLst/>
                          </a:prstGeom>
                          <a:noFill/>
                          <a:ln w="9525">
                            <a:noFill/>
                            <a:miter lim="800000"/>
                            <a:headEnd/>
                            <a:tailEnd/>
                          </a:ln>
                        </pic:spPr>
                      </pic:pic>
                    </a:graphicData>
                  </a:graphic>
                </wp:anchor>
              </w:drawing>
            </w:r>
            <w:r w:rsidRPr="00314F00">
              <w:rPr>
                <w:rFonts w:eastAsiaTheme="minorEastAsia" w:cs="Segoe UI" w:hint="eastAsia"/>
                <w:b/>
                <w:sz w:val="19"/>
                <w:szCs w:val="19"/>
                <w:lang w:eastAsia="ko-KR"/>
              </w:rPr>
              <w:t>H</w:t>
            </w:r>
            <w:r>
              <w:rPr>
                <w:rFonts w:eastAsiaTheme="minorEastAsia" w:cs="Segoe UI"/>
                <w:b/>
                <w:sz w:val="19"/>
                <w:szCs w:val="19"/>
                <w:lang w:eastAsia="ko-KR"/>
              </w:rPr>
              <w:t>ousehold</w:t>
            </w:r>
            <w:r>
              <w:rPr>
                <w:rFonts w:eastAsiaTheme="minorEastAsia" w:cs="Segoe UI" w:hint="eastAsia"/>
                <w:b/>
                <w:sz w:val="19"/>
                <w:szCs w:val="19"/>
                <w:lang w:eastAsia="ko-KR"/>
              </w:rPr>
              <w:t xml:space="preserve"> debt burden has started to decline gradually, due to </w:t>
            </w:r>
            <w:r w:rsidRPr="00314F00">
              <w:rPr>
                <w:rFonts w:eastAsiaTheme="minorEastAsia" w:cs="Segoe UI"/>
                <w:b/>
                <w:sz w:val="19"/>
                <w:szCs w:val="19"/>
                <w:lang w:eastAsia="ko-KR"/>
              </w:rPr>
              <w:t>a</w:t>
            </w:r>
            <w:r w:rsidRPr="00314F00">
              <w:rPr>
                <w:rFonts w:cs="Segoe UI"/>
                <w:b/>
                <w:sz w:val="19"/>
                <w:szCs w:val="19"/>
                <w:lang w:eastAsia="ko-KR"/>
              </w:rPr>
              <w:t xml:space="preserve"> rise in maturit</w:t>
            </w:r>
            <w:r w:rsidRPr="00314F00">
              <w:rPr>
                <w:rFonts w:eastAsiaTheme="minorEastAsia" w:cs="Segoe UI"/>
                <w:b/>
                <w:sz w:val="19"/>
                <w:szCs w:val="19"/>
                <w:lang w:eastAsia="ko-KR"/>
              </w:rPr>
              <w:t>y</w:t>
            </w:r>
            <w:r w:rsidRPr="00314F00">
              <w:rPr>
                <w:rFonts w:eastAsiaTheme="minorEastAsia" w:cs="Segoe UI" w:hint="eastAsia"/>
                <w:b/>
                <w:sz w:val="19"/>
                <w:szCs w:val="19"/>
                <w:lang w:eastAsia="ko-KR"/>
              </w:rPr>
              <w:t xml:space="preserve"> </w:t>
            </w:r>
            <w:r w:rsidRPr="00314F00">
              <w:rPr>
                <w:rFonts w:cs="Segoe UI"/>
                <w:b/>
                <w:sz w:val="19"/>
                <w:szCs w:val="19"/>
                <w:lang w:eastAsia="ko-KR"/>
              </w:rPr>
              <w:t xml:space="preserve">and a </w:t>
            </w:r>
            <w:r w:rsidRPr="00314F00">
              <w:rPr>
                <w:rFonts w:eastAsiaTheme="minorEastAsia" w:cs="Segoe UI"/>
                <w:b/>
                <w:sz w:val="19"/>
                <w:szCs w:val="19"/>
                <w:lang w:eastAsia="ko-KR"/>
              </w:rPr>
              <w:t>recent</w:t>
            </w:r>
            <w:r w:rsidRPr="00314F00">
              <w:rPr>
                <w:rFonts w:cs="Segoe UI"/>
                <w:b/>
                <w:sz w:val="19"/>
                <w:szCs w:val="19"/>
                <w:lang w:eastAsia="ko-KR"/>
              </w:rPr>
              <w:t xml:space="preserve"> decrease </w:t>
            </w:r>
            <w:r>
              <w:rPr>
                <w:rFonts w:eastAsiaTheme="minorEastAsia" w:cs="Segoe UI" w:hint="eastAsia"/>
                <w:b/>
                <w:sz w:val="19"/>
                <w:szCs w:val="19"/>
                <w:lang w:eastAsia="ko-KR"/>
              </w:rPr>
              <w:t>in</w:t>
            </w:r>
            <w:r w:rsidRPr="00314F00">
              <w:rPr>
                <w:rFonts w:cs="Segoe UI"/>
                <w:b/>
                <w:sz w:val="19"/>
                <w:szCs w:val="19"/>
                <w:lang w:eastAsia="ko-KR"/>
              </w:rPr>
              <w:t xml:space="preserve"> lending rates.</w:t>
            </w:r>
            <w:r w:rsidRPr="009D5510">
              <w:rPr>
                <w:rFonts w:eastAsiaTheme="minorEastAsia" w:cs="Segoe UI"/>
                <w:sz w:val="19"/>
                <w:szCs w:val="19"/>
                <w:lang w:eastAsia="ko-KR"/>
              </w:rPr>
              <w:t xml:space="preserve"> </w:t>
            </w:r>
            <w:r w:rsidRPr="009D5510">
              <w:rPr>
                <w:rFonts w:cs="Segoe UI"/>
                <w:sz w:val="19"/>
                <w:szCs w:val="19"/>
                <w:lang w:eastAsia="ko-KR"/>
              </w:rPr>
              <w:t>T</w:t>
            </w:r>
            <w:r w:rsidRPr="009D5510">
              <w:rPr>
                <w:rFonts w:cs="Segoe UI"/>
                <w:sz w:val="19"/>
                <w:szCs w:val="19"/>
              </w:rPr>
              <w:t>he household debt</w:t>
            </w:r>
            <w:r w:rsidRPr="009D5510">
              <w:rPr>
                <w:rFonts w:cs="Segoe UI"/>
                <w:sz w:val="19"/>
                <w:szCs w:val="19"/>
                <w:lang w:eastAsia="ko-KR"/>
              </w:rPr>
              <w:t>-</w:t>
            </w:r>
            <w:r w:rsidRPr="009D5510">
              <w:rPr>
                <w:rFonts w:cs="Segoe UI"/>
                <w:sz w:val="19"/>
                <w:szCs w:val="19"/>
              </w:rPr>
              <w:t xml:space="preserve">service ratio </w:t>
            </w:r>
            <w:r w:rsidRPr="009D5510">
              <w:rPr>
                <w:rFonts w:eastAsiaTheme="minorEastAsia" w:cs="Segoe UI"/>
                <w:sz w:val="19"/>
                <w:szCs w:val="19"/>
                <w:lang w:eastAsia="ko-KR"/>
              </w:rPr>
              <w:t xml:space="preserve">declined </w:t>
            </w:r>
            <w:r>
              <w:rPr>
                <w:rFonts w:eastAsiaTheme="minorEastAsia" w:cs="Segoe UI" w:hint="eastAsia"/>
                <w:sz w:val="19"/>
                <w:szCs w:val="19"/>
                <w:lang w:eastAsia="ko-KR"/>
              </w:rPr>
              <w:t>1.2 percentage points from 22.9</w:t>
            </w:r>
            <w:r w:rsidRPr="009D5510">
              <w:rPr>
                <w:rFonts w:eastAsiaTheme="minorEastAsia" w:cs="Segoe UI"/>
                <w:sz w:val="19"/>
                <w:szCs w:val="19"/>
                <w:lang w:eastAsia="ko-KR"/>
              </w:rPr>
              <w:t xml:space="preserve"> to 21.</w:t>
            </w:r>
            <w:r>
              <w:rPr>
                <w:rFonts w:eastAsiaTheme="minorEastAsia" w:cs="Segoe UI" w:hint="eastAsia"/>
                <w:sz w:val="19"/>
                <w:szCs w:val="19"/>
                <w:lang w:eastAsia="ko-KR"/>
              </w:rPr>
              <w:t>7</w:t>
            </w:r>
            <w:r w:rsidRPr="009D5510">
              <w:rPr>
                <w:rFonts w:eastAsiaTheme="minorEastAsia" w:cs="Segoe UI"/>
                <w:sz w:val="19"/>
                <w:szCs w:val="19"/>
                <w:lang w:eastAsia="ko-KR"/>
              </w:rPr>
              <w:t xml:space="preserve"> percent of </w:t>
            </w:r>
            <w:r w:rsidRPr="009D5510">
              <w:rPr>
                <w:rFonts w:cs="Segoe UI"/>
                <w:sz w:val="19"/>
                <w:szCs w:val="19"/>
                <w:lang w:eastAsia="ko-KR"/>
              </w:rPr>
              <w:t xml:space="preserve">disposable income in </w:t>
            </w:r>
            <w:r>
              <w:rPr>
                <w:rFonts w:eastAsiaTheme="minorEastAsia" w:cs="Segoe UI" w:hint="eastAsia"/>
                <w:sz w:val="19"/>
                <w:szCs w:val="19"/>
                <w:lang w:eastAsia="ko-KR"/>
              </w:rPr>
              <w:t>the last six months, with both principal and interest contributing equal amounts.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9"/>
              <w:gridCol w:w="5074"/>
            </w:tblGrid>
            <w:tr w:rsidR="007449EC" w:rsidTr="004A30C8">
              <w:trPr>
                <w:trHeight w:val="2978"/>
              </w:trPr>
              <w:tc>
                <w:tcPr>
                  <w:tcW w:w="4009" w:type="dxa"/>
                </w:tcPr>
                <w:p w:rsidR="007449EC" w:rsidRDefault="007449EC" w:rsidP="004A30C8">
                  <w:pPr>
                    <w:pStyle w:val="ListBullet"/>
                    <w:numPr>
                      <w:ilvl w:val="0"/>
                      <w:numId w:val="0"/>
                    </w:numPr>
                    <w:spacing w:after="0"/>
                    <w:rPr>
                      <w:rFonts w:eastAsiaTheme="minorEastAsia" w:cs="Segoe UI"/>
                      <w:sz w:val="19"/>
                      <w:szCs w:val="19"/>
                    </w:rPr>
                  </w:pPr>
                  <w:r>
                    <w:rPr>
                      <w:rFonts w:eastAsiaTheme="minorEastAsia" w:cs="Segoe UI"/>
                      <w:noProof/>
                      <w:sz w:val="19"/>
                      <w:szCs w:val="19"/>
                    </w:rPr>
                    <w:drawing>
                      <wp:anchor distT="0" distB="0" distL="114300" distR="114300" simplePos="0" relativeHeight="251707392" behindDoc="0" locked="0" layoutInCell="1" allowOverlap="1">
                        <wp:simplePos x="0" y="0"/>
                        <wp:positionH relativeFrom="column">
                          <wp:posOffset>31115</wp:posOffset>
                        </wp:positionH>
                        <wp:positionV relativeFrom="paragraph">
                          <wp:posOffset>1057275</wp:posOffset>
                        </wp:positionV>
                        <wp:extent cx="2536190" cy="1089025"/>
                        <wp:effectExtent l="0" t="0" r="0" b="0"/>
                        <wp:wrapSquare wrapText="bothSides"/>
                        <wp:docPr id="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srcRect/>
                                <a:stretch>
                                  <a:fillRect/>
                                </a:stretch>
                              </pic:blipFill>
                              <pic:spPr bwMode="auto">
                                <a:xfrm>
                                  <a:off x="0" y="0"/>
                                  <a:ext cx="2536190" cy="1089025"/>
                                </a:xfrm>
                                <a:prstGeom prst="rect">
                                  <a:avLst/>
                                </a:prstGeom>
                                <a:noFill/>
                                <a:ln w="9525">
                                  <a:noFill/>
                                  <a:miter lim="800000"/>
                                  <a:headEnd/>
                                  <a:tailEnd/>
                                </a:ln>
                              </pic:spPr>
                            </pic:pic>
                          </a:graphicData>
                        </a:graphic>
                      </wp:anchor>
                    </w:drawing>
                  </w:r>
                  <w:r>
                    <w:rPr>
                      <w:rFonts w:eastAsiaTheme="minorEastAsia" w:cs="Segoe UI"/>
                      <w:noProof/>
                      <w:sz w:val="19"/>
                      <w:szCs w:val="19"/>
                    </w:rPr>
                    <w:drawing>
                      <wp:anchor distT="0" distB="0" distL="114300" distR="114300" simplePos="0" relativeHeight="251706368" behindDoc="0" locked="0" layoutInCell="1" allowOverlap="1">
                        <wp:simplePos x="0" y="0"/>
                        <wp:positionH relativeFrom="column">
                          <wp:posOffset>-3672</wp:posOffset>
                        </wp:positionH>
                        <wp:positionV relativeFrom="paragraph">
                          <wp:posOffset>-715341</wp:posOffset>
                        </wp:positionV>
                        <wp:extent cx="2504661" cy="1057523"/>
                        <wp:effectExtent l="0" t="0" r="0" b="0"/>
                        <wp:wrapSquare wrapText="bothSides"/>
                        <wp:docPr id="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srcRect/>
                                <a:stretch>
                                  <a:fillRect/>
                                </a:stretch>
                              </pic:blipFill>
                              <pic:spPr bwMode="auto">
                                <a:xfrm>
                                  <a:off x="0" y="0"/>
                                  <a:ext cx="2504661" cy="1057523"/>
                                </a:xfrm>
                                <a:prstGeom prst="rect">
                                  <a:avLst/>
                                </a:prstGeom>
                                <a:noFill/>
                                <a:ln w="9525">
                                  <a:noFill/>
                                  <a:miter lim="800000"/>
                                  <a:headEnd/>
                                  <a:tailEnd/>
                                </a:ln>
                              </pic:spPr>
                            </pic:pic>
                          </a:graphicData>
                        </a:graphic>
                      </wp:anchor>
                    </w:drawing>
                  </w:r>
                </w:p>
              </w:tc>
              <w:tc>
                <w:tcPr>
                  <w:tcW w:w="5074" w:type="dxa"/>
                  <w:vMerge w:val="restart"/>
                  <w:vAlign w:val="center"/>
                </w:tcPr>
                <w:p w:rsidR="007449EC" w:rsidRDefault="007449EC" w:rsidP="004A30C8">
                  <w:pPr>
                    <w:pStyle w:val="ListBullet"/>
                    <w:numPr>
                      <w:ilvl w:val="0"/>
                      <w:numId w:val="0"/>
                    </w:numPr>
                    <w:spacing w:after="0"/>
                    <w:contextualSpacing/>
                    <w:jc w:val="center"/>
                    <w:rPr>
                      <w:rFonts w:eastAsiaTheme="minorEastAsia" w:cs="Segoe UI"/>
                      <w:sz w:val="19"/>
                      <w:szCs w:val="19"/>
                    </w:rPr>
                  </w:pPr>
                  <w:r>
                    <w:rPr>
                      <w:rFonts w:eastAsiaTheme="minorEastAsia" w:cs="Segoe UI"/>
                      <w:noProof/>
                      <w:sz w:val="19"/>
                      <w:szCs w:val="19"/>
                    </w:rPr>
                    <w:drawing>
                      <wp:anchor distT="0" distB="0" distL="114300" distR="114300" simplePos="0" relativeHeight="251708416" behindDoc="0" locked="0" layoutInCell="1" allowOverlap="1">
                        <wp:simplePos x="0" y="0"/>
                        <wp:positionH relativeFrom="column">
                          <wp:posOffset>45720</wp:posOffset>
                        </wp:positionH>
                        <wp:positionV relativeFrom="paragraph">
                          <wp:posOffset>-2226945</wp:posOffset>
                        </wp:positionV>
                        <wp:extent cx="3089910" cy="2122805"/>
                        <wp:effectExtent l="19050" t="0" r="0" b="0"/>
                        <wp:wrapSquare wrapText="bothSides"/>
                        <wp:docPr id="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srcRect/>
                                <a:stretch>
                                  <a:fillRect/>
                                </a:stretch>
                              </pic:blipFill>
                              <pic:spPr bwMode="auto">
                                <a:xfrm>
                                  <a:off x="0" y="0"/>
                                  <a:ext cx="3089910" cy="2122805"/>
                                </a:xfrm>
                                <a:prstGeom prst="rect">
                                  <a:avLst/>
                                </a:prstGeom>
                                <a:noFill/>
                                <a:ln w="9525">
                                  <a:noFill/>
                                  <a:miter lim="800000"/>
                                  <a:headEnd/>
                                  <a:tailEnd/>
                                </a:ln>
                              </pic:spPr>
                            </pic:pic>
                          </a:graphicData>
                        </a:graphic>
                      </wp:anchor>
                    </w:drawing>
                  </w:r>
                </w:p>
              </w:tc>
            </w:tr>
            <w:tr w:rsidR="007449EC" w:rsidRPr="00FF6393" w:rsidTr="004A30C8">
              <w:trPr>
                <w:trHeight w:val="70"/>
              </w:trPr>
              <w:tc>
                <w:tcPr>
                  <w:tcW w:w="4009" w:type="dxa"/>
                </w:tcPr>
                <w:p w:rsidR="007449EC" w:rsidRPr="000C1966" w:rsidRDefault="007449EC" w:rsidP="004A30C8">
                  <w:pPr>
                    <w:pStyle w:val="ListBullet"/>
                    <w:numPr>
                      <w:ilvl w:val="0"/>
                      <w:numId w:val="0"/>
                    </w:numPr>
                    <w:spacing w:after="0"/>
                    <w:rPr>
                      <w:rFonts w:eastAsiaTheme="minorEastAsia" w:cs="Segoe UI"/>
                      <w:noProof/>
                      <w:sz w:val="19"/>
                      <w:szCs w:val="19"/>
                      <w:lang w:val="pt-BR"/>
                    </w:rPr>
                  </w:pPr>
                  <w:r w:rsidRPr="00A2226F">
                    <w:rPr>
                      <w:rFonts w:eastAsiaTheme="minorEastAsia" w:cs="Segoe UI" w:hint="eastAsia"/>
                      <w:noProof/>
                      <w:sz w:val="17"/>
                      <w:szCs w:val="17"/>
                      <w:lang w:eastAsia="ko-KR"/>
                    </w:rPr>
                    <w:t xml:space="preserve">   </w:t>
                  </w:r>
                  <w:r w:rsidRPr="000C1966">
                    <w:rPr>
                      <w:rFonts w:eastAsiaTheme="minorEastAsia" w:cs="Segoe UI" w:hint="eastAsia"/>
                      <w:noProof/>
                      <w:sz w:val="17"/>
                      <w:szCs w:val="17"/>
                      <w:lang w:val="pt-BR" w:eastAsia="ko-KR"/>
                    </w:rPr>
                    <w:t>Source: Banco Central do Brasil</w:t>
                  </w:r>
                </w:p>
              </w:tc>
              <w:tc>
                <w:tcPr>
                  <w:tcW w:w="5074" w:type="dxa"/>
                  <w:vMerge/>
                  <w:vAlign w:val="center"/>
                </w:tcPr>
                <w:p w:rsidR="007449EC" w:rsidRPr="000C1966" w:rsidRDefault="007449EC" w:rsidP="004A30C8">
                  <w:pPr>
                    <w:pStyle w:val="ListBullet"/>
                    <w:numPr>
                      <w:ilvl w:val="0"/>
                      <w:numId w:val="0"/>
                    </w:numPr>
                    <w:spacing w:after="0"/>
                    <w:contextualSpacing/>
                    <w:jc w:val="center"/>
                    <w:rPr>
                      <w:rFonts w:eastAsiaTheme="minorEastAsia" w:cs="Segoe UI"/>
                      <w:noProof/>
                      <w:sz w:val="19"/>
                      <w:szCs w:val="19"/>
                      <w:lang w:val="pt-BR"/>
                    </w:rPr>
                  </w:pPr>
                </w:p>
              </w:tc>
            </w:tr>
            <w:tr w:rsidR="007449EC" w:rsidTr="004A30C8">
              <w:trPr>
                <w:trHeight w:val="107"/>
              </w:trPr>
              <w:tc>
                <w:tcPr>
                  <w:tcW w:w="9083" w:type="dxa"/>
                  <w:gridSpan w:val="2"/>
                </w:tcPr>
                <w:p w:rsidR="007449EC" w:rsidRPr="000C1966" w:rsidRDefault="007449EC" w:rsidP="004A30C8">
                  <w:pPr>
                    <w:pStyle w:val="ListBullet"/>
                    <w:numPr>
                      <w:ilvl w:val="0"/>
                      <w:numId w:val="0"/>
                    </w:numPr>
                    <w:spacing w:after="120"/>
                    <w:contextualSpacing/>
                    <w:rPr>
                      <w:rFonts w:eastAsiaTheme="minorEastAsia" w:cs="Segoe UI"/>
                      <w:noProof/>
                      <w:sz w:val="19"/>
                      <w:szCs w:val="19"/>
                      <w:lang w:val="pt-BR" w:eastAsia="ko-KR"/>
                    </w:rPr>
                  </w:pPr>
                  <w:r>
                    <w:rPr>
                      <w:rFonts w:eastAsiaTheme="minorEastAsia" w:cs="Segoe UI"/>
                      <w:noProof/>
                      <w:sz w:val="19"/>
                      <w:szCs w:val="19"/>
                    </w:rPr>
                    <w:drawing>
                      <wp:anchor distT="0" distB="0" distL="114300" distR="114300" simplePos="0" relativeHeight="251709440" behindDoc="0" locked="0" layoutInCell="1" allowOverlap="1">
                        <wp:simplePos x="0" y="0"/>
                        <wp:positionH relativeFrom="column">
                          <wp:posOffset>-27940</wp:posOffset>
                        </wp:positionH>
                        <wp:positionV relativeFrom="paragraph">
                          <wp:posOffset>147955</wp:posOffset>
                        </wp:positionV>
                        <wp:extent cx="2655570" cy="1645920"/>
                        <wp:effectExtent l="0" t="0" r="0" b="0"/>
                        <wp:wrapSquare wrapText="bothSides"/>
                        <wp:docPr id="9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srcRect/>
                                <a:stretch>
                                  <a:fillRect/>
                                </a:stretch>
                              </pic:blipFill>
                              <pic:spPr bwMode="auto">
                                <a:xfrm>
                                  <a:off x="0" y="0"/>
                                  <a:ext cx="2655570" cy="1645920"/>
                                </a:xfrm>
                                <a:prstGeom prst="rect">
                                  <a:avLst/>
                                </a:prstGeom>
                                <a:noFill/>
                                <a:ln w="9525">
                                  <a:noFill/>
                                  <a:miter lim="800000"/>
                                  <a:headEnd/>
                                  <a:tailEnd/>
                                </a:ln>
                              </pic:spPr>
                            </pic:pic>
                          </a:graphicData>
                        </a:graphic>
                      </wp:anchor>
                    </w:drawing>
                  </w:r>
                </w:p>
                <w:p w:rsidR="007449EC" w:rsidRPr="00510F29" w:rsidRDefault="007449EC" w:rsidP="004A30C8">
                  <w:pPr>
                    <w:pStyle w:val="ListBullet"/>
                    <w:numPr>
                      <w:ilvl w:val="0"/>
                      <w:numId w:val="0"/>
                    </w:numPr>
                    <w:spacing w:after="120"/>
                    <w:contextualSpacing/>
                    <w:rPr>
                      <w:rFonts w:eastAsiaTheme="minorEastAsia" w:cs="Segoe UI"/>
                      <w:sz w:val="10"/>
                      <w:szCs w:val="19"/>
                      <w:lang w:eastAsia="ko-KR"/>
                    </w:rPr>
                  </w:pPr>
                  <w:r>
                    <w:rPr>
                      <w:rFonts w:eastAsiaTheme="minorEastAsia" w:cs="Segoe UI" w:hint="eastAsia"/>
                      <w:b/>
                      <w:noProof/>
                      <w:sz w:val="19"/>
                      <w:szCs w:val="19"/>
                    </w:rPr>
                    <w:drawing>
                      <wp:anchor distT="0" distB="0" distL="114300" distR="114300" simplePos="0" relativeHeight="251710464" behindDoc="0" locked="0" layoutInCell="1" allowOverlap="1">
                        <wp:simplePos x="0" y="0"/>
                        <wp:positionH relativeFrom="column">
                          <wp:posOffset>64135</wp:posOffset>
                        </wp:positionH>
                        <wp:positionV relativeFrom="paragraph">
                          <wp:posOffset>-5155565</wp:posOffset>
                        </wp:positionV>
                        <wp:extent cx="2668270" cy="1645920"/>
                        <wp:effectExtent l="19050" t="0" r="0" b="0"/>
                        <wp:wrapSquare wrapText="bothSides"/>
                        <wp:docPr id="9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cstate="print"/>
                                <a:srcRect/>
                                <a:stretch>
                                  <a:fillRect/>
                                </a:stretch>
                              </pic:blipFill>
                              <pic:spPr bwMode="auto">
                                <a:xfrm>
                                  <a:off x="0" y="0"/>
                                  <a:ext cx="2668270" cy="1645920"/>
                                </a:xfrm>
                                <a:prstGeom prst="rect">
                                  <a:avLst/>
                                </a:prstGeom>
                                <a:noFill/>
                                <a:ln w="9525">
                                  <a:noFill/>
                                  <a:miter lim="800000"/>
                                  <a:headEnd/>
                                  <a:tailEnd/>
                                </a:ln>
                              </pic:spPr>
                            </pic:pic>
                          </a:graphicData>
                        </a:graphic>
                      </wp:anchor>
                    </w:drawing>
                  </w:r>
                  <w:r>
                    <w:rPr>
                      <w:rFonts w:eastAsiaTheme="minorEastAsia" w:cs="Segoe UI" w:hint="eastAsia"/>
                      <w:b/>
                      <w:sz w:val="19"/>
                      <w:szCs w:val="19"/>
                      <w:lang w:eastAsia="ko-KR"/>
                    </w:rPr>
                    <w:t>H</w:t>
                  </w:r>
                  <w:r w:rsidRPr="00314F00">
                    <w:rPr>
                      <w:rFonts w:eastAsiaTheme="minorEastAsia" w:cs="Segoe UI" w:hint="eastAsia"/>
                      <w:b/>
                      <w:sz w:val="19"/>
                      <w:szCs w:val="19"/>
                      <w:lang w:eastAsia="ko-KR"/>
                    </w:rPr>
                    <w:t>ousehold</w:t>
                  </w:r>
                  <w:r>
                    <w:rPr>
                      <w:rFonts w:eastAsiaTheme="minorEastAsia" w:cs="Segoe UI" w:hint="eastAsia"/>
                      <w:b/>
                      <w:sz w:val="19"/>
                      <w:szCs w:val="19"/>
                      <w:lang w:eastAsia="ko-KR"/>
                    </w:rPr>
                    <w:t xml:space="preserve"> NPLs </w:t>
                  </w:r>
                  <w:r w:rsidRPr="00314F00">
                    <w:rPr>
                      <w:rFonts w:eastAsiaTheme="minorEastAsia" w:cs="Segoe UI"/>
                      <w:b/>
                      <w:sz w:val="19"/>
                      <w:szCs w:val="19"/>
                      <w:lang w:eastAsia="ko-KR"/>
                    </w:rPr>
                    <w:t>decreased by 0.5 percentage points from the peak (6.0 percent</w:t>
                  </w:r>
                  <w:r>
                    <w:rPr>
                      <w:rFonts w:eastAsiaTheme="minorEastAsia" w:cs="Segoe UI" w:hint="eastAsia"/>
                      <w:b/>
                      <w:sz w:val="19"/>
                      <w:szCs w:val="19"/>
                      <w:lang w:eastAsia="ko-KR"/>
                    </w:rPr>
                    <w:t>) in</w:t>
                  </w:r>
                  <w:r w:rsidRPr="00314F00">
                    <w:rPr>
                      <w:rFonts w:eastAsiaTheme="minorEastAsia" w:cs="Segoe UI" w:hint="eastAsia"/>
                      <w:b/>
                      <w:sz w:val="19"/>
                      <w:szCs w:val="19"/>
                      <w:lang w:eastAsia="ko-KR"/>
                    </w:rPr>
                    <w:t xml:space="preserve"> </w:t>
                  </w:r>
                  <w:proofErr w:type="gramStart"/>
                  <w:r w:rsidRPr="00314F00">
                    <w:rPr>
                      <w:rFonts w:eastAsiaTheme="minorEastAsia" w:cs="Segoe UI" w:hint="eastAsia"/>
                      <w:b/>
                      <w:sz w:val="19"/>
                      <w:szCs w:val="19"/>
                      <w:lang w:eastAsia="ko-KR"/>
                    </w:rPr>
                    <w:t>May 2012</w:t>
                  </w:r>
                  <w:r>
                    <w:rPr>
                      <w:rFonts w:eastAsiaTheme="minorEastAsia" w:cs="Segoe UI" w:hint="eastAsia"/>
                      <w:b/>
                      <w:sz w:val="19"/>
                      <w:szCs w:val="19"/>
                      <w:lang w:eastAsia="ko-KR"/>
                    </w:rPr>
                    <w:t>, and</w:t>
                  </w:r>
                  <w:proofErr w:type="gramEnd"/>
                  <w:r>
                    <w:rPr>
                      <w:rFonts w:eastAsiaTheme="minorEastAsia" w:cs="Segoe UI" w:hint="eastAsia"/>
                      <w:b/>
                      <w:sz w:val="19"/>
                      <w:szCs w:val="19"/>
                      <w:lang w:eastAsia="ko-KR"/>
                    </w:rPr>
                    <w:t xml:space="preserve"> are expected to </w:t>
                  </w:r>
                  <w:r w:rsidRPr="00314F00">
                    <w:rPr>
                      <w:rFonts w:eastAsiaTheme="minorEastAsia" w:cs="Segoe UI" w:hint="eastAsia"/>
                      <w:b/>
                      <w:sz w:val="19"/>
                      <w:szCs w:val="19"/>
                      <w:lang w:eastAsia="ko-KR"/>
                    </w:rPr>
                    <w:t>continue declin</w:t>
                  </w:r>
                  <w:r>
                    <w:rPr>
                      <w:rFonts w:eastAsiaTheme="minorEastAsia" w:cs="Segoe UI" w:hint="eastAsia"/>
                      <w:b/>
                      <w:sz w:val="19"/>
                      <w:szCs w:val="19"/>
                      <w:lang w:eastAsia="ko-KR"/>
                    </w:rPr>
                    <w:t>ing</w:t>
                  </w:r>
                  <w:r>
                    <w:rPr>
                      <w:rFonts w:eastAsiaTheme="minorEastAsia" w:cs="Segoe UI" w:hint="eastAsia"/>
                      <w:sz w:val="19"/>
                      <w:szCs w:val="19"/>
                      <w:lang w:eastAsia="ko-KR"/>
                    </w:rPr>
                    <w:t>. A significant part of the change in the delinquency rate has been attributable to auto and mortgage loans, which represent a large share of household credit, 17.8 and 24.0</w:t>
                  </w:r>
                  <w:r w:rsidR="000C1966">
                    <w:rPr>
                      <w:rFonts w:eastAsiaTheme="minorEastAsia" w:cs="Segoe UI"/>
                      <w:sz w:val="19"/>
                      <w:szCs w:val="19"/>
                      <w:lang w:eastAsia="ko-KR"/>
                    </w:rPr>
                    <w:t> </w:t>
                  </w:r>
                  <w:r>
                    <w:rPr>
                      <w:rFonts w:eastAsiaTheme="minorEastAsia" w:cs="Segoe UI" w:hint="eastAsia"/>
                      <w:sz w:val="19"/>
                      <w:szCs w:val="19"/>
                      <w:lang w:eastAsia="ko-KR"/>
                    </w:rPr>
                    <w:t xml:space="preserve">percent respectively. Leading </w:t>
                  </w:r>
                  <w:r>
                    <w:rPr>
                      <w:rFonts w:eastAsiaTheme="minorEastAsia" w:cs="Segoe UI"/>
                      <w:sz w:val="19"/>
                      <w:szCs w:val="19"/>
                      <w:lang w:eastAsia="ko-KR"/>
                    </w:rPr>
                    <w:t>delinquency</w:t>
                  </w:r>
                  <w:r>
                    <w:rPr>
                      <w:rFonts w:eastAsiaTheme="minorEastAsia" w:cs="Segoe UI" w:hint="eastAsia"/>
                      <w:sz w:val="19"/>
                      <w:szCs w:val="19"/>
                      <w:lang w:eastAsia="ko-KR"/>
                    </w:rPr>
                    <w:t xml:space="preserve"> indicator points to the declining trend continuing in the following months. A continuation of this trend will be associated with the pace of recovery and continuation of favorable labor market conditions.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6"/>
                    <w:gridCol w:w="4426"/>
                  </w:tblGrid>
                  <w:tr w:rsidR="007449EC" w:rsidTr="004A30C8">
                    <w:tc>
                      <w:tcPr>
                        <w:tcW w:w="4426" w:type="dxa"/>
                      </w:tcPr>
                      <w:p w:rsidR="007449EC" w:rsidRDefault="007449EC" w:rsidP="004A30C8">
                        <w:pPr>
                          <w:pStyle w:val="ListBullet"/>
                          <w:numPr>
                            <w:ilvl w:val="0"/>
                            <w:numId w:val="0"/>
                          </w:numPr>
                          <w:spacing w:after="120"/>
                          <w:contextualSpacing/>
                          <w:rPr>
                            <w:rFonts w:eastAsiaTheme="minorEastAsia" w:cs="Segoe UI"/>
                            <w:sz w:val="19"/>
                            <w:szCs w:val="19"/>
                          </w:rPr>
                        </w:pPr>
                      </w:p>
                    </w:tc>
                    <w:tc>
                      <w:tcPr>
                        <w:tcW w:w="4426" w:type="dxa"/>
                      </w:tcPr>
                      <w:p w:rsidR="007449EC" w:rsidRDefault="007449EC" w:rsidP="004A30C8">
                        <w:pPr>
                          <w:pStyle w:val="ListBullet"/>
                          <w:numPr>
                            <w:ilvl w:val="0"/>
                            <w:numId w:val="0"/>
                          </w:numPr>
                          <w:spacing w:after="120"/>
                          <w:contextualSpacing/>
                          <w:rPr>
                            <w:rFonts w:eastAsiaTheme="minorEastAsia" w:cs="Segoe UI"/>
                            <w:sz w:val="19"/>
                            <w:szCs w:val="19"/>
                          </w:rPr>
                        </w:pPr>
                      </w:p>
                    </w:tc>
                  </w:tr>
                </w:tbl>
                <w:p w:rsidR="007449EC" w:rsidRPr="001C1C19" w:rsidRDefault="007449EC" w:rsidP="004A30C8">
                  <w:pPr>
                    <w:pStyle w:val="ListBullet"/>
                    <w:numPr>
                      <w:ilvl w:val="0"/>
                      <w:numId w:val="0"/>
                    </w:numPr>
                    <w:spacing w:after="120"/>
                    <w:contextualSpacing/>
                    <w:rPr>
                      <w:rFonts w:eastAsiaTheme="minorEastAsia" w:cs="Segoe UI"/>
                      <w:noProof/>
                      <w:sz w:val="19"/>
                      <w:szCs w:val="19"/>
                      <w:lang w:eastAsia="ko-KR"/>
                    </w:rPr>
                  </w:pPr>
                </w:p>
              </w:tc>
            </w:tr>
          </w:tbl>
          <w:p w:rsidR="007449EC" w:rsidRPr="00D32F76" w:rsidRDefault="007449EC" w:rsidP="004A30C8">
            <w:pPr>
              <w:rPr>
                <w:rFonts w:eastAsiaTheme="minorEastAsia" w:cs="Segoe UI"/>
                <w:sz w:val="19"/>
                <w:szCs w:val="19"/>
                <w:lang w:eastAsia="ko-KR"/>
              </w:rPr>
            </w:pPr>
          </w:p>
        </w:tc>
      </w:tr>
    </w:tbl>
    <w:p w:rsidR="00C317BA" w:rsidRPr="00533954" w:rsidRDefault="00C317BA" w:rsidP="003E4509">
      <w:pPr>
        <w:widowControl w:val="0"/>
        <w:rPr>
          <w:rFonts w:cs="Segoe UI"/>
          <w:sz w:val="19"/>
          <w:szCs w:val="19"/>
        </w:rPr>
      </w:pPr>
    </w:p>
    <w:p w:rsidR="00C317BA" w:rsidRPr="00C410E7" w:rsidRDefault="00C317BA" w:rsidP="003E4509">
      <w:pPr>
        <w:widowControl w:val="0"/>
      </w:pPr>
      <w:r>
        <w:t xml:space="preserve">  </w:t>
      </w:r>
    </w:p>
    <w:p w:rsidR="00C317BA" w:rsidRDefault="00C317BA" w:rsidP="007449EC">
      <w:r>
        <w:br w:type="page"/>
      </w:r>
    </w:p>
    <w:tbl>
      <w:tblPr>
        <w:tblStyle w:val="TableGrid"/>
        <w:tblpPr w:leftFromText="180" w:rightFromText="180" w:vertAnchor="text" w:tblpXSpec="center" w:tblpY="1"/>
        <w:tblOverlap w:val="never"/>
        <w:tblW w:w="9314" w:type="dxa"/>
        <w:tblBorders>
          <w:insideH w:val="none" w:sz="0" w:space="0" w:color="auto"/>
          <w:insideV w:val="none" w:sz="0" w:space="0" w:color="auto"/>
        </w:tblBorders>
        <w:shd w:val="clear" w:color="auto" w:fill="DBE5F1" w:themeFill="accent1" w:themeFillTint="33"/>
        <w:tblLayout w:type="fixed"/>
        <w:tblLook w:val="04A0" w:firstRow="1" w:lastRow="0" w:firstColumn="1" w:lastColumn="0" w:noHBand="0" w:noVBand="1"/>
      </w:tblPr>
      <w:tblGrid>
        <w:gridCol w:w="9314"/>
      </w:tblGrid>
      <w:tr w:rsidR="00C317BA" w:rsidTr="00C317BA">
        <w:trPr>
          <w:trHeight w:val="6830"/>
        </w:trPr>
        <w:tc>
          <w:tcPr>
            <w:tcW w:w="9314" w:type="dxa"/>
            <w:shd w:val="clear" w:color="auto" w:fill="auto"/>
            <w:vAlign w:val="center"/>
          </w:tcPr>
          <w:p w:rsidR="00C317BA" w:rsidRPr="008010BF" w:rsidRDefault="00C317BA" w:rsidP="003E4509">
            <w:pPr>
              <w:widowControl w:val="0"/>
              <w:spacing w:after="120"/>
              <w:jc w:val="center"/>
              <w:rPr>
                <w:rFonts w:eastAsia="Malgun Gothic" w:cs="Segoe UI"/>
                <w:b/>
                <w:color w:val="4982AF"/>
                <w:sz w:val="19"/>
                <w:szCs w:val="19"/>
                <w:lang w:eastAsia="ko-KR"/>
              </w:rPr>
            </w:pPr>
            <w:r>
              <w:rPr>
                <w:rFonts w:eastAsia="Malgun Gothic" w:cs="Segoe UI" w:hint="eastAsia"/>
                <w:b/>
                <w:color w:val="4B82AD"/>
                <w:szCs w:val="21"/>
                <w:lang w:eastAsia="ko-KR"/>
              </w:rPr>
              <w:lastRenderedPageBreak/>
              <w:t xml:space="preserve">Box </w:t>
            </w:r>
            <w:r w:rsidR="005A4977">
              <w:rPr>
                <w:rFonts w:eastAsia="Malgun Gothic" w:cs="Segoe UI"/>
                <w:b/>
                <w:color w:val="4B82AD"/>
                <w:szCs w:val="21"/>
                <w:lang w:eastAsia="ko-KR"/>
              </w:rPr>
              <w:t>8</w:t>
            </w:r>
            <w:r>
              <w:rPr>
                <w:rFonts w:eastAsia="Malgun Gothic" w:cs="Segoe UI" w:hint="eastAsia"/>
                <w:b/>
                <w:color w:val="4B82AD"/>
                <w:szCs w:val="21"/>
                <w:lang w:eastAsia="ko-KR"/>
              </w:rPr>
              <w:t xml:space="preserve">. Brazil: </w:t>
            </w:r>
            <w:r w:rsidRPr="008010BF">
              <w:rPr>
                <w:rFonts w:cs="Segoe UI"/>
                <w:b/>
                <w:color w:val="4982AF"/>
                <w:sz w:val="19"/>
                <w:szCs w:val="19"/>
              </w:rPr>
              <w:t>Status of Implementation of 20</w:t>
            </w:r>
            <w:r>
              <w:rPr>
                <w:rFonts w:eastAsiaTheme="minorEastAsia" w:cs="Segoe UI" w:hint="eastAsia"/>
                <w:b/>
                <w:color w:val="4982AF"/>
                <w:sz w:val="19"/>
                <w:szCs w:val="19"/>
                <w:lang w:eastAsia="ko-KR"/>
              </w:rPr>
              <w:t>1</w:t>
            </w:r>
            <w:r w:rsidRPr="008010BF">
              <w:rPr>
                <w:rFonts w:cs="Segoe UI"/>
                <w:b/>
                <w:color w:val="4982AF"/>
                <w:sz w:val="19"/>
                <w:szCs w:val="19"/>
              </w:rPr>
              <w:t>2 FSAP Key Recommendations</w:t>
            </w:r>
          </w:p>
          <w:p w:rsidR="00C317BA" w:rsidRDefault="00C317BA" w:rsidP="003E4509">
            <w:pPr>
              <w:widowControl w:val="0"/>
              <w:autoSpaceDE w:val="0"/>
              <w:autoSpaceDN w:val="0"/>
              <w:adjustRightInd w:val="0"/>
              <w:spacing w:after="120"/>
              <w:rPr>
                <w:rFonts w:eastAsiaTheme="minorEastAsia" w:cs="Segoe UI"/>
                <w:color w:val="000000"/>
                <w:sz w:val="19"/>
                <w:szCs w:val="19"/>
                <w:lang w:eastAsia="ko-KR"/>
              </w:rPr>
            </w:pPr>
            <w:r>
              <w:rPr>
                <w:rFonts w:eastAsiaTheme="minorEastAsia" w:cs="Segoe UI" w:hint="eastAsia"/>
                <w:b/>
                <w:color w:val="000000"/>
                <w:sz w:val="19"/>
                <w:szCs w:val="19"/>
                <w:lang w:eastAsia="ko-KR"/>
              </w:rPr>
              <w:t xml:space="preserve">The latest FSAP, </w:t>
            </w:r>
            <w:r w:rsidRPr="00747C0C">
              <w:rPr>
                <w:rFonts w:cs="Segoe UI"/>
                <w:b/>
                <w:color w:val="000000"/>
                <w:sz w:val="19"/>
                <w:szCs w:val="19"/>
              </w:rPr>
              <w:t>undert</w:t>
            </w:r>
            <w:r>
              <w:rPr>
                <w:rFonts w:eastAsiaTheme="minorEastAsia" w:cs="Segoe UI" w:hint="eastAsia"/>
                <w:b/>
                <w:color w:val="000000"/>
                <w:sz w:val="19"/>
                <w:szCs w:val="19"/>
                <w:lang w:eastAsia="ko-KR"/>
              </w:rPr>
              <w:t>aken in March and</w:t>
            </w:r>
            <w:r w:rsidRPr="00747C0C">
              <w:rPr>
                <w:rFonts w:cs="Segoe UI"/>
                <w:b/>
                <w:color w:val="000000"/>
                <w:sz w:val="19"/>
                <w:szCs w:val="19"/>
              </w:rPr>
              <w:t xml:space="preserve"> discussed </w:t>
            </w:r>
            <w:r>
              <w:rPr>
                <w:rFonts w:eastAsiaTheme="minorEastAsia" w:cs="Segoe UI" w:hint="eastAsia"/>
                <w:b/>
                <w:color w:val="000000"/>
                <w:sz w:val="19"/>
                <w:szCs w:val="19"/>
                <w:lang w:eastAsia="ko-KR"/>
              </w:rPr>
              <w:t>by</w:t>
            </w:r>
            <w:r w:rsidRPr="00747C0C">
              <w:rPr>
                <w:rFonts w:cs="Segoe UI"/>
                <w:b/>
                <w:color w:val="000000"/>
                <w:sz w:val="19"/>
                <w:szCs w:val="19"/>
              </w:rPr>
              <w:t xml:space="preserve"> the Board in </w:t>
            </w:r>
            <w:r w:rsidRPr="00747C0C">
              <w:rPr>
                <w:rFonts w:eastAsiaTheme="minorEastAsia" w:cs="Segoe UI" w:hint="eastAsia"/>
                <w:b/>
                <w:color w:val="000000"/>
                <w:sz w:val="19"/>
                <w:szCs w:val="19"/>
                <w:lang w:eastAsia="ko-KR"/>
              </w:rPr>
              <w:t>July</w:t>
            </w:r>
            <w:r>
              <w:rPr>
                <w:rFonts w:eastAsiaTheme="minorEastAsia" w:cs="Segoe UI" w:hint="eastAsia"/>
                <w:b/>
                <w:color w:val="000000"/>
                <w:sz w:val="19"/>
                <w:szCs w:val="19"/>
                <w:lang w:eastAsia="ko-KR"/>
              </w:rPr>
              <w:t xml:space="preserve"> 2012</w:t>
            </w:r>
            <w:r w:rsidRPr="00747C0C">
              <w:rPr>
                <w:rFonts w:eastAsiaTheme="minorEastAsia" w:cs="Segoe UI" w:hint="eastAsia"/>
                <w:b/>
                <w:color w:val="000000"/>
                <w:sz w:val="19"/>
                <w:szCs w:val="19"/>
                <w:lang w:eastAsia="ko-KR"/>
              </w:rPr>
              <w:t xml:space="preserve">, </w:t>
            </w:r>
            <w:r w:rsidRPr="00747C0C">
              <w:rPr>
                <w:rFonts w:cs="Segoe UI"/>
                <w:b/>
                <w:color w:val="000000"/>
                <w:sz w:val="19"/>
                <w:szCs w:val="19"/>
              </w:rPr>
              <w:t>found</w:t>
            </w:r>
            <w:r w:rsidRPr="00747C0C">
              <w:rPr>
                <w:rFonts w:eastAsiaTheme="minorEastAsia" w:cs="Segoe UI" w:hint="eastAsia"/>
                <w:b/>
                <w:color w:val="000000"/>
                <w:sz w:val="19"/>
                <w:szCs w:val="19"/>
                <w:lang w:eastAsia="ko-KR"/>
              </w:rPr>
              <w:t xml:space="preserve"> </w:t>
            </w:r>
            <w:r w:rsidRPr="00747C0C">
              <w:rPr>
                <w:rFonts w:cs="Segoe UI"/>
                <w:b/>
                <w:color w:val="000000"/>
                <w:sz w:val="19"/>
                <w:szCs w:val="19"/>
              </w:rPr>
              <w:t xml:space="preserve">that </w:t>
            </w:r>
            <w:r w:rsidRPr="00747C0C">
              <w:rPr>
                <w:rFonts w:eastAsiaTheme="minorEastAsia" w:cs="Segoe UI" w:hint="eastAsia"/>
                <w:b/>
                <w:color w:val="000000"/>
                <w:sz w:val="19"/>
                <w:szCs w:val="19"/>
                <w:lang w:eastAsia="ko-KR"/>
              </w:rPr>
              <w:t xml:space="preserve">Brazilian financial system was stable, with low levels of systemic risk and sizable buffers. </w:t>
            </w:r>
            <w:r>
              <w:rPr>
                <w:rFonts w:eastAsiaTheme="minorEastAsia" w:cs="Segoe UI" w:hint="eastAsia"/>
                <w:color w:val="000000"/>
                <w:sz w:val="19"/>
                <w:szCs w:val="19"/>
                <w:lang w:eastAsia="ko-KR"/>
              </w:rPr>
              <w:t xml:space="preserve">Flexible exchange rate, strong </w:t>
            </w:r>
            <w:proofErr w:type="spellStart"/>
            <w:r>
              <w:rPr>
                <w:rFonts w:eastAsiaTheme="minorEastAsia" w:cs="Segoe UI" w:hint="eastAsia"/>
                <w:color w:val="000000"/>
                <w:sz w:val="19"/>
                <w:szCs w:val="19"/>
                <w:lang w:eastAsia="ko-KR"/>
              </w:rPr>
              <w:t>microprudential</w:t>
            </w:r>
            <w:proofErr w:type="spellEnd"/>
            <w:r>
              <w:rPr>
                <w:rFonts w:eastAsiaTheme="minorEastAsia" w:cs="Segoe UI" w:hint="eastAsia"/>
                <w:color w:val="000000"/>
                <w:sz w:val="19"/>
                <w:szCs w:val="19"/>
                <w:lang w:eastAsia="ko-KR"/>
              </w:rPr>
              <w:t xml:space="preserve"> policy frameworks, sound balance sheets, high capital and profitability, and ample liquidity asset, provided significant risk mitigants, However, t</w:t>
            </w:r>
            <w:r w:rsidRPr="00EB0FD5">
              <w:rPr>
                <w:rFonts w:cs="Segoe UI"/>
                <w:color w:val="000000"/>
                <w:sz w:val="19"/>
                <w:szCs w:val="19"/>
              </w:rPr>
              <w:t xml:space="preserve">he FSAP </w:t>
            </w:r>
            <w:r>
              <w:rPr>
                <w:rFonts w:eastAsiaTheme="minorEastAsia" w:cs="Segoe UI" w:hint="eastAsia"/>
                <w:color w:val="000000"/>
                <w:sz w:val="19"/>
                <w:szCs w:val="19"/>
                <w:lang w:eastAsia="ko-KR"/>
              </w:rPr>
              <w:t xml:space="preserve">stressed that some key challenges remain: </w:t>
            </w:r>
          </w:p>
          <w:p w:rsidR="00C317BA" w:rsidRPr="00D82ABC" w:rsidRDefault="00C317BA" w:rsidP="003E4509">
            <w:pPr>
              <w:pStyle w:val="ListParagraph"/>
              <w:widowControl w:val="0"/>
              <w:numPr>
                <w:ilvl w:val="0"/>
                <w:numId w:val="41"/>
              </w:numPr>
              <w:spacing w:after="240" w:line="264" w:lineRule="auto"/>
              <w:ind w:left="360"/>
              <w:rPr>
                <w:rFonts w:cs="Segoe UI"/>
                <w:sz w:val="19"/>
                <w:szCs w:val="19"/>
              </w:rPr>
            </w:pPr>
            <w:r w:rsidRPr="00D82ABC">
              <w:rPr>
                <w:rFonts w:cs="Segoe UI"/>
                <w:b/>
                <w:sz w:val="19"/>
                <w:szCs w:val="19"/>
              </w:rPr>
              <w:t>Enhance</w:t>
            </w:r>
            <w:r>
              <w:rPr>
                <w:rFonts w:eastAsiaTheme="minorEastAsia" w:cs="Segoe UI" w:hint="eastAsia"/>
                <w:b/>
                <w:sz w:val="19"/>
                <w:szCs w:val="19"/>
                <w:lang w:eastAsia="ko-KR"/>
              </w:rPr>
              <w:t xml:space="preserve"> macroprudential</w:t>
            </w:r>
            <w:r w:rsidRPr="00D82ABC">
              <w:rPr>
                <w:rFonts w:cs="Segoe UI"/>
                <w:b/>
                <w:sz w:val="19"/>
                <w:szCs w:val="19"/>
              </w:rPr>
              <w:t xml:space="preserve"> </w:t>
            </w:r>
            <w:r>
              <w:rPr>
                <w:rFonts w:eastAsiaTheme="minorEastAsia" w:cs="Segoe UI" w:hint="eastAsia"/>
                <w:b/>
                <w:sz w:val="19"/>
                <w:szCs w:val="19"/>
                <w:lang w:eastAsia="ko-KR"/>
              </w:rPr>
              <w:t>policy framework</w:t>
            </w:r>
            <w:r w:rsidRPr="00D82ABC">
              <w:rPr>
                <w:rFonts w:cs="Segoe UI"/>
                <w:b/>
                <w:sz w:val="19"/>
                <w:szCs w:val="19"/>
              </w:rPr>
              <w:t xml:space="preserve"> to effectively monitor and manage systemic risks</w:t>
            </w:r>
            <w:r w:rsidRPr="00D82ABC">
              <w:rPr>
                <w:rFonts w:cs="Segoe UI"/>
                <w:sz w:val="19"/>
                <w:szCs w:val="19"/>
              </w:rPr>
              <w:t xml:space="preserve">, by </w:t>
            </w:r>
            <w:r>
              <w:rPr>
                <w:rFonts w:eastAsiaTheme="minorEastAsia" w:cs="Segoe UI" w:hint="eastAsia"/>
                <w:sz w:val="19"/>
                <w:szCs w:val="19"/>
                <w:lang w:eastAsia="ko-KR"/>
              </w:rPr>
              <w:t xml:space="preserve">issuing regulation on positive credit bureaus, </w:t>
            </w:r>
            <w:r w:rsidRPr="00D82ABC">
              <w:rPr>
                <w:rFonts w:cs="Segoe UI"/>
                <w:sz w:val="19"/>
                <w:szCs w:val="19"/>
              </w:rPr>
              <w:t>publishing a better house price index</w:t>
            </w:r>
            <w:r>
              <w:rPr>
                <w:rFonts w:eastAsiaTheme="minorEastAsia" w:cs="Segoe UI" w:hint="eastAsia"/>
                <w:sz w:val="19"/>
                <w:szCs w:val="19"/>
                <w:lang w:eastAsia="ko-KR"/>
              </w:rPr>
              <w:t>,</w:t>
            </w:r>
            <w:r w:rsidRPr="00D82ABC">
              <w:rPr>
                <w:rFonts w:cs="Segoe UI"/>
                <w:sz w:val="19"/>
                <w:szCs w:val="19"/>
              </w:rPr>
              <w:t xml:space="preserve"> and creating a multi-partite, high level committee with an explicit macroprudential mandate.</w:t>
            </w:r>
          </w:p>
          <w:p w:rsidR="00C317BA" w:rsidRPr="00D82ABC" w:rsidRDefault="00C317BA" w:rsidP="003E4509">
            <w:pPr>
              <w:pStyle w:val="ListParagraph"/>
              <w:widowControl w:val="0"/>
              <w:numPr>
                <w:ilvl w:val="0"/>
                <w:numId w:val="41"/>
              </w:numPr>
              <w:spacing w:after="240" w:line="264" w:lineRule="auto"/>
              <w:ind w:left="360"/>
              <w:rPr>
                <w:rFonts w:cs="Segoe UI"/>
                <w:sz w:val="19"/>
                <w:szCs w:val="19"/>
              </w:rPr>
            </w:pPr>
            <w:r w:rsidRPr="00D82ABC">
              <w:rPr>
                <w:rFonts w:cs="Segoe UI"/>
                <w:b/>
                <w:sz w:val="19"/>
                <w:szCs w:val="19"/>
              </w:rPr>
              <w:t>Improve financial safety nets</w:t>
            </w:r>
            <w:r>
              <w:rPr>
                <w:rFonts w:eastAsiaTheme="minorEastAsia" w:cs="Segoe UI" w:hint="eastAsia"/>
                <w:b/>
                <w:sz w:val="19"/>
                <w:szCs w:val="19"/>
                <w:lang w:eastAsia="ko-KR"/>
              </w:rPr>
              <w:t xml:space="preserve"> and crisis management</w:t>
            </w:r>
            <w:r>
              <w:rPr>
                <w:rFonts w:eastAsiaTheme="minorEastAsia" w:cs="Segoe UI" w:hint="eastAsia"/>
                <w:sz w:val="19"/>
                <w:szCs w:val="19"/>
                <w:lang w:eastAsia="ko-KR"/>
              </w:rPr>
              <w:t xml:space="preserve">, </w:t>
            </w:r>
            <w:r w:rsidRPr="00D82ABC">
              <w:rPr>
                <w:rFonts w:cs="Segoe UI"/>
                <w:sz w:val="19"/>
                <w:szCs w:val="19"/>
              </w:rPr>
              <w:t>by strengthening the procedures for use of the deposit insurance fund</w:t>
            </w:r>
            <w:r>
              <w:rPr>
                <w:rFonts w:eastAsiaTheme="minorEastAsia" w:cs="Segoe UI" w:hint="eastAsia"/>
                <w:sz w:val="19"/>
                <w:szCs w:val="19"/>
                <w:lang w:eastAsia="ko-KR"/>
              </w:rPr>
              <w:t>,</w:t>
            </w:r>
            <w:r w:rsidRPr="00D82ABC">
              <w:rPr>
                <w:rFonts w:cs="Segoe UI"/>
                <w:sz w:val="19"/>
                <w:szCs w:val="19"/>
              </w:rPr>
              <w:t xml:space="preserve"> enhancing the central bank’s emergency liquidity assistance, removing impediments to bank resolution tools</w:t>
            </w:r>
            <w:r>
              <w:rPr>
                <w:rFonts w:eastAsiaTheme="minorEastAsia" w:cs="Segoe UI" w:hint="eastAsia"/>
                <w:sz w:val="19"/>
                <w:szCs w:val="19"/>
                <w:lang w:eastAsia="ko-KR"/>
              </w:rPr>
              <w:t xml:space="preserve">, and extending legal protection for </w:t>
            </w:r>
            <w:proofErr w:type="spellStart"/>
            <w:r>
              <w:rPr>
                <w:rFonts w:eastAsiaTheme="minorEastAsia" w:cs="Segoe UI" w:hint="eastAsia"/>
                <w:sz w:val="19"/>
                <w:szCs w:val="19"/>
                <w:lang w:eastAsia="ko-KR"/>
              </w:rPr>
              <w:t>microprudential</w:t>
            </w:r>
            <w:proofErr w:type="spellEnd"/>
            <w:r>
              <w:rPr>
                <w:rFonts w:eastAsiaTheme="minorEastAsia" w:cs="Segoe UI" w:hint="eastAsia"/>
                <w:sz w:val="19"/>
                <w:szCs w:val="19"/>
                <w:lang w:eastAsia="ko-KR"/>
              </w:rPr>
              <w:t xml:space="preserve"> agencies and employees</w:t>
            </w:r>
            <w:r w:rsidRPr="00D82ABC">
              <w:rPr>
                <w:rFonts w:cs="Segoe UI"/>
                <w:sz w:val="19"/>
                <w:szCs w:val="19"/>
              </w:rPr>
              <w:t>.</w:t>
            </w:r>
          </w:p>
          <w:p w:rsidR="00C317BA" w:rsidRPr="00D82ABC" w:rsidRDefault="00C317BA" w:rsidP="003E4509">
            <w:pPr>
              <w:pStyle w:val="ListParagraph"/>
              <w:widowControl w:val="0"/>
              <w:numPr>
                <w:ilvl w:val="0"/>
                <w:numId w:val="41"/>
              </w:numPr>
              <w:spacing w:after="240" w:line="264" w:lineRule="auto"/>
              <w:ind w:left="360"/>
              <w:rPr>
                <w:rFonts w:cs="Segoe UI"/>
                <w:sz w:val="19"/>
                <w:szCs w:val="19"/>
              </w:rPr>
            </w:pPr>
            <w:r w:rsidRPr="00D82ABC">
              <w:rPr>
                <w:rFonts w:cs="Segoe UI"/>
                <w:b/>
                <w:sz w:val="19"/>
                <w:szCs w:val="19"/>
              </w:rPr>
              <w:t>Undertake financial sector reforms</w:t>
            </w:r>
            <w:r w:rsidRPr="00D82ABC">
              <w:rPr>
                <w:rFonts w:cs="Segoe UI"/>
                <w:sz w:val="19"/>
                <w:szCs w:val="19"/>
              </w:rPr>
              <w:t xml:space="preserve"> </w:t>
            </w:r>
            <w:r w:rsidRPr="00D82ABC">
              <w:rPr>
                <w:rFonts w:cs="Segoe UI"/>
                <w:b/>
                <w:sz w:val="19"/>
                <w:szCs w:val="19"/>
              </w:rPr>
              <w:t>to move the system away from the low duration and high interest rate environment</w:t>
            </w:r>
            <w:r>
              <w:rPr>
                <w:rFonts w:eastAsiaTheme="minorEastAsia" w:cs="Segoe UI" w:hint="eastAsia"/>
                <w:b/>
                <w:sz w:val="19"/>
                <w:szCs w:val="19"/>
                <w:lang w:eastAsia="ko-KR"/>
              </w:rPr>
              <w:t>,</w:t>
            </w:r>
            <w:r w:rsidRPr="00D82ABC">
              <w:rPr>
                <w:rFonts w:cs="Segoe UI"/>
                <w:sz w:val="19"/>
                <w:szCs w:val="19"/>
              </w:rPr>
              <w:t xml:space="preserve"> by providing incentives for longer duration and infrastructure investments, and re-focusing BNDES (development bank) to support private long-term finance.</w:t>
            </w:r>
          </w:p>
          <w:p w:rsidR="00C317BA" w:rsidRPr="006F3C29" w:rsidRDefault="00C317BA" w:rsidP="003E4509">
            <w:pPr>
              <w:pStyle w:val="ListParagraph"/>
              <w:widowControl w:val="0"/>
              <w:numPr>
                <w:ilvl w:val="0"/>
                <w:numId w:val="41"/>
              </w:numPr>
              <w:spacing w:after="240" w:line="264" w:lineRule="auto"/>
              <w:ind w:left="360"/>
              <w:rPr>
                <w:rFonts w:cs="Segoe UI"/>
                <w:sz w:val="19"/>
                <w:szCs w:val="19"/>
              </w:rPr>
            </w:pPr>
            <w:r w:rsidRPr="00D82ABC">
              <w:rPr>
                <w:rFonts w:cs="Segoe UI"/>
                <w:b/>
                <w:sz w:val="19"/>
                <w:szCs w:val="19"/>
              </w:rPr>
              <w:t>Strengthen insurance and pension oversight</w:t>
            </w:r>
            <w:r w:rsidRPr="00D82ABC">
              <w:rPr>
                <w:rFonts w:cs="Segoe UI"/>
                <w:sz w:val="19"/>
                <w:szCs w:val="19"/>
              </w:rPr>
              <w:t>, in particular, by ensuring adequate operational autonomy and legal protection for supervisors.</w:t>
            </w:r>
          </w:p>
          <w:p w:rsidR="00C317BA" w:rsidRPr="006F3C29" w:rsidRDefault="00C317BA" w:rsidP="003E4509">
            <w:pPr>
              <w:pStyle w:val="ListParagraph"/>
              <w:widowControl w:val="0"/>
              <w:numPr>
                <w:ilvl w:val="0"/>
                <w:numId w:val="41"/>
              </w:numPr>
              <w:spacing w:after="240" w:line="264" w:lineRule="auto"/>
              <w:ind w:left="360"/>
              <w:rPr>
                <w:rFonts w:cs="Segoe UI"/>
                <w:b/>
                <w:sz w:val="19"/>
                <w:szCs w:val="19"/>
              </w:rPr>
            </w:pPr>
            <w:r w:rsidRPr="006F3C29">
              <w:rPr>
                <w:rFonts w:cs="Segoe UI"/>
                <w:b/>
                <w:sz w:val="19"/>
                <w:szCs w:val="19"/>
                <w:lang w:eastAsia="ko-KR"/>
              </w:rPr>
              <w:t>E</w:t>
            </w:r>
            <w:r w:rsidRPr="006F3C29">
              <w:rPr>
                <w:rFonts w:cs="Segoe UI"/>
                <w:b/>
                <w:sz w:val="19"/>
                <w:szCs w:val="19"/>
              </w:rPr>
              <w:t xml:space="preserve">stablish a dedicated </w:t>
            </w:r>
            <w:r w:rsidRPr="006F3C29">
              <w:rPr>
                <w:rFonts w:cs="Segoe UI"/>
                <w:b/>
                <w:sz w:val="19"/>
                <w:szCs w:val="19"/>
                <w:lang w:eastAsia="ko-KR"/>
              </w:rPr>
              <w:t>consumer financial protection unit</w:t>
            </w:r>
            <w:r>
              <w:rPr>
                <w:rFonts w:eastAsiaTheme="minorEastAsia" w:cs="Segoe UI" w:hint="eastAsia"/>
                <w:b/>
                <w:sz w:val="19"/>
                <w:szCs w:val="19"/>
                <w:lang w:eastAsia="ko-KR"/>
              </w:rPr>
              <w:t>.</w:t>
            </w:r>
          </w:p>
          <w:p w:rsidR="00C317BA" w:rsidRDefault="00C317BA" w:rsidP="003E4509">
            <w:pPr>
              <w:pStyle w:val="ListBullet"/>
              <w:widowControl w:val="0"/>
              <w:numPr>
                <w:ilvl w:val="0"/>
                <w:numId w:val="0"/>
              </w:numPr>
              <w:rPr>
                <w:rFonts w:eastAsiaTheme="minorEastAsia" w:cs="Segoe UI"/>
                <w:sz w:val="19"/>
                <w:szCs w:val="19"/>
                <w:lang w:eastAsia="ko-KR"/>
              </w:rPr>
            </w:pPr>
            <w:r w:rsidRPr="00EB0FD5">
              <w:rPr>
                <w:rFonts w:cs="Segoe UI"/>
                <w:b/>
                <w:bCs/>
                <w:color w:val="000000"/>
                <w:sz w:val="19"/>
                <w:szCs w:val="19"/>
              </w:rPr>
              <w:t xml:space="preserve">The authorities have made </w:t>
            </w:r>
            <w:r>
              <w:rPr>
                <w:rFonts w:eastAsiaTheme="minorEastAsia" w:cs="Segoe UI" w:hint="eastAsia"/>
                <w:b/>
                <w:bCs/>
                <w:color w:val="000000"/>
                <w:sz w:val="19"/>
                <w:szCs w:val="19"/>
                <w:lang w:eastAsia="ko-KR"/>
              </w:rPr>
              <w:t>some</w:t>
            </w:r>
            <w:r w:rsidRPr="00EB0FD5">
              <w:rPr>
                <w:rFonts w:cs="Segoe UI"/>
                <w:b/>
                <w:bCs/>
                <w:color w:val="000000"/>
                <w:sz w:val="19"/>
                <w:szCs w:val="19"/>
              </w:rPr>
              <w:t xml:space="preserve"> progress </w:t>
            </w:r>
            <w:r>
              <w:rPr>
                <w:rFonts w:eastAsiaTheme="minorEastAsia" w:cs="Segoe UI" w:hint="eastAsia"/>
                <w:b/>
                <w:bCs/>
                <w:color w:val="000000"/>
                <w:sz w:val="19"/>
                <w:szCs w:val="19"/>
                <w:lang w:eastAsia="ko-KR"/>
              </w:rPr>
              <w:t>in implementing the key recommendations</w:t>
            </w:r>
            <w:r w:rsidRPr="006F3C29">
              <w:rPr>
                <w:rFonts w:eastAsiaTheme="minorEastAsia" w:cs="Segoe UI"/>
                <w:b/>
                <w:bCs/>
                <w:color w:val="000000"/>
                <w:sz w:val="19"/>
                <w:szCs w:val="19"/>
                <w:lang w:eastAsia="ko-KR"/>
              </w:rPr>
              <w:t xml:space="preserve">: </w:t>
            </w:r>
            <w:r w:rsidRPr="006F3C29">
              <w:rPr>
                <w:rFonts w:cs="Segoe UI"/>
                <w:sz w:val="19"/>
                <w:szCs w:val="19"/>
                <w:lang w:eastAsia="ko-KR"/>
              </w:rPr>
              <w:t xml:space="preserve">regulation on positive credit bureaus was issued, </w:t>
            </w:r>
            <w:r>
              <w:rPr>
                <w:rFonts w:eastAsiaTheme="minorEastAsia" w:cs="Segoe UI" w:hint="eastAsia"/>
                <w:sz w:val="19"/>
                <w:szCs w:val="19"/>
                <w:lang w:eastAsia="ko-KR"/>
              </w:rPr>
              <w:t>and</w:t>
            </w:r>
            <w:r w:rsidRPr="006F3C29">
              <w:rPr>
                <w:rFonts w:cs="Segoe UI"/>
                <w:sz w:val="19"/>
                <w:szCs w:val="19"/>
                <w:lang w:eastAsia="ko-KR"/>
              </w:rPr>
              <w:t xml:space="preserve"> composition of the board of the deposit insurance fund was revised</w:t>
            </w:r>
            <w:r>
              <w:rPr>
                <w:rFonts w:eastAsiaTheme="minorEastAsia" w:cs="Segoe UI" w:hint="eastAsia"/>
                <w:sz w:val="19"/>
                <w:szCs w:val="19"/>
                <w:lang w:eastAsia="ko-KR"/>
              </w:rPr>
              <w:t xml:space="preserve">. </w:t>
            </w:r>
          </w:p>
          <w:p w:rsidR="00C317BA" w:rsidRPr="000E2CE2" w:rsidRDefault="00C317BA" w:rsidP="003E4509">
            <w:pPr>
              <w:pStyle w:val="ListBullet"/>
              <w:widowControl w:val="0"/>
              <w:numPr>
                <w:ilvl w:val="0"/>
                <w:numId w:val="0"/>
              </w:numPr>
              <w:rPr>
                <w:rFonts w:eastAsiaTheme="minorEastAsia"/>
              </w:rPr>
            </w:pPr>
            <w:r w:rsidRPr="00D04C3C">
              <w:rPr>
                <w:rFonts w:eastAsiaTheme="minorEastAsia" w:cs="Segoe UI" w:hint="eastAsia"/>
                <w:b/>
                <w:sz w:val="19"/>
                <w:szCs w:val="19"/>
                <w:lang w:eastAsia="ko-KR"/>
              </w:rPr>
              <w:t>The 2013 Article IV mission will have a detailed discussion on the status of implementation of other recommendations.</w:t>
            </w:r>
          </w:p>
        </w:tc>
      </w:tr>
    </w:tbl>
    <w:p w:rsidR="00C317BA" w:rsidRDefault="00C317BA" w:rsidP="003E4509">
      <w:pPr>
        <w:widowControl w:val="0"/>
      </w:pPr>
    </w:p>
    <w:p w:rsidR="00CC26CC" w:rsidRDefault="00CC26CC">
      <w:pPr>
        <w:spacing w:line="22" w:lineRule="auto"/>
      </w:pPr>
      <w:r>
        <w:br w:type="page"/>
      </w:r>
    </w:p>
    <w:tbl>
      <w:tblPr>
        <w:tblStyle w:val="TableGrid"/>
        <w:tblW w:w="9314" w:type="dxa"/>
        <w:jc w:val="center"/>
        <w:tblBorders>
          <w:insideH w:val="none" w:sz="0" w:space="0" w:color="auto"/>
          <w:insideV w:val="none" w:sz="0" w:space="0" w:color="auto"/>
        </w:tblBorders>
        <w:shd w:val="clear" w:color="auto" w:fill="DBE5F1" w:themeFill="accent1" w:themeFillTint="33"/>
        <w:tblLayout w:type="fixed"/>
        <w:tblLook w:val="04A0" w:firstRow="1" w:lastRow="0" w:firstColumn="1" w:lastColumn="0" w:noHBand="0" w:noVBand="1"/>
      </w:tblPr>
      <w:tblGrid>
        <w:gridCol w:w="9314"/>
      </w:tblGrid>
      <w:tr w:rsidR="00CC26CC" w:rsidTr="004A30C8">
        <w:trPr>
          <w:trHeight w:val="350"/>
          <w:jc w:val="center"/>
        </w:trPr>
        <w:tc>
          <w:tcPr>
            <w:tcW w:w="9314" w:type="dxa"/>
            <w:shd w:val="clear" w:color="auto" w:fill="auto"/>
            <w:vAlign w:val="center"/>
          </w:tcPr>
          <w:p w:rsidR="00CC26CC" w:rsidRPr="00E62D8D" w:rsidRDefault="00CC26CC" w:rsidP="00507030">
            <w:pPr>
              <w:jc w:val="center"/>
              <w:rPr>
                <w:rFonts w:cs="Segoe UI"/>
                <w:b/>
                <w:color w:val="4B82AD"/>
                <w:szCs w:val="21"/>
              </w:rPr>
            </w:pPr>
            <w:r>
              <w:rPr>
                <w:rFonts w:eastAsia="Malgun Gothic" w:cs="Segoe UI" w:hint="eastAsia"/>
                <w:b/>
                <w:color w:val="4B82AD"/>
                <w:szCs w:val="21"/>
                <w:lang w:eastAsia="ko-KR"/>
              </w:rPr>
              <w:lastRenderedPageBreak/>
              <w:t xml:space="preserve">Box </w:t>
            </w:r>
            <w:r w:rsidR="005A4977">
              <w:rPr>
                <w:rFonts w:eastAsia="Malgun Gothic" w:cs="Segoe UI"/>
                <w:b/>
                <w:color w:val="4B82AD"/>
                <w:szCs w:val="21"/>
                <w:lang w:eastAsia="ko-KR"/>
              </w:rPr>
              <w:t>9</w:t>
            </w:r>
            <w:r>
              <w:rPr>
                <w:rFonts w:eastAsia="Malgun Gothic" w:cs="Segoe UI" w:hint="eastAsia"/>
                <w:b/>
                <w:color w:val="4B82AD"/>
                <w:szCs w:val="21"/>
                <w:lang w:eastAsia="ko-KR"/>
              </w:rPr>
              <w:t>. Brazil: Basel III Capital Requirements and Estimated Impacts</w:t>
            </w:r>
          </w:p>
        </w:tc>
      </w:tr>
      <w:tr w:rsidR="00CC26CC" w:rsidTr="004A30C8">
        <w:trPr>
          <w:trHeight w:val="10170"/>
          <w:jc w:val="center"/>
        </w:trPr>
        <w:tc>
          <w:tcPr>
            <w:tcW w:w="9314" w:type="dxa"/>
            <w:shd w:val="clear" w:color="auto" w:fill="auto"/>
          </w:tcPr>
          <w:p w:rsidR="00CC26CC" w:rsidRPr="0099216F" w:rsidRDefault="00CC26CC" w:rsidP="004A30C8">
            <w:pPr>
              <w:spacing w:before="120" w:after="240"/>
              <w:rPr>
                <w:rFonts w:cs="Segoe UI"/>
                <w:sz w:val="19"/>
                <w:szCs w:val="19"/>
              </w:rPr>
            </w:pPr>
            <w:r w:rsidRPr="0099216F">
              <w:rPr>
                <w:rFonts w:cs="Segoe UI"/>
                <w:b/>
                <w:bCs/>
                <w:sz w:val="19"/>
                <w:szCs w:val="19"/>
              </w:rPr>
              <w:t xml:space="preserve">The </w:t>
            </w:r>
            <w:r w:rsidRPr="0099216F">
              <w:rPr>
                <w:rFonts w:eastAsiaTheme="minorEastAsia" w:cs="Segoe UI" w:hint="eastAsia"/>
                <w:b/>
                <w:bCs/>
                <w:sz w:val="19"/>
                <w:szCs w:val="19"/>
                <w:lang w:eastAsia="ko-KR"/>
              </w:rPr>
              <w:t xml:space="preserve">Banco Central do </w:t>
            </w:r>
            <w:proofErr w:type="spellStart"/>
            <w:r w:rsidRPr="0099216F">
              <w:rPr>
                <w:rFonts w:eastAsiaTheme="minorEastAsia" w:cs="Segoe UI" w:hint="eastAsia"/>
                <w:b/>
                <w:bCs/>
                <w:sz w:val="19"/>
                <w:szCs w:val="19"/>
                <w:lang w:eastAsia="ko-KR"/>
              </w:rPr>
              <w:t>Brasil</w:t>
            </w:r>
            <w:proofErr w:type="spellEnd"/>
            <w:r w:rsidRPr="0099216F">
              <w:rPr>
                <w:rFonts w:eastAsiaTheme="minorEastAsia" w:cs="Segoe UI" w:hint="eastAsia"/>
                <w:b/>
                <w:bCs/>
                <w:sz w:val="19"/>
                <w:szCs w:val="19"/>
                <w:lang w:eastAsia="ko-KR"/>
              </w:rPr>
              <w:t xml:space="preserve"> (BCB) </w:t>
            </w:r>
            <w:r>
              <w:rPr>
                <w:rFonts w:eastAsiaTheme="minorEastAsia" w:cs="Segoe UI"/>
                <w:b/>
                <w:bCs/>
                <w:sz w:val="19"/>
                <w:szCs w:val="19"/>
                <w:lang w:eastAsia="ko-KR"/>
              </w:rPr>
              <w:t xml:space="preserve">has recently </w:t>
            </w:r>
            <w:r w:rsidRPr="0099216F">
              <w:rPr>
                <w:rFonts w:cs="Segoe UI"/>
                <w:b/>
                <w:bCs/>
                <w:sz w:val="19"/>
                <w:szCs w:val="19"/>
              </w:rPr>
              <w:t>published a series of resolutions implement</w:t>
            </w:r>
            <w:r>
              <w:rPr>
                <w:rFonts w:cs="Segoe UI"/>
                <w:b/>
                <w:bCs/>
                <w:sz w:val="19"/>
                <w:szCs w:val="19"/>
              </w:rPr>
              <w:t xml:space="preserve">ing </w:t>
            </w:r>
            <w:r w:rsidRPr="0099216F">
              <w:rPr>
                <w:rFonts w:cs="Segoe UI"/>
                <w:b/>
                <w:bCs/>
                <w:sz w:val="19"/>
                <w:szCs w:val="19"/>
              </w:rPr>
              <w:t>Basel III recommendations</w:t>
            </w:r>
            <w:r>
              <w:rPr>
                <w:rFonts w:eastAsiaTheme="minorEastAsia" w:cs="Segoe UI" w:hint="eastAsia"/>
                <w:b/>
                <w:bCs/>
                <w:sz w:val="19"/>
                <w:szCs w:val="19"/>
                <w:lang w:eastAsia="ko-KR"/>
              </w:rPr>
              <w:t>.</w:t>
            </w:r>
            <w:r w:rsidRPr="00990621">
              <w:rPr>
                <w:rFonts w:eastAsiaTheme="minorEastAsia" w:cs="Segoe UI" w:hint="eastAsia"/>
                <w:b/>
                <w:bCs/>
                <w:sz w:val="19"/>
                <w:szCs w:val="19"/>
                <w:vertAlign w:val="superscript"/>
                <w:lang w:eastAsia="ko-KR"/>
              </w:rPr>
              <w:t>1</w:t>
            </w:r>
            <w:r w:rsidR="000C1966">
              <w:rPr>
                <w:rFonts w:eastAsiaTheme="minorEastAsia" w:cs="Segoe UI"/>
                <w:bCs/>
                <w:sz w:val="19"/>
                <w:szCs w:val="19"/>
                <w:lang w:eastAsia="ko-KR"/>
              </w:rPr>
              <w:t xml:space="preserve"> T</w:t>
            </w:r>
            <w:r w:rsidRPr="00990621">
              <w:rPr>
                <w:rFonts w:eastAsiaTheme="minorEastAsia" w:cs="Segoe UI" w:hint="eastAsia"/>
                <w:bCs/>
                <w:sz w:val="19"/>
                <w:szCs w:val="19"/>
                <w:lang w:eastAsia="ko-KR"/>
              </w:rPr>
              <w:t xml:space="preserve">he </w:t>
            </w:r>
            <w:r>
              <w:rPr>
                <w:rFonts w:eastAsiaTheme="minorEastAsia" w:cs="Segoe UI" w:hint="eastAsia"/>
                <w:bCs/>
                <w:sz w:val="19"/>
                <w:szCs w:val="19"/>
                <w:lang w:eastAsia="ko-KR"/>
              </w:rPr>
              <w:t>authorities seek to improve the banking sector</w:t>
            </w:r>
            <w:r>
              <w:rPr>
                <w:rFonts w:eastAsiaTheme="minorEastAsia" w:cs="Segoe UI"/>
                <w:bCs/>
                <w:sz w:val="19"/>
                <w:szCs w:val="19"/>
                <w:lang w:eastAsia="ko-KR"/>
              </w:rPr>
              <w:t>’</w:t>
            </w:r>
            <w:r>
              <w:rPr>
                <w:rFonts w:eastAsiaTheme="minorEastAsia" w:cs="Segoe UI" w:hint="eastAsia"/>
                <w:bCs/>
                <w:sz w:val="19"/>
                <w:szCs w:val="19"/>
                <w:lang w:eastAsia="ko-KR"/>
              </w:rPr>
              <w:t xml:space="preserve">s ability to absorb losses from shocks and reduce the risk of spillover from the financial sector to real economy. </w:t>
            </w:r>
            <w:r w:rsidRPr="00743742">
              <w:rPr>
                <w:rFonts w:eastAsiaTheme="minorEastAsia" w:cs="Segoe UI" w:hint="eastAsia"/>
                <w:bCs/>
                <w:sz w:val="19"/>
                <w:szCs w:val="19"/>
                <w:lang w:eastAsia="ko-KR"/>
              </w:rPr>
              <w:t>The new rules will go into effect on October 1, 2013</w:t>
            </w:r>
            <w:r>
              <w:rPr>
                <w:rFonts w:eastAsiaTheme="minorEastAsia" w:cs="Segoe UI" w:hint="eastAsia"/>
                <w:bCs/>
                <w:sz w:val="19"/>
                <w:szCs w:val="19"/>
                <w:lang w:eastAsia="ko-KR"/>
              </w:rPr>
              <w:t xml:space="preserve">, and Brazilian banks </w:t>
            </w:r>
            <w:r>
              <w:rPr>
                <w:rFonts w:eastAsiaTheme="minorEastAsia" w:cs="Segoe UI"/>
                <w:bCs/>
                <w:sz w:val="19"/>
                <w:szCs w:val="19"/>
                <w:lang w:eastAsia="ko-KR"/>
              </w:rPr>
              <w:t xml:space="preserve">will </w:t>
            </w:r>
            <w:r>
              <w:rPr>
                <w:rFonts w:eastAsiaTheme="minorEastAsia" w:cs="Segoe UI" w:hint="eastAsia"/>
                <w:bCs/>
                <w:sz w:val="19"/>
                <w:szCs w:val="19"/>
                <w:lang w:eastAsia="ko-KR"/>
              </w:rPr>
              <w:t>need to build a capital conservation buffer and a countercyclical capital buffer from 2016</w:t>
            </w:r>
            <w:r w:rsidRPr="00743742">
              <w:rPr>
                <w:rFonts w:eastAsiaTheme="minorEastAsia" w:cs="Segoe UI" w:hint="eastAsia"/>
                <w:bCs/>
                <w:sz w:val="19"/>
                <w:szCs w:val="19"/>
                <w:lang w:eastAsia="ko-KR"/>
              </w:rPr>
              <w:t>.</w:t>
            </w:r>
            <w:r w:rsidRPr="00EF2ABB">
              <w:rPr>
                <w:rFonts w:eastAsiaTheme="minorEastAsia" w:cs="Segoe UI" w:hint="eastAsia"/>
                <w:bCs/>
                <w:sz w:val="19"/>
                <w:szCs w:val="19"/>
                <w:vertAlign w:val="superscript"/>
                <w:lang w:eastAsia="ko-KR"/>
              </w:rPr>
              <w:t>2</w:t>
            </w:r>
          </w:p>
          <w:p w:rsidR="00CC26CC" w:rsidRPr="0099216F" w:rsidRDefault="00CC26CC" w:rsidP="004A30C8">
            <w:pPr>
              <w:spacing w:after="120"/>
              <w:rPr>
                <w:rFonts w:eastAsiaTheme="minorEastAsia" w:cs="Segoe UI"/>
                <w:sz w:val="19"/>
                <w:szCs w:val="19"/>
                <w:lang w:eastAsia="ko-KR"/>
              </w:rPr>
            </w:pPr>
            <w:r>
              <w:rPr>
                <w:rFonts w:eastAsiaTheme="minorEastAsia" w:cs="Segoe UI" w:hint="eastAsia"/>
                <w:b/>
                <w:sz w:val="19"/>
                <w:szCs w:val="19"/>
                <w:lang w:eastAsia="ko-KR"/>
              </w:rPr>
              <w:t>BCB simulation</w:t>
            </w:r>
            <w:r>
              <w:rPr>
                <w:rFonts w:eastAsiaTheme="minorEastAsia" w:cs="Segoe UI"/>
                <w:b/>
                <w:sz w:val="19"/>
                <w:szCs w:val="19"/>
                <w:lang w:eastAsia="ko-KR"/>
              </w:rPr>
              <w:t xml:space="preserve">s show that </w:t>
            </w:r>
            <w:r w:rsidRPr="0099216F">
              <w:rPr>
                <w:rFonts w:cs="Segoe UI"/>
                <w:b/>
                <w:sz w:val="19"/>
                <w:szCs w:val="19"/>
              </w:rPr>
              <w:t>banks have strong balance sheet and</w:t>
            </w:r>
            <w:r>
              <w:rPr>
                <w:rFonts w:eastAsiaTheme="minorEastAsia" w:cs="Segoe UI" w:hint="eastAsia"/>
                <w:b/>
                <w:sz w:val="19"/>
                <w:szCs w:val="19"/>
                <w:lang w:eastAsia="ko-KR"/>
              </w:rPr>
              <w:t xml:space="preserve"> </w:t>
            </w:r>
            <w:r w:rsidRPr="00801597">
              <w:rPr>
                <w:rFonts w:cs="Segoe UI"/>
                <w:b/>
                <w:sz w:val="19"/>
                <w:szCs w:val="19"/>
              </w:rPr>
              <w:t xml:space="preserve">will be able to </w:t>
            </w:r>
            <w:r w:rsidRPr="00801597">
              <w:rPr>
                <w:rFonts w:eastAsiaTheme="minorEastAsia" w:cs="Segoe UI" w:hint="eastAsia"/>
                <w:b/>
                <w:sz w:val="19"/>
                <w:szCs w:val="19"/>
                <w:lang w:eastAsia="ko-KR"/>
              </w:rPr>
              <w:t xml:space="preserve">comply </w:t>
            </w:r>
            <w:r>
              <w:rPr>
                <w:rFonts w:eastAsiaTheme="minorEastAsia" w:cs="Segoe UI"/>
                <w:b/>
                <w:sz w:val="19"/>
                <w:szCs w:val="19"/>
                <w:lang w:eastAsia="ko-KR"/>
              </w:rPr>
              <w:t xml:space="preserve">with </w:t>
            </w:r>
            <w:r w:rsidRPr="00801597">
              <w:rPr>
                <w:rFonts w:eastAsiaTheme="minorEastAsia" w:cs="Segoe UI" w:hint="eastAsia"/>
                <w:b/>
                <w:sz w:val="19"/>
                <w:szCs w:val="19"/>
                <w:lang w:eastAsia="ko-KR"/>
              </w:rPr>
              <w:t xml:space="preserve">the regulatory requirements </w:t>
            </w:r>
            <w:r w:rsidRPr="00801597">
              <w:rPr>
                <w:rFonts w:cs="Segoe UI"/>
                <w:b/>
                <w:sz w:val="19"/>
                <w:szCs w:val="19"/>
              </w:rPr>
              <w:t xml:space="preserve">without </w:t>
            </w:r>
            <w:r>
              <w:rPr>
                <w:rFonts w:cs="Segoe UI"/>
                <w:b/>
                <w:sz w:val="19"/>
                <w:szCs w:val="19"/>
              </w:rPr>
              <w:t xml:space="preserve">the need to </w:t>
            </w:r>
            <w:r w:rsidRPr="00801597">
              <w:rPr>
                <w:rFonts w:cs="Segoe UI"/>
                <w:b/>
                <w:sz w:val="19"/>
                <w:szCs w:val="19"/>
              </w:rPr>
              <w:t>rais</w:t>
            </w:r>
            <w:r>
              <w:rPr>
                <w:rFonts w:cs="Segoe UI"/>
                <w:b/>
                <w:sz w:val="19"/>
                <w:szCs w:val="19"/>
              </w:rPr>
              <w:t>e</w:t>
            </w:r>
            <w:r w:rsidRPr="00801597">
              <w:rPr>
                <w:rFonts w:cs="Segoe UI"/>
                <w:b/>
                <w:sz w:val="19"/>
                <w:szCs w:val="19"/>
              </w:rPr>
              <w:t xml:space="preserve"> additional capital </w:t>
            </w:r>
            <w:r>
              <w:rPr>
                <w:rFonts w:cs="Segoe UI"/>
                <w:b/>
                <w:sz w:val="19"/>
                <w:szCs w:val="19"/>
              </w:rPr>
              <w:t>over the next years</w:t>
            </w:r>
            <w:r w:rsidRPr="00801597">
              <w:rPr>
                <w:rFonts w:cs="Segoe UI"/>
                <w:b/>
                <w:sz w:val="19"/>
                <w:szCs w:val="19"/>
              </w:rPr>
              <w:t>.</w:t>
            </w:r>
            <w:r w:rsidRPr="0099216F">
              <w:rPr>
                <w:rFonts w:cs="Segoe UI"/>
                <w:sz w:val="19"/>
                <w:szCs w:val="19"/>
              </w:rPr>
              <w:t xml:space="preserve"> </w:t>
            </w:r>
            <w:r w:rsidRPr="00B15B54">
              <w:rPr>
                <w:rFonts w:cs="Segoe UI"/>
                <w:sz w:val="19"/>
                <w:szCs w:val="19"/>
              </w:rPr>
              <w:t xml:space="preserve">In </w:t>
            </w:r>
            <w:r>
              <w:rPr>
                <w:rFonts w:cs="Segoe UI"/>
                <w:sz w:val="19"/>
                <w:szCs w:val="19"/>
              </w:rPr>
              <w:t xml:space="preserve">a </w:t>
            </w:r>
            <w:r w:rsidRPr="00B15B54">
              <w:rPr>
                <w:rFonts w:cs="Segoe UI"/>
                <w:sz w:val="19"/>
                <w:szCs w:val="19"/>
              </w:rPr>
              <w:t xml:space="preserve">scenario </w:t>
            </w:r>
            <w:r>
              <w:rPr>
                <w:rFonts w:cs="Segoe UI"/>
                <w:sz w:val="19"/>
                <w:szCs w:val="19"/>
              </w:rPr>
              <w:t xml:space="preserve">with </w:t>
            </w:r>
            <w:r w:rsidRPr="00B15B54">
              <w:rPr>
                <w:rFonts w:cs="Segoe UI"/>
                <w:sz w:val="19"/>
                <w:szCs w:val="19"/>
              </w:rPr>
              <w:t xml:space="preserve">credit growth and </w:t>
            </w:r>
            <w:r>
              <w:rPr>
                <w:rFonts w:cs="Segoe UI"/>
                <w:sz w:val="19"/>
                <w:szCs w:val="19"/>
              </w:rPr>
              <w:t xml:space="preserve">earnings </w:t>
            </w:r>
            <w:r w:rsidRPr="00B15B54">
              <w:rPr>
                <w:rFonts w:cs="Segoe UI"/>
                <w:sz w:val="19"/>
                <w:szCs w:val="19"/>
              </w:rPr>
              <w:t xml:space="preserve">retention based on the average of recent years, </w:t>
            </w:r>
            <w:r w:rsidRPr="0099216F">
              <w:rPr>
                <w:rFonts w:cs="Segoe UI"/>
                <w:sz w:val="19"/>
                <w:szCs w:val="19"/>
              </w:rPr>
              <w:t>no bank w</w:t>
            </w:r>
            <w:r>
              <w:rPr>
                <w:rFonts w:eastAsiaTheme="minorEastAsia" w:cs="Segoe UI" w:hint="eastAsia"/>
                <w:sz w:val="19"/>
                <w:szCs w:val="19"/>
                <w:lang w:eastAsia="ko-KR"/>
              </w:rPr>
              <w:t>ill</w:t>
            </w:r>
            <w:r w:rsidRPr="0099216F">
              <w:rPr>
                <w:rFonts w:cs="Segoe UI"/>
                <w:sz w:val="19"/>
                <w:szCs w:val="19"/>
              </w:rPr>
              <w:t xml:space="preserve"> need to raise capital in 2013</w:t>
            </w:r>
            <w:r w:rsidR="000C1966">
              <w:rPr>
                <w:rFonts w:cs="Segoe UI"/>
                <w:sz w:val="19"/>
                <w:szCs w:val="19"/>
              </w:rPr>
              <w:t>‒</w:t>
            </w:r>
            <w:r>
              <w:rPr>
                <w:rFonts w:eastAsiaTheme="minorEastAsia" w:cs="Segoe UI" w:hint="eastAsia"/>
                <w:sz w:val="19"/>
                <w:szCs w:val="19"/>
                <w:lang w:eastAsia="ko-KR"/>
              </w:rPr>
              <w:t>16</w:t>
            </w:r>
            <w:r w:rsidRPr="0099216F">
              <w:rPr>
                <w:rFonts w:cs="Segoe UI"/>
                <w:sz w:val="19"/>
                <w:szCs w:val="19"/>
              </w:rPr>
              <w:t xml:space="preserve">. </w:t>
            </w:r>
            <w:r>
              <w:rPr>
                <w:rFonts w:cs="Segoe UI"/>
                <w:sz w:val="19"/>
                <w:szCs w:val="19"/>
              </w:rPr>
              <w:t xml:space="preserve">Over the period </w:t>
            </w:r>
            <w:r w:rsidRPr="0099216F">
              <w:rPr>
                <w:rFonts w:cs="Segoe UI"/>
                <w:sz w:val="19"/>
                <w:szCs w:val="19"/>
              </w:rPr>
              <w:t>2017</w:t>
            </w:r>
            <w:r w:rsidR="000C1966">
              <w:rPr>
                <w:rFonts w:cs="Segoe UI"/>
                <w:sz w:val="19"/>
                <w:szCs w:val="19"/>
              </w:rPr>
              <w:t>‒</w:t>
            </w:r>
            <w:r>
              <w:rPr>
                <w:rFonts w:cs="Segoe UI"/>
                <w:sz w:val="19"/>
                <w:szCs w:val="19"/>
              </w:rPr>
              <w:t>19</w:t>
            </w:r>
            <w:r>
              <w:rPr>
                <w:rFonts w:eastAsiaTheme="minorEastAsia" w:cs="Segoe UI" w:hint="eastAsia"/>
                <w:sz w:val="19"/>
                <w:szCs w:val="19"/>
                <w:lang w:eastAsia="ko-KR"/>
              </w:rPr>
              <w:t>,</w:t>
            </w:r>
            <w:r>
              <w:rPr>
                <w:rFonts w:cs="Segoe UI"/>
                <w:sz w:val="19"/>
                <w:szCs w:val="19"/>
              </w:rPr>
              <w:t xml:space="preserve"> </w:t>
            </w:r>
            <w:r w:rsidRPr="0099216F">
              <w:rPr>
                <w:rFonts w:cs="Segoe UI"/>
                <w:sz w:val="19"/>
                <w:szCs w:val="19"/>
              </w:rPr>
              <w:t xml:space="preserve">some banks </w:t>
            </w:r>
            <w:r>
              <w:rPr>
                <w:rFonts w:cs="Segoe UI"/>
                <w:sz w:val="19"/>
                <w:szCs w:val="19"/>
              </w:rPr>
              <w:t xml:space="preserve">may need to </w:t>
            </w:r>
            <w:r w:rsidRPr="0099216F">
              <w:rPr>
                <w:rFonts w:cs="Segoe UI"/>
                <w:sz w:val="19"/>
                <w:szCs w:val="19"/>
              </w:rPr>
              <w:t>raise about R$15 billion</w:t>
            </w:r>
            <w:r>
              <w:rPr>
                <w:rFonts w:eastAsiaTheme="minorEastAsia" w:cs="Segoe UI" w:hint="eastAsia"/>
                <w:sz w:val="19"/>
                <w:szCs w:val="19"/>
                <w:lang w:eastAsia="ko-KR"/>
              </w:rPr>
              <w:t xml:space="preserve"> in total</w:t>
            </w:r>
            <w:r w:rsidRPr="0099216F">
              <w:rPr>
                <w:rFonts w:cs="Segoe UI"/>
                <w:sz w:val="19"/>
                <w:szCs w:val="19"/>
              </w:rPr>
              <w:t xml:space="preserve">, which </w:t>
            </w:r>
            <w:r>
              <w:rPr>
                <w:rFonts w:cs="Segoe UI"/>
                <w:sz w:val="19"/>
                <w:szCs w:val="19"/>
              </w:rPr>
              <w:t xml:space="preserve">represents just </w:t>
            </w:r>
            <w:r w:rsidRPr="0099216F">
              <w:rPr>
                <w:rFonts w:cs="Segoe UI"/>
                <w:sz w:val="19"/>
                <w:szCs w:val="19"/>
              </w:rPr>
              <w:t>2</w:t>
            </w:r>
            <w:r>
              <w:rPr>
                <w:rFonts w:cs="Segoe UI"/>
                <w:sz w:val="19"/>
                <w:szCs w:val="19"/>
              </w:rPr>
              <w:t xml:space="preserve"> percent </w:t>
            </w:r>
            <w:r w:rsidRPr="0099216F">
              <w:rPr>
                <w:rFonts w:cs="Segoe UI"/>
                <w:sz w:val="19"/>
                <w:szCs w:val="19"/>
              </w:rPr>
              <w:t xml:space="preserve">of the total </w:t>
            </w:r>
            <w:r>
              <w:rPr>
                <w:rFonts w:eastAsiaTheme="minorEastAsia" w:cs="Segoe UI" w:hint="eastAsia"/>
                <w:sz w:val="19"/>
                <w:szCs w:val="19"/>
                <w:lang w:eastAsia="ko-KR"/>
              </w:rPr>
              <w:t>assets</w:t>
            </w:r>
            <w:r w:rsidRPr="0099216F">
              <w:rPr>
                <w:rFonts w:cs="Segoe UI"/>
                <w:sz w:val="19"/>
                <w:szCs w:val="19"/>
              </w:rPr>
              <w:t xml:space="preserve"> in the banking system at end 2012 (R$697 billion).</w:t>
            </w:r>
          </w:p>
          <w:p w:rsidR="00CC26CC" w:rsidRPr="0099216F" w:rsidRDefault="00CC26CC" w:rsidP="004A30C8">
            <w:pPr>
              <w:spacing w:after="120"/>
              <w:contextualSpacing/>
              <w:jc w:val="center"/>
              <w:rPr>
                <w:rFonts w:eastAsiaTheme="minorEastAsia" w:cs="Segoe UI"/>
                <w:b/>
                <w:color w:val="4B82AD"/>
                <w:sz w:val="19"/>
                <w:szCs w:val="19"/>
                <w:lang w:eastAsia="ko-KR"/>
              </w:rPr>
            </w:pPr>
            <w:r w:rsidRPr="0099216F">
              <w:rPr>
                <w:rFonts w:cs="Segoe UI"/>
                <w:b/>
                <w:color w:val="4B82AD"/>
                <w:sz w:val="19"/>
                <w:szCs w:val="19"/>
              </w:rPr>
              <w:t xml:space="preserve">Table </w:t>
            </w:r>
            <w:r>
              <w:rPr>
                <w:rFonts w:eastAsiaTheme="minorEastAsia" w:cs="Segoe UI" w:hint="eastAsia"/>
                <w:b/>
                <w:color w:val="4B82AD"/>
                <w:sz w:val="19"/>
                <w:szCs w:val="19"/>
                <w:lang w:eastAsia="ko-KR"/>
              </w:rPr>
              <w:t>1</w:t>
            </w:r>
            <w:r w:rsidRPr="0099216F">
              <w:rPr>
                <w:rFonts w:cs="Segoe UI"/>
                <w:b/>
                <w:color w:val="4B82AD"/>
                <w:sz w:val="19"/>
                <w:szCs w:val="19"/>
              </w:rPr>
              <w:t xml:space="preserve">. </w:t>
            </w:r>
            <w:r w:rsidRPr="0099216F">
              <w:rPr>
                <w:rFonts w:eastAsiaTheme="minorEastAsia" w:cs="Segoe UI" w:hint="eastAsia"/>
                <w:b/>
                <w:color w:val="4B82AD"/>
                <w:sz w:val="19"/>
                <w:szCs w:val="19"/>
                <w:lang w:eastAsia="ko-KR"/>
              </w:rPr>
              <w:t xml:space="preserve">Brazil: Minimum </w:t>
            </w:r>
            <w:r w:rsidRPr="0099216F">
              <w:rPr>
                <w:rFonts w:cs="Segoe UI"/>
                <w:b/>
                <w:color w:val="4B82AD"/>
                <w:sz w:val="19"/>
                <w:szCs w:val="19"/>
              </w:rPr>
              <w:t xml:space="preserve">Requirements for </w:t>
            </w:r>
            <w:r w:rsidRPr="0099216F">
              <w:rPr>
                <w:rFonts w:eastAsiaTheme="minorEastAsia" w:cs="Segoe UI" w:hint="eastAsia"/>
                <w:b/>
                <w:color w:val="4B82AD"/>
                <w:sz w:val="19"/>
                <w:szCs w:val="19"/>
                <w:lang w:eastAsia="ko-KR"/>
              </w:rPr>
              <w:t>R</w:t>
            </w:r>
            <w:r w:rsidRPr="0099216F">
              <w:rPr>
                <w:rFonts w:cs="Segoe UI"/>
                <w:b/>
                <w:color w:val="4B82AD"/>
                <w:sz w:val="19"/>
                <w:szCs w:val="19"/>
              </w:rPr>
              <w:t xml:space="preserve">egulatory </w:t>
            </w:r>
            <w:r w:rsidRPr="0099216F">
              <w:rPr>
                <w:rFonts w:eastAsiaTheme="minorEastAsia" w:cs="Segoe UI" w:hint="eastAsia"/>
                <w:b/>
                <w:color w:val="4B82AD"/>
                <w:sz w:val="19"/>
                <w:szCs w:val="19"/>
                <w:lang w:eastAsia="ko-KR"/>
              </w:rPr>
              <w:t>C</w:t>
            </w:r>
            <w:r w:rsidRPr="0099216F">
              <w:rPr>
                <w:rFonts w:cs="Segoe UI"/>
                <w:b/>
                <w:color w:val="4B82AD"/>
                <w:sz w:val="19"/>
                <w:szCs w:val="19"/>
              </w:rPr>
              <w:t>apital</w:t>
            </w:r>
          </w:p>
          <w:p w:rsidR="00CC26CC" w:rsidRPr="0099216F" w:rsidRDefault="00CC26CC" w:rsidP="004A30C8">
            <w:pPr>
              <w:spacing w:after="120"/>
              <w:jc w:val="center"/>
              <w:rPr>
                <w:rFonts w:eastAsiaTheme="minorEastAsia" w:cs="Segoe UI"/>
                <w:b/>
                <w:color w:val="4B82AD"/>
                <w:sz w:val="19"/>
                <w:szCs w:val="19"/>
                <w:lang w:eastAsia="ko-KR"/>
              </w:rPr>
            </w:pPr>
            <w:r w:rsidRPr="0099216F">
              <w:rPr>
                <w:rFonts w:eastAsiaTheme="minorEastAsia" w:cs="Segoe UI" w:hint="eastAsia"/>
                <w:b/>
                <w:color w:val="4B82AD"/>
                <w:sz w:val="19"/>
                <w:szCs w:val="19"/>
                <w:lang w:eastAsia="ko-KR"/>
              </w:rPr>
              <w:t>(In percent)</w:t>
            </w:r>
          </w:p>
          <w:tbl>
            <w:tblPr>
              <w:tblW w:w="0" w:type="auto"/>
              <w:jc w:val="center"/>
              <w:tblLayout w:type="fixed"/>
              <w:tblCellMar>
                <w:left w:w="0" w:type="dxa"/>
                <w:right w:w="0" w:type="dxa"/>
              </w:tblCellMar>
              <w:tblLook w:val="04A0" w:firstRow="1" w:lastRow="0" w:firstColumn="1" w:lastColumn="0" w:noHBand="0" w:noVBand="1"/>
            </w:tblPr>
            <w:tblGrid>
              <w:gridCol w:w="1910"/>
              <w:gridCol w:w="990"/>
              <w:gridCol w:w="1710"/>
              <w:gridCol w:w="3831"/>
            </w:tblGrid>
            <w:tr w:rsidR="00CC26CC" w:rsidRPr="0099216F" w:rsidTr="004A30C8">
              <w:trPr>
                <w:trHeight w:val="20"/>
                <w:jc w:val="center"/>
              </w:trPr>
              <w:tc>
                <w:tcPr>
                  <w:tcW w:w="19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rPr>
                      <w:rFonts w:eastAsiaTheme="minorEastAsia" w:cs="Segoe UI"/>
                      <w:sz w:val="17"/>
                      <w:szCs w:val="17"/>
                    </w:rPr>
                  </w:pP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Basel II</w:t>
                  </w:r>
                </w:p>
              </w:tc>
              <w:tc>
                <w:tcPr>
                  <w:tcW w:w="17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Present</w:t>
                  </w:r>
                  <w:r w:rsidRPr="00990621">
                    <w:rPr>
                      <w:rFonts w:cs="Segoe UI" w:hint="eastAsia"/>
                      <w:sz w:val="17"/>
                      <w:szCs w:val="17"/>
                    </w:rPr>
                    <w:t xml:space="preserve"> in Brazil</w:t>
                  </w:r>
                </w:p>
              </w:tc>
              <w:tc>
                <w:tcPr>
                  <w:tcW w:w="383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Basel III</w:t>
                  </w:r>
                </w:p>
              </w:tc>
            </w:tr>
            <w:tr w:rsidR="00CC26CC" w:rsidRPr="0099216F" w:rsidTr="004A30C8">
              <w:trPr>
                <w:trHeight w:val="20"/>
                <w:jc w:val="center"/>
              </w:trPr>
              <w:tc>
                <w:tcPr>
                  <w:tcW w:w="19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rPr>
                      <w:rFonts w:cs="Segoe UI"/>
                      <w:sz w:val="17"/>
                      <w:szCs w:val="17"/>
                    </w:rPr>
                  </w:pPr>
                  <w:r w:rsidRPr="00990621">
                    <w:rPr>
                      <w:rFonts w:cs="Segoe UI"/>
                      <w:sz w:val="17"/>
                      <w:szCs w:val="17"/>
                    </w:rPr>
                    <w:t>Common Equity Tier</w:t>
                  </w:r>
                  <w:r w:rsidRPr="00990621">
                    <w:rPr>
                      <w:rFonts w:cs="Segoe UI" w:hint="eastAsia"/>
                      <w:sz w:val="17"/>
                      <w:szCs w:val="17"/>
                    </w:rPr>
                    <w:t xml:space="preserve"> (CET)</w:t>
                  </w:r>
                  <w:r w:rsidRPr="00990621">
                    <w:rPr>
                      <w:rFonts w:cs="Segoe UI"/>
                      <w:sz w:val="17"/>
                      <w:szCs w:val="17"/>
                    </w:rPr>
                    <w:t xml:space="preserve"> 1</w:t>
                  </w:r>
                  <w:r w:rsidRPr="00990621">
                    <w:rPr>
                      <w:rFonts w:cs="Segoe UI" w:hint="eastAsia"/>
                      <w:sz w:val="17"/>
                      <w:szCs w:val="17"/>
                    </w:rPr>
                    <w:t xml:space="preserve"> capital requirement</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2</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4.7</w:t>
                  </w:r>
                </w:p>
              </w:tc>
              <w:tc>
                <w:tcPr>
                  <w:tcW w:w="38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cs="Segoe UI"/>
                      <w:b/>
                      <w:sz w:val="17"/>
                      <w:szCs w:val="17"/>
                    </w:rPr>
                  </w:pPr>
                  <w:r w:rsidRPr="00990621">
                    <w:rPr>
                      <w:rFonts w:cs="Segoe UI"/>
                      <w:b/>
                      <w:sz w:val="17"/>
                      <w:szCs w:val="17"/>
                    </w:rPr>
                    <w:t>7.0</w:t>
                  </w:r>
                  <w:r w:rsidRPr="00990621">
                    <w:rPr>
                      <w:rFonts w:cs="Segoe UI" w:hint="eastAsia"/>
                      <w:b/>
                      <w:sz w:val="17"/>
                      <w:szCs w:val="17"/>
                    </w:rPr>
                    <w:t xml:space="preserve"> </w:t>
                  </w:r>
                  <w:r w:rsidRPr="00990621">
                    <w:rPr>
                      <w:rFonts w:cs="Segoe UI"/>
                      <w:b/>
                      <w:sz w:val="17"/>
                      <w:szCs w:val="17"/>
                    </w:rPr>
                    <w:t>–</w:t>
                  </w:r>
                  <w:r w:rsidRPr="00990621">
                    <w:rPr>
                      <w:rFonts w:cs="Segoe UI" w:hint="eastAsia"/>
                      <w:b/>
                      <w:sz w:val="17"/>
                      <w:szCs w:val="17"/>
                    </w:rPr>
                    <w:t xml:space="preserve"> </w:t>
                  </w:r>
                  <w:r w:rsidRPr="00990621">
                    <w:rPr>
                      <w:rFonts w:cs="Segoe UI"/>
                      <w:b/>
                      <w:sz w:val="17"/>
                      <w:szCs w:val="17"/>
                    </w:rPr>
                    <w:t xml:space="preserve">9.5 </w:t>
                  </w:r>
                </w:p>
                <w:p w:rsidR="00CC26CC" w:rsidRPr="00990621" w:rsidRDefault="00CC26CC" w:rsidP="004A30C8">
                  <w:pPr>
                    <w:spacing w:line="240" w:lineRule="auto"/>
                    <w:ind w:left="100"/>
                    <w:rPr>
                      <w:rFonts w:cs="Segoe UI"/>
                      <w:sz w:val="17"/>
                      <w:szCs w:val="17"/>
                    </w:rPr>
                  </w:pPr>
                  <w:r w:rsidRPr="00990621">
                    <w:rPr>
                      <w:rFonts w:cs="Segoe UI" w:hint="eastAsia"/>
                      <w:sz w:val="17"/>
                      <w:szCs w:val="17"/>
                    </w:rPr>
                    <w:t>= minimum (4.5)</w:t>
                  </w:r>
                </w:p>
                <w:p w:rsidR="00CC26CC" w:rsidRPr="00990621" w:rsidRDefault="00CC26CC" w:rsidP="004A30C8">
                  <w:pPr>
                    <w:spacing w:line="240" w:lineRule="auto"/>
                    <w:ind w:left="100"/>
                    <w:rPr>
                      <w:rFonts w:cs="Segoe UI"/>
                      <w:sz w:val="17"/>
                      <w:szCs w:val="17"/>
                    </w:rPr>
                  </w:pPr>
                  <w:r w:rsidRPr="00990621">
                    <w:rPr>
                      <w:rFonts w:cs="Segoe UI" w:hint="eastAsia"/>
                      <w:sz w:val="17"/>
                      <w:szCs w:val="17"/>
                    </w:rPr>
                    <w:t>+c</w:t>
                  </w:r>
                  <w:r w:rsidRPr="00990621">
                    <w:rPr>
                      <w:rFonts w:cs="Segoe UI"/>
                      <w:sz w:val="17"/>
                      <w:szCs w:val="17"/>
                    </w:rPr>
                    <w:t xml:space="preserve">onservation </w:t>
                  </w:r>
                  <w:proofErr w:type="gramStart"/>
                  <w:r w:rsidRPr="00990621">
                    <w:rPr>
                      <w:rFonts w:cs="Segoe UI"/>
                      <w:sz w:val="17"/>
                      <w:szCs w:val="17"/>
                    </w:rPr>
                    <w:t>buffer(</w:t>
                  </w:r>
                  <w:proofErr w:type="gramEnd"/>
                  <w:r w:rsidRPr="00990621">
                    <w:rPr>
                      <w:rFonts w:cs="Segoe UI" w:hint="eastAsia"/>
                      <w:sz w:val="17"/>
                      <w:szCs w:val="17"/>
                    </w:rPr>
                    <w:t>2.5, CB</w:t>
                  </w:r>
                  <w:r w:rsidRPr="00990621">
                    <w:rPr>
                      <w:rFonts w:cs="Segoe UI"/>
                      <w:sz w:val="17"/>
                      <w:szCs w:val="17"/>
                    </w:rPr>
                    <w:t>)</w:t>
                  </w:r>
                </w:p>
                <w:p w:rsidR="00CC26CC" w:rsidRPr="00990621" w:rsidRDefault="00CC26CC" w:rsidP="004A30C8">
                  <w:pPr>
                    <w:spacing w:line="240" w:lineRule="auto"/>
                    <w:ind w:left="100"/>
                    <w:rPr>
                      <w:rFonts w:eastAsiaTheme="minorEastAsia" w:cs="Segoe UI"/>
                      <w:sz w:val="17"/>
                      <w:szCs w:val="17"/>
                    </w:rPr>
                  </w:pPr>
                  <w:r w:rsidRPr="00990621">
                    <w:rPr>
                      <w:rFonts w:cs="Segoe UI"/>
                      <w:sz w:val="17"/>
                      <w:szCs w:val="17"/>
                    </w:rPr>
                    <w:t xml:space="preserve">+countercyclical capital </w:t>
                  </w:r>
                  <w:proofErr w:type="gramStart"/>
                  <w:r w:rsidRPr="00990621">
                    <w:rPr>
                      <w:rFonts w:cs="Segoe UI"/>
                      <w:sz w:val="17"/>
                      <w:szCs w:val="17"/>
                    </w:rPr>
                    <w:t>buffer(</w:t>
                  </w:r>
                  <w:proofErr w:type="gramEnd"/>
                  <w:r w:rsidRPr="00990621">
                    <w:rPr>
                      <w:rFonts w:cs="Segoe UI" w:hint="eastAsia"/>
                      <w:sz w:val="17"/>
                      <w:szCs w:val="17"/>
                    </w:rPr>
                    <w:t xml:space="preserve">0 </w:t>
                  </w:r>
                  <w:r w:rsidRPr="00990621">
                    <w:rPr>
                      <w:rFonts w:cs="Segoe UI"/>
                      <w:sz w:val="17"/>
                      <w:szCs w:val="17"/>
                    </w:rPr>
                    <w:t>–</w:t>
                  </w:r>
                  <w:r w:rsidRPr="00990621">
                    <w:rPr>
                      <w:rFonts w:cs="Segoe UI" w:hint="eastAsia"/>
                      <w:sz w:val="17"/>
                      <w:szCs w:val="17"/>
                    </w:rPr>
                    <w:t xml:space="preserve"> 2.5, CCB</w:t>
                  </w:r>
                  <w:r w:rsidRPr="00990621">
                    <w:rPr>
                      <w:rFonts w:cs="Segoe UI"/>
                      <w:sz w:val="17"/>
                      <w:szCs w:val="17"/>
                    </w:rPr>
                    <w:t>)</w:t>
                  </w:r>
                </w:p>
              </w:tc>
            </w:tr>
            <w:tr w:rsidR="00CC26CC" w:rsidRPr="0099216F" w:rsidTr="004A30C8">
              <w:trPr>
                <w:trHeight w:val="20"/>
                <w:jc w:val="center"/>
              </w:trPr>
              <w:tc>
                <w:tcPr>
                  <w:tcW w:w="19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rPr>
                      <w:rFonts w:eastAsiaTheme="minorEastAsia" w:cs="Segoe UI"/>
                      <w:sz w:val="17"/>
                      <w:szCs w:val="17"/>
                    </w:rPr>
                  </w:pPr>
                  <w:r w:rsidRPr="00990621">
                    <w:rPr>
                      <w:rFonts w:cs="Segoe UI"/>
                      <w:sz w:val="17"/>
                      <w:szCs w:val="17"/>
                    </w:rPr>
                    <w:t>Tier 1</w:t>
                  </w:r>
                  <w:r w:rsidRPr="00990621">
                    <w:rPr>
                      <w:rFonts w:cs="Segoe UI" w:hint="eastAsia"/>
                      <w:sz w:val="17"/>
                      <w:szCs w:val="17"/>
                    </w:rPr>
                    <w:t xml:space="preserve"> capital requirement</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4</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5.5</w:t>
                  </w:r>
                </w:p>
              </w:tc>
              <w:tc>
                <w:tcPr>
                  <w:tcW w:w="38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cs="Segoe UI"/>
                      <w:b/>
                      <w:sz w:val="17"/>
                      <w:szCs w:val="17"/>
                    </w:rPr>
                  </w:pPr>
                  <w:r w:rsidRPr="00990621">
                    <w:rPr>
                      <w:rFonts w:cs="Segoe UI"/>
                      <w:b/>
                      <w:sz w:val="17"/>
                      <w:szCs w:val="17"/>
                    </w:rPr>
                    <w:t>8.5</w:t>
                  </w:r>
                  <w:r w:rsidRPr="00990621">
                    <w:rPr>
                      <w:rFonts w:cs="Segoe UI" w:hint="eastAsia"/>
                      <w:b/>
                      <w:sz w:val="17"/>
                      <w:szCs w:val="17"/>
                    </w:rPr>
                    <w:t xml:space="preserve">0 </w:t>
                  </w:r>
                  <w:r w:rsidRPr="00990621">
                    <w:rPr>
                      <w:rFonts w:cs="Segoe UI"/>
                      <w:b/>
                      <w:sz w:val="17"/>
                      <w:szCs w:val="17"/>
                    </w:rPr>
                    <w:t>–</w:t>
                  </w:r>
                  <w:r w:rsidRPr="00990621">
                    <w:rPr>
                      <w:rFonts w:cs="Segoe UI" w:hint="eastAsia"/>
                      <w:b/>
                      <w:sz w:val="17"/>
                      <w:szCs w:val="17"/>
                    </w:rPr>
                    <w:t xml:space="preserve"> </w:t>
                  </w:r>
                  <w:r w:rsidRPr="00990621">
                    <w:rPr>
                      <w:rFonts w:cs="Segoe UI"/>
                      <w:b/>
                      <w:sz w:val="17"/>
                      <w:szCs w:val="17"/>
                    </w:rPr>
                    <w:t>11.0</w:t>
                  </w:r>
                </w:p>
                <w:p w:rsidR="00CC26CC" w:rsidRPr="00990621" w:rsidRDefault="00CC26CC" w:rsidP="004A30C8">
                  <w:pPr>
                    <w:spacing w:line="240" w:lineRule="auto"/>
                    <w:ind w:left="100"/>
                    <w:rPr>
                      <w:rFonts w:cs="Segoe UI"/>
                      <w:sz w:val="17"/>
                      <w:szCs w:val="17"/>
                    </w:rPr>
                  </w:pPr>
                  <w:r w:rsidRPr="00990621">
                    <w:rPr>
                      <w:rFonts w:cs="Segoe UI" w:hint="eastAsia"/>
                      <w:sz w:val="17"/>
                      <w:szCs w:val="17"/>
                    </w:rPr>
                    <w:t>= Common Equity Tier 1 (</w:t>
                  </w:r>
                  <w:r w:rsidRPr="00990621">
                    <w:rPr>
                      <w:rFonts w:cs="Segoe UI"/>
                      <w:sz w:val="17"/>
                      <w:szCs w:val="17"/>
                    </w:rPr>
                    <w:t>7.0</w:t>
                  </w:r>
                  <w:r w:rsidRPr="00990621">
                    <w:rPr>
                      <w:rFonts w:cs="Segoe UI" w:hint="eastAsia"/>
                      <w:sz w:val="17"/>
                      <w:szCs w:val="17"/>
                    </w:rPr>
                    <w:t xml:space="preserve"> </w:t>
                  </w:r>
                  <w:r w:rsidRPr="00990621">
                    <w:rPr>
                      <w:rFonts w:cs="Segoe UI"/>
                      <w:sz w:val="17"/>
                      <w:szCs w:val="17"/>
                    </w:rPr>
                    <w:t>–</w:t>
                  </w:r>
                  <w:r w:rsidRPr="00990621">
                    <w:rPr>
                      <w:rFonts w:cs="Segoe UI" w:hint="eastAsia"/>
                      <w:sz w:val="17"/>
                      <w:szCs w:val="17"/>
                    </w:rPr>
                    <w:t xml:space="preserve"> </w:t>
                  </w:r>
                  <w:r w:rsidRPr="00990621">
                    <w:rPr>
                      <w:rFonts w:cs="Segoe UI"/>
                      <w:sz w:val="17"/>
                      <w:szCs w:val="17"/>
                    </w:rPr>
                    <w:t>9.5</w:t>
                  </w:r>
                  <w:r w:rsidRPr="00990621">
                    <w:rPr>
                      <w:rFonts w:cs="Segoe UI" w:hint="eastAsia"/>
                      <w:sz w:val="17"/>
                      <w:szCs w:val="17"/>
                    </w:rPr>
                    <w:t>)</w:t>
                  </w:r>
                </w:p>
                <w:p w:rsidR="00CC26CC" w:rsidRPr="00990621" w:rsidRDefault="00CC26CC" w:rsidP="004A30C8">
                  <w:pPr>
                    <w:spacing w:line="240" w:lineRule="auto"/>
                    <w:ind w:left="100"/>
                    <w:rPr>
                      <w:rFonts w:eastAsiaTheme="minorEastAsia" w:cs="Segoe UI"/>
                      <w:sz w:val="17"/>
                      <w:szCs w:val="17"/>
                    </w:rPr>
                  </w:pPr>
                  <w:r w:rsidRPr="00990621">
                    <w:rPr>
                      <w:rFonts w:cs="Segoe UI" w:hint="eastAsia"/>
                      <w:sz w:val="17"/>
                      <w:szCs w:val="17"/>
                    </w:rPr>
                    <w:t xml:space="preserve">+Hybrid Tier 1 </w:t>
                  </w:r>
                  <w:r w:rsidRPr="00990621">
                    <w:rPr>
                      <w:rFonts w:cs="Segoe UI"/>
                      <w:sz w:val="17"/>
                      <w:szCs w:val="17"/>
                    </w:rPr>
                    <w:t>(</w:t>
                  </w:r>
                  <w:r w:rsidRPr="00990621">
                    <w:rPr>
                      <w:rFonts w:cs="Segoe UI" w:hint="eastAsia"/>
                      <w:sz w:val="17"/>
                      <w:szCs w:val="17"/>
                    </w:rPr>
                    <w:t>1.5</w:t>
                  </w:r>
                  <w:r w:rsidRPr="00990621">
                    <w:rPr>
                      <w:rFonts w:cs="Segoe UI"/>
                      <w:sz w:val="17"/>
                      <w:szCs w:val="17"/>
                    </w:rPr>
                    <w:t>)</w:t>
                  </w:r>
                </w:p>
              </w:tc>
            </w:tr>
            <w:tr w:rsidR="00CC26CC" w:rsidRPr="0099216F" w:rsidTr="004A30C8">
              <w:trPr>
                <w:trHeight w:val="20"/>
                <w:jc w:val="center"/>
              </w:trPr>
              <w:tc>
                <w:tcPr>
                  <w:tcW w:w="19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rPr>
                      <w:rFonts w:eastAsiaTheme="minorEastAsia" w:cs="Segoe UI"/>
                      <w:sz w:val="17"/>
                      <w:szCs w:val="17"/>
                    </w:rPr>
                  </w:pPr>
                  <w:r w:rsidRPr="00990621">
                    <w:rPr>
                      <w:rFonts w:cs="Segoe UI"/>
                      <w:sz w:val="17"/>
                      <w:szCs w:val="17"/>
                    </w:rPr>
                    <w:t xml:space="preserve">Total </w:t>
                  </w:r>
                  <w:r w:rsidRPr="00990621">
                    <w:rPr>
                      <w:rFonts w:cs="Segoe UI" w:hint="eastAsia"/>
                      <w:sz w:val="17"/>
                      <w:szCs w:val="17"/>
                    </w:rPr>
                    <w:t>capital requirement</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8</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11.0</w:t>
                  </w:r>
                </w:p>
              </w:tc>
              <w:tc>
                <w:tcPr>
                  <w:tcW w:w="38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cs="Segoe UI"/>
                      <w:b/>
                      <w:sz w:val="17"/>
                      <w:szCs w:val="17"/>
                    </w:rPr>
                  </w:pPr>
                  <w:r w:rsidRPr="00990621">
                    <w:rPr>
                      <w:rFonts w:cs="Segoe UI"/>
                      <w:b/>
                      <w:sz w:val="17"/>
                      <w:szCs w:val="17"/>
                    </w:rPr>
                    <w:t>10.5</w:t>
                  </w:r>
                  <w:r w:rsidRPr="00990621">
                    <w:rPr>
                      <w:rFonts w:cs="Segoe UI" w:hint="eastAsia"/>
                      <w:b/>
                      <w:sz w:val="17"/>
                      <w:szCs w:val="17"/>
                    </w:rPr>
                    <w:t xml:space="preserve"> </w:t>
                  </w:r>
                  <w:r w:rsidRPr="00990621">
                    <w:rPr>
                      <w:rFonts w:cs="Segoe UI"/>
                      <w:b/>
                      <w:sz w:val="17"/>
                      <w:szCs w:val="17"/>
                    </w:rPr>
                    <w:t>–</w:t>
                  </w:r>
                  <w:r w:rsidRPr="00990621">
                    <w:rPr>
                      <w:rFonts w:cs="Segoe UI" w:hint="eastAsia"/>
                      <w:b/>
                      <w:sz w:val="17"/>
                      <w:szCs w:val="17"/>
                    </w:rPr>
                    <w:t xml:space="preserve"> </w:t>
                  </w:r>
                  <w:r w:rsidRPr="00990621">
                    <w:rPr>
                      <w:rFonts w:cs="Segoe UI"/>
                      <w:b/>
                      <w:sz w:val="17"/>
                      <w:szCs w:val="17"/>
                    </w:rPr>
                    <w:t>13.0</w:t>
                  </w:r>
                </w:p>
                <w:p w:rsidR="00CC26CC" w:rsidRPr="00990621" w:rsidRDefault="00CC26CC" w:rsidP="004A30C8">
                  <w:pPr>
                    <w:spacing w:line="240" w:lineRule="auto"/>
                    <w:ind w:left="100"/>
                    <w:rPr>
                      <w:rFonts w:cs="Segoe UI"/>
                      <w:sz w:val="17"/>
                      <w:szCs w:val="17"/>
                    </w:rPr>
                  </w:pPr>
                  <w:r w:rsidRPr="00990621">
                    <w:rPr>
                      <w:rFonts w:cs="Segoe UI" w:hint="eastAsia"/>
                      <w:sz w:val="17"/>
                      <w:szCs w:val="17"/>
                    </w:rPr>
                    <w:t xml:space="preserve">= Tier 1 minimum (8.5 </w:t>
                  </w:r>
                  <w:r w:rsidRPr="00990621">
                    <w:rPr>
                      <w:rFonts w:cs="Segoe UI"/>
                      <w:sz w:val="17"/>
                      <w:szCs w:val="17"/>
                    </w:rPr>
                    <w:t>–</w:t>
                  </w:r>
                  <w:r w:rsidRPr="00990621">
                    <w:rPr>
                      <w:rFonts w:cs="Segoe UI" w:hint="eastAsia"/>
                      <w:sz w:val="17"/>
                      <w:szCs w:val="17"/>
                    </w:rPr>
                    <w:t xml:space="preserve"> 11.0)</w:t>
                  </w:r>
                </w:p>
                <w:p w:rsidR="00CC26CC" w:rsidRPr="00990621" w:rsidRDefault="00CC26CC" w:rsidP="004A30C8">
                  <w:pPr>
                    <w:spacing w:line="240" w:lineRule="auto"/>
                    <w:ind w:left="100"/>
                    <w:rPr>
                      <w:rFonts w:eastAsiaTheme="minorEastAsia" w:cs="Segoe UI"/>
                      <w:sz w:val="17"/>
                      <w:szCs w:val="17"/>
                    </w:rPr>
                  </w:pPr>
                  <w:r w:rsidRPr="00990621">
                    <w:rPr>
                      <w:rFonts w:cs="Segoe UI" w:hint="eastAsia"/>
                      <w:sz w:val="17"/>
                      <w:szCs w:val="17"/>
                    </w:rPr>
                    <w:t xml:space="preserve">+Tier 2 minimum </w:t>
                  </w:r>
                  <w:r w:rsidRPr="00990621">
                    <w:rPr>
                      <w:rFonts w:cs="Segoe UI"/>
                      <w:sz w:val="17"/>
                      <w:szCs w:val="17"/>
                    </w:rPr>
                    <w:t>(</w:t>
                  </w:r>
                  <w:r w:rsidRPr="00990621">
                    <w:rPr>
                      <w:rFonts w:cs="Segoe UI" w:hint="eastAsia"/>
                      <w:sz w:val="17"/>
                      <w:szCs w:val="17"/>
                    </w:rPr>
                    <w:t>2.0</w:t>
                  </w:r>
                  <w:r w:rsidRPr="00990621">
                    <w:rPr>
                      <w:rFonts w:cs="Segoe UI"/>
                      <w:sz w:val="17"/>
                      <w:szCs w:val="17"/>
                    </w:rPr>
                    <w:t>)</w:t>
                  </w:r>
                </w:p>
              </w:tc>
            </w:tr>
          </w:tbl>
          <w:p w:rsidR="00CC26CC" w:rsidRDefault="00CC26CC" w:rsidP="004A30C8">
            <w:pPr>
              <w:rPr>
                <w:rFonts w:eastAsiaTheme="minorEastAsia" w:cs="Segoe UI"/>
                <w:sz w:val="19"/>
                <w:szCs w:val="19"/>
                <w:lang w:eastAsia="ko-KR"/>
              </w:rPr>
            </w:pPr>
          </w:p>
          <w:p w:rsidR="00CC26CC" w:rsidRPr="0099216F" w:rsidRDefault="00CC26CC" w:rsidP="004A30C8">
            <w:pPr>
              <w:contextualSpacing/>
              <w:jc w:val="center"/>
              <w:rPr>
                <w:rFonts w:eastAsiaTheme="minorEastAsia" w:cs="Segoe UI"/>
                <w:b/>
                <w:color w:val="4B82AD"/>
                <w:sz w:val="19"/>
                <w:szCs w:val="19"/>
                <w:lang w:eastAsia="ko-KR"/>
              </w:rPr>
            </w:pPr>
            <w:r w:rsidRPr="0099216F">
              <w:rPr>
                <w:rFonts w:cs="Segoe UI"/>
                <w:b/>
                <w:color w:val="4B82AD"/>
                <w:sz w:val="19"/>
                <w:szCs w:val="19"/>
              </w:rPr>
              <w:t xml:space="preserve">Table 2. </w:t>
            </w:r>
            <w:r w:rsidRPr="0099216F">
              <w:rPr>
                <w:rFonts w:eastAsiaTheme="minorEastAsia" w:cs="Segoe UI" w:hint="eastAsia"/>
                <w:b/>
                <w:color w:val="4B82AD"/>
                <w:sz w:val="19"/>
                <w:szCs w:val="19"/>
                <w:lang w:eastAsia="ko-KR"/>
              </w:rPr>
              <w:t xml:space="preserve">Brazil: </w:t>
            </w:r>
            <w:r w:rsidRPr="0099216F">
              <w:rPr>
                <w:rFonts w:cs="Segoe UI"/>
                <w:b/>
                <w:color w:val="4B82AD"/>
                <w:sz w:val="19"/>
                <w:szCs w:val="19"/>
              </w:rPr>
              <w:t>Phase-in process</w:t>
            </w:r>
            <w:r w:rsidRPr="0099216F">
              <w:rPr>
                <w:rFonts w:eastAsiaTheme="minorEastAsia" w:cs="Segoe UI" w:hint="eastAsia"/>
                <w:b/>
                <w:color w:val="4B82AD"/>
                <w:sz w:val="19"/>
                <w:szCs w:val="19"/>
                <w:lang w:eastAsia="ko-KR"/>
              </w:rPr>
              <w:t xml:space="preserve"> </w:t>
            </w:r>
            <w:r w:rsidRPr="0099216F">
              <w:rPr>
                <w:rFonts w:eastAsiaTheme="minorEastAsia" w:cs="Segoe UI"/>
                <w:b/>
                <w:color w:val="4B82AD"/>
                <w:sz w:val="19"/>
                <w:szCs w:val="19"/>
                <w:lang w:eastAsia="ko-KR"/>
              </w:rPr>
              <w:t>—</w:t>
            </w:r>
            <w:r w:rsidRPr="0099216F">
              <w:rPr>
                <w:rFonts w:eastAsiaTheme="minorEastAsia" w:cs="Segoe UI" w:hint="eastAsia"/>
                <w:b/>
                <w:color w:val="4B82AD"/>
                <w:sz w:val="19"/>
                <w:szCs w:val="19"/>
                <w:lang w:eastAsia="ko-KR"/>
              </w:rPr>
              <w:t xml:space="preserve"> Brazil vs. BCBS schedule</w:t>
            </w:r>
          </w:p>
          <w:p w:rsidR="00CC26CC" w:rsidRPr="0099216F" w:rsidRDefault="00CC26CC" w:rsidP="004A30C8">
            <w:pPr>
              <w:spacing w:after="120"/>
              <w:jc w:val="center"/>
              <w:rPr>
                <w:rFonts w:eastAsiaTheme="minorEastAsia" w:cs="Segoe UI"/>
                <w:b/>
                <w:color w:val="4B82AD"/>
                <w:sz w:val="19"/>
                <w:szCs w:val="19"/>
                <w:lang w:eastAsia="ko-KR"/>
              </w:rPr>
            </w:pPr>
            <w:r w:rsidRPr="0099216F">
              <w:rPr>
                <w:rFonts w:eastAsiaTheme="minorEastAsia" w:cs="Segoe UI" w:hint="eastAsia"/>
                <w:b/>
                <w:color w:val="4B82AD"/>
                <w:sz w:val="19"/>
                <w:szCs w:val="19"/>
                <w:lang w:eastAsia="ko-KR"/>
              </w:rPr>
              <w:t>(In percent)</w:t>
            </w:r>
          </w:p>
          <w:tbl>
            <w:tblPr>
              <w:tblW w:w="0" w:type="auto"/>
              <w:jc w:val="center"/>
              <w:tblLayout w:type="fixed"/>
              <w:tblCellMar>
                <w:left w:w="0" w:type="dxa"/>
                <w:right w:w="0" w:type="dxa"/>
              </w:tblCellMar>
              <w:tblLook w:val="04A0" w:firstRow="1" w:lastRow="0" w:firstColumn="1" w:lastColumn="0" w:noHBand="0" w:noVBand="1"/>
            </w:tblPr>
            <w:tblGrid>
              <w:gridCol w:w="1224"/>
              <w:gridCol w:w="720"/>
              <w:gridCol w:w="720"/>
              <w:gridCol w:w="720"/>
              <w:gridCol w:w="1224"/>
              <w:gridCol w:w="1224"/>
              <w:gridCol w:w="1224"/>
              <w:gridCol w:w="1224"/>
            </w:tblGrid>
            <w:tr w:rsidR="00CC26CC" w:rsidRPr="0099216F" w:rsidTr="004A30C8">
              <w:trPr>
                <w:trHeight w:val="259"/>
                <w:jc w:val="center"/>
              </w:trPr>
              <w:tc>
                <w:tcPr>
                  <w:tcW w:w="1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C26CC" w:rsidRPr="0099216F" w:rsidRDefault="00CC26CC" w:rsidP="004A30C8">
                  <w:pPr>
                    <w:spacing w:line="240" w:lineRule="auto"/>
                    <w:rPr>
                      <w:rFonts w:eastAsiaTheme="minorEastAsia" w:cs="Segoe UI"/>
                      <w:sz w:val="17"/>
                      <w:szCs w:val="17"/>
                    </w:rPr>
                  </w:pPr>
                </w:p>
              </w:tc>
              <w:tc>
                <w:tcPr>
                  <w:tcW w:w="7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2013</w:t>
                  </w:r>
                </w:p>
              </w:tc>
              <w:tc>
                <w:tcPr>
                  <w:tcW w:w="7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2014</w:t>
                  </w:r>
                </w:p>
              </w:tc>
              <w:tc>
                <w:tcPr>
                  <w:tcW w:w="7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2015</w:t>
                  </w:r>
                </w:p>
              </w:tc>
              <w:tc>
                <w:tcPr>
                  <w:tcW w:w="12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2016</w:t>
                  </w:r>
                </w:p>
              </w:tc>
              <w:tc>
                <w:tcPr>
                  <w:tcW w:w="12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2017</w:t>
                  </w:r>
                </w:p>
              </w:tc>
              <w:tc>
                <w:tcPr>
                  <w:tcW w:w="12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2018</w:t>
                  </w:r>
                </w:p>
              </w:tc>
              <w:tc>
                <w:tcPr>
                  <w:tcW w:w="12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2019</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sz w:val="17"/>
                      <w:szCs w:val="17"/>
                    </w:rPr>
                    <w:t>Minimum</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sz w:val="17"/>
                      <w:szCs w:val="17"/>
                    </w:rPr>
                    <w:t>+CB</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b/>
                      <w:sz w:val="17"/>
                      <w:szCs w:val="17"/>
                    </w:rPr>
                  </w:pPr>
                  <w:r w:rsidRPr="0099216F">
                    <w:rPr>
                      <w:rFonts w:cs="Segoe UI"/>
                      <w:sz w:val="17"/>
                      <w:szCs w:val="17"/>
                    </w:rPr>
                    <w:t>0.625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1.875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sz w:val="17"/>
                      <w:szCs w:val="17"/>
                    </w:rPr>
                    <w:t>+CCB</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b/>
                      <w:sz w:val="17"/>
                      <w:szCs w:val="17"/>
                    </w:rPr>
                  </w:pPr>
                  <w:r w:rsidRPr="0099216F">
                    <w:rPr>
                      <w:rFonts w:cs="Segoe UI"/>
                      <w:sz w:val="17"/>
                      <w:szCs w:val="17"/>
                    </w:rPr>
                    <w:t>0</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0.625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0-1.25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1.875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2.5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hint="eastAsia"/>
                      <w:sz w:val="17"/>
                      <w:szCs w:val="17"/>
                    </w:rPr>
                    <w:t xml:space="preserve">= </w:t>
                  </w:r>
                  <w:r w:rsidRPr="0099216F">
                    <w:rPr>
                      <w:rFonts w:cs="Segoe UI"/>
                      <w:sz w:val="17"/>
                      <w:szCs w:val="17"/>
                    </w:rPr>
                    <w:t>CET</w:t>
                  </w:r>
                  <w:r w:rsidRPr="0099216F">
                    <w:rPr>
                      <w:rFonts w:cs="Segoe UI" w:hint="eastAsia"/>
                      <w:sz w:val="17"/>
                      <w:szCs w:val="17"/>
                    </w:rPr>
                    <w:t xml:space="preserve"> </w:t>
                  </w:r>
                  <w:r w:rsidRPr="0099216F">
                    <w:rPr>
                      <w:rFonts w:cs="Segoe UI"/>
                      <w:sz w:val="17"/>
                      <w:szCs w:val="17"/>
                    </w:rPr>
                    <w:t>1</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5.125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5.75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5.75</w:t>
                  </w:r>
                  <w:r w:rsidRPr="0099216F">
                    <w:rPr>
                      <w:rFonts w:cs="Segoe UI" w:hint="eastAsia"/>
                      <w:sz w:val="17"/>
                      <w:szCs w:val="17"/>
                    </w:rPr>
                    <w:t xml:space="preserve"> </w:t>
                  </w:r>
                  <w:r w:rsidRPr="0099216F">
                    <w:rPr>
                      <w:rFonts w:cs="Segoe UI"/>
                      <w:sz w:val="17"/>
                      <w:szCs w:val="17"/>
                    </w:rPr>
                    <w:t>–7.0</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6.375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8.25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7.0</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9.5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cs="Segoe UI"/>
                      <w:sz w:val="17"/>
                      <w:szCs w:val="17"/>
                    </w:rPr>
                  </w:pPr>
                  <w:r w:rsidRPr="0099216F">
                    <w:rPr>
                      <w:rFonts w:cs="Segoe UI"/>
                      <w:sz w:val="17"/>
                      <w:szCs w:val="17"/>
                    </w:rPr>
                    <w:t>+</w:t>
                  </w:r>
                  <w:r w:rsidRPr="0099216F">
                    <w:rPr>
                      <w:rFonts w:cs="Segoe UI" w:hint="eastAsia"/>
                      <w:sz w:val="17"/>
                      <w:szCs w:val="17"/>
                    </w:rPr>
                    <w:t>Hybrid</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1.0</w:t>
                  </w:r>
                </w:p>
              </w:tc>
              <w:tc>
                <w:tcPr>
                  <w:tcW w:w="7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1.0</w:t>
                  </w:r>
                </w:p>
              </w:tc>
              <w:tc>
                <w:tcPr>
                  <w:tcW w:w="7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w:t>
                  </w:r>
                  <w:r>
                    <w:rPr>
                      <w:rFonts w:cs="Segoe UI" w:hint="eastAsia"/>
                      <w:sz w:val="17"/>
                      <w:szCs w:val="17"/>
                    </w:rPr>
                    <w:t>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hint="eastAsia"/>
                      <w:sz w:val="17"/>
                      <w:szCs w:val="17"/>
                    </w:rPr>
                    <w:t xml:space="preserve">= </w:t>
                  </w:r>
                  <w:r w:rsidRPr="0099216F">
                    <w:rPr>
                      <w:rFonts w:cs="Segoe UI"/>
                      <w:sz w:val="17"/>
                      <w:szCs w:val="17"/>
                    </w:rPr>
                    <w:t>Tier 1</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5.5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5.5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Pr>
                      <w:rFonts w:cs="Segoe UI" w:hint="eastAsia"/>
                      <w:sz w:val="17"/>
                      <w:szCs w:val="17"/>
                    </w:rPr>
                    <w:t>6.0</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6.625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7.25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7.25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8.5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7.875–</w:t>
                  </w:r>
                  <w:r w:rsidRPr="0099216F">
                    <w:rPr>
                      <w:rFonts w:cs="Segoe UI" w:hint="eastAsia"/>
                      <w:sz w:val="17"/>
                      <w:szCs w:val="17"/>
                    </w:rPr>
                    <w:t xml:space="preserve"> </w:t>
                  </w:r>
                  <w:r w:rsidRPr="0099216F">
                    <w:rPr>
                      <w:rFonts w:cs="Segoe UI"/>
                      <w:sz w:val="17"/>
                      <w:szCs w:val="17"/>
                    </w:rPr>
                    <w:t>9.75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8.5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11.0</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cs="Segoe UI"/>
                      <w:sz w:val="17"/>
                      <w:szCs w:val="17"/>
                    </w:rPr>
                  </w:pPr>
                  <w:r w:rsidRPr="0099216F">
                    <w:rPr>
                      <w:rFonts w:cs="Segoe UI" w:hint="eastAsia"/>
                      <w:sz w:val="17"/>
                      <w:szCs w:val="17"/>
                    </w:rPr>
                    <w:t>+ Tier 2</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5.5</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5.5</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5.5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3.875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3.25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2.625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2.0</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hint="eastAsia"/>
                      <w:sz w:val="17"/>
                      <w:szCs w:val="17"/>
                    </w:rPr>
                    <w:t xml:space="preserve">= </w:t>
                  </w:r>
                  <w:r w:rsidRPr="0099216F">
                    <w:rPr>
                      <w:rFonts w:cs="Segoe UI"/>
                      <w:sz w:val="17"/>
                      <w:szCs w:val="17"/>
                    </w:rPr>
                    <w:t>Total</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11.0</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11.0</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11.0</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10.5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11.125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10.5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11.75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10.5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12.375</w:t>
                  </w:r>
                </w:p>
              </w:tc>
              <w:tc>
                <w:tcPr>
                  <w:tcW w:w="122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10.5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13.0</w:t>
                  </w:r>
                </w:p>
              </w:tc>
            </w:tr>
          </w:tbl>
          <w:p w:rsidR="00CC26CC" w:rsidRPr="00EF2ABB" w:rsidRDefault="00CC26CC" w:rsidP="004A30C8">
            <w:pPr>
              <w:ind w:left="504" w:hanging="504"/>
              <w:rPr>
                <w:rFonts w:eastAsiaTheme="minorEastAsia" w:cs="Segoe UI"/>
                <w:sz w:val="17"/>
                <w:szCs w:val="17"/>
                <w:lang w:eastAsia="ko-KR"/>
              </w:rPr>
            </w:pPr>
            <w:r w:rsidRPr="0099216F">
              <w:rPr>
                <w:rFonts w:eastAsiaTheme="minorEastAsia" w:cs="Segoe UI" w:hint="eastAsia"/>
                <w:sz w:val="17"/>
                <w:szCs w:val="17"/>
                <w:lang w:eastAsia="ko-KR"/>
              </w:rPr>
              <w:t xml:space="preserve">           Note: Cells with green color denote the period that Brazil is ahead of (more stringent than) the BCBS implementation schedule.</w:t>
            </w:r>
          </w:p>
        </w:tc>
      </w:tr>
      <w:tr w:rsidR="00CC26CC" w:rsidTr="004A30C8">
        <w:trPr>
          <w:trHeight w:val="80"/>
          <w:jc w:val="center"/>
        </w:trPr>
        <w:tc>
          <w:tcPr>
            <w:tcW w:w="9314" w:type="dxa"/>
            <w:shd w:val="clear" w:color="auto" w:fill="auto"/>
          </w:tcPr>
          <w:p w:rsidR="00CC26CC" w:rsidRPr="00B15B54" w:rsidRDefault="00CC26CC" w:rsidP="004A30C8">
            <w:pPr>
              <w:spacing w:after="120"/>
              <w:rPr>
                <w:rFonts w:eastAsiaTheme="minorEastAsia" w:cs="Segoe UI"/>
                <w:bCs/>
                <w:sz w:val="17"/>
                <w:szCs w:val="17"/>
                <w:lang w:eastAsia="ko-KR"/>
              </w:rPr>
            </w:pPr>
            <w:r w:rsidRPr="000C1966">
              <w:rPr>
                <w:rFonts w:eastAsiaTheme="minorEastAsia" w:cs="Segoe UI" w:hint="eastAsia"/>
                <w:bCs/>
                <w:sz w:val="17"/>
                <w:szCs w:val="17"/>
                <w:vertAlign w:val="superscript"/>
                <w:lang w:eastAsia="ko-KR"/>
              </w:rPr>
              <w:t>1</w:t>
            </w:r>
            <w:r w:rsidRPr="00990621">
              <w:rPr>
                <w:rFonts w:eastAsiaTheme="minorEastAsia" w:cs="Segoe UI" w:hint="eastAsia"/>
                <w:bCs/>
                <w:sz w:val="17"/>
                <w:szCs w:val="17"/>
                <w:lang w:eastAsia="ko-KR"/>
              </w:rPr>
              <w:t xml:space="preserve"> F</w:t>
            </w:r>
            <w:r w:rsidRPr="00990621">
              <w:rPr>
                <w:rFonts w:cs="Segoe UI"/>
                <w:sz w:val="17"/>
                <w:szCs w:val="17"/>
              </w:rPr>
              <w:t xml:space="preserve">our resolutions by the National Monetary Council and fifteen circulars by the </w:t>
            </w:r>
            <w:r>
              <w:rPr>
                <w:rFonts w:eastAsiaTheme="minorEastAsia" w:cs="Segoe UI" w:hint="eastAsia"/>
                <w:sz w:val="17"/>
                <w:szCs w:val="17"/>
                <w:lang w:eastAsia="ko-KR"/>
              </w:rPr>
              <w:t>BCB</w:t>
            </w:r>
            <w:r w:rsidRPr="00990621">
              <w:rPr>
                <w:rFonts w:cs="Segoe UI"/>
                <w:sz w:val="17"/>
                <w:szCs w:val="17"/>
              </w:rPr>
              <w:t xml:space="preserve"> </w:t>
            </w:r>
            <w:r w:rsidRPr="00990621">
              <w:rPr>
                <w:rFonts w:eastAsiaTheme="minorEastAsia" w:cs="Segoe UI" w:hint="eastAsia"/>
                <w:sz w:val="17"/>
                <w:szCs w:val="17"/>
                <w:lang w:eastAsia="ko-KR"/>
              </w:rPr>
              <w:t>were released</w:t>
            </w:r>
            <w:r>
              <w:rPr>
                <w:rFonts w:eastAsiaTheme="minorEastAsia" w:cs="Segoe UI"/>
                <w:sz w:val="17"/>
                <w:szCs w:val="17"/>
                <w:lang w:eastAsia="ko-KR"/>
              </w:rPr>
              <w:t xml:space="preserve"> in March 2013</w:t>
            </w:r>
            <w:r w:rsidRPr="00990621">
              <w:rPr>
                <w:rFonts w:cs="Segoe UI"/>
                <w:sz w:val="17"/>
                <w:szCs w:val="17"/>
              </w:rPr>
              <w:t>.</w:t>
            </w:r>
            <w:r>
              <w:rPr>
                <w:rFonts w:eastAsiaTheme="minorEastAsia" w:cs="Segoe UI" w:hint="eastAsia"/>
                <w:sz w:val="17"/>
                <w:szCs w:val="17"/>
                <w:lang w:eastAsia="ko-KR"/>
              </w:rPr>
              <w:t xml:space="preserve"> The BCB </w:t>
            </w:r>
            <w:r>
              <w:rPr>
                <w:rFonts w:eastAsiaTheme="minorEastAsia" w:cs="Segoe UI"/>
                <w:sz w:val="17"/>
                <w:szCs w:val="17"/>
                <w:lang w:eastAsia="ko-KR"/>
              </w:rPr>
              <w:t xml:space="preserve">has </w:t>
            </w:r>
            <w:r>
              <w:rPr>
                <w:rFonts w:eastAsiaTheme="minorEastAsia" w:cs="Segoe UI" w:hint="eastAsia"/>
                <w:sz w:val="17"/>
                <w:szCs w:val="17"/>
                <w:lang w:eastAsia="ko-KR"/>
              </w:rPr>
              <w:t>note</w:t>
            </w:r>
            <w:r>
              <w:rPr>
                <w:rFonts w:eastAsiaTheme="minorEastAsia" w:cs="Segoe UI"/>
                <w:sz w:val="17"/>
                <w:szCs w:val="17"/>
                <w:lang w:eastAsia="ko-KR"/>
              </w:rPr>
              <w:t>d</w:t>
            </w:r>
            <w:r>
              <w:rPr>
                <w:rFonts w:eastAsiaTheme="minorEastAsia" w:cs="Segoe UI" w:hint="eastAsia"/>
                <w:sz w:val="17"/>
                <w:szCs w:val="17"/>
                <w:lang w:eastAsia="ko-KR"/>
              </w:rPr>
              <w:t xml:space="preserve"> that p</w:t>
            </w:r>
            <w:r w:rsidRPr="00B15B54">
              <w:rPr>
                <w:rFonts w:eastAsiaTheme="minorEastAsia" w:cs="Segoe UI"/>
                <w:sz w:val="17"/>
                <w:szCs w:val="17"/>
                <w:lang w:eastAsia="ko-KR"/>
              </w:rPr>
              <w:t xml:space="preserve">roposals related to the </w:t>
            </w:r>
            <w:r>
              <w:rPr>
                <w:rFonts w:eastAsiaTheme="minorEastAsia" w:cs="Segoe UI"/>
                <w:sz w:val="17"/>
                <w:szCs w:val="17"/>
                <w:lang w:eastAsia="ko-KR"/>
              </w:rPr>
              <w:t>l</w:t>
            </w:r>
            <w:r w:rsidRPr="00B15B54">
              <w:rPr>
                <w:rFonts w:eastAsiaTheme="minorEastAsia" w:cs="Segoe UI"/>
                <w:sz w:val="17"/>
                <w:szCs w:val="17"/>
                <w:lang w:eastAsia="ko-KR"/>
              </w:rPr>
              <w:t xml:space="preserve">everage </w:t>
            </w:r>
            <w:r>
              <w:rPr>
                <w:rFonts w:eastAsiaTheme="minorEastAsia" w:cs="Segoe UI"/>
                <w:sz w:val="17"/>
                <w:szCs w:val="17"/>
                <w:lang w:eastAsia="ko-KR"/>
              </w:rPr>
              <w:t>r</w:t>
            </w:r>
            <w:r w:rsidRPr="00B15B54">
              <w:rPr>
                <w:rFonts w:eastAsiaTheme="minorEastAsia" w:cs="Segoe UI"/>
                <w:sz w:val="17"/>
                <w:szCs w:val="17"/>
                <w:lang w:eastAsia="ko-KR"/>
              </w:rPr>
              <w:t xml:space="preserve">atio and the minimum </w:t>
            </w:r>
            <w:r>
              <w:rPr>
                <w:rFonts w:eastAsiaTheme="minorEastAsia" w:cs="Segoe UI" w:hint="eastAsia"/>
                <w:sz w:val="17"/>
                <w:szCs w:val="17"/>
                <w:lang w:eastAsia="ko-KR"/>
              </w:rPr>
              <w:t xml:space="preserve">liquidity </w:t>
            </w:r>
            <w:r w:rsidRPr="00B15B54">
              <w:rPr>
                <w:rFonts w:eastAsiaTheme="minorEastAsia" w:cs="Segoe UI"/>
                <w:sz w:val="17"/>
                <w:szCs w:val="17"/>
                <w:lang w:eastAsia="ko-KR"/>
              </w:rPr>
              <w:t xml:space="preserve">requirements are still being discussed by the Basel Committee and will be </w:t>
            </w:r>
            <w:r>
              <w:rPr>
                <w:rFonts w:eastAsiaTheme="minorEastAsia" w:cs="Segoe UI" w:hint="eastAsia"/>
                <w:sz w:val="17"/>
                <w:szCs w:val="17"/>
                <w:lang w:eastAsia="ko-KR"/>
              </w:rPr>
              <w:t xml:space="preserve">published </w:t>
            </w:r>
            <w:r w:rsidRPr="00B15B54">
              <w:rPr>
                <w:rFonts w:eastAsiaTheme="minorEastAsia" w:cs="Segoe UI"/>
                <w:sz w:val="17"/>
                <w:szCs w:val="17"/>
                <w:lang w:eastAsia="ko-KR"/>
              </w:rPr>
              <w:t>at a future time.</w:t>
            </w:r>
          </w:p>
          <w:p w:rsidR="00CC26CC" w:rsidRDefault="00CC26CC" w:rsidP="000C1966">
            <w:pPr>
              <w:spacing w:after="240"/>
              <w:contextualSpacing/>
              <w:rPr>
                <w:rFonts w:eastAsiaTheme="minorEastAsia" w:cs="Segoe UI"/>
                <w:bCs/>
                <w:sz w:val="17"/>
                <w:szCs w:val="17"/>
                <w:lang w:eastAsia="ko-KR"/>
              </w:rPr>
            </w:pPr>
            <w:r w:rsidRPr="000C1966">
              <w:rPr>
                <w:rFonts w:eastAsiaTheme="minorEastAsia" w:cs="Segoe UI" w:hint="eastAsia"/>
                <w:bCs/>
                <w:sz w:val="17"/>
                <w:szCs w:val="17"/>
                <w:vertAlign w:val="superscript"/>
                <w:lang w:eastAsia="ko-KR"/>
              </w:rPr>
              <w:t>2</w:t>
            </w:r>
            <w:r w:rsidRPr="001D720B">
              <w:rPr>
                <w:rFonts w:eastAsiaTheme="minorEastAsia" w:cs="Segoe UI"/>
                <w:sz w:val="17"/>
                <w:szCs w:val="17"/>
                <w:lang w:eastAsia="ko-KR"/>
              </w:rPr>
              <w:t xml:space="preserve"> </w:t>
            </w:r>
            <w:r>
              <w:rPr>
                <w:rFonts w:eastAsiaTheme="minorEastAsia" w:cs="Segoe UI"/>
                <w:sz w:val="17"/>
                <w:szCs w:val="17"/>
                <w:lang w:eastAsia="ko-KR"/>
              </w:rPr>
              <w:t xml:space="preserve">Setting </w:t>
            </w:r>
            <w:r w:rsidRPr="00EF2ABB">
              <w:rPr>
                <w:rFonts w:eastAsiaTheme="minorEastAsia" w:cs="Segoe UI"/>
                <w:sz w:val="17"/>
                <w:szCs w:val="17"/>
                <w:lang w:eastAsia="ko-KR"/>
              </w:rPr>
              <w:t xml:space="preserve">the appropriate level of </w:t>
            </w:r>
            <w:r w:rsidRPr="00EF2ABB">
              <w:rPr>
                <w:rFonts w:eastAsiaTheme="minorEastAsia" w:cs="Segoe UI" w:hint="eastAsia"/>
                <w:sz w:val="17"/>
                <w:szCs w:val="17"/>
                <w:lang w:eastAsia="ko-KR"/>
              </w:rPr>
              <w:t>countercyclical capital buffer</w:t>
            </w:r>
            <w:r w:rsidRPr="00EF2ABB">
              <w:rPr>
                <w:rFonts w:eastAsiaTheme="minorEastAsia" w:cs="Segoe UI"/>
                <w:sz w:val="17"/>
                <w:szCs w:val="17"/>
                <w:lang w:eastAsia="ko-KR"/>
              </w:rPr>
              <w:t xml:space="preserve"> is </w:t>
            </w:r>
            <w:r>
              <w:rPr>
                <w:rFonts w:eastAsiaTheme="minorEastAsia" w:cs="Segoe UI"/>
                <w:sz w:val="17"/>
                <w:szCs w:val="17"/>
                <w:lang w:eastAsia="ko-KR"/>
              </w:rPr>
              <w:t xml:space="preserve">a </w:t>
            </w:r>
            <w:r w:rsidRPr="00EF2ABB">
              <w:rPr>
                <w:rFonts w:eastAsiaTheme="minorEastAsia" w:cs="Segoe UI"/>
                <w:sz w:val="17"/>
                <w:szCs w:val="17"/>
                <w:lang w:eastAsia="ko-KR"/>
              </w:rPr>
              <w:t>complex</w:t>
            </w:r>
            <w:r>
              <w:rPr>
                <w:rFonts w:eastAsiaTheme="minorEastAsia" w:cs="Segoe UI"/>
                <w:sz w:val="17"/>
                <w:szCs w:val="17"/>
                <w:lang w:eastAsia="ko-KR"/>
              </w:rPr>
              <w:t xml:space="preserve"> exercise</w:t>
            </w:r>
            <w:r w:rsidRPr="00EF2ABB">
              <w:rPr>
                <w:rFonts w:eastAsiaTheme="minorEastAsia" w:cs="Segoe UI"/>
                <w:sz w:val="17"/>
                <w:szCs w:val="17"/>
                <w:lang w:eastAsia="ko-KR"/>
              </w:rPr>
              <w:t xml:space="preserve">. </w:t>
            </w:r>
            <w:r>
              <w:rPr>
                <w:rFonts w:eastAsiaTheme="minorEastAsia" w:cs="Segoe UI"/>
                <w:sz w:val="17"/>
                <w:szCs w:val="17"/>
                <w:lang w:eastAsia="ko-KR"/>
              </w:rPr>
              <w:t>T</w:t>
            </w:r>
            <w:r w:rsidRPr="00EF2ABB">
              <w:rPr>
                <w:rFonts w:eastAsiaTheme="minorEastAsia" w:cs="Segoe UI"/>
                <w:sz w:val="17"/>
                <w:szCs w:val="17"/>
                <w:lang w:eastAsia="ko-KR"/>
              </w:rPr>
              <w:t xml:space="preserve">he Basel Committee </w:t>
            </w:r>
            <w:r>
              <w:rPr>
                <w:rFonts w:eastAsiaTheme="minorEastAsia" w:cs="Segoe UI"/>
                <w:sz w:val="17"/>
                <w:szCs w:val="17"/>
                <w:lang w:eastAsia="ko-KR"/>
              </w:rPr>
              <w:t xml:space="preserve">has </w:t>
            </w:r>
            <w:r w:rsidRPr="00EF2ABB">
              <w:rPr>
                <w:rFonts w:eastAsiaTheme="minorEastAsia" w:cs="Segoe UI"/>
                <w:sz w:val="17"/>
                <w:szCs w:val="17"/>
                <w:lang w:eastAsia="ko-KR"/>
              </w:rPr>
              <w:t xml:space="preserve">suggested </w:t>
            </w:r>
            <w:r>
              <w:rPr>
                <w:rFonts w:eastAsiaTheme="minorEastAsia" w:cs="Segoe UI"/>
                <w:sz w:val="17"/>
                <w:szCs w:val="17"/>
                <w:lang w:eastAsia="ko-KR"/>
              </w:rPr>
              <w:t xml:space="preserve">the use of a </w:t>
            </w:r>
            <w:r w:rsidRPr="00EF2ABB">
              <w:rPr>
                <w:rFonts w:eastAsiaTheme="minorEastAsia" w:cs="Segoe UI" w:hint="eastAsia"/>
                <w:sz w:val="17"/>
                <w:szCs w:val="17"/>
                <w:lang w:eastAsia="ko-KR"/>
              </w:rPr>
              <w:t>c</w:t>
            </w:r>
            <w:r w:rsidRPr="00EF2ABB">
              <w:rPr>
                <w:rFonts w:eastAsiaTheme="minorEastAsia" w:cs="Segoe UI"/>
                <w:sz w:val="17"/>
                <w:szCs w:val="17"/>
                <w:lang w:eastAsia="ko-KR"/>
              </w:rPr>
              <w:t>redit</w:t>
            </w:r>
            <w:r w:rsidRPr="00EF2ABB">
              <w:rPr>
                <w:rFonts w:eastAsiaTheme="minorEastAsia" w:cs="Segoe UI" w:hint="eastAsia"/>
                <w:sz w:val="17"/>
                <w:szCs w:val="17"/>
                <w:lang w:eastAsia="ko-KR"/>
              </w:rPr>
              <w:t>-to-</w:t>
            </w:r>
            <w:r w:rsidRPr="00EF2ABB">
              <w:rPr>
                <w:rFonts w:eastAsiaTheme="minorEastAsia" w:cs="Segoe UI"/>
                <w:sz w:val="17"/>
                <w:szCs w:val="17"/>
                <w:lang w:eastAsia="ko-KR"/>
              </w:rPr>
              <w:t xml:space="preserve">GDP </w:t>
            </w:r>
            <w:r>
              <w:rPr>
                <w:rFonts w:eastAsiaTheme="minorEastAsia" w:cs="Segoe UI"/>
                <w:sz w:val="17"/>
                <w:szCs w:val="17"/>
                <w:lang w:eastAsia="ko-KR"/>
              </w:rPr>
              <w:t>g</w:t>
            </w:r>
            <w:r w:rsidRPr="00EF2ABB">
              <w:rPr>
                <w:rFonts w:eastAsiaTheme="minorEastAsia" w:cs="Segoe UI"/>
                <w:sz w:val="17"/>
                <w:szCs w:val="17"/>
                <w:lang w:eastAsia="ko-KR"/>
              </w:rPr>
              <w:t>ap</w:t>
            </w:r>
            <w:r>
              <w:rPr>
                <w:rFonts w:eastAsiaTheme="minorEastAsia" w:cs="Segoe UI"/>
                <w:sz w:val="17"/>
                <w:szCs w:val="17"/>
                <w:lang w:eastAsia="ko-KR"/>
              </w:rPr>
              <w:t xml:space="preserve"> indicator</w:t>
            </w:r>
            <w:r w:rsidRPr="00EF2ABB">
              <w:rPr>
                <w:rFonts w:eastAsiaTheme="minorEastAsia" w:cs="Segoe UI" w:hint="eastAsia"/>
                <w:sz w:val="17"/>
                <w:szCs w:val="17"/>
                <w:lang w:eastAsia="ko-KR"/>
              </w:rPr>
              <w:t>, which</w:t>
            </w:r>
            <w:r w:rsidRPr="00EF2ABB">
              <w:rPr>
                <w:rFonts w:eastAsiaTheme="minorEastAsia" w:cs="Segoe UI"/>
                <w:sz w:val="17"/>
                <w:szCs w:val="17"/>
                <w:lang w:eastAsia="ko-KR"/>
              </w:rPr>
              <w:t xml:space="preserve"> assesses the growth of </w:t>
            </w:r>
            <w:r>
              <w:rPr>
                <w:rFonts w:eastAsiaTheme="minorEastAsia" w:cs="Segoe UI"/>
                <w:sz w:val="17"/>
                <w:szCs w:val="17"/>
                <w:lang w:eastAsia="ko-KR"/>
              </w:rPr>
              <w:t xml:space="preserve">the </w:t>
            </w:r>
            <w:r w:rsidRPr="00EF2ABB">
              <w:rPr>
                <w:rFonts w:eastAsiaTheme="minorEastAsia" w:cs="Segoe UI"/>
                <w:sz w:val="17"/>
                <w:szCs w:val="17"/>
                <w:lang w:eastAsia="ko-KR"/>
              </w:rPr>
              <w:t>credit</w:t>
            </w:r>
            <w:r w:rsidRPr="00EF2ABB">
              <w:rPr>
                <w:rFonts w:eastAsiaTheme="minorEastAsia" w:cs="Segoe UI" w:hint="eastAsia"/>
                <w:sz w:val="17"/>
                <w:szCs w:val="17"/>
                <w:lang w:eastAsia="ko-KR"/>
              </w:rPr>
              <w:t>-to-</w:t>
            </w:r>
            <w:r w:rsidRPr="00EF2ABB">
              <w:rPr>
                <w:rFonts w:eastAsiaTheme="minorEastAsia" w:cs="Segoe UI"/>
                <w:sz w:val="17"/>
                <w:szCs w:val="17"/>
                <w:lang w:eastAsia="ko-KR"/>
              </w:rPr>
              <w:t xml:space="preserve">GDP ratio </w:t>
            </w:r>
            <w:r>
              <w:rPr>
                <w:rFonts w:eastAsiaTheme="minorEastAsia" w:cs="Segoe UI"/>
                <w:sz w:val="17"/>
                <w:szCs w:val="17"/>
                <w:lang w:eastAsia="ko-KR"/>
              </w:rPr>
              <w:t xml:space="preserve">and whether it </w:t>
            </w:r>
            <w:r w:rsidRPr="00EF2ABB">
              <w:rPr>
                <w:rFonts w:eastAsiaTheme="minorEastAsia" w:cs="Segoe UI"/>
                <w:sz w:val="17"/>
                <w:szCs w:val="17"/>
                <w:lang w:eastAsia="ko-KR"/>
              </w:rPr>
              <w:t xml:space="preserve">deviates significantly from its </w:t>
            </w:r>
            <w:r w:rsidRPr="00EF2ABB">
              <w:rPr>
                <w:rFonts w:eastAsiaTheme="minorEastAsia" w:cs="Segoe UI"/>
                <w:sz w:val="17"/>
                <w:szCs w:val="17"/>
                <w:lang w:eastAsia="ko-KR"/>
              </w:rPr>
              <w:lastRenderedPageBreak/>
              <w:t>long-term trend</w:t>
            </w:r>
            <w:r>
              <w:rPr>
                <w:rFonts w:eastAsiaTheme="minorEastAsia" w:cs="Segoe UI"/>
                <w:sz w:val="17"/>
                <w:szCs w:val="17"/>
                <w:lang w:eastAsia="ko-KR"/>
              </w:rPr>
              <w:t>. T</w:t>
            </w:r>
            <w:r w:rsidRPr="00EF2ABB">
              <w:rPr>
                <w:rFonts w:eastAsiaTheme="minorEastAsia" w:cs="Segoe UI" w:hint="eastAsia"/>
                <w:sz w:val="17"/>
                <w:szCs w:val="17"/>
                <w:lang w:eastAsia="ko-KR"/>
              </w:rPr>
              <w:t xml:space="preserve">he BCB </w:t>
            </w:r>
            <w:r>
              <w:rPr>
                <w:rFonts w:eastAsiaTheme="minorEastAsia" w:cs="Segoe UI"/>
                <w:sz w:val="17"/>
                <w:szCs w:val="17"/>
                <w:lang w:eastAsia="ko-KR"/>
              </w:rPr>
              <w:t xml:space="preserve">has noted that </w:t>
            </w:r>
            <w:r>
              <w:rPr>
                <w:rFonts w:eastAsiaTheme="minorEastAsia" w:cs="Segoe UI" w:hint="eastAsia"/>
                <w:sz w:val="17"/>
                <w:szCs w:val="17"/>
                <w:lang w:eastAsia="ko-KR"/>
              </w:rPr>
              <w:t>it will use the gap</w:t>
            </w:r>
            <w:r>
              <w:rPr>
                <w:rFonts w:eastAsiaTheme="minorEastAsia" w:cs="Segoe UI"/>
                <w:sz w:val="17"/>
                <w:szCs w:val="17"/>
                <w:lang w:eastAsia="ko-KR"/>
              </w:rPr>
              <w:t xml:space="preserve"> indicator</w:t>
            </w:r>
            <w:r>
              <w:rPr>
                <w:rFonts w:eastAsiaTheme="minorEastAsia" w:cs="Segoe UI" w:hint="eastAsia"/>
                <w:sz w:val="17"/>
                <w:szCs w:val="17"/>
                <w:lang w:eastAsia="ko-KR"/>
              </w:rPr>
              <w:t xml:space="preserve"> </w:t>
            </w:r>
            <w:r w:rsidRPr="00EF2ABB">
              <w:rPr>
                <w:rFonts w:eastAsiaTheme="minorEastAsia" w:cs="Segoe UI" w:hint="eastAsia"/>
                <w:sz w:val="17"/>
                <w:szCs w:val="17"/>
                <w:lang w:eastAsia="ko-KR"/>
              </w:rPr>
              <w:t xml:space="preserve">as </w:t>
            </w:r>
            <w:r w:rsidRPr="00EF2ABB">
              <w:rPr>
                <w:rFonts w:eastAsiaTheme="minorEastAsia" w:cs="Segoe UI"/>
                <w:sz w:val="17"/>
                <w:szCs w:val="17"/>
                <w:lang w:eastAsia="ko-KR"/>
              </w:rPr>
              <w:t xml:space="preserve">one of </w:t>
            </w:r>
            <w:r>
              <w:rPr>
                <w:rFonts w:eastAsiaTheme="minorEastAsia" w:cs="Segoe UI"/>
                <w:sz w:val="17"/>
                <w:szCs w:val="17"/>
                <w:lang w:eastAsia="ko-KR"/>
              </w:rPr>
              <w:t xml:space="preserve">several </w:t>
            </w:r>
            <w:r w:rsidRPr="00EF2ABB">
              <w:rPr>
                <w:rFonts w:eastAsiaTheme="minorEastAsia" w:cs="Segoe UI"/>
                <w:sz w:val="17"/>
                <w:szCs w:val="17"/>
                <w:lang w:eastAsia="ko-KR"/>
              </w:rPr>
              <w:t>variables to be considered.</w:t>
            </w:r>
            <w:r w:rsidRPr="00EF2ABB">
              <w:rPr>
                <w:rFonts w:eastAsiaTheme="minorEastAsia" w:cs="Segoe UI" w:hint="eastAsia"/>
                <w:sz w:val="17"/>
                <w:szCs w:val="17"/>
                <w:lang w:eastAsia="ko-KR"/>
              </w:rPr>
              <w:t xml:space="preserve"> The BCB </w:t>
            </w:r>
            <w:r>
              <w:rPr>
                <w:rFonts w:eastAsiaTheme="minorEastAsia" w:cs="Segoe UI"/>
                <w:sz w:val="17"/>
                <w:szCs w:val="17"/>
                <w:lang w:eastAsia="ko-KR"/>
              </w:rPr>
              <w:t xml:space="preserve">has </w:t>
            </w:r>
            <w:r w:rsidRPr="00EF2ABB">
              <w:rPr>
                <w:rFonts w:eastAsiaTheme="minorEastAsia" w:cs="Segoe UI" w:hint="eastAsia"/>
                <w:sz w:val="17"/>
                <w:szCs w:val="17"/>
                <w:lang w:eastAsia="ko-KR"/>
              </w:rPr>
              <w:t xml:space="preserve">also </w:t>
            </w:r>
            <w:r>
              <w:rPr>
                <w:rFonts w:eastAsiaTheme="minorEastAsia" w:cs="Segoe UI"/>
                <w:sz w:val="17"/>
                <w:szCs w:val="17"/>
                <w:lang w:eastAsia="ko-KR"/>
              </w:rPr>
              <w:t>acknowledged that</w:t>
            </w:r>
            <w:r w:rsidRPr="00EF2ABB">
              <w:rPr>
                <w:rFonts w:eastAsiaTheme="minorEastAsia" w:cs="Segoe UI"/>
                <w:sz w:val="17"/>
                <w:szCs w:val="17"/>
                <w:lang w:eastAsia="ko-KR"/>
              </w:rPr>
              <w:t xml:space="preserve"> the decision of when </w:t>
            </w:r>
            <w:r>
              <w:rPr>
                <w:rFonts w:eastAsiaTheme="minorEastAsia" w:cs="Segoe UI"/>
                <w:sz w:val="17"/>
                <w:szCs w:val="17"/>
                <w:lang w:eastAsia="ko-KR"/>
              </w:rPr>
              <w:t xml:space="preserve">to activate </w:t>
            </w:r>
            <w:r w:rsidRPr="00EF2ABB">
              <w:rPr>
                <w:rFonts w:eastAsiaTheme="minorEastAsia" w:cs="Segoe UI"/>
                <w:sz w:val="17"/>
                <w:szCs w:val="17"/>
                <w:lang w:eastAsia="ko-KR"/>
              </w:rPr>
              <w:t xml:space="preserve">or disable </w:t>
            </w:r>
            <w:r>
              <w:rPr>
                <w:rFonts w:eastAsiaTheme="minorEastAsia" w:cs="Segoe UI"/>
                <w:sz w:val="17"/>
                <w:szCs w:val="17"/>
                <w:lang w:eastAsia="ko-KR"/>
              </w:rPr>
              <w:t xml:space="preserve">the countercyclical buffer </w:t>
            </w:r>
            <w:r w:rsidRPr="00EF2ABB">
              <w:rPr>
                <w:rFonts w:eastAsiaTheme="minorEastAsia" w:cs="Segoe UI"/>
                <w:sz w:val="17"/>
                <w:szCs w:val="17"/>
                <w:lang w:eastAsia="ko-KR"/>
              </w:rPr>
              <w:t xml:space="preserve">is crucial for the tool to produce the desired effect and will </w:t>
            </w:r>
            <w:r>
              <w:rPr>
                <w:rFonts w:eastAsiaTheme="minorEastAsia" w:cs="Segoe UI"/>
                <w:sz w:val="17"/>
                <w:szCs w:val="17"/>
                <w:lang w:eastAsia="ko-KR"/>
              </w:rPr>
              <w:t xml:space="preserve">require </w:t>
            </w:r>
            <w:r w:rsidRPr="00EF2ABB">
              <w:rPr>
                <w:rFonts w:eastAsiaTheme="minorEastAsia" w:cs="Segoe UI"/>
                <w:sz w:val="17"/>
                <w:szCs w:val="17"/>
                <w:lang w:eastAsia="ko-KR"/>
              </w:rPr>
              <w:t>continuous monitor</w:t>
            </w:r>
            <w:r>
              <w:rPr>
                <w:rFonts w:eastAsiaTheme="minorEastAsia" w:cs="Segoe UI"/>
                <w:sz w:val="17"/>
                <w:szCs w:val="17"/>
                <w:lang w:eastAsia="ko-KR"/>
              </w:rPr>
              <w:t>ing of all</w:t>
            </w:r>
            <w:r w:rsidRPr="00EF2ABB">
              <w:rPr>
                <w:rFonts w:eastAsiaTheme="minorEastAsia" w:cs="Segoe UI"/>
                <w:sz w:val="17"/>
                <w:szCs w:val="17"/>
                <w:lang w:eastAsia="ko-KR"/>
              </w:rPr>
              <w:t xml:space="preserve"> the indicators of systemic risk.</w:t>
            </w:r>
          </w:p>
        </w:tc>
      </w:tr>
      <w:tr w:rsidR="00CC26CC" w:rsidTr="004A30C8">
        <w:trPr>
          <w:trHeight w:val="968"/>
          <w:jc w:val="center"/>
        </w:trPr>
        <w:tc>
          <w:tcPr>
            <w:tcW w:w="9314" w:type="dxa"/>
            <w:shd w:val="clear" w:color="auto" w:fill="auto"/>
          </w:tcPr>
          <w:p w:rsidR="00CC26CC" w:rsidRDefault="00CC26CC" w:rsidP="004A30C8">
            <w:pPr>
              <w:spacing w:before="120" w:after="120"/>
              <w:rPr>
                <w:rFonts w:eastAsiaTheme="minorEastAsia" w:cs="Segoe UI"/>
                <w:sz w:val="19"/>
                <w:szCs w:val="19"/>
                <w:lang w:eastAsia="ko-KR"/>
              </w:rPr>
            </w:pPr>
            <w:r>
              <w:rPr>
                <w:rFonts w:eastAsiaTheme="minorEastAsia" w:cs="Segoe UI"/>
                <w:b/>
                <w:sz w:val="19"/>
                <w:szCs w:val="19"/>
                <w:lang w:eastAsia="ko-KR"/>
              </w:rPr>
              <w:lastRenderedPageBreak/>
              <w:t>Brazil’s treatment of D</w:t>
            </w:r>
            <w:r w:rsidRPr="00E3785D">
              <w:rPr>
                <w:rFonts w:eastAsiaTheme="minorEastAsia" w:cs="Segoe UI"/>
                <w:b/>
                <w:sz w:val="19"/>
                <w:szCs w:val="19"/>
                <w:lang w:eastAsia="ko-KR"/>
              </w:rPr>
              <w:t xml:space="preserve">eferred </w:t>
            </w:r>
            <w:r>
              <w:rPr>
                <w:rFonts w:eastAsiaTheme="minorEastAsia" w:cs="Segoe UI" w:hint="eastAsia"/>
                <w:b/>
                <w:sz w:val="19"/>
                <w:szCs w:val="19"/>
                <w:lang w:eastAsia="ko-KR"/>
              </w:rPr>
              <w:t>T</w:t>
            </w:r>
            <w:r w:rsidRPr="00E3785D">
              <w:rPr>
                <w:rFonts w:eastAsiaTheme="minorEastAsia" w:cs="Segoe UI"/>
                <w:b/>
                <w:sz w:val="19"/>
                <w:szCs w:val="19"/>
                <w:lang w:eastAsia="ko-KR"/>
              </w:rPr>
              <w:t xml:space="preserve">ax </w:t>
            </w:r>
            <w:r>
              <w:rPr>
                <w:rFonts w:eastAsiaTheme="minorEastAsia" w:cs="Segoe UI" w:hint="eastAsia"/>
                <w:b/>
                <w:sz w:val="19"/>
                <w:szCs w:val="19"/>
                <w:lang w:eastAsia="ko-KR"/>
              </w:rPr>
              <w:t>A</w:t>
            </w:r>
            <w:r w:rsidRPr="00E3785D">
              <w:rPr>
                <w:rFonts w:eastAsiaTheme="minorEastAsia" w:cs="Segoe UI"/>
                <w:b/>
                <w:sz w:val="19"/>
                <w:szCs w:val="19"/>
                <w:lang w:eastAsia="ko-KR"/>
              </w:rPr>
              <w:t>ssets (DTAs) derived from timing differences related to expected loan-loss provisions</w:t>
            </w:r>
            <w:r>
              <w:rPr>
                <w:rFonts w:eastAsiaTheme="minorEastAsia" w:cs="Segoe UI"/>
                <w:b/>
                <w:sz w:val="19"/>
                <w:szCs w:val="19"/>
                <w:lang w:eastAsia="ko-KR"/>
              </w:rPr>
              <w:t xml:space="preserve"> </w:t>
            </w:r>
            <w:r>
              <w:rPr>
                <w:rFonts w:eastAsiaTheme="minorEastAsia" w:cs="Segoe UI" w:hint="eastAsia"/>
                <w:b/>
                <w:sz w:val="19"/>
                <w:szCs w:val="19"/>
                <w:lang w:eastAsia="ko-KR"/>
              </w:rPr>
              <w:t xml:space="preserve">is </w:t>
            </w:r>
            <w:r>
              <w:rPr>
                <w:rFonts w:eastAsiaTheme="minorEastAsia" w:cs="Segoe UI"/>
                <w:b/>
                <w:sz w:val="19"/>
                <w:szCs w:val="19"/>
                <w:lang w:eastAsia="ko-KR"/>
              </w:rPr>
              <w:t>aligned with Basle recommendations</w:t>
            </w:r>
            <w:r w:rsidRPr="00E3785D">
              <w:rPr>
                <w:rFonts w:eastAsiaTheme="minorEastAsia" w:cs="Segoe UI"/>
                <w:b/>
                <w:sz w:val="19"/>
                <w:szCs w:val="19"/>
                <w:lang w:eastAsia="ko-KR"/>
              </w:rPr>
              <w:t>.</w:t>
            </w:r>
            <w:r>
              <w:rPr>
                <w:rFonts w:eastAsiaTheme="minorEastAsia" w:cs="Segoe UI" w:hint="eastAsia"/>
                <w:b/>
                <w:sz w:val="19"/>
                <w:szCs w:val="19"/>
                <w:vertAlign w:val="superscript"/>
                <w:lang w:eastAsia="ko-KR"/>
              </w:rPr>
              <w:t>3</w:t>
            </w:r>
            <w:r w:rsidRPr="00E3785D">
              <w:rPr>
                <w:rFonts w:eastAsiaTheme="minorEastAsia" w:cs="Segoe UI"/>
                <w:sz w:val="19"/>
                <w:szCs w:val="19"/>
                <w:lang w:eastAsia="ko-KR"/>
              </w:rPr>
              <w:t xml:space="preserve"> </w:t>
            </w:r>
            <w:r>
              <w:rPr>
                <w:rFonts w:eastAsiaTheme="minorEastAsia" w:cs="Segoe UI" w:hint="eastAsia"/>
                <w:sz w:val="19"/>
                <w:szCs w:val="19"/>
                <w:lang w:eastAsia="ko-KR"/>
              </w:rPr>
              <w:t xml:space="preserve">Under the Basel III </w:t>
            </w:r>
            <w:r>
              <w:rPr>
                <w:rFonts w:eastAsiaTheme="minorEastAsia" w:cs="Segoe UI"/>
                <w:sz w:val="19"/>
                <w:szCs w:val="19"/>
                <w:lang w:eastAsia="ko-KR"/>
              </w:rPr>
              <w:t>a</w:t>
            </w:r>
            <w:r>
              <w:rPr>
                <w:rFonts w:eastAsiaTheme="minorEastAsia" w:cs="Segoe UI" w:hint="eastAsia"/>
                <w:sz w:val="19"/>
                <w:szCs w:val="19"/>
                <w:lang w:eastAsia="ko-KR"/>
              </w:rPr>
              <w:t>ccord, DTAs resulting from timing differences can be recognized as Tier 1 capital only up to 15 percent of Core Tier 1 capital and the DTAs above th</w:t>
            </w:r>
            <w:r>
              <w:rPr>
                <w:rFonts w:eastAsiaTheme="minorEastAsia" w:cs="Segoe UI"/>
                <w:sz w:val="19"/>
                <w:szCs w:val="19"/>
                <w:lang w:eastAsia="ko-KR"/>
              </w:rPr>
              <w:t>at</w:t>
            </w:r>
            <w:r>
              <w:rPr>
                <w:rFonts w:eastAsiaTheme="minorEastAsia" w:cs="Segoe UI" w:hint="eastAsia"/>
                <w:sz w:val="19"/>
                <w:szCs w:val="19"/>
                <w:lang w:eastAsia="ko-KR"/>
              </w:rPr>
              <w:t xml:space="preserve"> threshold need to be fully deducted.</w:t>
            </w:r>
            <w:r w:rsidRPr="0089149C">
              <w:rPr>
                <w:rFonts w:eastAsiaTheme="minorEastAsia" w:cs="Segoe UI" w:hint="eastAsia"/>
                <w:sz w:val="19"/>
                <w:szCs w:val="19"/>
                <w:vertAlign w:val="superscript"/>
                <w:lang w:eastAsia="ko-KR"/>
              </w:rPr>
              <w:t>4</w:t>
            </w:r>
            <w:r>
              <w:rPr>
                <w:rFonts w:eastAsiaTheme="minorEastAsia" w:cs="Segoe UI" w:hint="eastAsia"/>
                <w:sz w:val="19"/>
                <w:szCs w:val="19"/>
                <w:vertAlign w:val="superscript"/>
                <w:lang w:eastAsia="ko-KR"/>
              </w:rPr>
              <w:t>,</w:t>
            </w:r>
            <w:r w:rsidR="000C1966">
              <w:rPr>
                <w:rFonts w:eastAsiaTheme="minorEastAsia" w:cs="Segoe UI"/>
                <w:sz w:val="19"/>
                <w:szCs w:val="19"/>
                <w:vertAlign w:val="superscript"/>
                <w:lang w:eastAsia="ko-KR"/>
              </w:rPr>
              <w:t xml:space="preserve"> </w:t>
            </w:r>
            <w:r w:rsidRPr="0089149C">
              <w:rPr>
                <w:rFonts w:eastAsiaTheme="minorEastAsia" w:cs="Segoe UI" w:hint="eastAsia"/>
                <w:sz w:val="19"/>
                <w:szCs w:val="19"/>
                <w:vertAlign w:val="superscript"/>
                <w:lang w:eastAsia="ko-KR"/>
              </w:rPr>
              <w:t>5</w:t>
            </w:r>
            <w:r w:rsidRPr="00E3785D">
              <w:rPr>
                <w:rFonts w:eastAsiaTheme="minorEastAsia" w:cs="Segoe UI"/>
                <w:sz w:val="19"/>
                <w:szCs w:val="19"/>
                <w:lang w:eastAsia="ko-KR"/>
              </w:rPr>
              <w:t xml:space="preserve"> </w:t>
            </w:r>
            <w:r>
              <w:rPr>
                <w:rFonts w:eastAsiaTheme="minorEastAsia" w:cs="Segoe UI" w:hint="eastAsia"/>
                <w:sz w:val="19"/>
                <w:szCs w:val="19"/>
                <w:lang w:eastAsia="ko-KR"/>
              </w:rPr>
              <w:t>Following the Italian model w</w:t>
            </w:r>
            <w:r w:rsidRPr="0056126A">
              <w:rPr>
                <w:rFonts w:eastAsiaTheme="minorEastAsia" w:cs="Segoe UI"/>
                <w:sz w:val="19"/>
                <w:szCs w:val="19"/>
                <w:lang w:eastAsia="ko-KR"/>
              </w:rPr>
              <w:t xml:space="preserve">ith the issue of Provisional Measure No. 608 of February 28, 2013, </w:t>
            </w:r>
            <w:r>
              <w:rPr>
                <w:rFonts w:eastAsiaTheme="minorEastAsia" w:cs="Segoe UI" w:hint="eastAsia"/>
                <w:sz w:val="19"/>
                <w:szCs w:val="19"/>
                <w:lang w:eastAsia="ko-KR"/>
              </w:rPr>
              <w:t xml:space="preserve">the value of </w:t>
            </w:r>
            <w:r w:rsidRPr="0056126A">
              <w:rPr>
                <w:rFonts w:eastAsiaTheme="minorEastAsia" w:cs="Segoe UI" w:hint="eastAsia"/>
                <w:sz w:val="19"/>
                <w:szCs w:val="19"/>
                <w:lang w:eastAsia="ko-KR"/>
              </w:rPr>
              <w:t>DTAs</w:t>
            </w:r>
            <w:r w:rsidRPr="0056126A">
              <w:rPr>
                <w:rFonts w:eastAsiaTheme="minorEastAsia" w:cs="Segoe UI"/>
                <w:sz w:val="19"/>
                <w:szCs w:val="19"/>
                <w:lang w:eastAsia="ko-KR"/>
              </w:rPr>
              <w:t xml:space="preserve"> </w:t>
            </w:r>
            <w:r>
              <w:rPr>
                <w:rFonts w:eastAsiaTheme="minorEastAsia" w:cs="Segoe UI"/>
                <w:sz w:val="19"/>
                <w:szCs w:val="19"/>
                <w:lang w:eastAsia="ko-KR"/>
              </w:rPr>
              <w:t xml:space="preserve">in Brazil </w:t>
            </w:r>
            <w:r w:rsidRPr="0056126A">
              <w:rPr>
                <w:rFonts w:eastAsiaTheme="minorEastAsia" w:cs="Segoe UI"/>
                <w:sz w:val="19"/>
                <w:szCs w:val="19"/>
                <w:lang w:eastAsia="ko-KR"/>
              </w:rPr>
              <w:t xml:space="preserve">became </w:t>
            </w:r>
            <w:r w:rsidRPr="0056126A">
              <w:rPr>
                <w:rFonts w:eastAsiaTheme="minorEastAsia" w:cs="Segoe UI" w:hint="eastAsia"/>
                <w:sz w:val="19"/>
                <w:szCs w:val="19"/>
                <w:lang w:eastAsia="ko-KR"/>
              </w:rPr>
              <w:t>non-contingent</w:t>
            </w:r>
            <w:r w:rsidRPr="0056126A">
              <w:rPr>
                <w:rFonts w:eastAsiaTheme="minorEastAsia" w:cs="Segoe UI"/>
                <w:sz w:val="19"/>
                <w:szCs w:val="19"/>
                <w:lang w:eastAsia="ko-KR"/>
              </w:rPr>
              <w:t xml:space="preserve"> and certain</w:t>
            </w:r>
            <w:r w:rsidRPr="0056126A">
              <w:rPr>
                <w:rFonts w:eastAsiaTheme="minorEastAsia" w:cs="Segoe UI" w:hint="eastAsia"/>
                <w:sz w:val="19"/>
                <w:szCs w:val="19"/>
                <w:lang w:eastAsia="ko-KR"/>
              </w:rPr>
              <w:t>,</w:t>
            </w:r>
            <w:r w:rsidRPr="0056126A">
              <w:rPr>
                <w:rFonts w:eastAsiaTheme="minorEastAsia" w:cs="Segoe UI"/>
                <w:sz w:val="19"/>
                <w:szCs w:val="19"/>
                <w:lang w:eastAsia="ko-KR"/>
              </w:rPr>
              <w:t xml:space="preserve"> since their use </w:t>
            </w:r>
            <w:r>
              <w:rPr>
                <w:rFonts w:eastAsiaTheme="minorEastAsia" w:cs="Segoe UI" w:hint="eastAsia"/>
                <w:sz w:val="19"/>
                <w:szCs w:val="19"/>
                <w:lang w:eastAsia="ko-KR"/>
              </w:rPr>
              <w:t>can</w:t>
            </w:r>
            <w:r w:rsidRPr="0056126A">
              <w:rPr>
                <w:rFonts w:eastAsiaTheme="minorEastAsia" w:cs="Segoe UI"/>
                <w:sz w:val="19"/>
                <w:szCs w:val="19"/>
                <w:lang w:eastAsia="ko-KR"/>
              </w:rPr>
              <w:t xml:space="preserve"> occur</w:t>
            </w:r>
            <w:r>
              <w:rPr>
                <w:rFonts w:eastAsiaTheme="minorEastAsia" w:cs="Segoe UI" w:hint="eastAsia"/>
                <w:sz w:val="19"/>
                <w:szCs w:val="19"/>
                <w:lang w:eastAsia="ko-KR"/>
              </w:rPr>
              <w:t xml:space="preserve"> </w:t>
            </w:r>
            <w:r w:rsidRPr="0056126A">
              <w:rPr>
                <w:rFonts w:eastAsiaTheme="minorEastAsia" w:cs="Segoe UI"/>
                <w:sz w:val="19"/>
                <w:szCs w:val="19"/>
                <w:lang w:eastAsia="ko-KR"/>
              </w:rPr>
              <w:t>regardless of the existence of future profitability</w:t>
            </w:r>
            <w:r>
              <w:rPr>
                <w:rFonts w:eastAsiaTheme="minorEastAsia" w:cs="Segoe UI" w:hint="eastAsia"/>
                <w:sz w:val="19"/>
                <w:szCs w:val="19"/>
                <w:lang w:eastAsia="ko-KR"/>
              </w:rPr>
              <w:t xml:space="preserve"> in cases of bankruptcy or extrajudicial liquidation</w:t>
            </w:r>
            <w:r w:rsidRPr="0056126A">
              <w:rPr>
                <w:rFonts w:eastAsiaTheme="minorEastAsia" w:cs="Segoe UI"/>
                <w:sz w:val="19"/>
                <w:szCs w:val="19"/>
                <w:lang w:eastAsia="ko-KR"/>
              </w:rPr>
              <w:t xml:space="preserve">. </w:t>
            </w:r>
            <w:r>
              <w:rPr>
                <w:rFonts w:eastAsiaTheme="minorEastAsia" w:cs="Segoe UI" w:hint="eastAsia"/>
                <w:sz w:val="19"/>
                <w:szCs w:val="19"/>
                <w:lang w:eastAsia="ko-KR"/>
              </w:rPr>
              <w:t>However, other t</w:t>
            </w:r>
            <w:r w:rsidRPr="0056126A">
              <w:rPr>
                <w:rFonts w:eastAsiaTheme="minorEastAsia" w:cs="Segoe UI"/>
                <w:sz w:val="19"/>
                <w:szCs w:val="19"/>
                <w:lang w:eastAsia="ko-KR"/>
              </w:rPr>
              <w:t xml:space="preserve">ax </w:t>
            </w:r>
            <w:r w:rsidRPr="001008A4">
              <w:rPr>
                <w:rFonts w:eastAsiaTheme="minorEastAsia" w:cs="Segoe UI"/>
                <w:sz w:val="19"/>
                <w:szCs w:val="19"/>
                <w:lang w:eastAsia="ko-KR"/>
              </w:rPr>
              <w:t xml:space="preserve">credits, such as those arising from tax losses and negative basis of social contribution tax credits, </w:t>
            </w:r>
            <w:r>
              <w:rPr>
                <w:rFonts w:eastAsiaTheme="minorEastAsia" w:cs="Segoe UI" w:hint="eastAsia"/>
                <w:sz w:val="19"/>
                <w:szCs w:val="19"/>
                <w:lang w:eastAsia="ko-KR"/>
              </w:rPr>
              <w:t>will be deducted according to the Basel III Accord</w:t>
            </w:r>
            <w:r w:rsidRPr="001008A4">
              <w:rPr>
                <w:rFonts w:eastAsiaTheme="minorEastAsia" w:cs="Segoe UI"/>
                <w:sz w:val="19"/>
                <w:szCs w:val="19"/>
                <w:lang w:eastAsia="ko-KR"/>
              </w:rPr>
              <w:t>.</w:t>
            </w:r>
          </w:p>
          <w:p w:rsidR="00CC26CC" w:rsidRDefault="00CC26CC" w:rsidP="004A30C8">
            <w:pPr>
              <w:spacing w:before="120" w:after="240"/>
              <w:rPr>
                <w:rFonts w:eastAsiaTheme="minorEastAsia" w:cs="Segoe UI"/>
                <w:sz w:val="19"/>
                <w:szCs w:val="19"/>
                <w:lang w:eastAsia="ko-KR"/>
              </w:rPr>
            </w:pPr>
            <w:r w:rsidRPr="00BD7620">
              <w:rPr>
                <w:rFonts w:eastAsiaTheme="minorEastAsia" w:cs="Segoe UI" w:hint="eastAsia"/>
                <w:b/>
                <w:sz w:val="19"/>
                <w:szCs w:val="19"/>
                <w:lang w:eastAsia="ko-KR"/>
              </w:rPr>
              <w:t>The BCB estimates that t</w:t>
            </w:r>
            <w:r w:rsidRPr="00BD7620">
              <w:rPr>
                <w:rFonts w:eastAsiaTheme="minorEastAsia" w:cs="Segoe UI"/>
                <w:b/>
                <w:sz w:val="19"/>
                <w:szCs w:val="19"/>
                <w:lang w:eastAsia="ko-KR"/>
              </w:rPr>
              <w:t xml:space="preserve">he impact of </w:t>
            </w:r>
            <w:r w:rsidRPr="00BD7620">
              <w:rPr>
                <w:rFonts w:eastAsiaTheme="minorEastAsia" w:cs="Segoe UI" w:hint="eastAsia"/>
                <w:b/>
                <w:sz w:val="19"/>
                <w:szCs w:val="19"/>
                <w:lang w:eastAsia="ko-KR"/>
              </w:rPr>
              <w:t xml:space="preserve">new regulations </w:t>
            </w:r>
            <w:r w:rsidRPr="00BD7620">
              <w:rPr>
                <w:rFonts w:eastAsiaTheme="minorEastAsia" w:cs="Segoe UI"/>
                <w:b/>
                <w:sz w:val="19"/>
                <w:szCs w:val="19"/>
                <w:lang w:eastAsia="ko-KR"/>
              </w:rPr>
              <w:t>on the credit supply in Brazil</w:t>
            </w:r>
            <w:r w:rsidRPr="00BD7620">
              <w:rPr>
                <w:rFonts w:eastAsiaTheme="minorEastAsia" w:cs="Segoe UI" w:hint="eastAsia"/>
                <w:b/>
                <w:sz w:val="19"/>
                <w:szCs w:val="19"/>
                <w:lang w:eastAsia="ko-KR"/>
              </w:rPr>
              <w:t xml:space="preserve"> would be neutral</w:t>
            </w:r>
            <w:r>
              <w:rPr>
                <w:rFonts w:eastAsiaTheme="minorEastAsia" w:cs="Segoe UI"/>
                <w:b/>
                <w:sz w:val="19"/>
                <w:szCs w:val="19"/>
                <w:lang w:eastAsia="ko-KR"/>
              </w:rPr>
              <w:t>.</w:t>
            </w:r>
            <w:r>
              <w:rPr>
                <w:rFonts w:eastAsiaTheme="minorEastAsia" w:cs="Segoe UI" w:hint="eastAsia"/>
                <w:b/>
                <w:sz w:val="19"/>
                <w:szCs w:val="19"/>
                <w:lang w:eastAsia="ko-KR"/>
              </w:rPr>
              <w:t xml:space="preserve"> </w:t>
            </w:r>
            <w:r w:rsidRPr="00BD7620">
              <w:rPr>
                <w:rFonts w:eastAsiaTheme="minorEastAsia" w:cs="Segoe UI" w:hint="eastAsia"/>
                <w:sz w:val="19"/>
                <w:szCs w:val="19"/>
                <w:lang w:eastAsia="ko-KR"/>
              </w:rPr>
              <w:t xml:space="preserve">Brazilian banks </w:t>
            </w:r>
            <w:r w:rsidRPr="00BD7620">
              <w:rPr>
                <w:rFonts w:eastAsiaTheme="minorEastAsia" w:cs="Segoe UI"/>
                <w:sz w:val="19"/>
                <w:szCs w:val="19"/>
                <w:lang w:eastAsia="ko-KR"/>
              </w:rPr>
              <w:t>ha</w:t>
            </w:r>
            <w:r>
              <w:rPr>
                <w:rFonts w:eastAsiaTheme="minorEastAsia" w:cs="Segoe UI" w:hint="eastAsia"/>
                <w:sz w:val="19"/>
                <w:szCs w:val="19"/>
                <w:lang w:eastAsia="ko-KR"/>
              </w:rPr>
              <w:t>ve</w:t>
            </w:r>
            <w:r w:rsidRPr="00BD7620">
              <w:rPr>
                <w:rFonts w:eastAsiaTheme="minorEastAsia" w:cs="Segoe UI"/>
                <w:sz w:val="19"/>
                <w:szCs w:val="19"/>
                <w:lang w:eastAsia="ko-KR"/>
              </w:rPr>
              <w:t xml:space="preserve"> high level</w:t>
            </w:r>
            <w:r>
              <w:rPr>
                <w:rFonts w:eastAsiaTheme="minorEastAsia" w:cs="Segoe UI"/>
                <w:sz w:val="19"/>
                <w:szCs w:val="19"/>
                <w:lang w:eastAsia="ko-KR"/>
              </w:rPr>
              <w:t>s</w:t>
            </w:r>
            <w:r w:rsidRPr="00BD7620">
              <w:rPr>
                <w:rFonts w:eastAsiaTheme="minorEastAsia" w:cs="Segoe UI"/>
                <w:sz w:val="19"/>
                <w:szCs w:val="19"/>
                <w:lang w:eastAsia="ko-KR"/>
              </w:rPr>
              <w:t xml:space="preserve"> of reserves, liquidity and capital</w:t>
            </w:r>
            <w:r>
              <w:rPr>
                <w:rFonts w:eastAsiaTheme="minorEastAsia" w:cs="Segoe UI"/>
                <w:sz w:val="19"/>
                <w:szCs w:val="19"/>
                <w:lang w:eastAsia="ko-KR"/>
              </w:rPr>
              <w:t xml:space="preserve">, and </w:t>
            </w:r>
            <w:r>
              <w:rPr>
                <w:rFonts w:eastAsiaTheme="minorEastAsia" w:cs="Segoe UI" w:hint="eastAsia"/>
                <w:sz w:val="19"/>
                <w:szCs w:val="19"/>
                <w:lang w:eastAsia="ko-KR"/>
              </w:rPr>
              <w:t>full compliance with the recommended schedule will help reduce the borrowing cost and expand access to external sources</w:t>
            </w:r>
            <w:r>
              <w:rPr>
                <w:rFonts w:eastAsiaTheme="minorEastAsia" w:cs="Segoe UI"/>
                <w:sz w:val="19"/>
                <w:szCs w:val="19"/>
                <w:lang w:eastAsia="ko-KR"/>
              </w:rPr>
              <w:t>. T</w:t>
            </w:r>
            <w:r>
              <w:rPr>
                <w:rFonts w:eastAsiaTheme="minorEastAsia" w:cs="Segoe UI" w:hint="eastAsia"/>
                <w:sz w:val="19"/>
                <w:szCs w:val="19"/>
                <w:lang w:eastAsia="ko-KR"/>
              </w:rPr>
              <w:t xml:space="preserve">he phase-in process </w:t>
            </w:r>
            <w:r>
              <w:rPr>
                <w:rFonts w:eastAsiaTheme="minorEastAsia" w:cs="Segoe UI"/>
                <w:sz w:val="19"/>
                <w:szCs w:val="19"/>
                <w:lang w:eastAsia="ko-KR"/>
              </w:rPr>
              <w:t>will allow any adjustment needed, while</w:t>
            </w:r>
            <w:r>
              <w:rPr>
                <w:rFonts w:eastAsiaTheme="minorEastAsia" w:cs="Segoe UI" w:hint="eastAsia"/>
                <w:sz w:val="19"/>
                <w:szCs w:val="19"/>
                <w:lang w:eastAsia="ko-KR"/>
              </w:rPr>
              <w:t xml:space="preserve"> the publication of the resolutions will reduce regulatory uncertainty</w:t>
            </w:r>
            <w:r>
              <w:rPr>
                <w:rFonts w:eastAsiaTheme="minorEastAsia" w:cs="Segoe UI"/>
                <w:sz w:val="19"/>
                <w:szCs w:val="19"/>
                <w:lang w:eastAsia="ko-KR"/>
              </w:rPr>
              <w:t>. B</w:t>
            </w:r>
            <w:r>
              <w:rPr>
                <w:rFonts w:eastAsiaTheme="minorEastAsia" w:cs="Segoe UI" w:hint="eastAsia"/>
                <w:sz w:val="19"/>
                <w:szCs w:val="19"/>
                <w:lang w:eastAsia="ko-KR"/>
              </w:rPr>
              <w:t xml:space="preserve">anks </w:t>
            </w:r>
            <w:r>
              <w:rPr>
                <w:rFonts w:eastAsiaTheme="minorEastAsia" w:cs="Segoe UI"/>
                <w:sz w:val="19"/>
                <w:szCs w:val="19"/>
                <w:lang w:eastAsia="ko-KR"/>
              </w:rPr>
              <w:t xml:space="preserve">and rating agencies have </w:t>
            </w:r>
            <w:r>
              <w:rPr>
                <w:rFonts w:eastAsiaTheme="minorEastAsia" w:cs="Segoe UI" w:hint="eastAsia"/>
                <w:sz w:val="19"/>
                <w:szCs w:val="19"/>
                <w:lang w:eastAsia="ko-KR"/>
              </w:rPr>
              <w:t xml:space="preserve">signaled </w:t>
            </w:r>
            <w:r>
              <w:rPr>
                <w:rFonts w:eastAsiaTheme="minorEastAsia" w:cs="Segoe UI"/>
                <w:sz w:val="19"/>
                <w:szCs w:val="19"/>
                <w:lang w:eastAsia="ko-KR"/>
              </w:rPr>
              <w:t xml:space="preserve">that </w:t>
            </w:r>
            <w:r>
              <w:rPr>
                <w:rFonts w:eastAsiaTheme="minorEastAsia" w:cs="Segoe UI" w:hint="eastAsia"/>
                <w:sz w:val="19"/>
                <w:szCs w:val="19"/>
                <w:lang w:eastAsia="ko-KR"/>
              </w:rPr>
              <w:t xml:space="preserve">they are well prepared </w:t>
            </w:r>
            <w:r>
              <w:rPr>
                <w:rFonts w:eastAsiaTheme="minorEastAsia" w:cs="Segoe UI"/>
                <w:sz w:val="19"/>
                <w:szCs w:val="19"/>
                <w:lang w:eastAsia="ko-KR"/>
              </w:rPr>
              <w:t>to adopt Basle III capital requirements</w:t>
            </w:r>
            <w:r>
              <w:rPr>
                <w:rFonts w:eastAsiaTheme="minorEastAsia" w:cs="Segoe UI" w:hint="eastAsia"/>
                <w:sz w:val="19"/>
                <w:szCs w:val="19"/>
                <w:lang w:eastAsia="ko-KR"/>
              </w:rPr>
              <w:t xml:space="preserve">. </w:t>
            </w:r>
          </w:p>
          <w:p w:rsidR="00CC26CC" w:rsidRPr="0089149C" w:rsidRDefault="00CC26CC" w:rsidP="004A30C8">
            <w:pPr>
              <w:spacing w:before="120" w:after="240"/>
              <w:rPr>
                <w:rFonts w:eastAsiaTheme="minorEastAsia" w:cs="Segoe UI"/>
                <w:b/>
                <w:color w:val="0000FF"/>
                <w:sz w:val="19"/>
                <w:szCs w:val="19"/>
                <w:lang w:eastAsia="ko-KR"/>
              </w:rPr>
            </w:pPr>
            <w:r w:rsidRPr="0089149C">
              <w:rPr>
                <w:rFonts w:eastAsiaTheme="minorEastAsia" w:cs="Segoe UI" w:hint="eastAsia"/>
                <w:b/>
                <w:color w:val="0000FF"/>
                <w:sz w:val="19"/>
                <w:szCs w:val="19"/>
                <w:lang w:eastAsia="ko-KR"/>
              </w:rPr>
              <w:t>[This box will be revised and updated after a meeting from the BCB which will be held on April 22.]</w:t>
            </w:r>
          </w:p>
        </w:tc>
      </w:tr>
      <w:tr w:rsidR="00CC26CC" w:rsidTr="004A30C8">
        <w:trPr>
          <w:trHeight w:val="342"/>
          <w:jc w:val="center"/>
        </w:trPr>
        <w:tc>
          <w:tcPr>
            <w:tcW w:w="9314" w:type="dxa"/>
            <w:shd w:val="clear" w:color="auto" w:fill="auto"/>
          </w:tcPr>
          <w:p w:rsidR="00CC26CC" w:rsidRDefault="00CC26CC" w:rsidP="004A30C8">
            <w:pPr>
              <w:spacing w:after="120"/>
              <w:rPr>
                <w:rFonts w:eastAsiaTheme="minorEastAsia" w:cs="Segoe UI"/>
                <w:bCs/>
                <w:sz w:val="17"/>
                <w:szCs w:val="17"/>
                <w:lang w:eastAsia="ko-KR"/>
              </w:rPr>
            </w:pPr>
            <w:r w:rsidRPr="000C1966">
              <w:rPr>
                <w:rFonts w:eastAsiaTheme="minorEastAsia" w:cs="Segoe UI" w:hint="eastAsia"/>
                <w:sz w:val="17"/>
                <w:szCs w:val="17"/>
                <w:vertAlign w:val="superscript"/>
                <w:lang w:eastAsia="ko-KR"/>
              </w:rPr>
              <w:t>3</w:t>
            </w:r>
            <w:r>
              <w:rPr>
                <w:rFonts w:eastAsiaTheme="minorEastAsia" w:cs="Segoe UI" w:hint="eastAsia"/>
                <w:sz w:val="17"/>
                <w:szCs w:val="17"/>
                <w:lang w:eastAsia="ko-KR"/>
              </w:rPr>
              <w:t xml:space="preserve"> </w:t>
            </w:r>
            <w:r w:rsidRPr="001D720B">
              <w:rPr>
                <w:rFonts w:eastAsiaTheme="minorEastAsia" w:cs="Segoe UI"/>
                <w:sz w:val="17"/>
                <w:szCs w:val="17"/>
                <w:lang w:eastAsia="ko-KR"/>
              </w:rPr>
              <w:t xml:space="preserve">The BCB also allowed for investments in affiliated insurance companies to be included </w:t>
            </w:r>
            <w:r>
              <w:rPr>
                <w:rFonts w:eastAsiaTheme="minorEastAsia" w:cs="Segoe UI" w:hint="eastAsia"/>
                <w:sz w:val="17"/>
                <w:szCs w:val="17"/>
                <w:lang w:eastAsia="ko-KR"/>
              </w:rPr>
              <w:t xml:space="preserve">as a part of </w:t>
            </w:r>
            <w:r w:rsidRPr="001D720B">
              <w:rPr>
                <w:rFonts w:eastAsiaTheme="minorEastAsia" w:cs="Segoe UI"/>
                <w:sz w:val="17"/>
                <w:szCs w:val="17"/>
                <w:lang w:eastAsia="ko-KR"/>
              </w:rPr>
              <w:t>CET 1 capital.</w:t>
            </w:r>
          </w:p>
          <w:p w:rsidR="00CC26CC" w:rsidRDefault="00CC26CC" w:rsidP="004A30C8">
            <w:pPr>
              <w:spacing w:after="120"/>
              <w:rPr>
                <w:rFonts w:eastAsiaTheme="minorEastAsia" w:cs="Segoe UI"/>
                <w:sz w:val="17"/>
                <w:szCs w:val="17"/>
                <w:lang w:eastAsia="ko-KR"/>
              </w:rPr>
            </w:pPr>
            <w:r w:rsidRPr="000C1966">
              <w:rPr>
                <w:rFonts w:eastAsiaTheme="minorEastAsia" w:cs="Segoe UI" w:hint="eastAsia"/>
                <w:bCs/>
                <w:sz w:val="17"/>
                <w:szCs w:val="17"/>
                <w:vertAlign w:val="superscript"/>
                <w:lang w:eastAsia="ko-KR"/>
              </w:rPr>
              <w:t>4</w:t>
            </w:r>
            <w:r w:rsidRPr="001D720B">
              <w:rPr>
                <w:rFonts w:eastAsiaTheme="minorEastAsia" w:cs="Segoe UI"/>
                <w:bCs/>
                <w:sz w:val="17"/>
                <w:szCs w:val="17"/>
                <w:lang w:eastAsia="ko-KR"/>
              </w:rPr>
              <w:t xml:space="preserve"> A</w:t>
            </w:r>
            <w:r w:rsidRPr="001D720B">
              <w:rPr>
                <w:rFonts w:eastAsiaTheme="minorEastAsia" w:cs="Segoe UI"/>
                <w:sz w:val="17"/>
                <w:szCs w:val="17"/>
                <w:lang w:eastAsia="ko-KR"/>
              </w:rPr>
              <w:t>ccording to Moody’s estimation, i</w:t>
            </w:r>
            <w:r w:rsidRPr="001D720B">
              <w:rPr>
                <w:rFonts w:eastAsiaTheme="minorEastAsia" w:cs="Segoe UI"/>
                <w:bCs/>
                <w:sz w:val="17"/>
                <w:szCs w:val="17"/>
                <w:lang w:eastAsia="ko-KR"/>
              </w:rPr>
              <w:t>t</w:t>
            </w:r>
            <w:r w:rsidRPr="001D720B">
              <w:rPr>
                <w:rFonts w:eastAsiaTheme="minorEastAsia" w:cs="Segoe UI"/>
                <w:sz w:val="17"/>
                <w:szCs w:val="17"/>
                <w:lang w:eastAsia="ko-KR"/>
              </w:rPr>
              <w:t xml:space="preserve"> amounts to 20 and 3 percent of Brazilian banks’ Tier 1 capital and total assets respectively as of end-2012.</w:t>
            </w:r>
          </w:p>
          <w:p w:rsidR="00CC26CC" w:rsidRDefault="00CC26CC" w:rsidP="000C1966">
            <w:pPr>
              <w:spacing w:after="120"/>
              <w:rPr>
                <w:rFonts w:eastAsiaTheme="minorEastAsia" w:cs="Segoe UI"/>
                <w:sz w:val="17"/>
                <w:szCs w:val="17"/>
                <w:lang w:eastAsia="ko-KR"/>
              </w:rPr>
            </w:pPr>
            <w:r w:rsidRPr="000C1966">
              <w:rPr>
                <w:rFonts w:eastAsiaTheme="minorEastAsia" w:cs="Segoe UI" w:hint="eastAsia"/>
                <w:sz w:val="17"/>
                <w:szCs w:val="17"/>
                <w:vertAlign w:val="superscript"/>
                <w:lang w:eastAsia="ko-KR"/>
              </w:rPr>
              <w:t>5</w:t>
            </w:r>
            <w:r w:rsidRPr="0056126A">
              <w:rPr>
                <w:rFonts w:eastAsiaTheme="minorEastAsia" w:cs="Segoe UI" w:hint="eastAsia"/>
                <w:sz w:val="17"/>
                <w:szCs w:val="17"/>
                <w:lang w:eastAsia="ko-KR"/>
              </w:rPr>
              <w:t xml:space="preserve"> </w:t>
            </w:r>
            <w:r w:rsidRPr="0056126A">
              <w:rPr>
                <w:rFonts w:eastAsiaTheme="minorEastAsia" w:cs="Segoe UI"/>
                <w:sz w:val="17"/>
                <w:szCs w:val="17"/>
                <w:lang w:eastAsia="ko-KR"/>
              </w:rPr>
              <w:t xml:space="preserve">Brazilian banks are required to build up </w:t>
            </w:r>
            <w:r w:rsidRPr="0056126A">
              <w:rPr>
                <w:rFonts w:eastAsiaTheme="minorEastAsia" w:cs="Segoe UI" w:hint="eastAsia"/>
                <w:sz w:val="17"/>
                <w:szCs w:val="17"/>
                <w:lang w:eastAsia="ko-KR"/>
              </w:rPr>
              <w:t xml:space="preserve">expected loss </w:t>
            </w:r>
            <w:r w:rsidRPr="0056126A">
              <w:rPr>
                <w:rFonts w:eastAsiaTheme="minorEastAsia" w:cs="Segoe UI"/>
                <w:sz w:val="17"/>
                <w:szCs w:val="17"/>
                <w:lang w:eastAsia="ko-KR"/>
              </w:rPr>
              <w:t xml:space="preserve">provisions for all loans overdue more than 15 days. </w:t>
            </w:r>
            <w:r w:rsidRPr="0056126A">
              <w:rPr>
                <w:rFonts w:eastAsiaTheme="minorEastAsia" w:cs="Segoe UI" w:hint="eastAsia"/>
                <w:sz w:val="17"/>
                <w:szCs w:val="17"/>
                <w:lang w:eastAsia="ko-KR"/>
              </w:rPr>
              <w:t xml:space="preserve">The </w:t>
            </w:r>
            <w:r>
              <w:rPr>
                <w:rFonts w:eastAsiaTheme="minorEastAsia" w:cs="Segoe UI"/>
                <w:sz w:val="17"/>
                <w:szCs w:val="17"/>
                <w:lang w:eastAsia="ko-KR"/>
              </w:rPr>
              <w:t xml:space="preserve">tax </w:t>
            </w:r>
            <w:r w:rsidRPr="00BD7620">
              <w:rPr>
                <w:rFonts w:eastAsiaTheme="minorEastAsia" w:cs="Segoe UI"/>
                <w:sz w:val="17"/>
                <w:szCs w:val="17"/>
                <w:lang w:eastAsia="ko-KR"/>
              </w:rPr>
              <w:t xml:space="preserve">revenue </w:t>
            </w:r>
            <w:r>
              <w:rPr>
                <w:rFonts w:eastAsiaTheme="minorEastAsia" w:cs="Segoe UI"/>
                <w:sz w:val="17"/>
                <w:szCs w:val="17"/>
                <w:lang w:eastAsia="ko-KR"/>
              </w:rPr>
              <w:t xml:space="preserve">agency in Brazil </w:t>
            </w:r>
            <w:r w:rsidRPr="0056126A">
              <w:rPr>
                <w:rFonts w:eastAsiaTheme="minorEastAsia" w:cs="Segoe UI" w:hint="eastAsia"/>
                <w:sz w:val="17"/>
                <w:szCs w:val="17"/>
                <w:lang w:eastAsia="ko-KR"/>
              </w:rPr>
              <w:t xml:space="preserve">is conservative in recognizing losses, </w:t>
            </w:r>
            <w:r>
              <w:rPr>
                <w:rFonts w:eastAsiaTheme="minorEastAsia" w:cs="Segoe UI"/>
                <w:sz w:val="17"/>
                <w:szCs w:val="17"/>
                <w:lang w:eastAsia="ko-KR"/>
              </w:rPr>
              <w:t xml:space="preserve">while financial regulations are </w:t>
            </w:r>
            <w:r w:rsidRPr="0056126A">
              <w:rPr>
                <w:rFonts w:eastAsiaTheme="minorEastAsia" w:cs="Segoe UI" w:hint="eastAsia"/>
                <w:sz w:val="17"/>
                <w:szCs w:val="17"/>
                <w:lang w:eastAsia="ko-KR"/>
              </w:rPr>
              <w:t xml:space="preserve">strict in requiring provisions. The difference </w:t>
            </w:r>
            <w:r>
              <w:rPr>
                <w:rFonts w:eastAsiaTheme="minorEastAsia" w:cs="Segoe UI"/>
                <w:sz w:val="17"/>
                <w:szCs w:val="17"/>
                <w:lang w:eastAsia="ko-KR"/>
              </w:rPr>
              <w:t xml:space="preserve">in treatment creates two measures of </w:t>
            </w:r>
            <w:r w:rsidRPr="0056126A">
              <w:rPr>
                <w:rFonts w:eastAsiaTheme="minorEastAsia" w:cs="Segoe UI" w:hint="eastAsia"/>
                <w:sz w:val="17"/>
                <w:szCs w:val="17"/>
                <w:lang w:eastAsia="ko-KR"/>
              </w:rPr>
              <w:t xml:space="preserve">profits, recognized by the BCB and the </w:t>
            </w:r>
            <w:r>
              <w:rPr>
                <w:rFonts w:eastAsiaTheme="minorEastAsia" w:cs="Segoe UI"/>
                <w:sz w:val="17"/>
                <w:szCs w:val="17"/>
                <w:lang w:eastAsia="ko-KR"/>
              </w:rPr>
              <w:t xml:space="preserve">revenue agency </w:t>
            </w:r>
            <w:r w:rsidRPr="0056126A">
              <w:rPr>
                <w:rFonts w:eastAsiaTheme="minorEastAsia" w:cs="Segoe UI" w:hint="eastAsia"/>
                <w:sz w:val="17"/>
                <w:szCs w:val="17"/>
                <w:lang w:eastAsia="ko-KR"/>
              </w:rPr>
              <w:t>separately, and the gap between two is registered as DTAs in the balance sheet. T</w:t>
            </w:r>
            <w:r w:rsidRPr="0056126A">
              <w:rPr>
                <w:rFonts w:eastAsiaTheme="minorEastAsia" w:cs="Segoe UI"/>
                <w:sz w:val="17"/>
                <w:szCs w:val="17"/>
                <w:lang w:eastAsia="ko-KR"/>
              </w:rPr>
              <w:t xml:space="preserve">he BCB requires 100 percent provision for nonperforming loans more than 180 days, but </w:t>
            </w:r>
            <w:r>
              <w:rPr>
                <w:rFonts w:eastAsiaTheme="minorEastAsia" w:cs="Segoe UI"/>
                <w:sz w:val="17"/>
                <w:szCs w:val="17"/>
                <w:lang w:eastAsia="ko-KR"/>
              </w:rPr>
              <w:t xml:space="preserve">tax treatment </w:t>
            </w:r>
            <w:r w:rsidRPr="0056126A">
              <w:rPr>
                <w:rFonts w:eastAsiaTheme="minorEastAsia" w:cs="Segoe UI"/>
                <w:sz w:val="17"/>
                <w:szCs w:val="17"/>
                <w:lang w:eastAsia="ko-KR"/>
              </w:rPr>
              <w:t>allows the recognition of nonperforming loans only after two years from the starting day of judicial procedures to recover the credit.</w:t>
            </w:r>
            <w:r w:rsidRPr="0056126A">
              <w:rPr>
                <w:rFonts w:eastAsiaTheme="minorEastAsia" w:cs="Segoe UI" w:hint="eastAsia"/>
                <w:sz w:val="17"/>
                <w:szCs w:val="17"/>
                <w:lang w:eastAsia="ko-KR"/>
              </w:rPr>
              <w:t xml:space="preserve"> T</w:t>
            </w:r>
            <w:r w:rsidRPr="0056126A">
              <w:rPr>
                <w:rFonts w:eastAsiaTheme="minorEastAsia" w:cs="Segoe UI"/>
                <w:sz w:val="17"/>
                <w:szCs w:val="17"/>
                <w:lang w:eastAsia="ko-KR"/>
              </w:rPr>
              <w:t xml:space="preserve">he BCB requires 100 percent provision for </w:t>
            </w:r>
            <w:r w:rsidRPr="0056126A">
              <w:rPr>
                <w:rFonts w:eastAsiaTheme="minorEastAsia" w:cs="Segoe UI" w:hint="eastAsia"/>
                <w:sz w:val="17"/>
                <w:szCs w:val="17"/>
                <w:lang w:eastAsia="ko-KR"/>
              </w:rPr>
              <w:t xml:space="preserve">any </w:t>
            </w:r>
            <w:r w:rsidRPr="0056126A">
              <w:rPr>
                <w:rFonts w:eastAsiaTheme="minorEastAsia" w:cs="Segoe UI"/>
                <w:sz w:val="17"/>
                <w:szCs w:val="17"/>
                <w:lang w:eastAsia="ko-KR"/>
              </w:rPr>
              <w:t>loss</w:t>
            </w:r>
            <w:r w:rsidRPr="0056126A">
              <w:rPr>
                <w:rFonts w:eastAsiaTheme="minorEastAsia" w:cs="Segoe UI" w:hint="eastAsia"/>
                <w:sz w:val="17"/>
                <w:szCs w:val="17"/>
                <w:lang w:eastAsia="ko-KR"/>
              </w:rPr>
              <w:t>es</w:t>
            </w:r>
            <w:r w:rsidRPr="0056126A">
              <w:rPr>
                <w:rFonts w:eastAsiaTheme="minorEastAsia" w:cs="Segoe UI"/>
                <w:sz w:val="17"/>
                <w:szCs w:val="17"/>
                <w:lang w:eastAsia="ko-KR"/>
              </w:rPr>
              <w:t xml:space="preserve"> due to </w:t>
            </w:r>
            <w:r w:rsidRPr="0056126A">
              <w:rPr>
                <w:rFonts w:eastAsiaTheme="minorEastAsia" w:cs="Segoe UI" w:hint="eastAsia"/>
                <w:sz w:val="17"/>
                <w:szCs w:val="17"/>
                <w:lang w:eastAsia="ko-KR"/>
              </w:rPr>
              <w:t xml:space="preserve">other </w:t>
            </w:r>
            <w:r w:rsidRPr="0056126A">
              <w:rPr>
                <w:rFonts w:eastAsiaTheme="minorEastAsia" w:cs="Segoe UI"/>
                <w:sz w:val="17"/>
                <w:szCs w:val="17"/>
                <w:lang w:eastAsia="ko-KR"/>
              </w:rPr>
              <w:t xml:space="preserve">judicial processes, </w:t>
            </w:r>
            <w:r>
              <w:rPr>
                <w:rFonts w:eastAsiaTheme="minorEastAsia" w:cs="Segoe UI"/>
                <w:sz w:val="17"/>
                <w:szCs w:val="17"/>
                <w:lang w:eastAsia="ko-KR"/>
              </w:rPr>
              <w:t xml:space="preserve">while tax laws </w:t>
            </w:r>
            <w:r w:rsidRPr="0056126A">
              <w:rPr>
                <w:rFonts w:eastAsiaTheme="minorEastAsia" w:cs="Segoe UI"/>
                <w:sz w:val="17"/>
                <w:szCs w:val="17"/>
                <w:lang w:eastAsia="ko-KR"/>
              </w:rPr>
              <w:t xml:space="preserve">only </w:t>
            </w:r>
            <w:proofErr w:type="gramStart"/>
            <w:r w:rsidRPr="0056126A">
              <w:rPr>
                <w:rFonts w:eastAsiaTheme="minorEastAsia" w:cs="Segoe UI"/>
                <w:sz w:val="17"/>
                <w:szCs w:val="17"/>
                <w:lang w:eastAsia="ko-KR"/>
              </w:rPr>
              <w:t>recognizes</w:t>
            </w:r>
            <w:proofErr w:type="gramEnd"/>
            <w:r w:rsidRPr="0056126A">
              <w:rPr>
                <w:rFonts w:eastAsiaTheme="minorEastAsia" w:cs="Segoe UI"/>
                <w:sz w:val="17"/>
                <w:szCs w:val="17"/>
                <w:lang w:eastAsia="ko-KR"/>
              </w:rPr>
              <w:t xml:space="preserve"> these loss</w:t>
            </w:r>
            <w:r w:rsidRPr="0056126A">
              <w:rPr>
                <w:rFonts w:eastAsiaTheme="minorEastAsia" w:cs="Segoe UI" w:hint="eastAsia"/>
                <w:sz w:val="17"/>
                <w:szCs w:val="17"/>
                <w:lang w:eastAsia="ko-KR"/>
              </w:rPr>
              <w:t>es when due.</w:t>
            </w:r>
          </w:p>
        </w:tc>
      </w:tr>
    </w:tbl>
    <w:p w:rsidR="00CC26CC" w:rsidRPr="001C16EE" w:rsidRDefault="00CC26CC" w:rsidP="00CC26CC">
      <w:pPr>
        <w:rPr>
          <w:rFonts w:ascii="Frutiger LT Std 45 Light" w:hAnsi="Frutiger LT Std 45 Light"/>
          <w:szCs w:val="21"/>
        </w:rPr>
      </w:pPr>
    </w:p>
    <w:p w:rsidR="00CC26CC" w:rsidRPr="00C410E7" w:rsidRDefault="00CC26CC" w:rsidP="00CC26CC">
      <w:pPr>
        <w:keepNext/>
      </w:pPr>
    </w:p>
    <w:p w:rsidR="00343D3B" w:rsidRDefault="00343D3B">
      <w:pPr>
        <w:spacing w:line="22" w:lineRule="auto"/>
      </w:pPr>
      <w:r>
        <w:br w:type="page"/>
      </w:r>
    </w:p>
    <w:p w:rsidR="00343D3B" w:rsidRPr="00F04FE9" w:rsidRDefault="00C10E0B" w:rsidP="00343D3B">
      <w:pPr>
        <w:spacing w:line="400" w:lineRule="exact"/>
        <w:jc w:val="center"/>
        <w:rPr>
          <w:rStyle w:val="FootnoteReference"/>
          <w:sz w:val="32"/>
        </w:rPr>
      </w:pPr>
      <w:r>
        <w:rPr>
          <w:sz w:val="24"/>
        </w:rPr>
        <w:lastRenderedPageBreak/>
        <w:fldChar w:fldCharType="begin"/>
      </w:r>
      <w:r w:rsidR="00343D3B" w:rsidRPr="005801EC">
        <w:rPr>
          <w:sz w:val="24"/>
        </w:rPr>
        <w:instrText>tc "</w:instrText>
      </w:r>
      <w:bookmarkStart w:id="3" w:name="_Toc327525300"/>
      <w:bookmarkStart w:id="4" w:name="_Toc327527521"/>
      <w:bookmarkStart w:id="5" w:name="_Toc327527617"/>
      <w:bookmarkStart w:id="6" w:name="_Toc327527744"/>
      <w:bookmarkStart w:id="7" w:name="_Toc328403802"/>
      <w:r w:rsidR="00343D3B" w:rsidRPr="005801EC">
        <w:rPr>
          <w:sz w:val="24"/>
        </w:rPr>
        <w:instrText>VI.  Brazil’s External Sector Assessment</w:instrText>
      </w:r>
      <w:bookmarkEnd w:id="3"/>
      <w:bookmarkEnd w:id="4"/>
      <w:bookmarkEnd w:id="5"/>
      <w:bookmarkEnd w:id="6"/>
      <w:bookmarkEnd w:id="7"/>
      <w:r w:rsidR="00343D3B" w:rsidRPr="005801EC">
        <w:rPr>
          <w:sz w:val="24"/>
        </w:rPr>
        <w:instrText>" \f J</w:instrText>
      </w:r>
      <w:r>
        <w:rPr>
          <w:sz w:val="24"/>
        </w:rPr>
        <w:fldChar w:fldCharType="end"/>
      </w:r>
      <w:r w:rsidR="00343D3B">
        <w:rPr>
          <w:b/>
          <w:sz w:val="32"/>
          <w:szCs w:val="32"/>
        </w:rPr>
        <w:t>Annex I</w:t>
      </w:r>
      <w:r w:rsidR="00343D3B" w:rsidRPr="00F04FE9">
        <w:rPr>
          <w:b/>
          <w:sz w:val="32"/>
          <w:szCs w:val="32"/>
        </w:rPr>
        <w:t>. Brazil’s External Sector Assessment</w:t>
      </w:r>
    </w:p>
    <w:p w:rsidR="00343D3B" w:rsidRPr="00223C64" w:rsidRDefault="00343D3B" w:rsidP="00343D3B">
      <w:pPr>
        <w:pStyle w:val="SectionSummary"/>
        <w:spacing w:after="0"/>
        <w:rPr>
          <w:sz w:val="16"/>
          <w:szCs w:val="16"/>
        </w:rPr>
      </w:pPr>
    </w:p>
    <w:p w:rsidR="00343D3B" w:rsidRDefault="00343D3B" w:rsidP="00343D3B">
      <w:pPr>
        <w:pStyle w:val="SectionSummary"/>
        <w:spacing w:line="240" w:lineRule="auto"/>
        <w:ind w:left="0" w:right="90"/>
      </w:pPr>
      <w:r>
        <w:t xml:space="preserve">The staff assess that Brazil’s current account deficit is somewhat below a range of estimates for its medium-term norm and the exchange rate is somewhat above levels that can be explained by underlying fundamentals and </w:t>
      </w:r>
      <w:r w:rsidRPr="00F704AA">
        <w:t>appropriate</w:t>
      </w:r>
      <w:r>
        <w:t xml:space="preserve"> policy settings. Further efforts to increase savings and investment would help address these imbalances. It will be important to maintain a macro policy mix that moderates demand and facilitates rebalancing. Capital flow management measures (CFMs) can be used in the transition to help manage volatile capital flows.</w:t>
      </w:r>
    </w:p>
    <w:p w:rsidR="00343D3B" w:rsidRPr="00F704AA" w:rsidRDefault="00343D3B" w:rsidP="00343D3B">
      <w:pPr>
        <w:spacing w:after="240" w:line="240" w:lineRule="auto"/>
        <w:rPr>
          <w:b/>
        </w:rPr>
      </w:pPr>
      <w:r w:rsidRPr="00F704AA">
        <w:rPr>
          <w:b/>
        </w:rPr>
        <w:t xml:space="preserve">Current Account </w:t>
      </w:r>
    </w:p>
    <w:p w:rsidR="00343D3B" w:rsidRDefault="00343D3B" w:rsidP="00343D3B">
      <w:pPr>
        <w:pStyle w:val="ParagraphNumbering"/>
        <w:numPr>
          <w:ilvl w:val="0"/>
          <w:numId w:val="42"/>
        </w:numPr>
        <w:spacing w:line="240" w:lineRule="auto"/>
        <w:ind w:left="0" w:firstLine="0"/>
      </w:pPr>
      <w:r w:rsidRPr="006B4C9A">
        <w:rPr>
          <w:b/>
          <w:i/>
        </w:rPr>
        <w:t xml:space="preserve">Brazil’s current account has </w:t>
      </w:r>
      <w:r>
        <w:rPr>
          <w:b/>
          <w:i/>
        </w:rPr>
        <w:t xml:space="preserve">turned </w:t>
      </w:r>
      <w:r w:rsidRPr="006B4C9A">
        <w:rPr>
          <w:b/>
          <w:i/>
        </w:rPr>
        <w:t xml:space="preserve">into deficit over the last </w:t>
      </w:r>
      <w:r>
        <w:rPr>
          <w:b/>
          <w:i/>
        </w:rPr>
        <w:t>decade</w:t>
      </w:r>
      <w:r w:rsidRPr="00195A1D">
        <w:rPr>
          <w:b/>
          <w:i/>
        </w:rPr>
        <w:t xml:space="preserve">, despite </w:t>
      </w:r>
      <w:r>
        <w:rPr>
          <w:b/>
          <w:i/>
        </w:rPr>
        <w:t xml:space="preserve">large </w:t>
      </w:r>
      <w:r w:rsidRPr="006B4C9A">
        <w:rPr>
          <w:b/>
          <w:i/>
        </w:rPr>
        <w:t xml:space="preserve">terms of trade gains. </w:t>
      </w:r>
      <w:r>
        <w:t>Import volumes doubled since 2004, supported by strong domestic demand, while export volumes have remained broadly flat. Booming commodity prices have sustained primary exports and helped containing the current account deficit, but the share of manufactured exports has declined. This pattern continued in 2012, with the trade balance deteriorating further amid</w:t>
      </w:r>
      <w:r w:rsidRPr="009413C8">
        <w:t xml:space="preserve"> </w:t>
      </w:r>
      <w:r>
        <w:t>somewhat less favorable terms of trade. As an illustration of the impact of commodity prices on the trade balance, were the terms of trade to return to their 2005 level Brazil’s current account deficit would have reached 4 percent of GDP in 2012 (compared with the actual 2.3 percent of GDP).</w:t>
      </w:r>
    </w:p>
    <w:p w:rsidR="00343D3B" w:rsidRDefault="00343D3B" w:rsidP="00343D3B">
      <w:pPr>
        <w:pStyle w:val="ParagraphNumbering"/>
        <w:numPr>
          <w:ilvl w:val="0"/>
          <w:numId w:val="0"/>
        </w:numPr>
        <w:spacing w:line="240" w:lineRule="auto"/>
      </w:pPr>
      <w:r>
        <w:rPr>
          <w:noProof/>
        </w:rPr>
        <w:drawing>
          <wp:inline distT="0" distB="0" distL="0" distR="0">
            <wp:extent cx="5504180" cy="1884045"/>
            <wp:effectExtent l="1905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srcRect/>
                    <a:stretch>
                      <a:fillRect/>
                    </a:stretch>
                  </pic:blipFill>
                  <pic:spPr bwMode="auto">
                    <a:xfrm>
                      <a:off x="0" y="0"/>
                      <a:ext cx="5504180" cy="1884045"/>
                    </a:xfrm>
                    <a:prstGeom prst="rect">
                      <a:avLst/>
                    </a:prstGeom>
                    <a:noFill/>
                    <a:ln w="9525">
                      <a:noFill/>
                      <a:miter lim="800000"/>
                      <a:headEnd/>
                      <a:tailEnd/>
                    </a:ln>
                  </pic:spPr>
                </pic:pic>
              </a:graphicData>
            </a:graphic>
          </wp:inline>
        </w:drawing>
      </w:r>
    </w:p>
    <w:p w:rsidR="00343D3B" w:rsidRDefault="00343D3B" w:rsidP="00343D3B">
      <w:pPr>
        <w:pStyle w:val="ParagraphNumbering"/>
        <w:numPr>
          <w:ilvl w:val="0"/>
          <w:numId w:val="0"/>
        </w:numPr>
        <w:spacing w:line="240" w:lineRule="auto"/>
        <w:ind w:left="360" w:hanging="360"/>
      </w:pPr>
    </w:p>
    <w:p w:rsidR="00343D3B" w:rsidRDefault="00343D3B" w:rsidP="00343D3B">
      <w:pPr>
        <w:pStyle w:val="ParagraphNumbering"/>
        <w:numPr>
          <w:ilvl w:val="0"/>
          <w:numId w:val="0"/>
        </w:numPr>
        <w:spacing w:line="240" w:lineRule="auto"/>
        <w:ind w:left="360" w:hanging="360"/>
      </w:pPr>
    </w:p>
    <w:p w:rsidR="00343D3B" w:rsidRDefault="00343D3B" w:rsidP="00343D3B">
      <w:pPr>
        <w:pStyle w:val="ParagraphNumbering"/>
        <w:numPr>
          <w:ilvl w:val="0"/>
          <w:numId w:val="0"/>
        </w:numPr>
        <w:spacing w:line="240" w:lineRule="auto"/>
        <w:ind w:left="360" w:hanging="360"/>
      </w:pPr>
    </w:p>
    <w:p w:rsidR="00343D3B" w:rsidRDefault="00343D3B" w:rsidP="00343D3B">
      <w:pPr>
        <w:pStyle w:val="ParagraphNumbering"/>
        <w:numPr>
          <w:ilvl w:val="0"/>
          <w:numId w:val="0"/>
        </w:numPr>
        <w:spacing w:line="240" w:lineRule="auto"/>
        <w:ind w:left="360" w:hanging="360"/>
      </w:pPr>
    </w:p>
    <w:p w:rsidR="00343D3B" w:rsidRDefault="00343D3B" w:rsidP="00343D3B">
      <w:pPr>
        <w:pStyle w:val="ParagraphNumbering"/>
        <w:numPr>
          <w:ilvl w:val="0"/>
          <w:numId w:val="0"/>
        </w:numPr>
        <w:spacing w:line="240" w:lineRule="auto"/>
        <w:ind w:left="360" w:hanging="360"/>
      </w:pPr>
      <w:r>
        <w:rPr>
          <w:noProof/>
        </w:rPr>
        <w:lastRenderedPageBreak/>
        <w:drawing>
          <wp:inline distT="0" distB="0" distL="0" distR="0">
            <wp:extent cx="5608955" cy="2223770"/>
            <wp:effectExtent l="1905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srcRect/>
                    <a:stretch>
                      <a:fillRect/>
                    </a:stretch>
                  </pic:blipFill>
                  <pic:spPr bwMode="auto">
                    <a:xfrm>
                      <a:off x="0" y="0"/>
                      <a:ext cx="5608955" cy="2223770"/>
                    </a:xfrm>
                    <a:prstGeom prst="rect">
                      <a:avLst/>
                    </a:prstGeom>
                    <a:noFill/>
                    <a:ln w="9525">
                      <a:noFill/>
                      <a:miter lim="800000"/>
                      <a:headEnd/>
                      <a:tailEnd/>
                    </a:ln>
                  </pic:spPr>
                </pic:pic>
              </a:graphicData>
            </a:graphic>
          </wp:inline>
        </w:drawing>
      </w:r>
      <w:r w:rsidRPr="00D63FFD">
        <w:rPr>
          <w:noProof/>
        </w:rPr>
        <w:t xml:space="preserve"> </w:t>
      </w:r>
    </w:p>
    <w:p w:rsidR="00343D3B" w:rsidRDefault="00343D3B" w:rsidP="00343D3B">
      <w:pPr>
        <w:pStyle w:val="ParagraphNumbering"/>
        <w:numPr>
          <w:ilvl w:val="0"/>
          <w:numId w:val="42"/>
        </w:numPr>
        <w:spacing w:line="240" w:lineRule="auto"/>
        <w:ind w:left="0" w:firstLine="0"/>
      </w:pPr>
      <w:r w:rsidRPr="006B4C9A">
        <w:rPr>
          <w:b/>
          <w:i/>
        </w:rPr>
        <w:t xml:space="preserve">The observed worsening of the current account balance </w:t>
      </w:r>
      <w:r>
        <w:rPr>
          <w:b/>
          <w:i/>
        </w:rPr>
        <w:t xml:space="preserve">has </w:t>
      </w:r>
      <w:r w:rsidRPr="006B4C9A">
        <w:rPr>
          <w:b/>
          <w:i/>
        </w:rPr>
        <w:t>reflect</w:t>
      </w:r>
      <w:r>
        <w:rPr>
          <w:b/>
          <w:i/>
        </w:rPr>
        <w:t xml:space="preserve">ed a recovery of investment and relatively low </w:t>
      </w:r>
      <w:r w:rsidRPr="006B4C9A">
        <w:rPr>
          <w:b/>
          <w:i/>
        </w:rPr>
        <w:t>saving</w:t>
      </w:r>
      <w:r>
        <w:rPr>
          <w:b/>
          <w:i/>
        </w:rPr>
        <w:t>s.</w:t>
      </w:r>
      <w:r>
        <w:t xml:space="preserve"> The challenge to Brazil’s external sector outlook from a savings-investment perspective is that both private and public savings are relatively low compared with other emerging economies. Increasing domestic saving would help preventing further deterioration in external balances over the medium term and support an increase in investment—also relatively low compared to other emerging economies. Policies that could help bolster savings include further steps to reform the pension system, containing the rate of growth of public consumption, and capital market reforms.</w:t>
      </w:r>
    </w:p>
    <w:p w:rsidR="00343D3B" w:rsidRPr="00286FA8" w:rsidRDefault="00343D3B" w:rsidP="00343D3B">
      <w:pPr>
        <w:pStyle w:val="ParagraphNumbering"/>
        <w:numPr>
          <w:ilvl w:val="0"/>
          <w:numId w:val="42"/>
        </w:numPr>
        <w:spacing w:line="240" w:lineRule="auto"/>
        <w:ind w:left="0" w:firstLine="0"/>
      </w:pPr>
      <w:r>
        <w:rPr>
          <w:b/>
          <w:i/>
        </w:rPr>
        <w:t>T</w:t>
      </w:r>
      <w:r w:rsidRPr="00012251">
        <w:rPr>
          <w:b/>
          <w:i/>
        </w:rPr>
        <w:t>he current account deficit is expected to widen further over the medium term to over 3</w:t>
      </w:r>
      <w:r>
        <w:rPr>
          <w:b/>
          <w:i/>
        </w:rPr>
        <w:t> </w:t>
      </w:r>
      <w:r w:rsidRPr="00012251">
        <w:rPr>
          <w:b/>
          <w:i/>
        </w:rPr>
        <w:t>percent of GDP</w:t>
      </w:r>
      <w:r>
        <w:rPr>
          <w:b/>
          <w:i/>
        </w:rPr>
        <w:t xml:space="preserve">, </w:t>
      </w:r>
      <w:r w:rsidRPr="00DF7EE1">
        <w:t>under unchanged policies and at the current level of the real exchange rate</w:t>
      </w:r>
      <w:r w:rsidRPr="00DF7EE1">
        <w:rPr>
          <w:i/>
        </w:rPr>
        <w:t>.</w:t>
      </w:r>
      <w:r w:rsidRPr="00DF7EE1">
        <w:t xml:space="preserve"> </w:t>
      </w:r>
      <w:r>
        <w:t>This outlook is based on buoyant growth in imports and some gradual worsening in the terms of trade over the medium term. The ongoing development of Brazil’s off-shore (“pre-</w:t>
      </w:r>
      <w:proofErr w:type="spellStart"/>
      <w:r>
        <w:t>sal</w:t>
      </w:r>
      <w:proofErr w:type="spellEnd"/>
      <w:r>
        <w:t>”) oil potential, however, introduces considerable uncertainty to these projections.</w:t>
      </w:r>
      <w:r>
        <w:rPr>
          <w:rStyle w:val="FootnoteReference"/>
        </w:rPr>
        <w:footnoteReference w:id="8"/>
      </w:r>
      <w:r>
        <w:t xml:space="preserve"> Based on the staff’s current estimates, the oil balance—oil exports net of direct oil imports and imports of capital goods related to the oil sector—is expected to </w:t>
      </w:r>
      <w:r w:rsidRPr="00286FA8">
        <w:t xml:space="preserve">improve by half of </w:t>
      </w:r>
      <w:r>
        <w:t xml:space="preserve">one </w:t>
      </w:r>
      <w:r w:rsidRPr="00286FA8">
        <w:t>percentage point of GDP from 2012 to 201</w:t>
      </w:r>
      <w:r>
        <w:t>8. Over the next decade,</w:t>
      </w:r>
      <w:r w:rsidRPr="00286FA8">
        <w:t xml:space="preserve"> net oil exports are projected to increase to more than 3 million barrels per day, which would </w:t>
      </w:r>
      <w:r>
        <w:t xml:space="preserve">help contain </w:t>
      </w:r>
      <w:r w:rsidRPr="00286FA8">
        <w:t xml:space="preserve">the </w:t>
      </w:r>
      <w:r>
        <w:t xml:space="preserve">increase in the </w:t>
      </w:r>
      <w:r w:rsidRPr="00286FA8">
        <w:t>current account deficit. These developments—if not offset by higher imports—would help reduc</w:t>
      </w:r>
      <w:r>
        <w:t>e</w:t>
      </w:r>
      <w:r w:rsidRPr="00286FA8">
        <w:t xml:space="preserve"> the estimated current account and exchange rate gaps in the long run. </w:t>
      </w:r>
    </w:p>
    <w:p w:rsidR="00343D3B" w:rsidRPr="00F704AA" w:rsidRDefault="00343D3B" w:rsidP="00343D3B">
      <w:pPr>
        <w:spacing w:after="240" w:line="240" w:lineRule="auto"/>
        <w:rPr>
          <w:b/>
        </w:rPr>
      </w:pPr>
      <w:r w:rsidRPr="00F704AA">
        <w:rPr>
          <w:b/>
        </w:rPr>
        <w:t>Exchange rate and relative prices</w:t>
      </w:r>
    </w:p>
    <w:p w:rsidR="00343D3B" w:rsidRDefault="00343D3B" w:rsidP="00343D3B">
      <w:pPr>
        <w:pStyle w:val="ParagraphNumbering"/>
        <w:numPr>
          <w:ilvl w:val="0"/>
          <w:numId w:val="42"/>
        </w:numPr>
        <w:spacing w:line="240" w:lineRule="auto"/>
        <w:ind w:left="0" w:firstLine="0"/>
      </w:pPr>
      <w:r>
        <w:rPr>
          <w:b/>
          <w:i/>
          <w:noProof/>
        </w:rPr>
        <w:lastRenderedPageBreak/>
        <w:drawing>
          <wp:anchor distT="0" distB="0" distL="114300" distR="114300" simplePos="0" relativeHeight="251721728" behindDoc="0" locked="0" layoutInCell="1" allowOverlap="1">
            <wp:simplePos x="0" y="0"/>
            <wp:positionH relativeFrom="column">
              <wp:posOffset>6985</wp:posOffset>
            </wp:positionH>
            <wp:positionV relativeFrom="paragraph">
              <wp:posOffset>4079875</wp:posOffset>
            </wp:positionV>
            <wp:extent cx="5908675" cy="2346325"/>
            <wp:effectExtent l="0" t="0" r="0" b="0"/>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srcRect/>
                    <a:stretch>
                      <a:fillRect/>
                    </a:stretch>
                  </pic:blipFill>
                  <pic:spPr bwMode="auto">
                    <a:xfrm>
                      <a:off x="0" y="0"/>
                      <a:ext cx="5908675" cy="2346325"/>
                    </a:xfrm>
                    <a:prstGeom prst="rect">
                      <a:avLst/>
                    </a:prstGeom>
                    <a:noFill/>
                    <a:ln w="9525">
                      <a:noFill/>
                      <a:miter lim="800000"/>
                      <a:headEnd/>
                      <a:tailEnd/>
                    </a:ln>
                  </pic:spPr>
                </pic:pic>
              </a:graphicData>
            </a:graphic>
          </wp:anchor>
        </w:drawing>
      </w:r>
      <w:r>
        <w:rPr>
          <w:b/>
          <w:i/>
          <w:noProof/>
        </w:rPr>
        <w:drawing>
          <wp:anchor distT="0" distB="0" distL="114300" distR="114300" simplePos="0" relativeHeight="251720704" behindDoc="0" locked="0" layoutInCell="1" allowOverlap="1">
            <wp:simplePos x="0" y="0"/>
            <wp:positionH relativeFrom="column">
              <wp:posOffset>2700655</wp:posOffset>
            </wp:positionH>
            <wp:positionV relativeFrom="paragraph">
              <wp:posOffset>344805</wp:posOffset>
            </wp:positionV>
            <wp:extent cx="2922270" cy="2363470"/>
            <wp:effectExtent l="19050" t="0" r="0" b="0"/>
            <wp:wrapSquare wrapText="bothSides"/>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srcRect/>
                    <a:stretch>
                      <a:fillRect/>
                    </a:stretch>
                  </pic:blipFill>
                  <pic:spPr bwMode="auto">
                    <a:xfrm>
                      <a:off x="0" y="0"/>
                      <a:ext cx="2922270" cy="2363470"/>
                    </a:xfrm>
                    <a:prstGeom prst="rect">
                      <a:avLst/>
                    </a:prstGeom>
                    <a:noFill/>
                    <a:ln w="9525">
                      <a:noFill/>
                      <a:miter lim="800000"/>
                      <a:headEnd/>
                      <a:tailEnd/>
                    </a:ln>
                  </pic:spPr>
                </pic:pic>
              </a:graphicData>
            </a:graphic>
          </wp:anchor>
        </w:drawing>
      </w:r>
      <w:r>
        <w:rPr>
          <w:b/>
          <w:i/>
        </w:rPr>
        <w:t xml:space="preserve">Despite a recent depreciation, the </w:t>
      </w:r>
      <w:r w:rsidRPr="00542DD2">
        <w:rPr>
          <w:b/>
          <w:i/>
        </w:rPr>
        <w:t>real exchange rate</w:t>
      </w:r>
      <w:r>
        <w:rPr>
          <w:b/>
          <w:i/>
        </w:rPr>
        <w:t xml:space="preserve"> remains around pre-crisis levels</w:t>
      </w:r>
      <w:r w:rsidRPr="00542DD2">
        <w:rPr>
          <w:b/>
          <w:i/>
        </w:rPr>
        <w:t>.</w:t>
      </w:r>
      <w:r>
        <w:rPr>
          <w:b/>
        </w:rPr>
        <w:t xml:space="preserve"> </w:t>
      </w:r>
      <w:r>
        <w:t>The real effective exchange rate (REER) rose substantially since the early 2000s through mid-2011, but since then it has depreciated, partly reversing the significant appreciation. However, the REER remains</w:t>
      </w:r>
      <w:r w:rsidRPr="00E41885">
        <w:t xml:space="preserve"> </w:t>
      </w:r>
      <w:r>
        <w:t>about 20 percent above its long-term average levels. Most of the movement in the REER was due to changes in the nominal effective exchange rate, although in recent year the contribution of inflation differentials has increased. The appreciation has also partly contributed to Brazil’s rising unit labor costs. Brazil’s terms of trade have increased about 30 percent since 2004, although there has been some reversal since late 2011, reflecting the decline in some commodity prices (iron ore). Capital flows have diminished since 2010-11 but remain sizable, with a shift in composition from portfolio to foreign direct investment flows.</w:t>
      </w:r>
      <w:r w:rsidRPr="00C4556D">
        <w:t xml:space="preserve"> </w:t>
      </w:r>
    </w:p>
    <w:p w:rsidR="00343D3B" w:rsidRDefault="00343D3B" w:rsidP="00343D3B">
      <w:pPr>
        <w:spacing w:after="240" w:line="240" w:lineRule="auto"/>
        <w:rPr>
          <w:b/>
        </w:rPr>
      </w:pPr>
    </w:p>
    <w:p w:rsidR="00343D3B" w:rsidRPr="00F704AA" w:rsidRDefault="00343D3B" w:rsidP="00343D3B">
      <w:pPr>
        <w:spacing w:after="240" w:line="240" w:lineRule="auto"/>
        <w:rPr>
          <w:b/>
        </w:rPr>
      </w:pPr>
      <w:r w:rsidRPr="00F704AA">
        <w:rPr>
          <w:b/>
        </w:rPr>
        <w:t xml:space="preserve">Model based current account and exchange rate valuations </w:t>
      </w:r>
    </w:p>
    <w:p w:rsidR="00343D3B" w:rsidRDefault="00343D3B" w:rsidP="00343D3B">
      <w:pPr>
        <w:pStyle w:val="ParagraphNumbering"/>
        <w:numPr>
          <w:ilvl w:val="0"/>
          <w:numId w:val="42"/>
        </w:numPr>
        <w:spacing w:after="0" w:line="240" w:lineRule="auto"/>
        <w:ind w:left="0" w:firstLine="0"/>
      </w:pPr>
      <w:r>
        <w:rPr>
          <w:b/>
          <w:i/>
        </w:rPr>
        <w:t>M</w:t>
      </w:r>
      <w:r w:rsidRPr="00BF3E50">
        <w:rPr>
          <w:b/>
          <w:i/>
        </w:rPr>
        <w:t xml:space="preserve">odel based estimates suggest that the current account deficit is somewhat </w:t>
      </w:r>
      <w:r>
        <w:rPr>
          <w:b/>
          <w:i/>
        </w:rPr>
        <w:t xml:space="preserve">larger than </w:t>
      </w:r>
      <w:r w:rsidRPr="00BF3E50">
        <w:rPr>
          <w:b/>
          <w:i/>
        </w:rPr>
        <w:t>its medium-term norm and that the real exchange rate is on the strong side.</w:t>
      </w:r>
      <w:r w:rsidRPr="00BF3E50">
        <w:rPr>
          <w:b/>
        </w:rPr>
        <w:t xml:space="preserve"> </w:t>
      </w:r>
      <w:r>
        <w:t xml:space="preserve">The staff’s analysis suggests that a structural current account deficit of about [1-1.5] percent of GDP over the medium term and real exchange </w:t>
      </w:r>
      <w:r>
        <w:lastRenderedPageBreak/>
        <w:t xml:space="preserve">rate depreciation of about [10-15] percent would be consistent with fundamentals and desirable policy settings. These assessments are within the range of model-based estimates: </w:t>
      </w:r>
    </w:p>
    <w:p w:rsidR="00343D3B" w:rsidRDefault="00343D3B" w:rsidP="00343D3B">
      <w:pPr>
        <w:pStyle w:val="ListBullet"/>
        <w:spacing w:after="0" w:line="240" w:lineRule="auto"/>
      </w:pPr>
      <w:r>
        <w:t xml:space="preserve">The IMF’s External Balance Approach and the traditional CGER approach suggest norms for the </w:t>
      </w:r>
      <w:proofErr w:type="gramStart"/>
      <w:r>
        <w:t>medium term</w:t>
      </w:r>
      <w:proofErr w:type="gramEnd"/>
      <w:r>
        <w:t xml:space="preserve"> current account deficit in Brazil in the range of [0.8-2.5] percent of GDP. These estimates could understate norms given upside uncertainty on oil production and export prospects.</w:t>
      </w:r>
    </w:p>
    <w:p w:rsidR="00343D3B" w:rsidRDefault="00343D3B" w:rsidP="00343D3B">
      <w:pPr>
        <w:pStyle w:val="ListBullet"/>
        <w:spacing w:after="0" w:line="240" w:lineRule="auto"/>
      </w:pPr>
      <w:r>
        <w:t xml:space="preserve">The estimates for real exchange rate misalignment are similar across the EBA RER and CGER approaches, indicating an overvaluation of about [9-20] percent relative to current and </w:t>
      </w:r>
      <w:proofErr w:type="gramStart"/>
      <w:r>
        <w:t>medium term</w:t>
      </w:r>
      <w:proofErr w:type="gramEnd"/>
      <w:r>
        <w:t xml:space="preserve"> fundamentals. </w:t>
      </w:r>
    </w:p>
    <w:p w:rsidR="00343D3B" w:rsidRDefault="00343D3B" w:rsidP="00343D3B">
      <w:pPr>
        <w:pStyle w:val="ListBullet"/>
        <w:numPr>
          <w:ilvl w:val="0"/>
          <w:numId w:val="0"/>
        </w:numPr>
        <w:spacing w:after="0" w:line="240" w:lineRule="auto"/>
        <w:ind w:left="360"/>
      </w:pPr>
      <w:r>
        <w:rPr>
          <w:noProof/>
        </w:rPr>
        <w:drawing>
          <wp:anchor distT="0" distB="0" distL="114300" distR="114300" simplePos="0" relativeHeight="251722752" behindDoc="0" locked="0" layoutInCell="1" allowOverlap="1">
            <wp:simplePos x="0" y="0"/>
            <wp:positionH relativeFrom="column">
              <wp:posOffset>420370</wp:posOffset>
            </wp:positionH>
            <wp:positionV relativeFrom="paragraph">
              <wp:posOffset>113665</wp:posOffset>
            </wp:positionV>
            <wp:extent cx="5330825" cy="2873375"/>
            <wp:effectExtent l="19050" t="0" r="3175" b="0"/>
            <wp:wrapSquare wrapText="bothSides"/>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srcRect/>
                    <a:stretch>
                      <a:fillRect/>
                    </a:stretch>
                  </pic:blipFill>
                  <pic:spPr bwMode="auto">
                    <a:xfrm>
                      <a:off x="0" y="0"/>
                      <a:ext cx="5330825" cy="2873375"/>
                    </a:xfrm>
                    <a:prstGeom prst="rect">
                      <a:avLst/>
                    </a:prstGeom>
                    <a:noFill/>
                    <a:ln w="9525">
                      <a:noFill/>
                      <a:miter lim="800000"/>
                      <a:headEnd/>
                      <a:tailEnd/>
                    </a:ln>
                  </pic:spPr>
                </pic:pic>
              </a:graphicData>
            </a:graphic>
          </wp:anchor>
        </w:drawing>
      </w: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Pr="0093267B" w:rsidRDefault="00343D3B" w:rsidP="00343D3B">
      <w:pPr>
        <w:spacing w:after="240" w:line="240" w:lineRule="auto"/>
        <w:rPr>
          <w:b/>
        </w:rPr>
      </w:pPr>
      <w:r w:rsidRPr="0093267B">
        <w:rPr>
          <w:b/>
        </w:rPr>
        <w:t>Capital account flows, international reserves and international investment position</w:t>
      </w:r>
    </w:p>
    <w:p w:rsidR="00343D3B" w:rsidRPr="000805CF" w:rsidRDefault="00343D3B" w:rsidP="00343D3B">
      <w:pPr>
        <w:pStyle w:val="ParagraphNumbering"/>
        <w:numPr>
          <w:ilvl w:val="0"/>
          <w:numId w:val="42"/>
        </w:numPr>
        <w:spacing w:line="240" w:lineRule="auto"/>
        <w:ind w:left="0" w:firstLine="0"/>
        <w:rPr>
          <w:rFonts w:cs="Segoe UI"/>
          <w:szCs w:val="21"/>
        </w:rPr>
      </w:pPr>
      <w:r>
        <w:rPr>
          <w:b/>
          <w:i/>
        </w:rPr>
        <w:t xml:space="preserve">Following the global crisis, </w:t>
      </w:r>
      <w:r w:rsidRPr="00B1720A">
        <w:rPr>
          <w:b/>
          <w:i/>
        </w:rPr>
        <w:t xml:space="preserve">Brazil attracted sizable capital inflows that helped to finance the current account deficit and contributed to </w:t>
      </w:r>
      <w:r>
        <w:rPr>
          <w:b/>
          <w:i/>
        </w:rPr>
        <w:t xml:space="preserve">currency </w:t>
      </w:r>
      <w:r w:rsidRPr="00B1720A">
        <w:rPr>
          <w:b/>
          <w:i/>
        </w:rPr>
        <w:t>appreciation</w:t>
      </w:r>
      <w:r>
        <w:t xml:space="preserve"> (Panel). </w:t>
      </w:r>
      <w:r w:rsidRPr="00B1720A">
        <w:t xml:space="preserve">In the </w:t>
      </w:r>
      <w:r>
        <w:t xml:space="preserve">crisis’ </w:t>
      </w:r>
      <w:r w:rsidRPr="00B1720A">
        <w:t>aftermath Brazil experienced large capital inflows</w:t>
      </w:r>
      <w:r>
        <w:t xml:space="preserve"> </w:t>
      </w:r>
      <w:r w:rsidRPr="00B1720A">
        <w:t>amid robust economic growth and high interest rate differentials. Foreign capital inflows reached 5</w:t>
      </w:r>
      <w:r>
        <w:t xml:space="preserve">¼ </w:t>
      </w:r>
      <w:r w:rsidRPr="00B1720A">
        <w:t>and 7</w:t>
      </w:r>
      <w:r>
        <w:t xml:space="preserve">½ </w:t>
      </w:r>
      <w:r w:rsidRPr="00B1720A">
        <w:t xml:space="preserve">percent of GDP in 2009 and 2010, respectively, with portfolio flows contributing about half of total inflows. </w:t>
      </w:r>
      <w:r w:rsidRPr="00B1720A">
        <w:rPr>
          <w:rFonts w:cs="Segoe UI"/>
          <w:szCs w:val="21"/>
        </w:rPr>
        <w:t>Since mid-2011</w:t>
      </w:r>
      <w:r>
        <w:rPr>
          <w:rFonts w:cs="Segoe UI"/>
          <w:szCs w:val="21"/>
        </w:rPr>
        <w:t>, however,</w:t>
      </w:r>
      <w:r w:rsidRPr="00B1720A">
        <w:rPr>
          <w:rFonts w:cs="Segoe UI"/>
          <w:szCs w:val="21"/>
        </w:rPr>
        <w:t xml:space="preserve"> capital inflows moderated</w:t>
      </w:r>
      <w:r>
        <w:rPr>
          <w:rFonts w:cs="Segoe UI"/>
          <w:szCs w:val="21"/>
        </w:rPr>
        <w:t xml:space="preserve"> t</w:t>
      </w:r>
      <w:r w:rsidRPr="000805CF">
        <w:rPr>
          <w:rFonts w:cs="Segoe UI"/>
          <w:szCs w:val="21"/>
        </w:rPr>
        <w:t xml:space="preserve">o </w:t>
      </w:r>
      <w:r>
        <w:rPr>
          <w:rFonts w:cs="Segoe UI"/>
          <w:szCs w:val="21"/>
        </w:rPr>
        <w:t xml:space="preserve">about </w:t>
      </w:r>
      <w:r w:rsidRPr="000805CF">
        <w:rPr>
          <w:rFonts w:cs="Segoe UI"/>
          <w:szCs w:val="21"/>
        </w:rPr>
        <w:t>4</w:t>
      </w:r>
      <w:r>
        <w:rPr>
          <w:rFonts w:cs="Segoe UI"/>
          <w:szCs w:val="21"/>
        </w:rPr>
        <w:t>½</w:t>
      </w:r>
      <w:r w:rsidRPr="000805CF">
        <w:rPr>
          <w:rFonts w:cs="Segoe UI"/>
          <w:szCs w:val="21"/>
        </w:rPr>
        <w:t xml:space="preserve"> percent of GDP</w:t>
      </w:r>
      <w:r>
        <w:rPr>
          <w:rFonts w:cs="Segoe UI"/>
          <w:szCs w:val="21"/>
        </w:rPr>
        <w:t xml:space="preserve"> in 2012,</w:t>
      </w:r>
      <w:r w:rsidRPr="000805CF">
        <w:rPr>
          <w:rFonts w:cs="Segoe UI"/>
          <w:szCs w:val="21"/>
        </w:rPr>
        <w:t xml:space="preserve"> with the share of portfolio flows declining </w:t>
      </w:r>
      <w:r>
        <w:rPr>
          <w:rFonts w:cs="Segoe UI"/>
          <w:szCs w:val="21"/>
        </w:rPr>
        <w:t xml:space="preserve">to about </w:t>
      </w:r>
      <w:r w:rsidRPr="000805CF">
        <w:rPr>
          <w:rFonts w:cs="Segoe UI"/>
          <w:szCs w:val="21"/>
        </w:rPr>
        <w:t xml:space="preserve">15 percent. </w:t>
      </w:r>
      <w:r>
        <w:rPr>
          <w:rFonts w:cs="Segoe UI"/>
          <w:szCs w:val="21"/>
        </w:rPr>
        <w:t>A</w:t>
      </w:r>
      <w:r w:rsidRPr="000805CF">
        <w:rPr>
          <w:rFonts w:cs="Segoe UI"/>
          <w:szCs w:val="21"/>
        </w:rPr>
        <w:t xml:space="preserve"> number of global and domestic </w:t>
      </w:r>
      <w:r>
        <w:rPr>
          <w:rFonts w:cs="Segoe UI"/>
          <w:szCs w:val="21"/>
        </w:rPr>
        <w:t xml:space="preserve">reasons contributed to </w:t>
      </w:r>
      <w:r w:rsidRPr="000805CF">
        <w:rPr>
          <w:rFonts w:cs="Segoe UI"/>
          <w:szCs w:val="21"/>
        </w:rPr>
        <w:t xml:space="preserve">the moderation, including global uncertainty, </w:t>
      </w:r>
      <w:r>
        <w:rPr>
          <w:rFonts w:cs="Segoe UI"/>
          <w:szCs w:val="21"/>
        </w:rPr>
        <w:t xml:space="preserve">tightening </w:t>
      </w:r>
      <w:r w:rsidRPr="000805CF">
        <w:rPr>
          <w:rFonts w:cs="Segoe UI"/>
          <w:szCs w:val="21"/>
        </w:rPr>
        <w:t xml:space="preserve">of capital flow measures (CFMs), </w:t>
      </w:r>
      <w:r>
        <w:rPr>
          <w:rFonts w:cs="Segoe UI"/>
          <w:szCs w:val="21"/>
        </w:rPr>
        <w:t xml:space="preserve">a substantial slowdown in </w:t>
      </w:r>
      <w:r w:rsidRPr="000805CF">
        <w:rPr>
          <w:rFonts w:cs="Segoe UI"/>
          <w:szCs w:val="21"/>
        </w:rPr>
        <w:t>growth and reduction in interest rate differentials</w:t>
      </w:r>
      <w:r>
        <w:rPr>
          <w:rFonts w:cs="Segoe UI"/>
          <w:szCs w:val="21"/>
        </w:rPr>
        <w:t xml:space="preserve"> (</w:t>
      </w:r>
      <w:r w:rsidRPr="000805CF">
        <w:rPr>
          <w:rFonts w:cs="Segoe UI"/>
          <w:szCs w:val="21"/>
        </w:rPr>
        <w:t xml:space="preserve">driven by </w:t>
      </w:r>
      <w:r>
        <w:rPr>
          <w:rFonts w:cs="Segoe UI"/>
          <w:szCs w:val="21"/>
        </w:rPr>
        <w:t xml:space="preserve">the cumulative cut </w:t>
      </w:r>
      <w:r w:rsidRPr="000805CF">
        <w:rPr>
          <w:rFonts w:cs="Segoe UI"/>
          <w:szCs w:val="21"/>
        </w:rPr>
        <w:t xml:space="preserve">in policy rate </w:t>
      </w:r>
      <w:r>
        <w:rPr>
          <w:rFonts w:cs="Segoe UI"/>
          <w:szCs w:val="21"/>
        </w:rPr>
        <w:t xml:space="preserve">of </w:t>
      </w:r>
      <w:r w:rsidRPr="000805CF">
        <w:rPr>
          <w:rFonts w:cs="Segoe UI"/>
          <w:szCs w:val="21"/>
        </w:rPr>
        <w:t>5</w:t>
      </w:r>
      <w:r>
        <w:rPr>
          <w:rFonts w:cs="Segoe UI"/>
          <w:szCs w:val="21"/>
        </w:rPr>
        <w:t>25 bps)</w:t>
      </w:r>
      <w:r w:rsidRPr="000805CF">
        <w:rPr>
          <w:rFonts w:cs="Segoe UI"/>
          <w:szCs w:val="21"/>
        </w:rPr>
        <w:t>.</w:t>
      </w:r>
    </w:p>
    <w:p w:rsidR="00343D3B" w:rsidRPr="0024425C" w:rsidRDefault="00343D3B" w:rsidP="00343D3B">
      <w:pPr>
        <w:pStyle w:val="ParagraphNumbering"/>
        <w:numPr>
          <w:ilvl w:val="0"/>
          <w:numId w:val="42"/>
        </w:numPr>
        <w:autoSpaceDE w:val="0"/>
        <w:autoSpaceDN w:val="0"/>
        <w:adjustRightInd w:val="0"/>
        <w:spacing w:line="240" w:lineRule="auto"/>
        <w:ind w:left="0" w:firstLine="0"/>
        <w:rPr>
          <w:b/>
          <w:i/>
        </w:rPr>
      </w:pPr>
      <w:r w:rsidRPr="0024425C">
        <w:rPr>
          <w:rFonts w:cs="Segoe UI"/>
          <w:b/>
          <w:i/>
          <w:szCs w:val="21"/>
        </w:rPr>
        <w:t xml:space="preserve">Brazil has deployed a wide range of policy tools to manage capital flow pressures, </w:t>
      </w:r>
      <w:r w:rsidRPr="0024425C">
        <w:rPr>
          <w:rFonts w:cs="Segoe UI"/>
          <w:szCs w:val="21"/>
        </w:rPr>
        <w:t xml:space="preserve">including exchange rate appreciation, reserves accumulation, and the use of macroprudential tools and priced-based CFMs. </w:t>
      </w:r>
      <w:r>
        <w:t xml:space="preserve">Since 2009, CFMs—in particular the </w:t>
      </w:r>
      <w:r w:rsidRPr="0024425C">
        <w:rPr>
          <w:rFonts w:cs="Segoe UI"/>
          <w:szCs w:val="21"/>
        </w:rPr>
        <w:t>tax on inflows</w:t>
      </w:r>
      <w:r>
        <w:t xml:space="preserve"> </w:t>
      </w:r>
      <w:proofErr w:type="spellStart"/>
      <w:r w:rsidRPr="0024425C">
        <w:rPr>
          <w:rFonts w:cs="Segoe UI"/>
          <w:i/>
          <w:szCs w:val="21"/>
        </w:rPr>
        <w:t>Imposto</w:t>
      </w:r>
      <w:proofErr w:type="spellEnd"/>
      <w:r w:rsidRPr="0024425C">
        <w:rPr>
          <w:rFonts w:cs="Segoe UI"/>
          <w:i/>
          <w:szCs w:val="21"/>
        </w:rPr>
        <w:t xml:space="preserve"> de </w:t>
      </w:r>
      <w:proofErr w:type="spellStart"/>
      <w:r w:rsidRPr="0024425C">
        <w:rPr>
          <w:rFonts w:cs="Segoe UI"/>
          <w:i/>
          <w:szCs w:val="21"/>
        </w:rPr>
        <w:t>Operações</w:t>
      </w:r>
      <w:proofErr w:type="spellEnd"/>
      <w:r w:rsidRPr="0024425C">
        <w:rPr>
          <w:rFonts w:cs="Segoe UI"/>
          <w:i/>
          <w:szCs w:val="21"/>
        </w:rPr>
        <w:t xml:space="preserve"> </w:t>
      </w:r>
      <w:proofErr w:type="spellStart"/>
      <w:r w:rsidRPr="0024425C">
        <w:rPr>
          <w:rFonts w:cs="Segoe UI"/>
          <w:i/>
          <w:szCs w:val="21"/>
        </w:rPr>
        <w:t>Financeiras</w:t>
      </w:r>
      <w:proofErr w:type="spellEnd"/>
      <w:r w:rsidRPr="0024425C">
        <w:rPr>
          <w:rFonts w:cs="Segoe UI"/>
          <w:i/>
          <w:szCs w:val="21"/>
        </w:rPr>
        <w:t xml:space="preserve"> </w:t>
      </w:r>
      <w:r w:rsidRPr="0024425C">
        <w:rPr>
          <w:rFonts w:cs="Segoe UI"/>
          <w:szCs w:val="21"/>
        </w:rPr>
        <w:t>(IOF)—have</w:t>
      </w:r>
      <w:r>
        <w:t xml:space="preserve"> </w:t>
      </w:r>
      <w:r>
        <w:lastRenderedPageBreak/>
        <w:t xml:space="preserve">been applied to moderate flows and influence their composition, adjusting </w:t>
      </w:r>
      <w:r w:rsidRPr="0024425C">
        <w:rPr>
          <w:rFonts w:cs="Segoe UI"/>
          <w:szCs w:val="21"/>
        </w:rPr>
        <w:t>the rate and coverage to account for changes in the composition of capital flows (including imposing the tax on derivatives transactions)</w:t>
      </w:r>
      <w:r>
        <w:t>.</w:t>
      </w:r>
      <w:r w:rsidRPr="00FE6979">
        <w:t xml:space="preserve"> </w:t>
      </w:r>
      <w:r>
        <w:t>The i</w:t>
      </w:r>
      <w:r w:rsidRPr="0024425C">
        <w:rPr>
          <w:rFonts w:cs="Segoe UI"/>
          <w:szCs w:val="21"/>
        </w:rPr>
        <w:t>mplementation of the framework has responded to the intensity of pressures, reducing FX intervention and CFMs when inflow pressures subsided.</w:t>
      </w:r>
      <w:r>
        <w:rPr>
          <w:rStyle w:val="FootnoteReference"/>
          <w:rFonts w:cs="Segoe UI"/>
          <w:szCs w:val="21"/>
        </w:rPr>
        <w:footnoteReference w:id="9"/>
      </w:r>
      <w:r w:rsidRPr="0024425C">
        <w:rPr>
          <w:rFonts w:cs="Segoe UI"/>
          <w:szCs w:val="21"/>
        </w:rPr>
        <w:t xml:space="preserve"> </w:t>
      </w:r>
      <w:r w:rsidRPr="00FE6979">
        <w:t xml:space="preserve">The </w:t>
      </w:r>
      <w:r>
        <w:t xml:space="preserve">broad </w:t>
      </w:r>
      <w:r w:rsidRPr="00FE6979">
        <w:t>use of th</w:t>
      </w:r>
      <w:r>
        <w:t xml:space="preserve">e </w:t>
      </w:r>
      <w:r w:rsidRPr="00FE6979">
        <w:t>policy toolkit has helped to manage the challenges posed by capital inflows.</w:t>
      </w:r>
      <w:r>
        <w:t xml:space="preserve"> </w:t>
      </w:r>
      <w:r w:rsidRPr="00FE6979">
        <w:t xml:space="preserve">There is some evidence that CFMs have been successful in helping to reduce portfolio inflows although the evidence </w:t>
      </w:r>
      <w:r>
        <w:t xml:space="preserve">on a </w:t>
      </w:r>
      <w:r w:rsidRPr="00FE6979">
        <w:t xml:space="preserve">persistent effect on the exchange rate is unclear. </w:t>
      </w:r>
    </w:p>
    <w:p w:rsidR="00343D3B" w:rsidRDefault="00343D3B" w:rsidP="00343D3B">
      <w:pPr>
        <w:pStyle w:val="ParagraphNumbering"/>
        <w:numPr>
          <w:ilvl w:val="0"/>
          <w:numId w:val="42"/>
        </w:numPr>
        <w:spacing w:line="240" w:lineRule="auto"/>
        <w:ind w:left="0" w:firstLine="0"/>
      </w:pPr>
      <w:r w:rsidRPr="0024425C">
        <w:rPr>
          <w:b/>
          <w:i/>
        </w:rPr>
        <w:t>Central bank intervention has focused on reducing the pace and volatility of exchange rate changes.</w:t>
      </w:r>
      <w:r w:rsidRPr="0093267B">
        <w:rPr>
          <w:b/>
        </w:rPr>
        <w:t xml:space="preserve"> </w:t>
      </w:r>
      <w:r>
        <w:t xml:space="preserve">With the recent moderation of capital inflows, the pace of accumulation of international reserves stopped in 2012. International reserves have stabilized around </w:t>
      </w:r>
      <w:proofErr w:type="gramStart"/>
      <w:r>
        <w:t>US$380 billion, and</w:t>
      </w:r>
      <w:proofErr w:type="gramEnd"/>
      <w:r>
        <w:t xml:space="preserve"> are considered more than adequate with respect to various metrics, including the IMF’s composite adequacy measure. As such, Brazil is well placed to withstand potential external risks. Further reserve accumulation may take place in the context of managing capital flows. </w:t>
      </w:r>
    </w:p>
    <w:p w:rsidR="00343D3B" w:rsidRDefault="00343D3B" w:rsidP="00343D3B">
      <w:pPr>
        <w:pStyle w:val="ParagraphNumbering"/>
        <w:numPr>
          <w:ilvl w:val="0"/>
          <w:numId w:val="42"/>
        </w:numPr>
        <w:spacing w:line="240" w:lineRule="auto"/>
        <w:ind w:left="0" w:firstLine="0"/>
      </w:pPr>
      <w:r w:rsidRPr="00012251">
        <w:rPr>
          <w:b/>
          <w:i/>
        </w:rPr>
        <w:t>Brazil’s net foreign asset (NFA) position and its composition have improved</w:t>
      </w:r>
      <w:r>
        <w:rPr>
          <w:b/>
          <w:i/>
        </w:rPr>
        <w:t xml:space="preserve"> in recent years</w:t>
      </w:r>
      <w:r w:rsidRPr="00012251">
        <w:rPr>
          <w:b/>
          <w:i/>
        </w:rPr>
        <w:t>.</w:t>
      </w:r>
      <w:r w:rsidRPr="0093267B">
        <w:rPr>
          <w:b/>
        </w:rPr>
        <w:t xml:space="preserve"> </w:t>
      </w:r>
      <w:r>
        <w:t>The NFA position has strengthened from -45 percent of GDP in 2003 to -30 percent in 2012. FDI liabilities account for about half of total liabilities. Brazil’s NFA position and external debt levels are relatively low compared with other emerging market economies. However, the envisaged widening of the current account deficit (at an unchanged real exchange rate), the NFA position would worsen over the medium term. In the longer run, as Brazil’s large “pre-</w:t>
      </w:r>
      <w:proofErr w:type="spellStart"/>
      <w:r>
        <w:t>sal</w:t>
      </w:r>
      <w:proofErr w:type="spellEnd"/>
      <w:r>
        <w:t>” oil reserves come on line, added efforts to increase savings and therefore strengthen the country’s external NFA position would be appropriate.</w:t>
      </w:r>
    </w:p>
    <w:p w:rsidR="00343D3B" w:rsidRDefault="00343D3B" w:rsidP="00343D3B">
      <w:pPr>
        <w:spacing w:line="240" w:lineRule="auto"/>
      </w:pPr>
      <w:r>
        <w:t> </w:t>
      </w:r>
    </w:p>
    <w:p w:rsidR="00343D3B" w:rsidRDefault="00343D3B" w:rsidP="00343D3B">
      <w:pPr>
        <w:spacing w:line="240" w:lineRule="auto"/>
      </w:pPr>
      <w:r>
        <w:t xml:space="preserve"> </w:t>
      </w:r>
      <w:r>
        <w:tab/>
        <w:t xml:space="preserve"> </w:t>
      </w:r>
    </w:p>
    <w:p w:rsidR="00343D3B" w:rsidRDefault="00343D3B" w:rsidP="00343D3B">
      <w:pPr>
        <w:spacing w:line="240" w:lineRule="auto"/>
      </w:pPr>
      <w:r>
        <w:rPr>
          <w:noProof/>
        </w:rPr>
        <w:lastRenderedPageBreak/>
        <w:drawing>
          <wp:inline distT="0" distB="0" distL="0" distR="0">
            <wp:extent cx="5900420" cy="7531100"/>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srcRect/>
                    <a:stretch>
                      <a:fillRect/>
                    </a:stretch>
                  </pic:blipFill>
                  <pic:spPr bwMode="auto">
                    <a:xfrm>
                      <a:off x="0" y="0"/>
                      <a:ext cx="5900420" cy="7531100"/>
                    </a:xfrm>
                    <a:prstGeom prst="rect">
                      <a:avLst/>
                    </a:prstGeom>
                    <a:noFill/>
                    <a:ln w="9525">
                      <a:noFill/>
                      <a:miter lim="800000"/>
                      <a:headEnd/>
                      <a:tailEnd/>
                    </a:ln>
                  </pic:spPr>
                </pic:pic>
              </a:graphicData>
            </a:graphic>
          </wp:inline>
        </w:drawing>
      </w:r>
    </w:p>
    <w:p w:rsidR="00C317BA" w:rsidRPr="00387380" w:rsidRDefault="00C317BA" w:rsidP="00343D3B">
      <w:pPr>
        <w:spacing w:line="240" w:lineRule="auto"/>
      </w:pPr>
    </w:p>
    <w:sectPr w:rsidR="00C317BA" w:rsidRPr="00387380" w:rsidSect="00EB2F68">
      <w:headerReference w:type="even" r:id="rId73"/>
      <w:headerReference w:type="default" r:id="rId74"/>
      <w:footerReference w:type="even" r:id="rId75"/>
      <w:footerReference w:type="default" r:id="rId76"/>
      <w:headerReference w:type="first" r:id="rId77"/>
      <w:footerReference w:type="first" r:id="rId78"/>
      <w:pgSz w:w="12240" w:h="15840" w:code="1"/>
      <w:pgMar w:top="1440" w:right="1469" w:bottom="1440" w:left="1469"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4229" w:rsidRDefault="002D4229">
      <w:r>
        <w:separator/>
      </w:r>
    </w:p>
  </w:endnote>
  <w:endnote w:type="continuationSeparator" w:id="0">
    <w:p w:rsidR="002D4229" w:rsidRDefault="002D4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Calibri"/>
    <w:panose1 w:val="020B0604020202020204"/>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Frutiger LT Std 55 Roman">
    <w:altName w:val="Calibri"/>
    <w:panose1 w:val="020B0604020202020204"/>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29D77CFB" w:usb2="00000012" w:usb3="00000000" w:csb0="00080001"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Frutiger LT Std 45 Light">
    <w:altName w:val="Calibri"/>
    <w:panose1 w:val="020B0604020202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Pr="00F11DC6" w:rsidRDefault="00C10E0B" w:rsidP="00BF5951">
    <w:pPr>
      <w:pStyle w:val="Footer"/>
      <w:tabs>
        <w:tab w:val="clear" w:pos="4320"/>
        <w:tab w:val="left" w:pos="450"/>
        <w:tab w:val="center" w:pos="1440"/>
      </w:tabs>
      <w:rPr>
        <w:rFonts w:cs="Segoe UI"/>
        <w:sz w:val="18"/>
        <w:szCs w:val="18"/>
      </w:rPr>
    </w:pPr>
    <w:r w:rsidRPr="00F11DC6">
      <w:rPr>
        <w:rStyle w:val="PageNumber"/>
        <w:rFonts w:cs="Segoe UI"/>
        <w:b/>
        <w:bCs/>
        <w:sz w:val="18"/>
        <w:szCs w:val="18"/>
        <w:highlight w:val="lightGray"/>
      </w:rPr>
      <w:fldChar w:fldCharType="begin"/>
    </w:r>
    <w:r w:rsidR="004B165B" w:rsidRPr="00F11DC6">
      <w:rPr>
        <w:rStyle w:val="PageNumber"/>
        <w:rFonts w:cs="Segoe UI"/>
        <w:b/>
        <w:bCs/>
        <w:sz w:val="18"/>
        <w:szCs w:val="18"/>
        <w:highlight w:val="lightGray"/>
      </w:rPr>
      <w:instrText xml:space="preserve"> PAGE </w:instrText>
    </w:r>
    <w:r w:rsidRPr="00F11DC6">
      <w:rPr>
        <w:rStyle w:val="PageNumber"/>
        <w:rFonts w:cs="Segoe UI"/>
        <w:b/>
        <w:bCs/>
        <w:sz w:val="18"/>
        <w:szCs w:val="18"/>
        <w:highlight w:val="lightGray"/>
      </w:rPr>
      <w:fldChar w:fldCharType="separate"/>
    </w:r>
    <w:r w:rsidR="00F24DC3">
      <w:rPr>
        <w:rStyle w:val="PageNumber"/>
        <w:rFonts w:cs="Segoe UI"/>
        <w:b/>
        <w:bCs/>
        <w:noProof/>
        <w:sz w:val="18"/>
        <w:szCs w:val="18"/>
        <w:highlight w:val="lightGray"/>
      </w:rPr>
      <w:t>14</w:t>
    </w:r>
    <w:r w:rsidRPr="00F11DC6">
      <w:rPr>
        <w:rStyle w:val="PageNumber"/>
        <w:rFonts w:cs="Segoe UI"/>
        <w:b/>
        <w:bCs/>
        <w:sz w:val="18"/>
        <w:szCs w:val="18"/>
        <w:highlight w:val="lightGray"/>
      </w:rPr>
      <w:fldChar w:fldCharType="end"/>
    </w:r>
    <w:r w:rsidR="004B165B" w:rsidRPr="00F11DC6">
      <w:rPr>
        <w:rStyle w:val="PageNumber"/>
        <w:rFonts w:cs="Segoe UI"/>
        <w:sz w:val="18"/>
        <w:szCs w:val="18"/>
      </w:rPr>
      <w:tab/>
    </w:r>
    <w:r w:rsidR="004B165B" w:rsidRPr="00F11DC6">
      <w:rPr>
        <w:rFonts w:cs="Segoe UI"/>
        <w:caps/>
        <w:color w:val="4B82AD"/>
        <w:sz w:val="18"/>
        <w:szCs w:val="18"/>
      </w:rPr>
      <w:t>International Monetary Fund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Default="004B16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Default="004B16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Pr="00F11DC6" w:rsidRDefault="00C10E0B" w:rsidP="00BF5951">
    <w:pPr>
      <w:pStyle w:val="Footer"/>
      <w:tabs>
        <w:tab w:val="clear" w:pos="4320"/>
        <w:tab w:val="left" w:pos="450"/>
        <w:tab w:val="center" w:pos="1440"/>
      </w:tabs>
      <w:rPr>
        <w:rFonts w:cs="Segoe UI"/>
        <w:sz w:val="18"/>
        <w:szCs w:val="18"/>
      </w:rPr>
    </w:pPr>
    <w:r w:rsidRPr="00F11DC6">
      <w:rPr>
        <w:rStyle w:val="PageNumber"/>
        <w:rFonts w:cs="Segoe UI"/>
        <w:b/>
        <w:bCs/>
        <w:sz w:val="18"/>
        <w:szCs w:val="18"/>
        <w:highlight w:val="lightGray"/>
      </w:rPr>
      <w:fldChar w:fldCharType="begin"/>
    </w:r>
    <w:r w:rsidR="004B165B" w:rsidRPr="00F11DC6">
      <w:rPr>
        <w:rStyle w:val="PageNumber"/>
        <w:rFonts w:cs="Segoe UI"/>
        <w:b/>
        <w:bCs/>
        <w:sz w:val="18"/>
        <w:szCs w:val="18"/>
        <w:highlight w:val="lightGray"/>
      </w:rPr>
      <w:instrText xml:space="preserve"> PAGE </w:instrText>
    </w:r>
    <w:r w:rsidRPr="00F11DC6">
      <w:rPr>
        <w:rStyle w:val="PageNumber"/>
        <w:rFonts w:cs="Segoe UI"/>
        <w:b/>
        <w:bCs/>
        <w:sz w:val="18"/>
        <w:szCs w:val="18"/>
        <w:highlight w:val="lightGray"/>
      </w:rPr>
      <w:fldChar w:fldCharType="separate"/>
    </w:r>
    <w:r w:rsidR="00F24DC3">
      <w:rPr>
        <w:rStyle w:val="PageNumber"/>
        <w:rFonts w:cs="Segoe UI"/>
        <w:b/>
        <w:bCs/>
        <w:noProof/>
        <w:sz w:val="18"/>
        <w:szCs w:val="18"/>
        <w:highlight w:val="lightGray"/>
      </w:rPr>
      <w:t>48</w:t>
    </w:r>
    <w:r w:rsidRPr="00F11DC6">
      <w:rPr>
        <w:rStyle w:val="PageNumber"/>
        <w:rFonts w:cs="Segoe UI"/>
        <w:b/>
        <w:bCs/>
        <w:sz w:val="18"/>
        <w:szCs w:val="18"/>
        <w:highlight w:val="lightGray"/>
      </w:rPr>
      <w:fldChar w:fldCharType="end"/>
    </w:r>
    <w:r w:rsidR="004B165B" w:rsidRPr="00F11DC6">
      <w:rPr>
        <w:rStyle w:val="PageNumber"/>
        <w:rFonts w:cs="Segoe UI"/>
        <w:sz w:val="18"/>
        <w:szCs w:val="18"/>
      </w:rPr>
      <w:tab/>
    </w:r>
    <w:r w:rsidR="004B165B" w:rsidRPr="00F11DC6">
      <w:rPr>
        <w:rFonts w:cs="Segoe UI"/>
        <w:caps/>
        <w:color w:val="4B82AD"/>
        <w:sz w:val="18"/>
        <w:szCs w:val="18"/>
      </w:rPr>
      <w:t>International Monetary Fund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Default="004B16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Default="002D4229" w:rsidP="001B1223">
    <w:pPr>
      <w:pStyle w:val="Footer"/>
      <w:tabs>
        <w:tab w:val="clear" w:pos="8640"/>
        <w:tab w:val="right" w:pos="9000"/>
      </w:tabs>
      <w:ind w:left="1440" w:firstLine="4320"/>
    </w:pPr>
    <w:r>
      <w:rPr>
        <w:noProof/>
        <w:lang w:eastAsia="ja-JP" w:bidi="ml-IN"/>
      </w:rPr>
      <w:pict>
        <v:shapetype id="_x0000_t202" coordsize="21600,21600" o:spt="202" path="m,l,21600r21600,l21600,xe">
          <v:stroke joinstyle="miter"/>
          <v:path gradientshapeok="t" o:connecttype="rect"/>
        </v:shapetype>
        <v:shape id="_x0000_s2049" type="#_x0000_t202" alt="" style="position:absolute;left:0;text-align:left;margin-left:426pt;margin-top:-1.3pt;width:23.25pt;height:14.25pt;z-index:251660288;mso-wrap-style:square;mso-wrap-edited:f;mso-width-percent:0;mso-height-percent:0;mso-width-percent:0;mso-height-percent:0;v-text-anchor:top" fillcolor="#666 [1936]" strokecolor="#666 [1936]" strokeweight="1pt">
          <v:fill color2="#ccc [656]" angle="-45" focus="-50%" type="gradient"/>
          <v:shadow type="perspective" color="#7f7f7f [1601]" opacity=".5" offset="1pt" offset2="-3pt"/>
          <v:textbox style="mso-next-textbox:#_x0000_s2049" inset="5.85pt,.7pt,5.85pt,.7pt">
            <w:txbxContent>
              <w:p w:rsidR="004B165B" w:rsidRDefault="002D4229" w:rsidP="001B1223">
                <w:r>
                  <w:fldChar w:fldCharType="begin"/>
                </w:r>
                <w:r>
                  <w:instrText xml:space="preserve"> PAGE </w:instrText>
                </w:r>
                <w:r>
                  <w:fldChar w:fldCharType="separate"/>
                </w:r>
                <w:r w:rsidR="004B165B">
                  <w:rPr>
                    <w:noProof/>
                  </w:rPr>
                  <w:t>3</w:t>
                </w:r>
                <w:r>
                  <w:rPr>
                    <w:noProof/>
                  </w:rPr>
                  <w:fldChar w:fldCharType="end"/>
                </w:r>
                <w:r w:rsidR="004B165B">
                  <w:t xml:space="preserve"> </w:t>
                </w:r>
              </w:p>
              <w:p w:rsidR="004B165B" w:rsidRDefault="004B165B"/>
            </w:txbxContent>
          </v:textbox>
        </v:shape>
      </w:pict>
    </w:r>
    <w:r w:rsidR="004B165B">
      <w:t xml:space="preserve">International Monetary Fund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4229" w:rsidRDefault="002D4229">
      <w:r>
        <w:separator/>
      </w:r>
    </w:p>
  </w:footnote>
  <w:footnote w:type="continuationSeparator" w:id="0">
    <w:p w:rsidR="002D4229" w:rsidRDefault="002D4229">
      <w:r>
        <w:continuationSeparator/>
      </w:r>
    </w:p>
  </w:footnote>
  <w:footnote w:type="continuationNotice" w:id="1">
    <w:p w:rsidR="002D4229" w:rsidRDefault="002D4229">
      <w:pPr>
        <w:jc w:val="right"/>
      </w:pPr>
      <w:r>
        <w:t>(continued)</w:t>
      </w:r>
    </w:p>
  </w:footnote>
  <w:footnote w:id="2">
    <w:p w:rsidR="004B165B" w:rsidRPr="004F50A0" w:rsidRDefault="004B165B" w:rsidP="001D087A">
      <w:pPr>
        <w:pStyle w:val="FootnoteText"/>
        <w:rPr>
          <w:rFonts w:eastAsia="Malgun Gothic"/>
          <w:lang w:eastAsia="ko-KR"/>
        </w:rPr>
      </w:pPr>
      <w:r>
        <w:rPr>
          <w:rStyle w:val="FootnoteReference"/>
        </w:rPr>
        <w:footnoteRef/>
      </w:r>
      <w:r>
        <w:t xml:space="preserve"> </w:t>
      </w:r>
      <w:r>
        <w:rPr>
          <w:rFonts w:eastAsia="Malgun Gothic" w:hint="eastAsia"/>
          <w:lang w:eastAsia="ko-KR"/>
        </w:rPr>
        <w:t xml:space="preserve">During the mission, staff will discuss with authorities </w:t>
      </w:r>
      <w:r>
        <w:rPr>
          <w:rFonts w:eastAsia="Malgun Gothic"/>
          <w:lang w:eastAsia="ko-KR"/>
        </w:rPr>
        <w:t>the</w:t>
      </w:r>
      <w:r>
        <w:rPr>
          <w:rFonts w:eastAsia="Malgun Gothic" w:hint="eastAsia"/>
          <w:lang w:eastAsia="ko-KR"/>
        </w:rPr>
        <w:t xml:space="preserve"> status of implementation of the 2012 FSAP key recommendations in detail.</w:t>
      </w:r>
    </w:p>
  </w:footnote>
  <w:footnote w:id="3">
    <w:p w:rsidR="004B165B" w:rsidRDefault="004B165B">
      <w:pPr>
        <w:pStyle w:val="FootnoteText"/>
      </w:pPr>
      <w:r>
        <w:rPr>
          <w:rStyle w:val="FootnoteReference"/>
        </w:rPr>
        <w:footnoteRef/>
      </w:r>
      <w:r>
        <w:t xml:space="preserve"> See Annex V of </w:t>
      </w:r>
      <w:r w:rsidRPr="00802472">
        <w:t>SM/12/154</w:t>
      </w:r>
      <w:r>
        <w:t>.</w:t>
      </w:r>
    </w:p>
  </w:footnote>
  <w:footnote w:id="4">
    <w:p w:rsidR="004B165B" w:rsidRDefault="004B165B">
      <w:pPr>
        <w:pStyle w:val="FootnoteText"/>
      </w:pPr>
      <w:r>
        <w:rPr>
          <w:rStyle w:val="FootnoteReference"/>
        </w:rPr>
        <w:footnoteRef/>
      </w:r>
      <w:r>
        <w:t xml:space="preserve"> </w:t>
      </w:r>
      <w:r w:rsidRPr="00C31A79">
        <w:t>Footnote: Treatment of deferred tax assets.</w:t>
      </w:r>
    </w:p>
  </w:footnote>
  <w:footnote w:id="5">
    <w:p w:rsidR="004B165B" w:rsidRPr="00387439" w:rsidRDefault="004B165B" w:rsidP="004B197A">
      <w:pPr>
        <w:pStyle w:val="FootnoteText"/>
      </w:pPr>
      <w:r>
        <w:rPr>
          <w:rStyle w:val="FootnoteReference"/>
        </w:rPr>
        <w:footnoteRef/>
      </w:r>
      <w:r>
        <w:t xml:space="preserve"> In August 2011 the government launched a broad support program the external competitiveness of Brazilian industries (</w:t>
      </w:r>
      <w:r>
        <w:rPr>
          <w:i/>
        </w:rPr>
        <w:t xml:space="preserve">Plano </w:t>
      </w:r>
      <w:proofErr w:type="spellStart"/>
      <w:r>
        <w:rPr>
          <w:i/>
        </w:rPr>
        <w:t>Brasil</w:t>
      </w:r>
      <w:proofErr w:type="spellEnd"/>
      <w:r>
        <w:rPr>
          <w:i/>
        </w:rPr>
        <w:t xml:space="preserve"> </w:t>
      </w:r>
      <w:proofErr w:type="spellStart"/>
      <w:r>
        <w:rPr>
          <w:i/>
        </w:rPr>
        <w:t>Maior</w:t>
      </w:r>
      <w:proofErr w:type="spellEnd"/>
      <w:r w:rsidRPr="00AB1138">
        <w:t>)</w:t>
      </w:r>
      <w:r>
        <w:rPr>
          <w:i/>
        </w:rPr>
        <w:t>.</w:t>
      </w:r>
      <w:r>
        <w:t xml:space="preserve"> This program included tax incentives for the purchase of capital goods, financial support for investment (mostly though BNDES) and tax incentives for exporters, particularly in labor intensive industries. Several of the measures included in the box Table are extensions/renewal of those in the original </w:t>
      </w:r>
      <w:r>
        <w:rPr>
          <w:i/>
        </w:rPr>
        <w:t xml:space="preserve">Plano </w:t>
      </w:r>
      <w:proofErr w:type="spellStart"/>
      <w:r>
        <w:rPr>
          <w:i/>
        </w:rPr>
        <w:t>Brasil</w:t>
      </w:r>
      <w:proofErr w:type="spellEnd"/>
      <w:r>
        <w:rPr>
          <w:i/>
        </w:rPr>
        <w:t xml:space="preserve"> </w:t>
      </w:r>
      <w:proofErr w:type="spellStart"/>
      <w:r>
        <w:rPr>
          <w:i/>
        </w:rPr>
        <w:t>Maior</w:t>
      </w:r>
      <w:proofErr w:type="spellEnd"/>
      <w:r>
        <w:rPr>
          <w:i/>
        </w:rPr>
        <w:t>.</w:t>
      </w:r>
      <w:r>
        <w:t xml:space="preserve"> </w:t>
      </w:r>
    </w:p>
  </w:footnote>
  <w:footnote w:id="6">
    <w:p w:rsidR="004B165B" w:rsidRDefault="004B165B" w:rsidP="00507030">
      <w:pPr>
        <w:pStyle w:val="FootnoteText"/>
      </w:pPr>
      <w:r>
        <w:rPr>
          <w:rStyle w:val="FootnoteReference"/>
        </w:rPr>
        <w:footnoteRef/>
      </w:r>
      <w:r>
        <w:t xml:space="preserve"> The implicit interest rate is calculated as overall interest payments over the stock of debt.</w:t>
      </w:r>
    </w:p>
  </w:footnote>
  <w:footnote w:id="7">
    <w:p w:rsidR="004B165B" w:rsidRDefault="004B165B" w:rsidP="00507030">
      <w:pPr>
        <w:pStyle w:val="FootnoteText"/>
      </w:pPr>
      <w:r>
        <w:rPr>
          <w:rStyle w:val="FootnoteReference"/>
        </w:rPr>
        <w:footnoteRef/>
      </w:r>
      <w:r>
        <w:t xml:space="preserve"> The automatic evolution of the debt ratio is given by (</w:t>
      </w:r>
      <w:r w:rsidRPr="00775AF2">
        <w:rPr>
          <w:i/>
        </w:rPr>
        <w:t>r</w:t>
      </w:r>
      <w:r>
        <w:t>-</w:t>
      </w:r>
      <w:r w:rsidRPr="00775AF2">
        <w:rPr>
          <w:rFonts w:ascii="Symbol" w:hAnsi="Symbol"/>
          <w:i/>
        </w:rPr>
        <w:t></w:t>
      </w:r>
      <w:r>
        <w:t>(1+</w:t>
      </w:r>
      <w:r w:rsidRPr="00775AF2">
        <w:rPr>
          <w:i/>
        </w:rPr>
        <w:t>g</w:t>
      </w:r>
      <w:r>
        <w:t>)-</w:t>
      </w:r>
      <w:r w:rsidRPr="00775AF2">
        <w:rPr>
          <w:i/>
        </w:rPr>
        <w:t>g</w:t>
      </w:r>
      <w:r>
        <w:t>))/(1+</w:t>
      </w:r>
      <w:r w:rsidRPr="00775AF2">
        <w:rPr>
          <w:i/>
        </w:rPr>
        <w:t>g</w:t>
      </w:r>
      <w:r>
        <w:t>+</w:t>
      </w:r>
      <w:r w:rsidRPr="000B0DD7">
        <w:rPr>
          <w:i/>
        </w:rPr>
        <w:t xml:space="preserve"> </w:t>
      </w:r>
      <w:r w:rsidRPr="000B0DD7">
        <w:rPr>
          <w:rFonts w:ascii="Symbol" w:hAnsi="Symbol"/>
          <w:i/>
        </w:rPr>
        <w:t></w:t>
      </w:r>
      <w:r>
        <w:t xml:space="preserve"> +</w:t>
      </w:r>
      <w:r w:rsidRPr="00775AF2">
        <w:rPr>
          <w:i/>
        </w:rPr>
        <w:t>g</w:t>
      </w:r>
      <w:r w:rsidRPr="000B0DD7">
        <w:rPr>
          <w:rFonts w:ascii="Symbol" w:hAnsi="Symbol"/>
          <w:i/>
        </w:rPr>
        <w:t></w:t>
      </w:r>
      <w:r>
        <w:t xml:space="preserve">) times the outstanding debt-to-GDP, where </w:t>
      </w:r>
      <w:r>
        <w:rPr>
          <w:i/>
        </w:rPr>
        <w:t xml:space="preserve">r </w:t>
      </w:r>
      <w:r w:rsidRPr="00446264">
        <w:t>is the real interest rate</w:t>
      </w:r>
      <w:r>
        <w:rPr>
          <w:i/>
        </w:rPr>
        <w:t xml:space="preserve">, g </w:t>
      </w:r>
      <w:r>
        <w:t xml:space="preserve">is real GDP growth and </w:t>
      </w:r>
      <w:r w:rsidRPr="000B0DD7">
        <w:rPr>
          <w:rFonts w:ascii="Symbol" w:hAnsi="Symbol"/>
          <w:i/>
        </w:rPr>
        <w:t></w:t>
      </w:r>
      <w:r>
        <w:t xml:space="preserve"> is the change in the GDP deflator. The primary surplus required so that debt remains at the previous year level would equal to the automatic contribution.</w:t>
      </w:r>
    </w:p>
  </w:footnote>
  <w:footnote w:id="8">
    <w:p w:rsidR="00343D3B" w:rsidRDefault="00343D3B" w:rsidP="00343D3B">
      <w:pPr>
        <w:pStyle w:val="FootnoteText"/>
      </w:pPr>
      <w:r>
        <w:rPr>
          <w:rStyle w:val="FootnoteReference"/>
        </w:rPr>
        <w:footnoteRef/>
      </w:r>
      <w:r>
        <w:t xml:space="preserve"> This is related to uncertainty over the potential size of Brazil’s oil reserves, the timing for the start of production in new fields, the required investment levels, and potential near-term capacity constraints.</w:t>
      </w:r>
    </w:p>
  </w:footnote>
  <w:footnote w:id="9">
    <w:p w:rsidR="00343D3B" w:rsidRDefault="00343D3B" w:rsidP="00343D3B">
      <w:pPr>
        <w:pStyle w:val="FootnoteText"/>
      </w:pPr>
      <w:r>
        <w:rPr>
          <w:rStyle w:val="FootnoteReference"/>
        </w:rPr>
        <w:footnoteRef/>
      </w:r>
      <w:r>
        <w:t xml:space="preserve"> </w:t>
      </w:r>
      <w:r w:rsidRPr="004E4E45">
        <w:rPr>
          <w:rFonts w:cs="Segoe UI"/>
          <w:szCs w:val="18"/>
        </w:rPr>
        <w:t>For instance, in September 2011 the IOF on equity transactions was lowered from 2 to 0 percent</w:t>
      </w:r>
      <w:r>
        <w:rPr>
          <w:rFonts w:cs="Segoe UI"/>
          <w:szCs w:val="18"/>
        </w:rPr>
        <w:t xml:space="preserve"> and in January 2013 the IOF on inflows to real estate investment funds was reduced to 0 as well.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Pr="00F11DC6" w:rsidRDefault="004B165B" w:rsidP="00C06D9A">
    <w:pPr>
      <w:tabs>
        <w:tab w:val="left" w:pos="1980"/>
        <w:tab w:val="left" w:pos="2250"/>
      </w:tabs>
      <w:rPr>
        <w:rFonts w:cs="Segoe UI"/>
        <w:caps/>
        <w:sz w:val="18"/>
        <w:szCs w:val="18"/>
        <w:lang w:val="fr-FR"/>
      </w:rPr>
    </w:pPr>
    <w:r>
      <w:rPr>
        <w:rFonts w:cs="Segoe UI"/>
        <w:caps/>
        <w:color w:val="4B82AD"/>
        <w:sz w:val="18"/>
        <w:szCs w:val="18"/>
        <w:lang w:val="fr-FR"/>
      </w:rPr>
      <w:t>Brazil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Default="004B16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Default="004B16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Pr="00F11DC6" w:rsidRDefault="004B165B" w:rsidP="00C06D9A">
    <w:pPr>
      <w:tabs>
        <w:tab w:val="left" w:pos="1980"/>
        <w:tab w:val="left" w:pos="2250"/>
      </w:tabs>
      <w:rPr>
        <w:rFonts w:cs="Segoe UI"/>
        <w:caps/>
        <w:sz w:val="18"/>
        <w:szCs w:val="18"/>
        <w:lang w:val="fr-FR"/>
      </w:rPr>
    </w:pPr>
    <w:r>
      <w:rPr>
        <w:rFonts w:cs="Segoe UI"/>
        <w:caps/>
        <w:color w:val="4B82AD"/>
        <w:sz w:val="18"/>
        <w:szCs w:val="18"/>
        <w:lang w:val="fr-FR"/>
      </w:rPr>
      <w:t>Brazil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Pr="00F11DC6" w:rsidRDefault="004B165B" w:rsidP="00C06D9A">
    <w:pPr>
      <w:pStyle w:val="Header"/>
      <w:tabs>
        <w:tab w:val="clear" w:pos="4320"/>
        <w:tab w:val="clear" w:pos="8640"/>
        <w:tab w:val="right" w:pos="2430"/>
      </w:tabs>
      <w:wordWrap w:val="0"/>
      <w:ind w:right="29"/>
      <w:jc w:val="right"/>
      <w:rPr>
        <w:rFonts w:cs="Segoe UI"/>
        <w:caps/>
        <w:sz w:val="18"/>
        <w:szCs w:val="18"/>
        <w:lang w:val="fr-FR"/>
      </w:rPr>
    </w:pPr>
    <w:r>
      <w:rPr>
        <w:rFonts w:cs="Segoe UI"/>
        <w:caps/>
        <w:color w:val="4B82AD"/>
        <w:sz w:val="18"/>
        <w:szCs w:val="18"/>
        <w:lang w:val="fr-FR"/>
      </w:rPr>
      <w:t>Brazil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65B" w:rsidRPr="008745EA" w:rsidRDefault="002D4229" w:rsidP="00D53492">
    <w:pPr>
      <w:pStyle w:val="Header"/>
      <w:ind w:firstLineChars="1500" w:firstLine="3150"/>
    </w:pPr>
    <w:r>
      <w:rPr>
        <w:noProof/>
        <w:lang w:eastAsia="ja-JP" w:bidi="ml-IN"/>
      </w:rPr>
      <w:pict>
        <v:shapetype id="_x0000_t202" coordsize="21600,21600" o:spt="202" path="m,l,21600r21600,l21600,xe">
          <v:stroke joinstyle="miter"/>
          <v:path gradientshapeok="t" o:connecttype="rect"/>
        </v:shapetype>
        <v:shape id="_x0000_s2050" type="#_x0000_t202" alt="" style="position:absolute;left:0;text-align:left;margin-left:449.25pt;margin-top:3.75pt;width:69.75pt;height:7.5pt;z-index:251656192;mso-wrap-style:square;mso-wrap-edited:f;mso-width-percent:0;mso-height-percent:0;mso-width-percent:0;mso-height-percent:0;v-text-anchor:top" fillcolor="#4f81bd [3204]" stroked="f" strokecolor="#f2f2f2 [3041]" strokeweight="3pt">
          <v:shadow type="perspective" color="#243f60 [1604]" opacity=".5" offset="1pt" offset2="-1pt"/>
          <v:textbox style="mso-next-textbox:#_x0000_s2050" inset="5.85pt,.7pt,5.85pt,.7pt">
            <w:txbxContent>
              <w:p w:rsidR="004B165B" w:rsidRDefault="004B165B"/>
            </w:txbxContent>
          </v:textbox>
        </v:shape>
      </w:pict>
    </w:r>
    <w:r w:rsidR="004B165B">
      <w:tab/>
    </w:r>
    <w:r>
      <w:fldChar w:fldCharType="begin"/>
    </w:r>
    <w:r>
      <w:instrText xml:space="preserve"> FILENAME </w:instrText>
    </w:r>
    <w:r>
      <w:fldChar w:fldCharType="separate"/>
    </w:r>
    <w:r w:rsidR="004B165B">
      <w:rPr>
        <w:noProof/>
      </w:rPr>
      <w:t>DMSDR1S-#5138964-v5-Brazil_2013_Article_IV_Consultation_-_Policy_Note.DOCX</w:t>
    </w:r>
    <w:r>
      <w:rPr>
        <w:noProof/>
      </w:rPr>
      <w:fldChar w:fldCharType="end"/>
    </w:r>
    <w:r w:rsidR="004B165B">
      <w:t xml:space="preserve">   </w:t>
    </w:r>
    <w:proofErr w:type="gramStart"/>
    <w:r w:rsidR="004B165B">
      <w:t>2010  Article</w:t>
    </w:r>
    <w:proofErr w:type="gramEnd"/>
    <w:r w:rsidR="004B165B">
      <w:t xml:space="preserve"> IV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9E4430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D5C179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C321FD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092FA4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9E495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B72F90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5C684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76226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B9061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292CB34"/>
    <w:lvl w:ilvl="0">
      <w:start w:val="1"/>
      <w:numFmt w:val="bullet"/>
      <w:pStyle w:val="ListBullet"/>
      <w:lvlText w:val=""/>
      <w:lvlJc w:val="left"/>
      <w:pPr>
        <w:ind w:left="360" w:hanging="360"/>
      </w:pPr>
      <w:rPr>
        <w:rFonts w:ascii="Symbol" w:hAnsi="Symbol" w:hint="default"/>
        <w:color w:val="4B82AD"/>
        <w:sz w:val="21"/>
      </w:rPr>
    </w:lvl>
  </w:abstractNum>
  <w:abstractNum w:abstractNumId="10" w15:restartNumberingAfterBreak="0">
    <w:nsid w:val="0773775B"/>
    <w:multiLevelType w:val="hybridMultilevel"/>
    <w:tmpl w:val="56709E74"/>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44048"/>
    <w:multiLevelType w:val="hybridMultilevel"/>
    <w:tmpl w:val="AB8A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8C3FE3"/>
    <w:multiLevelType w:val="hybridMultilevel"/>
    <w:tmpl w:val="74B0E852"/>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105CA9"/>
    <w:multiLevelType w:val="hybridMultilevel"/>
    <w:tmpl w:val="31C02244"/>
    <w:lvl w:ilvl="0" w:tplc="3CF28AFA">
      <w:start w:val="1"/>
      <w:numFmt w:val="decimal"/>
      <w:lvlText w:val="%1.     "/>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61F47F0"/>
    <w:multiLevelType w:val="hybridMultilevel"/>
    <w:tmpl w:val="E94CB1F0"/>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F065A"/>
    <w:multiLevelType w:val="hybridMultilevel"/>
    <w:tmpl w:val="BA328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85E71"/>
    <w:multiLevelType w:val="hybridMultilevel"/>
    <w:tmpl w:val="993044AE"/>
    <w:lvl w:ilvl="0" w:tplc="8148212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CD6BF5"/>
    <w:multiLevelType w:val="hybridMultilevel"/>
    <w:tmpl w:val="A378ABA2"/>
    <w:lvl w:ilvl="0" w:tplc="EF02E5FA">
      <w:start w:val="1"/>
      <w:numFmt w:val="bullet"/>
      <w:pStyle w:val="BoxBullet"/>
      <w:lvlText w:val=""/>
      <w:lvlJc w:val="left"/>
      <w:pPr>
        <w:ind w:left="720" w:hanging="360"/>
      </w:pPr>
      <w:rPr>
        <w:rFonts w:ascii="Symbol" w:hAnsi="Symbol" w:hint="default"/>
        <w:color w:val="4B82AD"/>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D7BB7"/>
    <w:multiLevelType w:val="hybridMultilevel"/>
    <w:tmpl w:val="18CA4242"/>
    <w:lvl w:ilvl="0" w:tplc="C520ED66">
      <w:start w:val="1"/>
      <w:numFmt w:val="decimal"/>
      <w:pStyle w:val="ParagraphNumbering"/>
      <w:lvlText w:val="%1.     "/>
      <w:lvlJc w:val="left"/>
      <w:pPr>
        <w:ind w:left="360" w:hanging="360"/>
      </w:pPr>
      <w:rPr>
        <w:rFonts w:ascii="Segoe UI" w:hAnsi="Segoe UI" w:hint="default"/>
        <w:b/>
        <w:i w:val="0"/>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7129C5"/>
    <w:multiLevelType w:val="hybridMultilevel"/>
    <w:tmpl w:val="388E26D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357A5699"/>
    <w:multiLevelType w:val="hybridMultilevel"/>
    <w:tmpl w:val="E7CAC4BC"/>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E04012"/>
    <w:multiLevelType w:val="hybridMultilevel"/>
    <w:tmpl w:val="7DBC3CDA"/>
    <w:lvl w:ilvl="0" w:tplc="33FE2298">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B524FD"/>
    <w:multiLevelType w:val="hybridMultilevel"/>
    <w:tmpl w:val="6234BA24"/>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C5526A"/>
    <w:multiLevelType w:val="hybridMultilevel"/>
    <w:tmpl w:val="EEE8CFCA"/>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B24716"/>
    <w:multiLevelType w:val="hybridMultilevel"/>
    <w:tmpl w:val="47B6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005C0C"/>
    <w:multiLevelType w:val="hybridMultilevel"/>
    <w:tmpl w:val="22E89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95B39"/>
    <w:multiLevelType w:val="hybridMultilevel"/>
    <w:tmpl w:val="E99A7834"/>
    <w:lvl w:ilvl="0" w:tplc="33FE2298">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6C022C7"/>
    <w:multiLevelType w:val="hybridMultilevel"/>
    <w:tmpl w:val="D31E9D92"/>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EA15A1"/>
    <w:multiLevelType w:val="multilevel"/>
    <w:tmpl w:val="FAA42BFC"/>
    <w:lvl w:ilvl="0">
      <w:start w:val="1"/>
      <w:numFmt w:val="upperRoman"/>
      <w:suff w:val="nothing"/>
      <w:lvlText w:val="%1.   "/>
      <w:lvlJc w:val="left"/>
      <w:pPr>
        <w:ind w:left="0" w:firstLine="0"/>
      </w:pPr>
      <w:rPr>
        <w:rFonts w:hint="default"/>
      </w:rPr>
    </w:lvl>
    <w:lvl w:ilvl="1">
      <w:start w:val="1"/>
      <w:numFmt w:val="upperLetter"/>
      <w:pStyle w:val="Heading2"/>
      <w:suff w:val="nothing"/>
      <w:lvlText w:val="%2.   "/>
      <w:lvlJc w:val="left"/>
      <w:pPr>
        <w:ind w:left="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abstractNum w:abstractNumId="29" w15:restartNumberingAfterBreak="0">
    <w:nsid w:val="728C4666"/>
    <w:multiLevelType w:val="hybridMultilevel"/>
    <w:tmpl w:val="11844382"/>
    <w:lvl w:ilvl="0" w:tplc="1DC46F72">
      <w:start w:val="1"/>
      <w:numFmt w:val="bullet"/>
      <w:lvlText w:val=""/>
      <w:lvlJc w:val="left"/>
      <w:pPr>
        <w:ind w:left="720" w:hanging="360"/>
      </w:pPr>
      <w:rPr>
        <w:rFonts w:ascii="Symbol" w:hAnsi="Symbol" w:hint="default"/>
        <w:color w:val="4B82AD"/>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666ADB"/>
    <w:multiLevelType w:val="hybridMultilevel"/>
    <w:tmpl w:val="4B40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AB259B"/>
    <w:multiLevelType w:val="hybridMultilevel"/>
    <w:tmpl w:val="CEB6C390"/>
    <w:lvl w:ilvl="0" w:tplc="33FE2298">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8"/>
  </w:num>
  <w:num w:numId="2">
    <w:abstractNumId w:val="13"/>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28"/>
  </w:num>
  <w:num w:numId="14">
    <w:abstractNumId w:val="28"/>
  </w:num>
  <w:num w:numId="15">
    <w:abstractNumId w:val="9"/>
  </w:num>
  <w:num w:numId="16">
    <w:abstractNumId w:val="7"/>
  </w:num>
  <w:num w:numId="17">
    <w:abstractNumId w:val="6"/>
  </w:num>
  <w:num w:numId="18">
    <w:abstractNumId w:val="5"/>
  </w:num>
  <w:num w:numId="19">
    <w:abstractNumId w:val="4"/>
  </w:num>
  <w:num w:numId="20">
    <w:abstractNumId w:val="13"/>
  </w:num>
  <w:num w:numId="21">
    <w:abstractNumId w:val="13"/>
  </w:num>
  <w:num w:numId="22">
    <w:abstractNumId w:val="30"/>
  </w:num>
  <w:num w:numId="23">
    <w:abstractNumId w:val="15"/>
  </w:num>
  <w:num w:numId="24">
    <w:abstractNumId w:val="11"/>
  </w:num>
  <w:num w:numId="25">
    <w:abstractNumId w:val="16"/>
  </w:num>
  <w:num w:numId="26">
    <w:abstractNumId w:val="25"/>
  </w:num>
  <w:num w:numId="27">
    <w:abstractNumId w:val="21"/>
  </w:num>
  <w:num w:numId="28">
    <w:abstractNumId w:val="10"/>
  </w:num>
  <w:num w:numId="29">
    <w:abstractNumId w:val="22"/>
  </w:num>
  <w:num w:numId="30">
    <w:abstractNumId w:val="12"/>
  </w:num>
  <w:num w:numId="31">
    <w:abstractNumId w:val="20"/>
  </w:num>
  <w:num w:numId="32">
    <w:abstractNumId w:val="27"/>
  </w:num>
  <w:num w:numId="33">
    <w:abstractNumId w:val="14"/>
  </w:num>
  <w:num w:numId="34">
    <w:abstractNumId w:val="26"/>
  </w:num>
  <w:num w:numId="35">
    <w:abstractNumId w:val="31"/>
  </w:num>
  <w:num w:numId="36">
    <w:abstractNumId w:val="23"/>
  </w:num>
  <w:num w:numId="37">
    <w:abstractNumId w:val="18"/>
  </w:num>
  <w:num w:numId="38">
    <w:abstractNumId w:val="29"/>
  </w:num>
  <w:num w:numId="39">
    <w:abstractNumId w:val="17"/>
  </w:num>
  <w:num w:numId="40">
    <w:abstractNumId w:val="24"/>
  </w:num>
  <w:num w:numId="41">
    <w:abstractNumId w:val="19"/>
  </w:num>
  <w:num w:numId="4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051">
      <v:textbox inset="5.85pt,.7pt,5.85pt,.7pt"/>
    </o:shapedefaults>
    <o:shapelayout v:ext="edit">
      <o:idmap v:ext="edit" data="2"/>
    </o:shapelayout>
  </w:hdrShapeDefaults>
  <w:footnotePr>
    <w:footnote w:id="-1"/>
    <w:footnote w:id="0"/>
    <w:footnote w:id="1"/>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5BCB"/>
    <w:rsid w:val="00002995"/>
    <w:rsid w:val="00005375"/>
    <w:rsid w:val="00012738"/>
    <w:rsid w:val="000133A9"/>
    <w:rsid w:val="00014C1D"/>
    <w:rsid w:val="00016083"/>
    <w:rsid w:val="00016214"/>
    <w:rsid w:val="00016FD6"/>
    <w:rsid w:val="00017AAF"/>
    <w:rsid w:val="0002035A"/>
    <w:rsid w:val="000203AF"/>
    <w:rsid w:val="00025319"/>
    <w:rsid w:val="00025A03"/>
    <w:rsid w:val="00030F7E"/>
    <w:rsid w:val="00033EC7"/>
    <w:rsid w:val="00034B2B"/>
    <w:rsid w:val="00040D64"/>
    <w:rsid w:val="0004374E"/>
    <w:rsid w:val="00043C10"/>
    <w:rsid w:val="000442C9"/>
    <w:rsid w:val="000449C3"/>
    <w:rsid w:val="000504A0"/>
    <w:rsid w:val="00053EB3"/>
    <w:rsid w:val="00054127"/>
    <w:rsid w:val="00056CBC"/>
    <w:rsid w:val="00060746"/>
    <w:rsid w:val="0006211B"/>
    <w:rsid w:val="000641EC"/>
    <w:rsid w:val="000659B7"/>
    <w:rsid w:val="0007696E"/>
    <w:rsid w:val="00076B32"/>
    <w:rsid w:val="000824CA"/>
    <w:rsid w:val="000832C0"/>
    <w:rsid w:val="0009232A"/>
    <w:rsid w:val="000926E4"/>
    <w:rsid w:val="000926EA"/>
    <w:rsid w:val="00092A16"/>
    <w:rsid w:val="000A27F4"/>
    <w:rsid w:val="000A5163"/>
    <w:rsid w:val="000A5C6E"/>
    <w:rsid w:val="000A7AB5"/>
    <w:rsid w:val="000A7E0C"/>
    <w:rsid w:val="000B2A5F"/>
    <w:rsid w:val="000B3DFF"/>
    <w:rsid w:val="000B7977"/>
    <w:rsid w:val="000C0785"/>
    <w:rsid w:val="000C0E90"/>
    <w:rsid w:val="000C1966"/>
    <w:rsid w:val="000C6786"/>
    <w:rsid w:val="000D2F50"/>
    <w:rsid w:val="000D6692"/>
    <w:rsid w:val="000E214E"/>
    <w:rsid w:val="000E4648"/>
    <w:rsid w:val="000E6FC1"/>
    <w:rsid w:val="000E7F0B"/>
    <w:rsid w:val="000F2A5E"/>
    <w:rsid w:val="000F2CB0"/>
    <w:rsid w:val="000F604B"/>
    <w:rsid w:val="000F7676"/>
    <w:rsid w:val="001045A3"/>
    <w:rsid w:val="0010724F"/>
    <w:rsid w:val="00111B25"/>
    <w:rsid w:val="001157FC"/>
    <w:rsid w:val="00117D07"/>
    <w:rsid w:val="0012097A"/>
    <w:rsid w:val="0012222E"/>
    <w:rsid w:val="00122D61"/>
    <w:rsid w:val="00125E2D"/>
    <w:rsid w:val="0012605A"/>
    <w:rsid w:val="00126959"/>
    <w:rsid w:val="0013051D"/>
    <w:rsid w:val="001364B1"/>
    <w:rsid w:val="001420E0"/>
    <w:rsid w:val="00142DBA"/>
    <w:rsid w:val="001437B9"/>
    <w:rsid w:val="00143E1F"/>
    <w:rsid w:val="00145588"/>
    <w:rsid w:val="001479CC"/>
    <w:rsid w:val="00151A90"/>
    <w:rsid w:val="0015268B"/>
    <w:rsid w:val="00152D21"/>
    <w:rsid w:val="00152D6A"/>
    <w:rsid w:val="001531BD"/>
    <w:rsid w:val="001537F1"/>
    <w:rsid w:val="0015462D"/>
    <w:rsid w:val="00154F8C"/>
    <w:rsid w:val="001566B1"/>
    <w:rsid w:val="00162BED"/>
    <w:rsid w:val="00165E61"/>
    <w:rsid w:val="00166CDC"/>
    <w:rsid w:val="00167B74"/>
    <w:rsid w:val="00170EDD"/>
    <w:rsid w:val="00171C39"/>
    <w:rsid w:val="001726DF"/>
    <w:rsid w:val="0017325E"/>
    <w:rsid w:val="001761C4"/>
    <w:rsid w:val="001762DA"/>
    <w:rsid w:val="001777FF"/>
    <w:rsid w:val="00177F0A"/>
    <w:rsid w:val="00180A4F"/>
    <w:rsid w:val="00182C5D"/>
    <w:rsid w:val="00186227"/>
    <w:rsid w:val="001902CD"/>
    <w:rsid w:val="001903B2"/>
    <w:rsid w:val="0019118E"/>
    <w:rsid w:val="0019136D"/>
    <w:rsid w:val="00195047"/>
    <w:rsid w:val="001966CF"/>
    <w:rsid w:val="001A03E2"/>
    <w:rsid w:val="001A15C9"/>
    <w:rsid w:val="001A6E59"/>
    <w:rsid w:val="001B074D"/>
    <w:rsid w:val="001B1223"/>
    <w:rsid w:val="001B41F6"/>
    <w:rsid w:val="001C1CE8"/>
    <w:rsid w:val="001C2A4F"/>
    <w:rsid w:val="001C3114"/>
    <w:rsid w:val="001C513B"/>
    <w:rsid w:val="001C641C"/>
    <w:rsid w:val="001D087A"/>
    <w:rsid w:val="001D5489"/>
    <w:rsid w:val="001D63C1"/>
    <w:rsid w:val="001E04DD"/>
    <w:rsid w:val="001E0D8E"/>
    <w:rsid w:val="001E0E02"/>
    <w:rsid w:val="001E0EF4"/>
    <w:rsid w:val="001E17B9"/>
    <w:rsid w:val="001E2178"/>
    <w:rsid w:val="001E5D39"/>
    <w:rsid w:val="001E697E"/>
    <w:rsid w:val="001E781A"/>
    <w:rsid w:val="001E7986"/>
    <w:rsid w:val="001F19FA"/>
    <w:rsid w:val="001F2BE3"/>
    <w:rsid w:val="001F3707"/>
    <w:rsid w:val="001F448B"/>
    <w:rsid w:val="001F748A"/>
    <w:rsid w:val="001F7B50"/>
    <w:rsid w:val="00201E18"/>
    <w:rsid w:val="002029FA"/>
    <w:rsid w:val="002030FD"/>
    <w:rsid w:val="00203DE2"/>
    <w:rsid w:val="00207BEA"/>
    <w:rsid w:val="00212A9E"/>
    <w:rsid w:val="00212C41"/>
    <w:rsid w:val="00213962"/>
    <w:rsid w:val="00213C9F"/>
    <w:rsid w:val="00215346"/>
    <w:rsid w:val="00216D83"/>
    <w:rsid w:val="002221C9"/>
    <w:rsid w:val="00223476"/>
    <w:rsid w:val="00224573"/>
    <w:rsid w:val="00226C8B"/>
    <w:rsid w:val="00227792"/>
    <w:rsid w:val="002279AB"/>
    <w:rsid w:val="002337F3"/>
    <w:rsid w:val="00234403"/>
    <w:rsid w:val="0023464B"/>
    <w:rsid w:val="0024124D"/>
    <w:rsid w:val="00242986"/>
    <w:rsid w:val="002430A2"/>
    <w:rsid w:val="00243ED1"/>
    <w:rsid w:val="00245EF4"/>
    <w:rsid w:val="00246060"/>
    <w:rsid w:val="002461F7"/>
    <w:rsid w:val="00251557"/>
    <w:rsid w:val="00251D59"/>
    <w:rsid w:val="0025200F"/>
    <w:rsid w:val="00252192"/>
    <w:rsid w:val="002547C5"/>
    <w:rsid w:val="002563A3"/>
    <w:rsid w:val="00257BE1"/>
    <w:rsid w:val="00260EF0"/>
    <w:rsid w:val="002612EB"/>
    <w:rsid w:val="00262172"/>
    <w:rsid w:val="002632EE"/>
    <w:rsid w:val="00263900"/>
    <w:rsid w:val="00265963"/>
    <w:rsid w:val="002670CC"/>
    <w:rsid w:val="00271B76"/>
    <w:rsid w:val="00276013"/>
    <w:rsid w:val="0027618C"/>
    <w:rsid w:val="00276A15"/>
    <w:rsid w:val="00283445"/>
    <w:rsid w:val="00284D9E"/>
    <w:rsid w:val="002871FC"/>
    <w:rsid w:val="00291A32"/>
    <w:rsid w:val="00291D36"/>
    <w:rsid w:val="0029414B"/>
    <w:rsid w:val="002954F8"/>
    <w:rsid w:val="002958D5"/>
    <w:rsid w:val="00295F87"/>
    <w:rsid w:val="00296BD4"/>
    <w:rsid w:val="002A0394"/>
    <w:rsid w:val="002A0EA8"/>
    <w:rsid w:val="002A16EB"/>
    <w:rsid w:val="002A3387"/>
    <w:rsid w:val="002A4B4A"/>
    <w:rsid w:val="002A6CEA"/>
    <w:rsid w:val="002B7B6B"/>
    <w:rsid w:val="002C1E1B"/>
    <w:rsid w:val="002C2666"/>
    <w:rsid w:val="002C30B4"/>
    <w:rsid w:val="002C3FA3"/>
    <w:rsid w:val="002C5380"/>
    <w:rsid w:val="002D0B70"/>
    <w:rsid w:val="002D4229"/>
    <w:rsid w:val="002D67E6"/>
    <w:rsid w:val="002E0D6C"/>
    <w:rsid w:val="002E19FD"/>
    <w:rsid w:val="002E2D03"/>
    <w:rsid w:val="002E47BD"/>
    <w:rsid w:val="002E641E"/>
    <w:rsid w:val="002F15B6"/>
    <w:rsid w:val="002F2EC3"/>
    <w:rsid w:val="002F6201"/>
    <w:rsid w:val="002F64B7"/>
    <w:rsid w:val="00300DF2"/>
    <w:rsid w:val="0030307D"/>
    <w:rsid w:val="00303A3C"/>
    <w:rsid w:val="00305AD9"/>
    <w:rsid w:val="00310817"/>
    <w:rsid w:val="00311FE2"/>
    <w:rsid w:val="00311FF7"/>
    <w:rsid w:val="00313954"/>
    <w:rsid w:val="00313AD3"/>
    <w:rsid w:val="003142CE"/>
    <w:rsid w:val="00315FE4"/>
    <w:rsid w:val="00316A16"/>
    <w:rsid w:val="00320E1E"/>
    <w:rsid w:val="00322AFD"/>
    <w:rsid w:val="00324BDA"/>
    <w:rsid w:val="00327493"/>
    <w:rsid w:val="00327D60"/>
    <w:rsid w:val="0033406A"/>
    <w:rsid w:val="0033450F"/>
    <w:rsid w:val="003345BB"/>
    <w:rsid w:val="00340CDC"/>
    <w:rsid w:val="00343D3B"/>
    <w:rsid w:val="00344F4F"/>
    <w:rsid w:val="0035196B"/>
    <w:rsid w:val="00353C05"/>
    <w:rsid w:val="00361570"/>
    <w:rsid w:val="0036243D"/>
    <w:rsid w:val="003647D8"/>
    <w:rsid w:val="00366A7C"/>
    <w:rsid w:val="0037124D"/>
    <w:rsid w:val="00371D01"/>
    <w:rsid w:val="0038082B"/>
    <w:rsid w:val="00385B3B"/>
    <w:rsid w:val="0038650F"/>
    <w:rsid w:val="00386CF9"/>
    <w:rsid w:val="0038706B"/>
    <w:rsid w:val="00387380"/>
    <w:rsid w:val="003877F8"/>
    <w:rsid w:val="00393DF1"/>
    <w:rsid w:val="00394975"/>
    <w:rsid w:val="003A2F83"/>
    <w:rsid w:val="003A5177"/>
    <w:rsid w:val="003B3113"/>
    <w:rsid w:val="003B7460"/>
    <w:rsid w:val="003B76D1"/>
    <w:rsid w:val="003B7D37"/>
    <w:rsid w:val="003C0113"/>
    <w:rsid w:val="003C02B9"/>
    <w:rsid w:val="003C3799"/>
    <w:rsid w:val="003C4230"/>
    <w:rsid w:val="003C6BB9"/>
    <w:rsid w:val="003D3246"/>
    <w:rsid w:val="003D3FB7"/>
    <w:rsid w:val="003D4042"/>
    <w:rsid w:val="003D68E4"/>
    <w:rsid w:val="003E166B"/>
    <w:rsid w:val="003E1D5C"/>
    <w:rsid w:val="003E3F0D"/>
    <w:rsid w:val="003E4056"/>
    <w:rsid w:val="003E4509"/>
    <w:rsid w:val="003E591F"/>
    <w:rsid w:val="003E6803"/>
    <w:rsid w:val="003E6BD1"/>
    <w:rsid w:val="003E7BE2"/>
    <w:rsid w:val="003F009C"/>
    <w:rsid w:val="003F1EE1"/>
    <w:rsid w:val="003F62BA"/>
    <w:rsid w:val="003F757B"/>
    <w:rsid w:val="003F77D0"/>
    <w:rsid w:val="00400280"/>
    <w:rsid w:val="00401B42"/>
    <w:rsid w:val="004065DE"/>
    <w:rsid w:val="00406B60"/>
    <w:rsid w:val="00407838"/>
    <w:rsid w:val="00407B90"/>
    <w:rsid w:val="00407C89"/>
    <w:rsid w:val="004116CE"/>
    <w:rsid w:val="004120C3"/>
    <w:rsid w:val="004128E9"/>
    <w:rsid w:val="00412EE5"/>
    <w:rsid w:val="00421527"/>
    <w:rsid w:val="004264D4"/>
    <w:rsid w:val="00430110"/>
    <w:rsid w:val="00430D62"/>
    <w:rsid w:val="00431E77"/>
    <w:rsid w:val="0043207F"/>
    <w:rsid w:val="0043486E"/>
    <w:rsid w:val="00436C19"/>
    <w:rsid w:val="00437B6E"/>
    <w:rsid w:val="00437D08"/>
    <w:rsid w:val="00440F55"/>
    <w:rsid w:val="00442417"/>
    <w:rsid w:val="004432BC"/>
    <w:rsid w:val="00444F24"/>
    <w:rsid w:val="00445E4D"/>
    <w:rsid w:val="00453F79"/>
    <w:rsid w:val="00455E01"/>
    <w:rsid w:val="00457D01"/>
    <w:rsid w:val="00460478"/>
    <w:rsid w:val="00461188"/>
    <w:rsid w:val="00461F3E"/>
    <w:rsid w:val="00464B75"/>
    <w:rsid w:val="00465E3D"/>
    <w:rsid w:val="00466DD6"/>
    <w:rsid w:val="00467C82"/>
    <w:rsid w:val="00470976"/>
    <w:rsid w:val="00473889"/>
    <w:rsid w:val="004775CD"/>
    <w:rsid w:val="00480236"/>
    <w:rsid w:val="00480275"/>
    <w:rsid w:val="00482B78"/>
    <w:rsid w:val="004845A6"/>
    <w:rsid w:val="004872AE"/>
    <w:rsid w:val="00487760"/>
    <w:rsid w:val="00490565"/>
    <w:rsid w:val="00492BC3"/>
    <w:rsid w:val="0049339A"/>
    <w:rsid w:val="004952D5"/>
    <w:rsid w:val="004A2EFD"/>
    <w:rsid w:val="004A30C8"/>
    <w:rsid w:val="004A499A"/>
    <w:rsid w:val="004A645F"/>
    <w:rsid w:val="004A7E4D"/>
    <w:rsid w:val="004B1653"/>
    <w:rsid w:val="004B165B"/>
    <w:rsid w:val="004B197A"/>
    <w:rsid w:val="004B1BFF"/>
    <w:rsid w:val="004B2A92"/>
    <w:rsid w:val="004B2C14"/>
    <w:rsid w:val="004B43CD"/>
    <w:rsid w:val="004C0E15"/>
    <w:rsid w:val="004C0ECC"/>
    <w:rsid w:val="004C3A9D"/>
    <w:rsid w:val="004C5374"/>
    <w:rsid w:val="004C686D"/>
    <w:rsid w:val="004D06D6"/>
    <w:rsid w:val="004D5FD9"/>
    <w:rsid w:val="004D61AE"/>
    <w:rsid w:val="004D6A26"/>
    <w:rsid w:val="004D76D5"/>
    <w:rsid w:val="004E5972"/>
    <w:rsid w:val="004E7868"/>
    <w:rsid w:val="004E7DB3"/>
    <w:rsid w:val="004F0F10"/>
    <w:rsid w:val="004F3FB0"/>
    <w:rsid w:val="004F435E"/>
    <w:rsid w:val="004F452C"/>
    <w:rsid w:val="004F63EE"/>
    <w:rsid w:val="004F71BF"/>
    <w:rsid w:val="004F73C2"/>
    <w:rsid w:val="00502EAB"/>
    <w:rsid w:val="00507030"/>
    <w:rsid w:val="00507338"/>
    <w:rsid w:val="00511663"/>
    <w:rsid w:val="00511E84"/>
    <w:rsid w:val="00512855"/>
    <w:rsid w:val="005174C5"/>
    <w:rsid w:val="00521D02"/>
    <w:rsid w:val="00524055"/>
    <w:rsid w:val="005269D2"/>
    <w:rsid w:val="00526C8B"/>
    <w:rsid w:val="005301E7"/>
    <w:rsid w:val="00531BE4"/>
    <w:rsid w:val="005329A8"/>
    <w:rsid w:val="00533954"/>
    <w:rsid w:val="005340A4"/>
    <w:rsid w:val="00535547"/>
    <w:rsid w:val="0053561B"/>
    <w:rsid w:val="00541726"/>
    <w:rsid w:val="00542029"/>
    <w:rsid w:val="00542914"/>
    <w:rsid w:val="005431C5"/>
    <w:rsid w:val="00546A6D"/>
    <w:rsid w:val="00547CDC"/>
    <w:rsid w:val="0055621D"/>
    <w:rsid w:val="00556379"/>
    <w:rsid w:val="005668F7"/>
    <w:rsid w:val="00573359"/>
    <w:rsid w:val="005800F1"/>
    <w:rsid w:val="00584074"/>
    <w:rsid w:val="00586E69"/>
    <w:rsid w:val="00587527"/>
    <w:rsid w:val="005911BB"/>
    <w:rsid w:val="00591838"/>
    <w:rsid w:val="00595861"/>
    <w:rsid w:val="00595F29"/>
    <w:rsid w:val="005A0EE1"/>
    <w:rsid w:val="005A2A6A"/>
    <w:rsid w:val="005A2DDE"/>
    <w:rsid w:val="005A33E8"/>
    <w:rsid w:val="005A40B5"/>
    <w:rsid w:val="005A4977"/>
    <w:rsid w:val="005A5779"/>
    <w:rsid w:val="005A6A35"/>
    <w:rsid w:val="005B197F"/>
    <w:rsid w:val="005B1C24"/>
    <w:rsid w:val="005B27FC"/>
    <w:rsid w:val="005B2E85"/>
    <w:rsid w:val="005C2481"/>
    <w:rsid w:val="005C3AA5"/>
    <w:rsid w:val="005C4224"/>
    <w:rsid w:val="005C466E"/>
    <w:rsid w:val="005C486B"/>
    <w:rsid w:val="005C5929"/>
    <w:rsid w:val="005C5B16"/>
    <w:rsid w:val="005C708C"/>
    <w:rsid w:val="005C779B"/>
    <w:rsid w:val="005C7ED3"/>
    <w:rsid w:val="005D167C"/>
    <w:rsid w:val="005D1C25"/>
    <w:rsid w:val="005D1D51"/>
    <w:rsid w:val="005D1DAD"/>
    <w:rsid w:val="005D4420"/>
    <w:rsid w:val="005D4877"/>
    <w:rsid w:val="005D5DFC"/>
    <w:rsid w:val="005D6ABB"/>
    <w:rsid w:val="005E233B"/>
    <w:rsid w:val="005E3A89"/>
    <w:rsid w:val="005E43E2"/>
    <w:rsid w:val="005E5134"/>
    <w:rsid w:val="005E6090"/>
    <w:rsid w:val="005E62AB"/>
    <w:rsid w:val="005E673B"/>
    <w:rsid w:val="005E6CFC"/>
    <w:rsid w:val="005F4276"/>
    <w:rsid w:val="005F502E"/>
    <w:rsid w:val="005F5203"/>
    <w:rsid w:val="005F60AB"/>
    <w:rsid w:val="005F6680"/>
    <w:rsid w:val="00603A26"/>
    <w:rsid w:val="00604030"/>
    <w:rsid w:val="00610463"/>
    <w:rsid w:val="006156BB"/>
    <w:rsid w:val="006176C4"/>
    <w:rsid w:val="00620592"/>
    <w:rsid w:val="006307DE"/>
    <w:rsid w:val="006323D9"/>
    <w:rsid w:val="006325E2"/>
    <w:rsid w:val="00632A4A"/>
    <w:rsid w:val="00632FDE"/>
    <w:rsid w:val="0063665A"/>
    <w:rsid w:val="00643ECC"/>
    <w:rsid w:val="00647B6E"/>
    <w:rsid w:val="00651F11"/>
    <w:rsid w:val="00654912"/>
    <w:rsid w:val="006554C7"/>
    <w:rsid w:val="00660913"/>
    <w:rsid w:val="00661D8B"/>
    <w:rsid w:val="0066301D"/>
    <w:rsid w:val="0066323E"/>
    <w:rsid w:val="006637C3"/>
    <w:rsid w:val="00663C88"/>
    <w:rsid w:val="00664862"/>
    <w:rsid w:val="00673614"/>
    <w:rsid w:val="00674327"/>
    <w:rsid w:val="00676CF9"/>
    <w:rsid w:val="006814C7"/>
    <w:rsid w:val="00687AAB"/>
    <w:rsid w:val="0069005E"/>
    <w:rsid w:val="00691F78"/>
    <w:rsid w:val="006A50B5"/>
    <w:rsid w:val="006A5317"/>
    <w:rsid w:val="006A6138"/>
    <w:rsid w:val="006A6306"/>
    <w:rsid w:val="006A6C1D"/>
    <w:rsid w:val="006A77D4"/>
    <w:rsid w:val="006B1604"/>
    <w:rsid w:val="006B1771"/>
    <w:rsid w:val="006B1C82"/>
    <w:rsid w:val="006B7E88"/>
    <w:rsid w:val="006C059F"/>
    <w:rsid w:val="006C35AB"/>
    <w:rsid w:val="006C3B41"/>
    <w:rsid w:val="006C455E"/>
    <w:rsid w:val="006C6338"/>
    <w:rsid w:val="006D1197"/>
    <w:rsid w:val="006D189D"/>
    <w:rsid w:val="006D2B00"/>
    <w:rsid w:val="006D2BCA"/>
    <w:rsid w:val="006D2BFA"/>
    <w:rsid w:val="006D577D"/>
    <w:rsid w:val="006E2533"/>
    <w:rsid w:val="006E3234"/>
    <w:rsid w:val="006E5D4A"/>
    <w:rsid w:val="006E6F1E"/>
    <w:rsid w:val="006F2318"/>
    <w:rsid w:val="006F42C9"/>
    <w:rsid w:val="006F4479"/>
    <w:rsid w:val="006F7DC1"/>
    <w:rsid w:val="00700C91"/>
    <w:rsid w:val="00701888"/>
    <w:rsid w:val="00703112"/>
    <w:rsid w:val="00704CF5"/>
    <w:rsid w:val="00705086"/>
    <w:rsid w:val="00705FD3"/>
    <w:rsid w:val="00707DCA"/>
    <w:rsid w:val="00712E21"/>
    <w:rsid w:val="007141E9"/>
    <w:rsid w:val="007246CF"/>
    <w:rsid w:val="0072792F"/>
    <w:rsid w:val="00736A79"/>
    <w:rsid w:val="00737607"/>
    <w:rsid w:val="007376A5"/>
    <w:rsid w:val="0074204B"/>
    <w:rsid w:val="007449EC"/>
    <w:rsid w:val="00750150"/>
    <w:rsid w:val="007502C5"/>
    <w:rsid w:val="00757018"/>
    <w:rsid w:val="007600FF"/>
    <w:rsid w:val="0076373C"/>
    <w:rsid w:val="00765FDD"/>
    <w:rsid w:val="00770A8B"/>
    <w:rsid w:val="00770A9F"/>
    <w:rsid w:val="00774B9F"/>
    <w:rsid w:val="007757A3"/>
    <w:rsid w:val="007769DF"/>
    <w:rsid w:val="00780411"/>
    <w:rsid w:val="00787F1C"/>
    <w:rsid w:val="0079052B"/>
    <w:rsid w:val="00791184"/>
    <w:rsid w:val="00791FEE"/>
    <w:rsid w:val="00793B3C"/>
    <w:rsid w:val="00795358"/>
    <w:rsid w:val="00795CF5"/>
    <w:rsid w:val="007A15EF"/>
    <w:rsid w:val="007B3BE3"/>
    <w:rsid w:val="007C2D66"/>
    <w:rsid w:val="007C3344"/>
    <w:rsid w:val="007D6B5A"/>
    <w:rsid w:val="007E0A22"/>
    <w:rsid w:val="007E0B34"/>
    <w:rsid w:val="007E0CFA"/>
    <w:rsid w:val="007E48CB"/>
    <w:rsid w:val="007E74D2"/>
    <w:rsid w:val="007F4BA0"/>
    <w:rsid w:val="007F5131"/>
    <w:rsid w:val="007F51DF"/>
    <w:rsid w:val="00801AE2"/>
    <w:rsid w:val="00801BE9"/>
    <w:rsid w:val="00802501"/>
    <w:rsid w:val="008058DB"/>
    <w:rsid w:val="00811654"/>
    <w:rsid w:val="00811689"/>
    <w:rsid w:val="0081184D"/>
    <w:rsid w:val="00811951"/>
    <w:rsid w:val="0081242C"/>
    <w:rsid w:val="00815FC9"/>
    <w:rsid w:val="0082174B"/>
    <w:rsid w:val="00823B0E"/>
    <w:rsid w:val="00824428"/>
    <w:rsid w:val="00826945"/>
    <w:rsid w:val="00827A1A"/>
    <w:rsid w:val="008313FD"/>
    <w:rsid w:val="00840E44"/>
    <w:rsid w:val="008442E0"/>
    <w:rsid w:val="00844B04"/>
    <w:rsid w:val="00845B0E"/>
    <w:rsid w:val="00850109"/>
    <w:rsid w:val="008514F7"/>
    <w:rsid w:val="00853953"/>
    <w:rsid w:val="0085422D"/>
    <w:rsid w:val="00860616"/>
    <w:rsid w:val="00865323"/>
    <w:rsid w:val="00867E2A"/>
    <w:rsid w:val="00870061"/>
    <w:rsid w:val="00870891"/>
    <w:rsid w:val="00870D68"/>
    <w:rsid w:val="008720F8"/>
    <w:rsid w:val="008737C3"/>
    <w:rsid w:val="008745EA"/>
    <w:rsid w:val="00875634"/>
    <w:rsid w:val="00876DC1"/>
    <w:rsid w:val="008808DF"/>
    <w:rsid w:val="00890E49"/>
    <w:rsid w:val="00891A70"/>
    <w:rsid w:val="00893CEB"/>
    <w:rsid w:val="0089505A"/>
    <w:rsid w:val="008A0942"/>
    <w:rsid w:val="008A394E"/>
    <w:rsid w:val="008A4EBF"/>
    <w:rsid w:val="008A5E8C"/>
    <w:rsid w:val="008B295B"/>
    <w:rsid w:val="008B3F64"/>
    <w:rsid w:val="008B4F69"/>
    <w:rsid w:val="008C1B38"/>
    <w:rsid w:val="008C5CF6"/>
    <w:rsid w:val="008D52B1"/>
    <w:rsid w:val="008E25A4"/>
    <w:rsid w:val="008E3FCD"/>
    <w:rsid w:val="008E5635"/>
    <w:rsid w:val="008E759E"/>
    <w:rsid w:val="008E7AB5"/>
    <w:rsid w:val="008F2691"/>
    <w:rsid w:val="008F51D3"/>
    <w:rsid w:val="008F5BCB"/>
    <w:rsid w:val="0090703F"/>
    <w:rsid w:val="00911A3B"/>
    <w:rsid w:val="00912105"/>
    <w:rsid w:val="0091422C"/>
    <w:rsid w:val="0091645B"/>
    <w:rsid w:val="00917A00"/>
    <w:rsid w:val="0092125F"/>
    <w:rsid w:val="00923858"/>
    <w:rsid w:val="00927D46"/>
    <w:rsid w:val="00927D7E"/>
    <w:rsid w:val="00932BFB"/>
    <w:rsid w:val="00934F5F"/>
    <w:rsid w:val="00935727"/>
    <w:rsid w:val="00936583"/>
    <w:rsid w:val="0093668D"/>
    <w:rsid w:val="00937557"/>
    <w:rsid w:val="00942119"/>
    <w:rsid w:val="00952688"/>
    <w:rsid w:val="00954C98"/>
    <w:rsid w:val="00962497"/>
    <w:rsid w:val="00962F6B"/>
    <w:rsid w:val="009659A8"/>
    <w:rsid w:val="00967072"/>
    <w:rsid w:val="00967118"/>
    <w:rsid w:val="00972974"/>
    <w:rsid w:val="00975CEC"/>
    <w:rsid w:val="00980593"/>
    <w:rsid w:val="00983994"/>
    <w:rsid w:val="00990140"/>
    <w:rsid w:val="00992232"/>
    <w:rsid w:val="009937FD"/>
    <w:rsid w:val="00994A05"/>
    <w:rsid w:val="00994E69"/>
    <w:rsid w:val="00997471"/>
    <w:rsid w:val="009A1049"/>
    <w:rsid w:val="009A1051"/>
    <w:rsid w:val="009A3614"/>
    <w:rsid w:val="009A6646"/>
    <w:rsid w:val="009A6707"/>
    <w:rsid w:val="009B0EBD"/>
    <w:rsid w:val="009B2412"/>
    <w:rsid w:val="009C0F90"/>
    <w:rsid w:val="009C1934"/>
    <w:rsid w:val="009C4455"/>
    <w:rsid w:val="009C4949"/>
    <w:rsid w:val="009C61BE"/>
    <w:rsid w:val="009C77CB"/>
    <w:rsid w:val="009D10C1"/>
    <w:rsid w:val="009D2E12"/>
    <w:rsid w:val="009D3AA4"/>
    <w:rsid w:val="009E4062"/>
    <w:rsid w:val="009E49CA"/>
    <w:rsid w:val="009E5A25"/>
    <w:rsid w:val="009E5E70"/>
    <w:rsid w:val="009E6709"/>
    <w:rsid w:val="009E6A9D"/>
    <w:rsid w:val="009F0B82"/>
    <w:rsid w:val="009F2789"/>
    <w:rsid w:val="009F358A"/>
    <w:rsid w:val="009F51CE"/>
    <w:rsid w:val="009F6EEF"/>
    <w:rsid w:val="009F6EFC"/>
    <w:rsid w:val="009F7991"/>
    <w:rsid w:val="009F7F7A"/>
    <w:rsid w:val="00A0007F"/>
    <w:rsid w:val="00A00641"/>
    <w:rsid w:val="00A1516F"/>
    <w:rsid w:val="00A17BBB"/>
    <w:rsid w:val="00A2226F"/>
    <w:rsid w:val="00A258CC"/>
    <w:rsid w:val="00A27343"/>
    <w:rsid w:val="00A303C1"/>
    <w:rsid w:val="00A359BB"/>
    <w:rsid w:val="00A40434"/>
    <w:rsid w:val="00A4107F"/>
    <w:rsid w:val="00A43C8A"/>
    <w:rsid w:val="00A45143"/>
    <w:rsid w:val="00A53D0D"/>
    <w:rsid w:val="00A5659D"/>
    <w:rsid w:val="00A56F03"/>
    <w:rsid w:val="00A57968"/>
    <w:rsid w:val="00A61273"/>
    <w:rsid w:val="00A641B3"/>
    <w:rsid w:val="00A75C20"/>
    <w:rsid w:val="00A76F59"/>
    <w:rsid w:val="00A8205A"/>
    <w:rsid w:val="00A8258B"/>
    <w:rsid w:val="00A9049F"/>
    <w:rsid w:val="00A95015"/>
    <w:rsid w:val="00A95F0C"/>
    <w:rsid w:val="00AA26D2"/>
    <w:rsid w:val="00AA3436"/>
    <w:rsid w:val="00AA64D9"/>
    <w:rsid w:val="00AA6A91"/>
    <w:rsid w:val="00AA74BC"/>
    <w:rsid w:val="00AB12CC"/>
    <w:rsid w:val="00AB1CB2"/>
    <w:rsid w:val="00AB4583"/>
    <w:rsid w:val="00AD03FF"/>
    <w:rsid w:val="00AD0F3D"/>
    <w:rsid w:val="00AD373F"/>
    <w:rsid w:val="00AD3744"/>
    <w:rsid w:val="00AD3C4A"/>
    <w:rsid w:val="00AD3C67"/>
    <w:rsid w:val="00AD5B40"/>
    <w:rsid w:val="00AE0496"/>
    <w:rsid w:val="00AE540B"/>
    <w:rsid w:val="00AE6827"/>
    <w:rsid w:val="00AE6BD6"/>
    <w:rsid w:val="00AE6C05"/>
    <w:rsid w:val="00AE6FA0"/>
    <w:rsid w:val="00AF2128"/>
    <w:rsid w:val="00AF30CF"/>
    <w:rsid w:val="00AF36FB"/>
    <w:rsid w:val="00AF57B3"/>
    <w:rsid w:val="00B00288"/>
    <w:rsid w:val="00B006EE"/>
    <w:rsid w:val="00B02FD0"/>
    <w:rsid w:val="00B07FC3"/>
    <w:rsid w:val="00B1067E"/>
    <w:rsid w:val="00B11CD4"/>
    <w:rsid w:val="00B13372"/>
    <w:rsid w:val="00B1363C"/>
    <w:rsid w:val="00B20EDB"/>
    <w:rsid w:val="00B22249"/>
    <w:rsid w:val="00B22A55"/>
    <w:rsid w:val="00B2378C"/>
    <w:rsid w:val="00B25AD1"/>
    <w:rsid w:val="00B26023"/>
    <w:rsid w:val="00B36DE6"/>
    <w:rsid w:val="00B37B8E"/>
    <w:rsid w:val="00B4542C"/>
    <w:rsid w:val="00B4719B"/>
    <w:rsid w:val="00B564ED"/>
    <w:rsid w:val="00B6291E"/>
    <w:rsid w:val="00B634C3"/>
    <w:rsid w:val="00B70F82"/>
    <w:rsid w:val="00B739C9"/>
    <w:rsid w:val="00B75ED6"/>
    <w:rsid w:val="00B76F90"/>
    <w:rsid w:val="00B779BE"/>
    <w:rsid w:val="00B77BC4"/>
    <w:rsid w:val="00B82F98"/>
    <w:rsid w:val="00B85654"/>
    <w:rsid w:val="00B85AFE"/>
    <w:rsid w:val="00B91BF7"/>
    <w:rsid w:val="00B91C9B"/>
    <w:rsid w:val="00B950AE"/>
    <w:rsid w:val="00B95AF4"/>
    <w:rsid w:val="00B95EFB"/>
    <w:rsid w:val="00BA1FFC"/>
    <w:rsid w:val="00BB058D"/>
    <w:rsid w:val="00BB0E7E"/>
    <w:rsid w:val="00BB5856"/>
    <w:rsid w:val="00BC3511"/>
    <w:rsid w:val="00BC7808"/>
    <w:rsid w:val="00BD0AB0"/>
    <w:rsid w:val="00BD2198"/>
    <w:rsid w:val="00BD267A"/>
    <w:rsid w:val="00BD2A97"/>
    <w:rsid w:val="00BD78B4"/>
    <w:rsid w:val="00BD7C17"/>
    <w:rsid w:val="00BE1201"/>
    <w:rsid w:val="00BE2AEA"/>
    <w:rsid w:val="00BE3962"/>
    <w:rsid w:val="00BE4E52"/>
    <w:rsid w:val="00BE5DE5"/>
    <w:rsid w:val="00BE6245"/>
    <w:rsid w:val="00BF0E9D"/>
    <w:rsid w:val="00BF3B37"/>
    <w:rsid w:val="00BF5951"/>
    <w:rsid w:val="00BF663B"/>
    <w:rsid w:val="00BF6CFB"/>
    <w:rsid w:val="00BF6D3F"/>
    <w:rsid w:val="00BF7076"/>
    <w:rsid w:val="00BF7260"/>
    <w:rsid w:val="00C018A4"/>
    <w:rsid w:val="00C02B2B"/>
    <w:rsid w:val="00C04628"/>
    <w:rsid w:val="00C05281"/>
    <w:rsid w:val="00C0595C"/>
    <w:rsid w:val="00C059C2"/>
    <w:rsid w:val="00C06D9A"/>
    <w:rsid w:val="00C10E0B"/>
    <w:rsid w:val="00C1641B"/>
    <w:rsid w:val="00C16A44"/>
    <w:rsid w:val="00C17EBA"/>
    <w:rsid w:val="00C21851"/>
    <w:rsid w:val="00C2365E"/>
    <w:rsid w:val="00C2799B"/>
    <w:rsid w:val="00C317BA"/>
    <w:rsid w:val="00C31A79"/>
    <w:rsid w:val="00C34889"/>
    <w:rsid w:val="00C3499B"/>
    <w:rsid w:val="00C353A7"/>
    <w:rsid w:val="00C35833"/>
    <w:rsid w:val="00C35FFF"/>
    <w:rsid w:val="00C36873"/>
    <w:rsid w:val="00C37324"/>
    <w:rsid w:val="00C37447"/>
    <w:rsid w:val="00C40927"/>
    <w:rsid w:val="00C410E7"/>
    <w:rsid w:val="00C4166E"/>
    <w:rsid w:val="00C41DDB"/>
    <w:rsid w:val="00C463CC"/>
    <w:rsid w:val="00C56030"/>
    <w:rsid w:val="00C57C7C"/>
    <w:rsid w:val="00C603D2"/>
    <w:rsid w:val="00C60EDB"/>
    <w:rsid w:val="00C6117C"/>
    <w:rsid w:val="00C6186F"/>
    <w:rsid w:val="00C63BB2"/>
    <w:rsid w:val="00C6679F"/>
    <w:rsid w:val="00C66C5A"/>
    <w:rsid w:val="00C70C75"/>
    <w:rsid w:val="00C723EC"/>
    <w:rsid w:val="00C72ECD"/>
    <w:rsid w:val="00C777B2"/>
    <w:rsid w:val="00C84540"/>
    <w:rsid w:val="00C85988"/>
    <w:rsid w:val="00C87F4E"/>
    <w:rsid w:val="00C9152D"/>
    <w:rsid w:val="00C9360F"/>
    <w:rsid w:val="00CA078D"/>
    <w:rsid w:val="00CA0BD2"/>
    <w:rsid w:val="00CA389A"/>
    <w:rsid w:val="00CB1E84"/>
    <w:rsid w:val="00CB3A65"/>
    <w:rsid w:val="00CB3CFA"/>
    <w:rsid w:val="00CB6B18"/>
    <w:rsid w:val="00CB6FE0"/>
    <w:rsid w:val="00CC21A2"/>
    <w:rsid w:val="00CC26CC"/>
    <w:rsid w:val="00CC28C6"/>
    <w:rsid w:val="00CC35EB"/>
    <w:rsid w:val="00CC4EB4"/>
    <w:rsid w:val="00CC625B"/>
    <w:rsid w:val="00CD017B"/>
    <w:rsid w:val="00CD12FA"/>
    <w:rsid w:val="00CD1AEF"/>
    <w:rsid w:val="00CD2290"/>
    <w:rsid w:val="00CD33F1"/>
    <w:rsid w:val="00CD476A"/>
    <w:rsid w:val="00CD7B0F"/>
    <w:rsid w:val="00CE1640"/>
    <w:rsid w:val="00CE3D83"/>
    <w:rsid w:val="00CE44AA"/>
    <w:rsid w:val="00CF0579"/>
    <w:rsid w:val="00CF3061"/>
    <w:rsid w:val="00CF3346"/>
    <w:rsid w:val="00CF67FE"/>
    <w:rsid w:val="00CF7A35"/>
    <w:rsid w:val="00D00029"/>
    <w:rsid w:val="00D01ABE"/>
    <w:rsid w:val="00D036FA"/>
    <w:rsid w:val="00D03DCA"/>
    <w:rsid w:val="00D074A9"/>
    <w:rsid w:val="00D07A19"/>
    <w:rsid w:val="00D11EB7"/>
    <w:rsid w:val="00D13D97"/>
    <w:rsid w:val="00D15813"/>
    <w:rsid w:val="00D15B60"/>
    <w:rsid w:val="00D1654E"/>
    <w:rsid w:val="00D17BD0"/>
    <w:rsid w:val="00D214B0"/>
    <w:rsid w:val="00D22376"/>
    <w:rsid w:val="00D25449"/>
    <w:rsid w:val="00D26BB7"/>
    <w:rsid w:val="00D34633"/>
    <w:rsid w:val="00D346CE"/>
    <w:rsid w:val="00D3645F"/>
    <w:rsid w:val="00D400BD"/>
    <w:rsid w:val="00D4086A"/>
    <w:rsid w:val="00D47014"/>
    <w:rsid w:val="00D527F6"/>
    <w:rsid w:val="00D53492"/>
    <w:rsid w:val="00D61440"/>
    <w:rsid w:val="00D63E62"/>
    <w:rsid w:val="00D65DD6"/>
    <w:rsid w:val="00D67470"/>
    <w:rsid w:val="00D67EB8"/>
    <w:rsid w:val="00D73297"/>
    <w:rsid w:val="00D73539"/>
    <w:rsid w:val="00D75042"/>
    <w:rsid w:val="00D75FAB"/>
    <w:rsid w:val="00D7660F"/>
    <w:rsid w:val="00D81B17"/>
    <w:rsid w:val="00D83F41"/>
    <w:rsid w:val="00D8554A"/>
    <w:rsid w:val="00D926E3"/>
    <w:rsid w:val="00D95C53"/>
    <w:rsid w:val="00D96CA4"/>
    <w:rsid w:val="00DA337D"/>
    <w:rsid w:val="00DA69EA"/>
    <w:rsid w:val="00DB0089"/>
    <w:rsid w:val="00DB0679"/>
    <w:rsid w:val="00DB15CD"/>
    <w:rsid w:val="00DB4E05"/>
    <w:rsid w:val="00DB5154"/>
    <w:rsid w:val="00DB7192"/>
    <w:rsid w:val="00DC05CF"/>
    <w:rsid w:val="00DC4123"/>
    <w:rsid w:val="00DC6FB2"/>
    <w:rsid w:val="00DC7EB4"/>
    <w:rsid w:val="00DD1FC1"/>
    <w:rsid w:val="00DD1FF7"/>
    <w:rsid w:val="00DD3A1A"/>
    <w:rsid w:val="00DD5077"/>
    <w:rsid w:val="00DE13DC"/>
    <w:rsid w:val="00DE48EF"/>
    <w:rsid w:val="00DE662B"/>
    <w:rsid w:val="00DE6D8A"/>
    <w:rsid w:val="00DE74DD"/>
    <w:rsid w:val="00DF3307"/>
    <w:rsid w:val="00DF46E3"/>
    <w:rsid w:val="00DF5433"/>
    <w:rsid w:val="00DF5D72"/>
    <w:rsid w:val="00DF76CD"/>
    <w:rsid w:val="00E00A9B"/>
    <w:rsid w:val="00E06D3F"/>
    <w:rsid w:val="00E140CE"/>
    <w:rsid w:val="00E14256"/>
    <w:rsid w:val="00E15724"/>
    <w:rsid w:val="00E17AFC"/>
    <w:rsid w:val="00E20AC8"/>
    <w:rsid w:val="00E234F7"/>
    <w:rsid w:val="00E2383A"/>
    <w:rsid w:val="00E25CF9"/>
    <w:rsid w:val="00E2679E"/>
    <w:rsid w:val="00E26DE3"/>
    <w:rsid w:val="00E31D76"/>
    <w:rsid w:val="00E32928"/>
    <w:rsid w:val="00E3343E"/>
    <w:rsid w:val="00E41E3B"/>
    <w:rsid w:val="00E420D7"/>
    <w:rsid w:val="00E4474E"/>
    <w:rsid w:val="00E44FD4"/>
    <w:rsid w:val="00E46358"/>
    <w:rsid w:val="00E46D17"/>
    <w:rsid w:val="00E47C7A"/>
    <w:rsid w:val="00E5132E"/>
    <w:rsid w:val="00E54DEF"/>
    <w:rsid w:val="00E55B74"/>
    <w:rsid w:val="00E57C08"/>
    <w:rsid w:val="00E6042E"/>
    <w:rsid w:val="00E60F4D"/>
    <w:rsid w:val="00E636CF"/>
    <w:rsid w:val="00E6419A"/>
    <w:rsid w:val="00E7095C"/>
    <w:rsid w:val="00E71A54"/>
    <w:rsid w:val="00E71E4A"/>
    <w:rsid w:val="00E73A00"/>
    <w:rsid w:val="00E76EBA"/>
    <w:rsid w:val="00E77E0C"/>
    <w:rsid w:val="00E8342E"/>
    <w:rsid w:val="00E8578E"/>
    <w:rsid w:val="00E85A2D"/>
    <w:rsid w:val="00E86187"/>
    <w:rsid w:val="00E919BF"/>
    <w:rsid w:val="00E91DDB"/>
    <w:rsid w:val="00E92470"/>
    <w:rsid w:val="00E9329C"/>
    <w:rsid w:val="00E97043"/>
    <w:rsid w:val="00E97122"/>
    <w:rsid w:val="00E97AA4"/>
    <w:rsid w:val="00EA083C"/>
    <w:rsid w:val="00EA139B"/>
    <w:rsid w:val="00EA3BA4"/>
    <w:rsid w:val="00EA597F"/>
    <w:rsid w:val="00EB15F2"/>
    <w:rsid w:val="00EB2F68"/>
    <w:rsid w:val="00EC30BE"/>
    <w:rsid w:val="00EC50F2"/>
    <w:rsid w:val="00EC67A0"/>
    <w:rsid w:val="00ED08A5"/>
    <w:rsid w:val="00ED2126"/>
    <w:rsid w:val="00ED24CB"/>
    <w:rsid w:val="00ED2711"/>
    <w:rsid w:val="00ED3CAA"/>
    <w:rsid w:val="00ED751F"/>
    <w:rsid w:val="00EE0EA8"/>
    <w:rsid w:val="00EE1ED6"/>
    <w:rsid w:val="00EE6D70"/>
    <w:rsid w:val="00EF1CB4"/>
    <w:rsid w:val="00F02EEC"/>
    <w:rsid w:val="00F0344C"/>
    <w:rsid w:val="00F034A6"/>
    <w:rsid w:val="00F03CBA"/>
    <w:rsid w:val="00F03D93"/>
    <w:rsid w:val="00F0638B"/>
    <w:rsid w:val="00F11DC6"/>
    <w:rsid w:val="00F15F0F"/>
    <w:rsid w:val="00F16997"/>
    <w:rsid w:val="00F1784A"/>
    <w:rsid w:val="00F200EE"/>
    <w:rsid w:val="00F24DC3"/>
    <w:rsid w:val="00F2553D"/>
    <w:rsid w:val="00F32424"/>
    <w:rsid w:val="00F3380E"/>
    <w:rsid w:val="00F33AC4"/>
    <w:rsid w:val="00F34135"/>
    <w:rsid w:val="00F36361"/>
    <w:rsid w:val="00F426B0"/>
    <w:rsid w:val="00F46384"/>
    <w:rsid w:val="00F470E9"/>
    <w:rsid w:val="00F51D6D"/>
    <w:rsid w:val="00F51D9E"/>
    <w:rsid w:val="00F52FEE"/>
    <w:rsid w:val="00F561E6"/>
    <w:rsid w:val="00F674CA"/>
    <w:rsid w:val="00F71747"/>
    <w:rsid w:val="00F76D2B"/>
    <w:rsid w:val="00F8028C"/>
    <w:rsid w:val="00F80BAA"/>
    <w:rsid w:val="00F8123A"/>
    <w:rsid w:val="00F823C1"/>
    <w:rsid w:val="00F87028"/>
    <w:rsid w:val="00F92156"/>
    <w:rsid w:val="00F94039"/>
    <w:rsid w:val="00F9585E"/>
    <w:rsid w:val="00FA0A0F"/>
    <w:rsid w:val="00FA1D44"/>
    <w:rsid w:val="00FA1FB8"/>
    <w:rsid w:val="00FA2724"/>
    <w:rsid w:val="00FA3464"/>
    <w:rsid w:val="00FA4962"/>
    <w:rsid w:val="00FA5F8C"/>
    <w:rsid w:val="00FA74E3"/>
    <w:rsid w:val="00FB15E2"/>
    <w:rsid w:val="00FB27CE"/>
    <w:rsid w:val="00FB659C"/>
    <w:rsid w:val="00FC568E"/>
    <w:rsid w:val="00FD07FD"/>
    <w:rsid w:val="00FD0F80"/>
    <w:rsid w:val="00FD341F"/>
    <w:rsid w:val="00FE0A9A"/>
    <w:rsid w:val="00FE4BBA"/>
    <w:rsid w:val="00FE7BF2"/>
    <w:rsid w:val="00FF380E"/>
    <w:rsid w:val="00FF55E8"/>
    <w:rsid w:val="00FF6393"/>
    <w:rsid w:val="00FF66E5"/>
    <w:rsid w:val="00FF6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v:textbox inset="5.85pt,.7pt,5.85pt,.7pt"/>
    </o:shapedefaults>
    <o:shapelayout v:ext="edit">
      <o:idmap v:ext="edit" data="1"/>
      <o:rules v:ext="edit">
        <o:r id="V:Rule1" type="connector" idref="#_x0000_s1026"/>
      </o:rules>
    </o:shapelayout>
  </w:shapeDefaults>
  <w:decimalSymbol w:val="."/>
  <w:listSeparator w:val=","/>
  <w14:docId w14:val="4AAA1F67"/>
  <w15:docId w15:val="{105DE69A-9646-8345-9E6D-BC0F8221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pPr>
        <w:spacing w:line="22"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8" w:unhideWhenUsed="1"/>
    <w:lsdException w:name="footnote text" w:semiHidden="1" w:uiPriority="99" w:unhideWhenUsed="1"/>
    <w:lsdException w:name="annotation text" w:semiHidden="1" w:uiPriority="8" w:unhideWhenUsed="1"/>
    <w:lsdException w:name="header" w:semiHidden="1" w:uiPriority="99" w:unhideWhenUsed="1"/>
    <w:lsdException w:name="footer" w:semiHidden="1" w:uiPriority="99" w:unhideWhenUsed="1"/>
    <w:lsdException w:name="index heading" w:semiHidden="1" w:uiPriority="8" w:unhideWhenUsed="1"/>
    <w:lsdException w:name="caption" w:semiHidden="1" w:uiPriority="8" w:unhideWhenUsed="1" w:qFormat="1"/>
    <w:lsdException w:name="table of figures" w:semiHidden="1" w:uiPriority="8" w:unhideWhenUsed="1"/>
    <w:lsdException w:name="envelope address" w:semiHidden="1" w:uiPriority="8" w:unhideWhenUsed="1"/>
    <w:lsdException w:name="envelope return" w:semiHidden="1" w:uiPriority="8" w:unhideWhenUsed="1"/>
    <w:lsdException w:name="footnote reference" w:semiHidden="1" w:uiPriority="8" w:unhideWhenUsed="1"/>
    <w:lsdException w:name="annotation reference" w:semiHidden="1" w:uiPriority="8" w:unhideWhenUsed="1"/>
    <w:lsdException w:name="line number" w:semiHidden="1" w:uiPriority="8" w:unhideWhenUsed="1"/>
    <w:lsdException w:name="page number" w:semiHidden="1" w:uiPriority="8" w:unhideWhenUsed="1"/>
    <w:lsdException w:name="endnote reference" w:semiHidden="1" w:uiPriority="8" w:unhideWhenUsed="1"/>
    <w:lsdException w:name="endnote text" w:semiHidden="1" w:uiPriority="8" w:unhideWhenUsed="1"/>
    <w:lsdException w:name="table of authorities" w:uiPriority="8"/>
    <w:lsdException w:name="macro" w:semiHidden="1" w:uiPriority="8" w:unhideWhenUsed="1"/>
    <w:lsdException w:name="toa heading" w:semiHidden="1" w:uiPriority="8" w:unhideWhenUsed="1"/>
    <w:lsdException w:name="List" w:uiPriority="8"/>
    <w:lsdException w:name="List Bullet" w:qFormat="1"/>
    <w:lsdException w:name="List Number" w:semiHidden="1" w:uiPriority="8" w:unhideWhenUsed="1"/>
    <w:lsdException w:name="List 2" w:semiHidden="1" w:uiPriority="8" w:unhideWhenUsed="1"/>
    <w:lsdException w:name="List 3" w:semiHidden="1" w:uiPriority="8" w:unhideWhenUsed="1"/>
    <w:lsdException w:name="List 4" w:semiHidden="1" w:uiPriority="8" w:unhideWhenUsed="1"/>
    <w:lsdException w:name="List 5" w:semiHidden="1" w:uiPriority="8"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 w:unhideWhenUsed="1"/>
    <w:lsdException w:name="List Number 3" w:semiHidden="1" w:uiPriority="8" w:unhideWhenUsed="1"/>
    <w:lsdException w:name="List Number 4" w:semiHidden="1" w:uiPriority="8" w:unhideWhenUsed="1"/>
    <w:lsdException w:name="List Number 5" w:semiHidden="1" w:uiPriority="8" w:unhideWhenUsed="1"/>
    <w:lsdException w:name="Closing" w:semiHidden="1" w:uiPriority="8" w:unhideWhenUsed="1"/>
    <w:lsdException w:name="Signature" w:semiHidden="1" w:uiPriority="8" w:unhideWhenUsed="1"/>
    <w:lsdException w:name="Default Paragraph Font" w:semiHidden="1" w:unhideWhenUsed="1"/>
    <w:lsdException w:name="Body Text" w:semiHidden="1" w:uiPriority="8" w:unhideWhenUsed="1"/>
    <w:lsdException w:name="Body Text Indent" w:semiHidden="1" w:uiPriority="8" w:unhideWhenUsed="1"/>
    <w:lsdException w:name="List Continue" w:semiHidden="1" w:uiPriority="8" w:unhideWhenUsed="1"/>
    <w:lsdException w:name="List Continue 2" w:uiPriority="8"/>
    <w:lsdException w:name="List Continue 3" w:uiPriority="8"/>
    <w:lsdException w:name="List Continue 4" w:uiPriority="8"/>
    <w:lsdException w:name="List Continue 5" w:uiPriority="8"/>
    <w:lsdException w:name="Message Header" w:semiHidden="1" w:uiPriority="8" w:unhideWhenUsed="1"/>
    <w:lsdException w:name="Subtitle" w:uiPriority="8"/>
    <w:lsdException w:name="Salutation" w:semiHidden="1" w:uiPriority="8" w:unhideWhenUsed="1"/>
    <w:lsdException w:name="Date" w:semiHidden="1" w:uiPriority="8" w:unhideWhenUsed="1"/>
    <w:lsdException w:name="Body Text First Indent" w:semiHidden="1" w:uiPriority="8" w:unhideWhenUsed="1"/>
    <w:lsdException w:name="Body Text First Indent 2" w:semiHidden="1" w:uiPriority="8" w:unhideWhenUsed="1"/>
    <w:lsdException w:name="Note Heading" w:semiHidden="1" w:uiPriority="8" w:unhideWhenUsed="1"/>
    <w:lsdException w:name="Body Text 2" w:semiHidden="1" w:uiPriority="8" w:unhideWhenUsed="1"/>
    <w:lsdException w:name="Body Text 3" w:semiHidden="1" w:uiPriority="8" w:unhideWhenUsed="1"/>
    <w:lsdException w:name="Body Text Indent 2" w:semiHidden="1" w:uiPriority="8" w:unhideWhenUsed="1"/>
    <w:lsdException w:name="Body Text Indent 3" w:semiHidden="1" w:uiPriority="8" w:unhideWhenUsed="1"/>
    <w:lsdException w:name="Block Text" w:semiHidden="1" w:uiPriority="8" w:unhideWhenUsed="1"/>
    <w:lsdException w:name="Hyperlink" w:semiHidden="1" w:uiPriority="8" w:unhideWhenUsed="1"/>
    <w:lsdException w:name="FollowedHyperlink" w:semiHidden="1" w:uiPriority="8" w:unhideWhenUsed="1"/>
    <w:lsdException w:name="Strong" w:uiPriority="8"/>
    <w:lsdException w:name="Emphasis" w:uiPriority="8"/>
    <w:lsdException w:name="Document Map" w:semiHidden="1" w:uiPriority="8" w:unhideWhenUsed="1"/>
    <w:lsdException w:name="Plain Text" w:semiHidden="1" w:uiPriority="8" w:unhideWhenUsed="1"/>
    <w:lsdException w:name="E-mail Signature" w:semiHidden="1" w:uiPriority="8" w:unhideWhenUsed="1"/>
    <w:lsdException w:name="HTML Top of Form" w:semiHidden="1" w:unhideWhenUsed="1"/>
    <w:lsdException w:name="HTML Bottom of Form" w:semiHidden="1" w:unhideWhenUsed="1"/>
    <w:lsdException w:name="Normal (Web)" w:semiHidden="1" w:uiPriority="8" w:unhideWhenUsed="1"/>
    <w:lsdException w:name="HTML Acronym" w:semiHidden="1" w:uiPriority="8" w:unhideWhenUsed="1"/>
    <w:lsdException w:name="HTML Address" w:semiHidden="1" w:uiPriority="8" w:unhideWhenUsed="1"/>
    <w:lsdException w:name="HTML Cite" w:semiHidden="1" w:uiPriority="8" w:unhideWhenUsed="1"/>
    <w:lsdException w:name="HTML Code" w:semiHidden="1" w:uiPriority="8" w:unhideWhenUsed="1"/>
    <w:lsdException w:name="HTML Definition" w:semiHidden="1" w:uiPriority="8" w:unhideWhenUsed="1"/>
    <w:lsdException w:name="HTML Keyboard" w:semiHidden="1" w:uiPriority="8" w:unhideWhenUsed="1"/>
    <w:lsdException w:name="HTML Preformatted" w:semiHidden="1" w:uiPriority="8" w:unhideWhenUsed="1"/>
    <w:lsdException w:name="HTML Sample" w:semiHidden="1" w:uiPriority="8" w:unhideWhenUsed="1"/>
    <w:lsdException w:name="HTML Typewriter" w:semiHidden="1" w:uiPriority="8" w:unhideWhenUsed="1"/>
    <w:lsdException w:name="HTML Variable" w:semiHidden="1" w:uiPriority="8" w:unhideWhenUsed="1"/>
    <w:lsdException w:name="Normal Table" w:semiHidden="1" w:unhideWhenUsed="1"/>
    <w:lsdException w:name="annotation subject" w:semiHidden="1" w:uiPriority="8"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uiPriority="8"/>
    <w:lsdException w:name="Placeholder Text" w:semiHidden="1" w:uiPriority="99"/>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7"/>
    <w:lsdException w:name="Intense Quote" w:uiPriority="3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7"/>
    <w:lsdException w:name="Intense Emphasis" w:uiPriority="29"/>
    <w:lsdException w:name="Subtle Reference" w:uiPriority="39"/>
    <w:lsdException w:name="Intense Reference" w:uiPriority="40"/>
    <w:lsdException w:name="Book Title" w:uiPriority="41"/>
    <w:lsdException w:name="Bibliography" w:semiHidden="1" w:uiPriority="45" w:unhideWhenUsed="1"/>
    <w:lsdException w:name="TOC Heading" w:semiHidden="1" w:uiPriority="4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1201"/>
    <w:pPr>
      <w:spacing w:line="300" w:lineRule="exact"/>
    </w:pPr>
    <w:rPr>
      <w:rFonts w:ascii="Segoe UI" w:hAnsi="Segoe UI"/>
      <w:sz w:val="21"/>
      <w:szCs w:val="24"/>
    </w:rPr>
  </w:style>
  <w:style w:type="paragraph" w:styleId="Heading1">
    <w:name w:val="heading 1"/>
    <w:basedOn w:val="Normal"/>
    <w:next w:val="Normal"/>
    <w:uiPriority w:val="1"/>
    <w:qFormat/>
    <w:rsid w:val="00D15B60"/>
    <w:pPr>
      <w:spacing w:before="240" w:after="120" w:line="520" w:lineRule="exact"/>
      <w:outlineLvl w:val="0"/>
    </w:pPr>
    <w:rPr>
      <w:rFonts w:eastAsia="Segoe UI" w:cs="Frutiger LT Std 55 Roman"/>
      <w:b/>
      <w:bCs/>
      <w:caps/>
      <w:kern w:val="28"/>
      <w:sz w:val="36"/>
      <w:szCs w:val="36"/>
    </w:rPr>
  </w:style>
  <w:style w:type="paragraph" w:styleId="Heading2">
    <w:name w:val="heading 2"/>
    <w:basedOn w:val="Normal"/>
    <w:next w:val="Normal"/>
    <w:uiPriority w:val="1"/>
    <w:qFormat/>
    <w:rsid w:val="00D15B60"/>
    <w:pPr>
      <w:numPr>
        <w:ilvl w:val="1"/>
        <w:numId w:val="14"/>
      </w:numPr>
      <w:spacing w:before="120" w:after="120" w:line="400" w:lineRule="exact"/>
      <w:outlineLvl w:val="1"/>
    </w:pPr>
    <w:rPr>
      <w:rFonts w:eastAsia="Segoe UI" w:cs="Arial"/>
      <w:b/>
      <w:bCs/>
      <w:iCs/>
      <w:color w:val="4B82AD"/>
      <w:sz w:val="26"/>
      <w:szCs w:val="28"/>
    </w:rPr>
  </w:style>
  <w:style w:type="paragraph" w:styleId="Heading3">
    <w:name w:val="heading 3"/>
    <w:basedOn w:val="Normal"/>
    <w:next w:val="Normal"/>
    <w:uiPriority w:val="4"/>
    <w:qFormat/>
    <w:rsid w:val="00DF76CD"/>
    <w:pPr>
      <w:spacing w:after="240"/>
      <w:outlineLvl w:val="2"/>
    </w:pPr>
    <w:rPr>
      <w:rFonts w:cs="Arial"/>
      <w:b/>
      <w:bCs/>
      <w:sz w:val="22"/>
      <w:szCs w:val="26"/>
    </w:rPr>
  </w:style>
  <w:style w:type="paragraph" w:styleId="Heading4">
    <w:name w:val="heading 4"/>
    <w:basedOn w:val="Normal"/>
    <w:next w:val="Normal"/>
    <w:uiPriority w:val="4"/>
    <w:qFormat/>
    <w:rsid w:val="00223476"/>
    <w:pPr>
      <w:spacing w:after="240"/>
      <w:outlineLvl w:val="3"/>
    </w:pPr>
    <w:rPr>
      <w:b/>
      <w:bCs/>
      <w:i/>
      <w:szCs w:val="28"/>
    </w:rPr>
  </w:style>
  <w:style w:type="paragraph" w:styleId="Heading5">
    <w:name w:val="heading 5"/>
    <w:basedOn w:val="Normal"/>
    <w:next w:val="Normal"/>
    <w:uiPriority w:val="8"/>
    <w:rsid w:val="00327493"/>
    <w:pPr>
      <w:keepNext/>
      <w:spacing w:after="240"/>
      <w:outlineLvl w:val="4"/>
    </w:pPr>
    <w:rPr>
      <w:bCs/>
      <w:i/>
      <w:iCs/>
      <w:szCs w:val="26"/>
    </w:rPr>
  </w:style>
  <w:style w:type="paragraph" w:styleId="Heading6">
    <w:name w:val="heading 6"/>
    <w:basedOn w:val="Normal"/>
    <w:next w:val="Normal"/>
    <w:uiPriority w:val="8"/>
    <w:rsid w:val="00327493"/>
    <w:pPr>
      <w:outlineLvl w:val="5"/>
    </w:pPr>
    <w:rPr>
      <w:bCs/>
      <w:szCs w:val="22"/>
    </w:rPr>
  </w:style>
  <w:style w:type="paragraph" w:styleId="Heading7">
    <w:name w:val="heading 7"/>
    <w:basedOn w:val="Normal"/>
    <w:next w:val="Normal"/>
    <w:uiPriority w:val="8"/>
    <w:rsid w:val="00327493"/>
    <w:pPr>
      <w:outlineLvl w:val="6"/>
    </w:pPr>
  </w:style>
  <w:style w:type="paragraph" w:styleId="Heading8">
    <w:name w:val="heading 8"/>
    <w:basedOn w:val="Normal"/>
    <w:next w:val="Normal"/>
    <w:uiPriority w:val="8"/>
    <w:rsid w:val="00327493"/>
    <w:pPr>
      <w:outlineLvl w:val="7"/>
    </w:pPr>
    <w:rPr>
      <w:iCs/>
    </w:rPr>
  </w:style>
  <w:style w:type="paragraph" w:styleId="Heading9">
    <w:name w:val="heading 9"/>
    <w:basedOn w:val="Normal"/>
    <w:next w:val="Normal"/>
    <w:uiPriority w:val="8"/>
    <w:rsid w:val="00327493"/>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A337D"/>
    <w:pPr>
      <w:tabs>
        <w:tab w:val="center" w:pos="4320"/>
        <w:tab w:val="right" w:pos="8640"/>
      </w:tabs>
    </w:pPr>
  </w:style>
  <w:style w:type="paragraph" w:styleId="FootnoteText">
    <w:name w:val="footnote text"/>
    <w:basedOn w:val="Normal"/>
    <w:link w:val="FootnoteTextChar"/>
    <w:uiPriority w:val="99"/>
    <w:rsid w:val="00687AAB"/>
    <w:pPr>
      <w:spacing w:after="120" w:line="220" w:lineRule="exact"/>
    </w:pPr>
    <w:rPr>
      <w:sz w:val="18"/>
      <w:szCs w:val="20"/>
    </w:rPr>
  </w:style>
  <w:style w:type="paragraph" w:customStyle="1" w:styleId="ParagraphNumbering">
    <w:name w:val="Paragraph Numbering"/>
    <w:basedOn w:val="Normal"/>
    <w:uiPriority w:val="1"/>
    <w:qFormat/>
    <w:rsid w:val="005F6680"/>
    <w:pPr>
      <w:numPr>
        <w:numId w:val="37"/>
      </w:numPr>
      <w:spacing w:after="240"/>
      <w:ind w:left="0" w:firstLine="0"/>
    </w:pPr>
  </w:style>
  <w:style w:type="paragraph" w:styleId="Footer">
    <w:name w:val="footer"/>
    <w:basedOn w:val="Normal"/>
    <w:link w:val="FooterChar"/>
    <w:uiPriority w:val="99"/>
    <w:rsid w:val="00327493"/>
    <w:pPr>
      <w:tabs>
        <w:tab w:val="center" w:pos="4320"/>
        <w:tab w:val="right" w:pos="8640"/>
      </w:tabs>
    </w:pPr>
  </w:style>
  <w:style w:type="character" w:styleId="FootnoteReference">
    <w:name w:val="footnote reference"/>
    <w:basedOn w:val="DefaultParagraphFont"/>
    <w:uiPriority w:val="8"/>
    <w:rsid w:val="00327493"/>
    <w:rPr>
      <w:sz w:val="20"/>
      <w:vertAlign w:val="superscript"/>
    </w:rPr>
  </w:style>
  <w:style w:type="paragraph" w:customStyle="1" w:styleId="Appendix">
    <w:name w:val="Appendix"/>
    <w:basedOn w:val="Normal"/>
    <w:uiPriority w:val="8"/>
    <w:rsid w:val="00327493"/>
    <w:pPr>
      <w:jc w:val="center"/>
    </w:pPr>
    <w:rPr>
      <w:b/>
    </w:rPr>
  </w:style>
  <w:style w:type="paragraph" w:styleId="ListBullet">
    <w:name w:val="List Bullet"/>
    <w:basedOn w:val="Normal"/>
    <w:uiPriority w:val="1"/>
    <w:qFormat/>
    <w:rsid w:val="005F6680"/>
    <w:pPr>
      <w:numPr>
        <w:numId w:val="15"/>
      </w:numPr>
      <w:spacing w:after="240"/>
    </w:pPr>
  </w:style>
  <w:style w:type="paragraph" w:styleId="TOC1">
    <w:name w:val="toc 1"/>
    <w:basedOn w:val="Normal"/>
    <w:next w:val="Normal"/>
    <w:uiPriority w:val="8"/>
    <w:rsid w:val="00327493"/>
  </w:style>
  <w:style w:type="paragraph" w:styleId="TOC2">
    <w:name w:val="toc 2"/>
    <w:basedOn w:val="Normal"/>
    <w:next w:val="Normal"/>
    <w:uiPriority w:val="8"/>
    <w:rsid w:val="00327493"/>
    <w:pPr>
      <w:ind w:left="240"/>
    </w:pPr>
  </w:style>
  <w:style w:type="paragraph" w:styleId="TOC3">
    <w:name w:val="toc 3"/>
    <w:basedOn w:val="Normal"/>
    <w:next w:val="Normal"/>
    <w:uiPriority w:val="8"/>
    <w:rsid w:val="00327493"/>
    <w:pPr>
      <w:ind w:left="480"/>
    </w:pPr>
  </w:style>
  <w:style w:type="paragraph" w:styleId="TOC4">
    <w:name w:val="toc 4"/>
    <w:basedOn w:val="Normal"/>
    <w:next w:val="Normal"/>
    <w:uiPriority w:val="8"/>
    <w:rsid w:val="00327493"/>
    <w:pPr>
      <w:ind w:left="720"/>
    </w:pPr>
  </w:style>
  <w:style w:type="paragraph" w:styleId="TOC5">
    <w:name w:val="toc 5"/>
    <w:basedOn w:val="Normal"/>
    <w:next w:val="Normal"/>
    <w:uiPriority w:val="8"/>
    <w:rsid w:val="00327493"/>
    <w:pPr>
      <w:ind w:left="960"/>
    </w:pPr>
  </w:style>
  <w:style w:type="paragraph" w:styleId="TOC6">
    <w:name w:val="toc 6"/>
    <w:basedOn w:val="Normal"/>
    <w:next w:val="Normal"/>
    <w:uiPriority w:val="8"/>
    <w:rsid w:val="00327493"/>
    <w:pPr>
      <w:ind w:left="1200"/>
    </w:pPr>
  </w:style>
  <w:style w:type="paragraph" w:styleId="TOC7">
    <w:name w:val="toc 7"/>
    <w:basedOn w:val="Normal"/>
    <w:next w:val="Normal"/>
    <w:uiPriority w:val="8"/>
    <w:rsid w:val="00327493"/>
    <w:pPr>
      <w:ind w:left="1440"/>
    </w:pPr>
  </w:style>
  <w:style w:type="paragraph" w:styleId="TOC8">
    <w:name w:val="toc 8"/>
    <w:basedOn w:val="Normal"/>
    <w:next w:val="Normal"/>
    <w:uiPriority w:val="8"/>
    <w:rsid w:val="00327493"/>
    <w:pPr>
      <w:ind w:left="1680"/>
    </w:pPr>
  </w:style>
  <w:style w:type="paragraph" w:styleId="TOC9">
    <w:name w:val="toc 9"/>
    <w:basedOn w:val="Normal"/>
    <w:next w:val="Normal"/>
    <w:uiPriority w:val="8"/>
    <w:rsid w:val="00327493"/>
    <w:pPr>
      <w:ind w:left="1920"/>
    </w:pPr>
  </w:style>
  <w:style w:type="paragraph" w:styleId="Index1">
    <w:name w:val="index 1"/>
    <w:basedOn w:val="Normal"/>
    <w:next w:val="Normal"/>
    <w:uiPriority w:val="8"/>
    <w:rsid w:val="00327493"/>
    <w:pPr>
      <w:ind w:left="240" w:hanging="240"/>
    </w:pPr>
  </w:style>
  <w:style w:type="paragraph" w:styleId="Index2">
    <w:name w:val="index 2"/>
    <w:basedOn w:val="Normal"/>
    <w:next w:val="Normal"/>
    <w:uiPriority w:val="8"/>
    <w:rsid w:val="00327493"/>
    <w:pPr>
      <w:ind w:left="480" w:hanging="240"/>
    </w:pPr>
  </w:style>
  <w:style w:type="paragraph" w:styleId="Index3">
    <w:name w:val="index 3"/>
    <w:basedOn w:val="Normal"/>
    <w:next w:val="Normal"/>
    <w:uiPriority w:val="8"/>
    <w:rsid w:val="00327493"/>
    <w:pPr>
      <w:ind w:left="720" w:hanging="240"/>
    </w:pPr>
  </w:style>
  <w:style w:type="paragraph" w:styleId="Index4">
    <w:name w:val="index 4"/>
    <w:basedOn w:val="Normal"/>
    <w:next w:val="Normal"/>
    <w:uiPriority w:val="8"/>
    <w:rsid w:val="00327493"/>
    <w:pPr>
      <w:ind w:left="960" w:hanging="240"/>
    </w:pPr>
  </w:style>
  <w:style w:type="paragraph" w:styleId="Index5">
    <w:name w:val="index 5"/>
    <w:basedOn w:val="Normal"/>
    <w:next w:val="Normal"/>
    <w:uiPriority w:val="8"/>
    <w:rsid w:val="00327493"/>
    <w:pPr>
      <w:ind w:left="1200" w:hanging="240"/>
    </w:pPr>
  </w:style>
  <w:style w:type="paragraph" w:styleId="Index6">
    <w:name w:val="index 6"/>
    <w:basedOn w:val="Normal"/>
    <w:next w:val="Normal"/>
    <w:uiPriority w:val="8"/>
    <w:rsid w:val="00327493"/>
    <w:pPr>
      <w:ind w:left="1440" w:hanging="240"/>
    </w:pPr>
  </w:style>
  <w:style w:type="paragraph" w:styleId="Index7">
    <w:name w:val="index 7"/>
    <w:basedOn w:val="Normal"/>
    <w:next w:val="Normal"/>
    <w:uiPriority w:val="8"/>
    <w:rsid w:val="00327493"/>
    <w:pPr>
      <w:ind w:left="1680" w:hanging="240"/>
    </w:pPr>
  </w:style>
  <w:style w:type="paragraph" w:styleId="Index8">
    <w:name w:val="index 8"/>
    <w:basedOn w:val="Normal"/>
    <w:next w:val="Normal"/>
    <w:uiPriority w:val="8"/>
    <w:rsid w:val="00327493"/>
    <w:pPr>
      <w:ind w:left="1920" w:hanging="240"/>
    </w:pPr>
  </w:style>
  <w:style w:type="paragraph" w:styleId="Index9">
    <w:name w:val="index 9"/>
    <w:basedOn w:val="Normal"/>
    <w:next w:val="Normal"/>
    <w:uiPriority w:val="8"/>
    <w:rsid w:val="00327493"/>
    <w:pPr>
      <w:ind w:left="2160" w:hanging="240"/>
    </w:pPr>
  </w:style>
  <w:style w:type="paragraph" w:styleId="ListBullet2">
    <w:name w:val="List Bullet 2"/>
    <w:basedOn w:val="Normal"/>
    <w:uiPriority w:val="8"/>
    <w:rsid w:val="00327493"/>
    <w:pPr>
      <w:numPr>
        <w:numId w:val="16"/>
      </w:numPr>
    </w:pPr>
  </w:style>
  <w:style w:type="paragraph" w:styleId="ListBullet3">
    <w:name w:val="List Bullet 3"/>
    <w:basedOn w:val="Normal"/>
    <w:uiPriority w:val="8"/>
    <w:rsid w:val="00327493"/>
    <w:pPr>
      <w:numPr>
        <w:numId w:val="17"/>
      </w:numPr>
    </w:pPr>
  </w:style>
  <w:style w:type="paragraph" w:styleId="ListBullet4">
    <w:name w:val="List Bullet 4"/>
    <w:basedOn w:val="Normal"/>
    <w:uiPriority w:val="8"/>
    <w:rsid w:val="00327493"/>
    <w:pPr>
      <w:numPr>
        <w:numId w:val="18"/>
      </w:numPr>
    </w:pPr>
  </w:style>
  <w:style w:type="paragraph" w:styleId="ListBullet5">
    <w:name w:val="List Bullet 5"/>
    <w:basedOn w:val="Normal"/>
    <w:uiPriority w:val="8"/>
    <w:rsid w:val="00327493"/>
    <w:pPr>
      <w:numPr>
        <w:numId w:val="19"/>
      </w:numPr>
    </w:pPr>
  </w:style>
  <w:style w:type="paragraph" w:styleId="Title">
    <w:name w:val="Title"/>
    <w:rsid w:val="00687AAB"/>
    <w:pPr>
      <w:ind w:left="720" w:right="660"/>
    </w:pPr>
    <w:rPr>
      <w:rFonts w:ascii="Segoe UI" w:hAnsi="Segoe UI" w:cs="Segoe UI"/>
      <w:b/>
      <w:bCs/>
      <w:caps/>
      <w:sz w:val="60"/>
      <w:szCs w:val="52"/>
    </w:rPr>
  </w:style>
  <w:style w:type="paragraph" w:customStyle="1" w:styleId="Indent">
    <w:name w:val="Indent"/>
    <w:basedOn w:val="Normal"/>
    <w:uiPriority w:val="8"/>
    <w:rsid w:val="00327493"/>
    <w:pPr>
      <w:ind w:left="720" w:hanging="720"/>
    </w:pPr>
  </w:style>
  <w:style w:type="paragraph" w:customStyle="1" w:styleId="AnnexAppendixTitle">
    <w:name w:val="Annex/Appendix Title"/>
    <w:next w:val="Normal"/>
    <w:uiPriority w:val="5"/>
    <w:qFormat/>
    <w:rsid w:val="000203AF"/>
    <w:pPr>
      <w:spacing w:after="240" w:line="400" w:lineRule="exact"/>
    </w:pPr>
    <w:rPr>
      <w:rFonts w:ascii="Segoe UI" w:hAnsi="Segoe UI"/>
      <w:b/>
      <w:color w:val="4B82AD"/>
      <w:sz w:val="32"/>
      <w:szCs w:val="24"/>
    </w:rPr>
  </w:style>
  <w:style w:type="character" w:customStyle="1" w:styleId="HeaderChar">
    <w:name w:val="Header Char"/>
    <w:basedOn w:val="DefaultParagraphFont"/>
    <w:link w:val="Header"/>
    <w:uiPriority w:val="99"/>
    <w:rsid w:val="00DA337D"/>
    <w:rPr>
      <w:rFonts w:ascii="Segoe UI" w:hAnsi="Segoe UI"/>
      <w:sz w:val="21"/>
      <w:szCs w:val="24"/>
    </w:rPr>
  </w:style>
  <w:style w:type="paragraph" w:styleId="ListParagraph">
    <w:name w:val="List Paragraph"/>
    <w:basedOn w:val="Normal"/>
    <w:uiPriority w:val="34"/>
    <w:qFormat/>
    <w:rsid w:val="005E43E2"/>
    <w:pPr>
      <w:ind w:left="720"/>
      <w:contextualSpacing/>
    </w:pPr>
  </w:style>
  <w:style w:type="paragraph" w:styleId="BodyText">
    <w:name w:val="Body Text"/>
    <w:basedOn w:val="Normal"/>
    <w:link w:val="BodyTextChar"/>
    <w:uiPriority w:val="8"/>
    <w:rsid w:val="00A9049F"/>
    <w:pPr>
      <w:spacing w:after="120"/>
    </w:pPr>
  </w:style>
  <w:style w:type="character" w:customStyle="1" w:styleId="BodyTextChar">
    <w:name w:val="Body Text Char"/>
    <w:basedOn w:val="DefaultParagraphFont"/>
    <w:link w:val="BodyText"/>
    <w:uiPriority w:val="8"/>
    <w:rsid w:val="00A9049F"/>
    <w:rPr>
      <w:sz w:val="24"/>
      <w:szCs w:val="24"/>
    </w:rPr>
  </w:style>
  <w:style w:type="paragraph" w:styleId="ListNumber">
    <w:name w:val="List Number"/>
    <w:basedOn w:val="Normal"/>
    <w:uiPriority w:val="8"/>
    <w:rsid w:val="00C410E7"/>
    <w:pPr>
      <w:numPr>
        <w:numId w:val="8"/>
      </w:numPr>
      <w:contextualSpacing/>
    </w:pPr>
  </w:style>
  <w:style w:type="paragraph" w:styleId="BalloonText">
    <w:name w:val="Balloon Text"/>
    <w:basedOn w:val="Normal"/>
    <w:link w:val="BalloonTextChar"/>
    <w:uiPriority w:val="8"/>
    <w:rsid w:val="00C70C75"/>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8"/>
    <w:rsid w:val="00C70C75"/>
    <w:rPr>
      <w:rFonts w:asciiTheme="majorHAnsi" w:eastAsiaTheme="majorEastAsia" w:hAnsiTheme="majorHAnsi" w:cstheme="majorBidi"/>
      <w:sz w:val="16"/>
      <w:szCs w:val="16"/>
    </w:rPr>
  </w:style>
  <w:style w:type="table" w:styleId="TableGrid">
    <w:name w:val="Table Grid"/>
    <w:basedOn w:val="TableNormal"/>
    <w:rsid w:val="009B241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D7660F"/>
    <w:rPr>
      <w:sz w:val="24"/>
      <w:szCs w:val="24"/>
    </w:rPr>
  </w:style>
  <w:style w:type="character" w:styleId="PageNumber">
    <w:name w:val="page number"/>
    <w:basedOn w:val="DefaultParagraphFont"/>
    <w:uiPriority w:val="8"/>
    <w:rsid w:val="00BF5951"/>
  </w:style>
  <w:style w:type="paragraph" w:customStyle="1" w:styleId="SectionSummary">
    <w:name w:val="Section Summary"/>
    <w:basedOn w:val="Normal"/>
    <w:qFormat/>
    <w:rsid w:val="00223476"/>
    <w:pPr>
      <w:spacing w:after="240"/>
      <w:ind w:left="720" w:right="475"/>
    </w:pPr>
    <w:rPr>
      <w:i/>
      <w:szCs w:val="20"/>
    </w:rPr>
  </w:style>
  <w:style w:type="paragraph" w:customStyle="1" w:styleId="BoxText">
    <w:name w:val="Box Text"/>
    <w:basedOn w:val="Normal"/>
    <w:uiPriority w:val="2"/>
    <w:qFormat/>
    <w:rsid w:val="005B2E85"/>
    <w:pPr>
      <w:spacing w:after="240" w:line="240" w:lineRule="auto"/>
    </w:pPr>
    <w:rPr>
      <w:rFonts w:cs="Segoe UI"/>
      <w:sz w:val="19"/>
    </w:rPr>
  </w:style>
  <w:style w:type="paragraph" w:customStyle="1" w:styleId="BoxBullet">
    <w:name w:val="Box Bullet"/>
    <w:basedOn w:val="Normal"/>
    <w:uiPriority w:val="3"/>
    <w:qFormat/>
    <w:rsid w:val="005B2E85"/>
    <w:pPr>
      <w:numPr>
        <w:numId w:val="39"/>
      </w:numPr>
      <w:spacing w:after="240" w:line="240" w:lineRule="auto"/>
      <w:ind w:left="360" w:firstLine="0"/>
    </w:pPr>
    <w:rPr>
      <w:rFonts w:cs="Segoe UI"/>
      <w:sz w:val="19"/>
      <w:szCs w:val="20"/>
    </w:rPr>
  </w:style>
  <w:style w:type="paragraph" w:styleId="EndnoteText">
    <w:name w:val="endnote text"/>
    <w:basedOn w:val="Normal"/>
    <w:link w:val="EndnoteTextChar"/>
    <w:uiPriority w:val="8"/>
    <w:rsid w:val="00687AAB"/>
    <w:pPr>
      <w:spacing w:after="120"/>
    </w:pPr>
    <w:rPr>
      <w:szCs w:val="20"/>
    </w:rPr>
  </w:style>
  <w:style w:type="character" w:customStyle="1" w:styleId="EndnoteTextChar">
    <w:name w:val="Endnote Text Char"/>
    <w:basedOn w:val="DefaultParagraphFont"/>
    <w:link w:val="EndnoteText"/>
    <w:uiPriority w:val="8"/>
    <w:rsid w:val="00687AAB"/>
    <w:rPr>
      <w:rFonts w:ascii="Segoe UI" w:hAnsi="Segoe UI"/>
      <w:sz w:val="21"/>
    </w:rPr>
  </w:style>
  <w:style w:type="paragraph" w:customStyle="1" w:styleId="SubTitle">
    <w:name w:val="Sub Title"/>
    <w:uiPriority w:val="8"/>
    <w:rsid w:val="003E4056"/>
    <w:pPr>
      <w:spacing w:line="240" w:lineRule="auto"/>
      <w:ind w:left="720"/>
    </w:pPr>
    <w:rPr>
      <w:rFonts w:ascii="Segoe UI" w:hAnsi="Segoe UI" w:cs="Segoe UI"/>
      <w:b/>
      <w:bCs/>
      <w:color w:val="808080" w:themeColor="background1" w:themeShade="80"/>
      <w:sz w:val="29"/>
      <w:szCs w:val="29"/>
      <w:lang w:eastAsia="ja-JP" w:bidi="ml-IN"/>
    </w:rPr>
  </w:style>
  <w:style w:type="paragraph" w:customStyle="1" w:styleId="KeyIssues">
    <w:name w:val="Key Issues"/>
    <w:uiPriority w:val="8"/>
    <w:rsid w:val="00687AAB"/>
    <w:pPr>
      <w:tabs>
        <w:tab w:val="left" w:pos="-1080"/>
        <w:tab w:val="left" w:pos="-360"/>
        <w:tab w:val="left" w:pos="270"/>
        <w:tab w:val="left" w:pos="450"/>
        <w:tab w:val="left" w:pos="9000"/>
      </w:tabs>
      <w:spacing w:line="240" w:lineRule="auto"/>
      <w:ind w:left="720"/>
    </w:pPr>
    <w:rPr>
      <w:rFonts w:ascii="Segoe UI" w:hAnsi="Segoe UI" w:cs="Segoe UI"/>
      <w:b/>
      <w:color w:val="000000" w:themeColor="text1"/>
      <w:sz w:val="36"/>
      <w:szCs w:val="36"/>
    </w:rPr>
  </w:style>
  <w:style w:type="character" w:styleId="CommentReference">
    <w:name w:val="annotation reference"/>
    <w:basedOn w:val="DefaultParagraphFont"/>
    <w:uiPriority w:val="8"/>
    <w:rsid w:val="00FD07FD"/>
    <w:rPr>
      <w:sz w:val="16"/>
      <w:szCs w:val="16"/>
    </w:rPr>
  </w:style>
  <w:style w:type="paragraph" w:styleId="CommentText">
    <w:name w:val="annotation text"/>
    <w:basedOn w:val="Normal"/>
    <w:link w:val="CommentTextChar"/>
    <w:uiPriority w:val="8"/>
    <w:rsid w:val="00FD07FD"/>
    <w:pPr>
      <w:spacing w:line="240" w:lineRule="auto"/>
    </w:pPr>
    <w:rPr>
      <w:sz w:val="20"/>
      <w:szCs w:val="20"/>
    </w:rPr>
  </w:style>
  <w:style w:type="character" w:customStyle="1" w:styleId="CommentTextChar">
    <w:name w:val="Comment Text Char"/>
    <w:basedOn w:val="DefaultParagraphFont"/>
    <w:link w:val="CommentText"/>
    <w:uiPriority w:val="8"/>
    <w:rsid w:val="00FD07FD"/>
    <w:rPr>
      <w:rFonts w:ascii="Segoe UI" w:hAnsi="Segoe UI"/>
    </w:rPr>
  </w:style>
  <w:style w:type="paragraph" w:styleId="CommentSubject">
    <w:name w:val="annotation subject"/>
    <w:basedOn w:val="CommentText"/>
    <w:next w:val="CommentText"/>
    <w:link w:val="CommentSubjectChar"/>
    <w:uiPriority w:val="8"/>
    <w:rsid w:val="00FD07FD"/>
    <w:rPr>
      <w:b/>
      <w:bCs/>
    </w:rPr>
  </w:style>
  <w:style w:type="character" w:customStyle="1" w:styleId="CommentSubjectChar">
    <w:name w:val="Comment Subject Char"/>
    <w:basedOn w:val="CommentTextChar"/>
    <w:link w:val="CommentSubject"/>
    <w:uiPriority w:val="8"/>
    <w:rsid w:val="00FD07FD"/>
    <w:rPr>
      <w:rFonts w:ascii="Segoe UI" w:hAnsi="Segoe UI"/>
      <w:b/>
      <w:bCs/>
    </w:rPr>
  </w:style>
  <w:style w:type="paragraph" w:styleId="Revision">
    <w:name w:val="Revision"/>
    <w:hidden/>
    <w:uiPriority w:val="99"/>
    <w:semiHidden/>
    <w:rsid w:val="00FD07FD"/>
    <w:pPr>
      <w:spacing w:line="240" w:lineRule="auto"/>
    </w:pPr>
    <w:rPr>
      <w:rFonts w:ascii="Segoe UI" w:hAnsi="Segoe UI"/>
      <w:sz w:val="21"/>
      <w:szCs w:val="24"/>
    </w:rPr>
  </w:style>
  <w:style w:type="character" w:customStyle="1" w:styleId="st1">
    <w:name w:val="st1"/>
    <w:basedOn w:val="DefaultParagraphFont"/>
    <w:rsid w:val="006E2533"/>
  </w:style>
  <w:style w:type="character" w:customStyle="1" w:styleId="FootnoteTextChar">
    <w:name w:val="Footnote Text Char"/>
    <w:basedOn w:val="DefaultParagraphFont"/>
    <w:link w:val="FootnoteText"/>
    <w:uiPriority w:val="99"/>
    <w:locked/>
    <w:rsid w:val="00343D3B"/>
    <w:rPr>
      <w:rFonts w:ascii="Segoe UI" w:hAnsi="Segoe U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8853803">
      <w:bodyDiv w:val="1"/>
      <w:marLeft w:val="0"/>
      <w:marRight w:val="0"/>
      <w:marTop w:val="0"/>
      <w:marBottom w:val="0"/>
      <w:divBdr>
        <w:top w:val="none" w:sz="0" w:space="0" w:color="auto"/>
        <w:left w:val="none" w:sz="0" w:space="0" w:color="auto"/>
        <w:bottom w:val="none" w:sz="0" w:space="0" w:color="auto"/>
        <w:right w:val="none" w:sz="0" w:space="0" w:color="auto"/>
      </w:divBdr>
    </w:div>
    <w:div w:id="1199975496">
      <w:bodyDiv w:val="1"/>
      <w:marLeft w:val="0"/>
      <w:marRight w:val="0"/>
      <w:marTop w:val="0"/>
      <w:marBottom w:val="0"/>
      <w:divBdr>
        <w:top w:val="none" w:sz="0" w:space="0" w:color="auto"/>
        <w:left w:val="none" w:sz="0" w:space="0" w:color="auto"/>
        <w:bottom w:val="none" w:sz="0" w:space="0" w:color="auto"/>
        <w:right w:val="none" w:sz="0" w:space="0" w:color="auto"/>
      </w:divBdr>
    </w:div>
    <w:div w:id="17677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footer" Target="footer3.xml"/><Relationship Id="rId42" Type="http://schemas.openxmlformats.org/officeDocument/2006/relationships/image" Target="media/image25.emf"/><Relationship Id="rId47" Type="http://schemas.openxmlformats.org/officeDocument/2006/relationships/image" Target="media/image30.emf"/><Relationship Id="rId63" Type="http://schemas.openxmlformats.org/officeDocument/2006/relationships/image" Target="media/image46.emf"/><Relationship Id="rId68" Type="http://schemas.openxmlformats.org/officeDocument/2006/relationships/image" Target="media/image51.emf"/><Relationship Id="rId16" Type="http://schemas.openxmlformats.org/officeDocument/2006/relationships/header" Target="header1.xml"/><Relationship Id="rId11" Type="http://schemas.openxmlformats.org/officeDocument/2006/relationships/endnotes" Target="endnotes.xml"/><Relationship Id="rId24" Type="http://schemas.openxmlformats.org/officeDocument/2006/relationships/image" Target="media/image7.emf"/><Relationship Id="rId32" Type="http://schemas.openxmlformats.org/officeDocument/2006/relationships/image" Target="media/image15.emf"/><Relationship Id="rId37" Type="http://schemas.openxmlformats.org/officeDocument/2006/relationships/image" Target="media/image20.emf"/><Relationship Id="rId40" Type="http://schemas.openxmlformats.org/officeDocument/2006/relationships/image" Target="media/image23.emf"/><Relationship Id="rId45" Type="http://schemas.openxmlformats.org/officeDocument/2006/relationships/image" Target="media/image28.emf"/><Relationship Id="rId53" Type="http://schemas.openxmlformats.org/officeDocument/2006/relationships/image" Target="media/image36.emf"/><Relationship Id="rId58" Type="http://schemas.openxmlformats.org/officeDocument/2006/relationships/image" Target="media/image41.emf"/><Relationship Id="rId66" Type="http://schemas.openxmlformats.org/officeDocument/2006/relationships/image" Target="media/image49.emf"/><Relationship Id="rId74" Type="http://schemas.openxmlformats.org/officeDocument/2006/relationships/header" Target="header5.xml"/><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44.emf"/><Relationship Id="rId19" Type="http://schemas.openxmlformats.org/officeDocument/2006/relationships/footer" Target="footer2.xml"/><Relationship Id="rId14" Type="http://schemas.openxmlformats.org/officeDocument/2006/relationships/image" Target="media/image3.emf"/><Relationship Id="rId22" Type="http://schemas.openxmlformats.org/officeDocument/2006/relationships/image" Target="media/image5.emf"/><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8.emf"/><Relationship Id="rId43" Type="http://schemas.openxmlformats.org/officeDocument/2006/relationships/image" Target="media/image26.emf"/><Relationship Id="rId48" Type="http://schemas.openxmlformats.org/officeDocument/2006/relationships/image" Target="media/image31.emf"/><Relationship Id="rId56" Type="http://schemas.openxmlformats.org/officeDocument/2006/relationships/image" Target="media/image39.emf"/><Relationship Id="rId64" Type="http://schemas.openxmlformats.org/officeDocument/2006/relationships/image" Target="media/image47.emf"/><Relationship Id="rId69" Type="http://schemas.openxmlformats.org/officeDocument/2006/relationships/image" Target="media/image52.emf"/><Relationship Id="rId77" Type="http://schemas.openxmlformats.org/officeDocument/2006/relationships/header" Target="header6.xml"/><Relationship Id="rId8" Type="http://schemas.openxmlformats.org/officeDocument/2006/relationships/settings" Target="settings.xml"/><Relationship Id="rId51" Type="http://schemas.openxmlformats.org/officeDocument/2006/relationships/image" Target="media/image34.emf"/><Relationship Id="rId72" Type="http://schemas.openxmlformats.org/officeDocument/2006/relationships/image" Target="media/image55.emf"/><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image" Target="media/image8.emf"/><Relationship Id="rId33" Type="http://schemas.openxmlformats.org/officeDocument/2006/relationships/image" Target="media/image16.emf"/><Relationship Id="rId38" Type="http://schemas.openxmlformats.org/officeDocument/2006/relationships/image" Target="media/image21.emf"/><Relationship Id="rId46" Type="http://schemas.openxmlformats.org/officeDocument/2006/relationships/image" Target="media/image29.emf"/><Relationship Id="rId59" Type="http://schemas.openxmlformats.org/officeDocument/2006/relationships/image" Target="media/image42.emf"/><Relationship Id="rId67" Type="http://schemas.openxmlformats.org/officeDocument/2006/relationships/image" Target="media/image50.emf"/><Relationship Id="rId20" Type="http://schemas.openxmlformats.org/officeDocument/2006/relationships/header" Target="header3.xml"/><Relationship Id="rId41" Type="http://schemas.openxmlformats.org/officeDocument/2006/relationships/image" Target="media/image24.emf"/><Relationship Id="rId54" Type="http://schemas.openxmlformats.org/officeDocument/2006/relationships/image" Target="media/image37.emf"/><Relationship Id="rId62" Type="http://schemas.openxmlformats.org/officeDocument/2006/relationships/image" Target="media/image45.emf"/><Relationship Id="rId70" Type="http://schemas.openxmlformats.org/officeDocument/2006/relationships/image" Target="media/image53.emf"/><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6.emf"/><Relationship Id="rId28" Type="http://schemas.openxmlformats.org/officeDocument/2006/relationships/image" Target="media/image11.emf"/><Relationship Id="rId36" Type="http://schemas.openxmlformats.org/officeDocument/2006/relationships/image" Target="media/image19.emf"/><Relationship Id="rId49" Type="http://schemas.openxmlformats.org/officeDocument/2006/relationships/image" Target="media/image32.emf"/><Relationship Id="rId57" Type="http://schemas.openxmlformats.org/officeDocument/2006/relationships/image" Target="media/image40.emf"/><Relationship Id="rId10" Type="http://schemas.openxmlformats.org/officeDocument/2006/relationships/footnotes" Target="footnotes.xml"/><Relationship Id="rId31" Type="http://schemas.openxmlformats.org/officeDocument/2006/relationships/image" Target="media/image14.emf"/><Relationship Id="rId44" Type="http://schemas.openxmlformats.org/officeDocument/2006/relationships/image" Target="media/image27.emf"/><Relationship Id="rId52" Type="http://schemas.openxmlformats.org/officeDocument/2006/relationships/image" Target="media/image35.emf"/><Relationship Id="rId60" Type="http://schemas.openxmlformats.org/officeDocument/2006/relationships/image" Target="media/image43.emf"/><Relationship Id="rId65" Type="http://schemas.openxmlformats.org/officeDocument/2006/relationships/image" Target="media/image48.emf"/><Relationship Id="rId73" Type="http://schemas.openxmlformats.org/officeDocument/2006/relationships/header" Target="header4.xml"/><Relationship Id="rId78"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1.xml"/><Relationship Id="rId39" Type="http://schemas.openxmlformats.org/officeDocument/2006/relationships/image" Target="media/image22.emf"/><Relationship Id="rId34" Type="http://schemas.openxmlformats.org/officeDocument/2006/relationships/image" Target="media/image17.emf"/><Relationship Id="rId50" Type="http://schemas.openxmlformats.org/officeDocument/2006/relationships/image" Target="media/image33.emf"/><Relationship Id="rId55" Type="http://schemas.openxmlformats.org/officeDocument/2006/relationships/image" Target="media/image38.emf"/><Relationship Id="rId76" Type="http://schemas.openxmlformats.org/officeDocument/2006/relationships/footer" Target="footer5.xml"/><Relationship Id="rId7" Type="http://schemas.openxmlformats.org/officeDocument/2006/relationships/styles" Target="styles.xml"/><Relationship Id="rId71" Type="http://schemas.openxmlformats.org/officeDocument/2006/relationships/image" Target="media/image54.emf"/><Relationship Id="rId2" Type="http://schemas.openxmlformats.org/officeDocument/2006/relationships/customXml" Target="../customXml/item2.xml"/><Relationship Id="rId29" Type="http://schemas.openxmlformats.org/officeDocument/2006/relationships/image" Target="media/image12.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office12\IMF%20Templates\ArticleIV.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2011-02-02T00:00:00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Countries xmlns="a709fdda-027e-4a2b-89e4-674b4f5b6bfc" xsi:nil="true"/>
    <eReviewYear xmlns="http://schemas.microsoft.com/sharepoint/v3"/>
    <eReviewRelatedDiscussionItem xmlns="http://schemas.microsoft.com/sharepoint/v3">109</eReviewRelatedDiscussionItem>
    <eReviewReviewAction xmlns="http://schemas.microsoft.com/sharepoint/v3">1</eReviewReviewAction>
    <MMSClassificationTaxHTField0 xmlns="a709fdda-027e-4a2b-89e4-674b4f5b6bfc">
      <Terms xmlns="http://schemas.microsoft.com/office/infopath/2007/PartnerControls">
        <TermInfo xmlns="http://schemas.microsoft.com/office/infopath/2007/PartnerControls">
          <TermName xmlns="http://schemas.microsoft.com/office/infopath/2007/PartnerControls">For Official Use Only</TermName>
          <TermId xmlns="http://schemas.microsoft.com/office/infopath/2007/PartnerControls">ceebc80d-5bab-57db-aa4c-a446741f09ad</TermId>
        </TermInfo>
      </Terms>
    </MMSClassificationTaxHTField0>
    <MMSDepartmentsTaxHTField1 xmlns="a709fdda-027e-4a2b-89e4-674b4f5b6bfc">
      <Terms xmlns="http://schemas.microsoft.com/office/infopath/2007/PartnerControls"/>
    </MMSDepartmentsTaxHTField1>
    <MMSDocumentTypesTaxHTField0 xmlns="a709fdda-027e-4a2b-89e4-674b4f5b6bfc">
      <Terms xmlns="http://schemas.microsoft.com/office/infopath/2007/PartnerControls"/>
    </MMSDocumentTypesTaxHTField0>
    <TaxCatchAll xmlns="12173b96-cad7-4fae-91ce-a856ec88bb1a">
      <Value>1</Value>
    </TaxCatchAl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ereview document" ma:contentTypeID="0x010100BAAD1C15AB8BF74EB82ED756FB3339C00068A63F1EFBAB5E449B68363588F9F19E" ma:contentTypeVersion="4" ma:contentTypeDescription="Will be used exclusively for eReview application" ma:contentTypeScope="" ma:versionID="23fee16a368870d4d0e7bb23bbf05078">
  <xsd:schema xmlns:xsd="http://www.w3.org/2001/XMLSchema" xmlns:xs="http://www.w3.org/2001/XMLSchema" xmlns:p="http://schemas.microsoft.com/office/2006/metadata/properties" xmlns:ns1="http://schemas.microsoft.com/sharepoint/v3" xmlns:ns2="a709fdda-027e-4a2b-89e4-674b4f5b6bfc" xmlns:ns4="12173b96-cad7-4fae-91ce-a856ec88bb1a" targetNamespace="http://schemas.microsoft.com/office/2006/metadata/properties" ma:root="true" ma:fieldsID="9765c5818b01792d7197f80d635a5c34" ns1:_="" ns2:_="" ns4:_="">
    <xsd:import namespace="http://schemas.microsoft.com/sharepoint/v3"/>
    <xsd:import namespace="a709fdda-027e-4a2b-89e4-674b4f5b6bfc"/>
    <xsd:import namespace="12173b96-cad7-4fae-91ce-a856ec88bb1a"/>
    <xsd:element name="properties">
      <xsd:complexType>
        <xsd:sequence>
          <xsd:element name="documentManagement">
            <xsd:complexType>
              <xsd:all>
                <xsd:element ref="ns2:Countries" minOccurs="0"/>
                <xsd:element ref="ns1:eReviewReviewAction"/>
                <xsd:element ref="ns1:eReviewYear"/>
                <xsd:element ref="ns4:TaxCatchAll" minOccurs="0"/>
                <xsd:element ref="ns4:TaxCatchAllLabel" minOccurs="0"/>
                <xsd:element ref="ns2:MMSDepartmentsTaxHTField1" minOccurs="0"/>
                <xsd:element ref="ns2:MMSDocumentTypesTaxHTField0" minOccurs="0"/>
                <xsd:element ref="ns2:MMSClassificationTaxHTField0" minOccurs="0"/>
                <xsd:element ref="ns1:eReviewRelatedDiscussionItem"/>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ReviewReviewAction" ma:index="7" ma:displayName="Review Action" ma:list="eb060516-27e3-4c60-b8d5-3cdbb6f4c118" ma:internalName="eReviewReviewAction" ma:showField="Title" ma:web="a709fdda-027e-4a2b-89e4-674b4f5b6bfc">
      <xsd:simpleType>
        <xsd:restriction base="dms:Lookup"/>
      </xsd:simpleType>
    </xsd:element>
    <xsd:element name="eReviewYear" ma:index="8" ma:displayName="Year" ma:format="Dropdown" ma:internalName="eReviewYear">
      <xsd:simpleType>
        <xsd:restriction base="dms:Choice">
          <xsd:enumeration value="2006"/>
          <xsd:enumeration value="2007"/>
          <xsd:enumeration value="2008"/>
          <xsd:enumeration value="2009"/>
          <xsd:enumeration value="2010"/>
          <xsd:enumeration value="2011"/>
          <xsd:enumeration value="2012"/>
          <xsd:enumeration value="2013"/>
          <xsd:enumeration value="2014"/>
          <xsd:enumeration value="2015"/>
          <xsd:enumeration value="2016"/>
          <xsd:enumeration value="2017"/>
          <xsd:enumeration value="2018"/>
          <xsd:enumeration value="2019"/>
          <xsd:enumeration value="2020"/>
          <xsd:enumeration value="2021"/>
          <xsd:enumeration value="2022"/>
          <xsd:enumeration value="2023"/>
          <xsd:enumeration value="2024"/>
          <xsd:enumeration value="2025"/>
        </xsd:restriction>
      </xsd:simpleType>
    </xsd:element>
    <xsd:element name="eReviewRelatedDiscussionItem" ma:index="20" ma:displayName="Subject of Interdepartmental Review Discussion" ma:list="857d944c-3b39-4169-9f52-d6c7bd009ff7" ma:internalName="eReviewRelatedDiscussionItem" ma:showField="fa564e0f-0c70-4ab9-b863-0177e6ddd247" ma:web="be9aab5f-baac-412e-bfa6-a287d7f0504c">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9fdda-027e-4a2b-89e4-674b4f5b6bfc" elementFormDefault="qualified">
    <xsd:import namespace="http://schemas.microsoft.com/office/2006/documentManagement/types"/>
    <xsd:import namespace="http://schemas.microsoft.com/office/infopath/2007/PartnerControls"/>
    <xsd:element name="Countries" ma:index="6" nillable="true" ma:displayName="Country(s)" ma:description="Geographic coverage of site if applicable." ma:format="Dropdown" ma:internalName="Countries">
      <xsd:simpleType>
        <xsd:restriction base="dms:Choice">
          <xsd:enumeration value="All Countries"/>
          <xsd:enumeration value="Afghanistan, Rep. of"/>
          <xsd:enumeration value="Äland Islands"/>
          <xsd:enumeration value="Albania"/>
          <xsd:enumeration value="Algeria"/>
          <xsd:enumeration value="American Samoa"/>
          <xsd:enumeration value="Andorra"/>
          <xsd:enumeration value="Angola"/>
          <xsd:enumeration value="Anguilla"/>
          <xsd:enumeration value="Antigua and Barbuda"/>
          <xsd:enumeration value="Argentina"/>
          <xsd:enumeration value="Armenia"/>
          <xsd:enumeration value="Aruba"/>
          <xsd:enumeration value="Atlantis"/>
          <xsd:enumeration value="Australia"/>
          <xsd:enumeration value="Austria"/>
          <xsd:enumeration value="Azerbaijan"/>
          <xsd:enumeration value="Bahamas, The"/>
          <xsd:enumeration value="Bahrain"/>
          <xsd:enumeration value="Bangladesh"/>
          <xsd:enumeration value="Barbados"/>
          <xsd:enumeration value="Belarus"/>
          <xsd:enumeration value="Belgium"/>
          <xsd:enumeration value="Belize"/>
          <xsd:enumeration value="Benin"/>
          <xsd:enumeration value="Bermuda"/>
          <xsd:enumeration value="Bhutan"/>
          <xsd:enumeration value="Bolivia"/>
          <xsd:enumeration value="Bosnia and Herzegovina"/>
          <xsd:enumeration value="Botswana"/>
          <xsd:enumeration value="Brazil"/>
          <xsd:enumeration value="British Virgin Islands"/>
          <xsd:enumeration value="Brunei Darussalam"/>
          <xsd:enumeration value="Bulgaria"/>
          <xsd:enumeration value="Burkina Faso"/>
          <xsd:enumeration value="Burundi"/>
          <xsd:enumeration value="Cambodia"/>
          <xsd:enumeration value="Cameroon"/>
          <xsd:enumeration value="Canada"/>
          <xsd:enumeration value="Cabo Verde"/>
          <xsd:enumeration value="Cayman Islands"/>
          <xsd:enumeration value="Central African Republic"/>
          <xsd:enumeration value="Central African Economic and Monetary Community"/>
          <xsd:enumeration value="Chad"/>
          <xsd:enumeration value="Chile"/>
          <xsd:enumeration value="China"/>
          <xsd:enumeration value="Colombia"/>
          <xsd:enumeration value="Comoros"/>
          <xsd:enumeration value="Congo, Dem. Rep. of"/>
          <xsd:enumeration value="Congo, Rep. of"/>
          <xsd:enumeration value="Cook Islands"/>
          <xsd:enumeration value="Costa Rica"/>
          <xsd:enumeration value="Côte d'Ivoire"/>
          <xsd:enumeration value="Croatia"/>
          <xsd:enumeration value="Cuba"/>
          <xsd:enumeration value="Curacao and Sint Maarten"/>
          <xsd:enumeration value="Cyprus"/>
          <xsd:enumeration value="Czech Republic"/>
          <xsd:enumeration value="Denmark"/>
          <xsd:enumeration value="Djibouti"/>
          <xsd:enumeration value="Dominica"/>
          <xsd:enumeration value="Dominican Republic"/>
          <xsd:enumeration value="East African Community"/>
          <xsd:enumeration value="Ecuador"/>
          <xsd:enumeration value="Egypt"/>
          <xsd:enumeration value="El Salvador"/>
          <xsd:enumeration value="Equatorial Guinea"/>
          <xsd:enumeration value="Eritrea"/>
          <xsd:enumeration value="East African Community"/>
          <xsd:enumeration value="Estonia"/>
          <xsd:enumeration value="Ethiopia"/>
          <xsd:enumeration value="Faeroe Islands"/>
          <xsd:enumeration value="Falkland Islands (Malvinas)"/>
          <xsd:enumeration value="Fiji"/>
          <xsd:enumeration value="Finland"/>
          <xsd:enumeration value="France"/>
          <xsd:enumeration value="French Guiana"/>
          <xsd:enumeration value="French Polynesia"/>
          <xsd:enumeration value="Gabon"/>
          <xsd:enumeration value="Gambia, The"/>
          <xsd:enumeration value="Georgia"/>
          <xsd:enumeration value="Germany"/>
          <xsd:enumeration value="Ghana"/>
          <xsd:enumeration value="Gibraltar"/>
          <xsd:enumeration value="Greece"/>
          <xsd:enumeration value="Greenland"/>
          <xsd:enumeration value="Grenada"/>
          <xsd:enumeration value="Guadeloupe"/>
          <xsd:enumeration value="Guam"/>
          <xsd:enumeration value="Guatemala"/>
          <xsd:enumeration value="Guernsey"/>
          <xsd:enumeration value="Guinea"/>
          <xsd:enumeration value="Guinea-Bissau"/>
          <xsd:enumeration value="Guyana"/>
          <xsd:enumeration value="Haiti"/>
          <xsd:enumeration value="Holy See"/>
          <xsd:enumeration value="Honduras"/>
          <xsd:enumeration value="Hong Kong SAR"/>
          <xsd:enumeration value="Hungary"/>
          <xsd:enumeration value="Iceland"/>
          <xsd:enumeration value="India"/>
          <xsd:enumeration value="Indonesia"/>
          <xsd:enumeration value="Iran, I. R. of"/>
          <xsd:enumeration value="Iraq"/>
          <xsd:enumeration value="Ireland"/>
          <xsd:enumeration value="Isle of Man"/>
          <xsd:enumeration value="Israel"/>
          <xsd:enumeration value="Italy"/>
          <xsd:enumeration value="Jamaica"/>
          <xsd:enumeration value="Japan"/>
          <xsd:enumeration value="Jersey"/>
          <xsd:enumeration value="Jordan"/>
          <xsd:enumeration value="Kazakhstan"/>
          <xsd:enumeration value="Kenya"/>
          <xsd:enumeration value="Kiribati"/>
          <xsd:enumeration value="Korea"/>
          <xsd:enumeration value="Korea"/>
          <xsd:enumeration value="Kosovo"/>
          <xsd:enumeration value="Kuwait"/>
          <xsd:enumeration value="Kyrgyz Republic"/>
          <xsd:enumeration value="Labuan (Malaysia)"/>
          <xsd:enumeration value="Lao P.D.R."/>
          <xsd:enumeration value="Latvia"/>
          <xsd:enumeration value="Lebanon"/>
          <xsd:enumeration value="Lesotho"/>
          <xsd:enumeration value="Liberia"/>
          <xsd:enumeration value="Libya"/>
          <xsd:enumeration value="Liechtenstein"/>
          <xsd:enumeration value="Lithuania"/>
          <xsd:enumeration value="Luxembourg"/>
          <xsd:enumeration value="Macao SAR"/>
          <xsd:enumeration value="Macedonia, former Yugoslav Republic of"/>
          <xsd:enumeration value="Madagascar"/>
          <xsd:enumeration value="Malawi"/>
          <xsd:enumeration value="Malaysia"/>
          <xsd:enumeration value="Maldives"/>
          <xsd:enumeration value="Mali"/>
          <xsd:enumeration value="Malta"/>
          <xsd:enumeration value="Marshall Islands"/>
          <xsd:enumeration value="Martinique"/>
          <xsd:enumeration value="Mauritania"/>
          <xsd:enumeration value="Mauritius"/>
          <xsd:enumeration value="Mayotte"/>
          <xsd:enumeration value="Mexico"/>
          <xsd:enumeration value="Micronesia"/>
          <xsd:enumeration value="Moldova"/>
          <xsd:enumeration value="Monaco"/>
          <xsd:enumeration value="Mongolia"/>
          <xsd:enumeration value="Montenegro"/>
          <xsd:enumeration value="Montserrat"/>
          <xsd:enumeration value="Morocco"/>
          <xsd:enumeration value="Mozambique"/>
          <xsd:enumeration value="Myanmar"/>
          <xsd:enumeration value="Namibia"/>
          <xsd:enumeration value="Nauru"/>
          <xsd:enumeration value="Nepal"/>
          <xsd:enumeration value="Netherlands"/>
          <xsd:enumeration value="Netherlands Antilles"/>
          <xsd:enumeration value="New Caledonia"/>
          <xsd:enumeration value="New Zealand"/>
          <xsd:enumeration value="Nicaragua"/>
          <xsd:enumeration value="Niger"/>
          <xsd:enumeration value="Nigeria"/>
          <xsd:enumeration value="Niue"/>
          <xsd:enumeration value="Norfolk Island"/>
          <xsd:enumeration value="North Korea"/>
          <xsd:enumeration value="Northern Mariana Islands"/>
          <xsd:enumeration value="Norway"/>
          <xsd:enumeration value="Oman"/>
          <xsd:enumeration value="Pakistan"/>
          <xsd:enumeration value="Palau"/>
          <xsd:enumeration value="Panama"/>
          <xsd:enumeration value="Papua New Guinea"/>
          <xsd:enumeration value="Paraguay"/>
          <xsd:enumeration value="Peru"/>
          <xsd:enumeration value="Philippines"/>
          <xsd:enumeration value="Pitcairn"/>
          <xsd:enumeration value="Poland"/>
          <xsd:enumeration value="Portugal"/>
          <xsd:enumeration value="Puerto Rico"/>
          <xsd:enumeration value="Qatar"/>
          <xsd:enumeration value="Réunion"/>
          <xsd:enumeration value="Romania"/>
          <xsd:enumeration value="Russian Federation"/>
          <xsd:enumeration value="Rwanda"/>
          <xsd:enumeration value="Saint Helena"/>
          <xsd:enumeration value="Saint Kitts and Nevis"/>
          <xsd:enumeration value="Saint Lucia"/>
          <xsd:enumeration value="Saint Pierre and Miquelon"/>
          <xsd:enumeration value="Saint Vincent and the Grenadines"/>
          <xsd:enumeration value="Samoa"/>
          <xsd:enumeration value="San Marino"/>
          <xsd:enumeration value="Säo Tomé and Príncipe"/>
          <xsd:enumeration value="Saudi Arabia"/>
          <xsd:enumeration value="Senegal"/>
          <xsd:enumeration value="Serbia"/>
          <xsd:enumeration value="Seychelles"/>
          <xsd:enumeration value="Sierra Leone"/>
          <xsd:enumeration value="Singapore"/>
          <xsd:enumeration value="Slovak Republic"/>
          <xsd:enumeration value="Slovenia"/>
          <xsd:enumeration value="Solomon Islands"/>
          <xsd:enumeration value="Somalia"/>
          <xsd:enumeration value="South Africa"/>
          <xsd:enumeration value="South Sudan"/>
          <xsd:enumeration value="Spain"/>
          <xsd:enumeration value="Sri Lanka"/>
          <xsd:enumeration value="Sudan"/>
          <xsd:enumeration value="Suriname"/>
          <xsd:enumeration value="Svalbard and Jan Mayen Islands"/>
          <xsd:enumeration value="Swaziland"/>
          <xsd:enumeration value="Sweden"/>
          <xsd:enumeration value="Switzerland"/>
          <xsd:enumeration value="Syrian Arab Republic"/>
          <xsd:enumeration value="Taiwan Province of China"/>
          <xsd:enumeration value="Tajikistan"/>
          <xsd:enumeration value="Tanzania"/>
          <xsd:enumeration value="Thailand"/>
          <xsd:enumeration value="Timor-Leste"/>
          <xsd:enumeration value="Togo"/>
          <xsd:enumeration value="Tokelau"/>
          <xsd:enumeration value="Tonga"/>
          <xsd:enumeration value="Trinidad and Tobago"/>
          <xsd:enumeration value="Tunisia"/>
          <xsd:enumeration value="Turkey"/>
          <xsd:enumeration value="Turkmenistan"/>
          <xsd:enumeration value="Turks and Caicos Islands"/>
          <xsd:enumeration value="Tuvalu"/>
          <xsd:enumeration value="Uganda"/>
          <xsd:enumeration value="Ukraine"/>
          <xsd:enumeration value="United Arab Emirates"/>
          <xsd:enumeration value="United Kingdom"/>
          <xsd:enumeration value="United States"/>
          <xsd:enumeration value="United States Virgin Islands"/>
          <xsd:enumeration value="Uruguay"/>
          <xsd:enumeration value="Uzbekistan"/>
          <xsd:enumeration value="Vanuatu"/>
          <xsd:enumeration value="Venezuela"/>
          <xsd:enumeration value="Vietnam"/>
          <xsd:enumeration value="Wallis and Futuna Islands"/>
          <xsd:enumeration value="West Bank and Gaza"/>
          <xsd:enumeration value="Yemen"/>
          <xsd:enumeration value="Zambia"/>
          <xsd:enumeration value="Zimbabwe"/>
          <xsd:enumeration value="Central African Economic and Monetary Community"/>
          <xsd:enumeration value="Eastern Caribbean Currency Union"/>
          <xsd:enumeration value="EU and Euro Area"/>
          <xsd:enumeration value="West African Economic and Monetary Union"/>
          <xsd:enumeration value="Gulf Cooperation Council"/>
        </xsd:restriction>
      </xsd:simpleType>
    </xsd:element>
    <xsd:element name="MMSDepartmentsTaxHTField1" ma:index="12" ma:taxonomy="true" ma:internalName="MMSDepartmentsTaxHTField1" ma:taxonomyFieldName="MMSDepartments" ma:displayName="Dept/Div" ma:readOnly="false" ma:fieldId="{3a14c077-48e0-4b48-9c6c-1728a2cf4c3a}" ma:sspId="125ccb09-3e8b-484d-ac1f-f095216710a7" ma:termSetId="1444ddf8-bdfd-49a0-9253-4030224de983" ma:anchorId="00000000-0000-0000-0000-000000000000" ma:open="false" ma:isKeyword="false">
      <xsd:complexType>
        <xsd:sequence>
          <xsd:element ref="pc:Terms" minOccurs="0" maxOccurs="1"/>
        </xsd:sequence>
      </xsd:complexType>
    </xsd:element>
    <xsd:element name="MMSDocumentTypesTaxHTField0" ma:index="14" nillable="true" ma:taxonomy="true" ma:internalName="MMSDocumentTypesTaxHTField0" ma:taxonomyFieldName="MMSDocumentTypes" ma:displayName="Document Type/Series" ma:fieldId="{2d37fbbe-312d-4bd9-9cc8-109d93185265}" ma:sspId="125ccb09-3e8b-484d-ac1f-f095216710a7" ma:termSetId="33892a56-65a9-5eaf-879e-697509130b44" ma:anchorId="00000000-0000-0000-0000-000000000000" ma:open="false" ma:isKeyword="false">
      <xsd:complexType>
        <xsd:sequence>
          <xsd:element ref="pc:Terms" minOccurs="0" maxOccurs="1"/>
        </xsd:sequence>
      </xsd:complexType>
    </xsd:element>
    <xsd:element name="MMSClassificationTaxHTField0" ma:index="19" ma:taxonomy="true" ma:internalName="MMSClassificationTaxHTField0" ma:taxonomyFieldName="MMSClassification" ma:displayName="Classification" ma:readOnly="false" ma:default="1;#For Official Use Only|ceebc80d-5bab-57db-aa4c-a446741f09ad" ma:fieldId="{a5adf473-7b33-45f6-81bd-39a9bec8d228}" ma:sspId="125ccb09-3e8b-484d-ac1f-f095216710a7" ma:termSetId="27552853-c12f-5a25-87c9-9029b93e561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2173b96-cad7-4fae-91ce-a856ec88bb1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b0f16c47-7f63-4a34-bba8-5a995ebb8c37}" ma:internalName="TaxCatchAll" ma:showField="CatchAllData" ma:web="a709fdda-027e-4a2b-89e4-674b4f5b6bf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0f16c47-7f63-4a34-bba8-5a995ebb8c37}" ma:internalName="TaxCatchAllLabel" ma:readOnly="true" ma:showField="CatchAllDataLabel" ma:web="a709fdda-027e-4a2b-89e4-674b4f5b6b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5" ma:displayName="Author(s)"/>
        <xsd:element ref="dcterms:created" minOccurs="0" maxOccurs="1"/>
        <xsd:element ref="dc:identifier" minOccurs="0" maxOccurs="1"/>
        <xsd:element name="contentType" minOccurs="0" maxOccurs="1" type="xsd:string" ma:index="13"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394573-A697-45E0-85FA-A9B913FDE80F}">
  <ds:schemaRefs>
    <ds:schemaRef ds:uri="http://schemas.microsoft.com/office/2006/metadata/properties"/>
    <ds:schemaRef ds:uri="http://schemas.microsoft.com/office/infopath/2007/PartnerControls"/>
    <ds:schemaRef ds:uri="a709fdda-027e-4a2b-89e4-674b4f5b6bfc"/>
    <ds:schemaRef ds:uri="http://schemas.microsoft.com/sharepoint/v3"/>
    <ds:schemaRef ds:uri="12173b96-cad7-4fae-91ce-a856ec88bb1a"/>
  </ds:schemaRefs>
</ds:datastoreItem>
</file>

<file path=customXml/itemProps3.xml><?xml version="1.0" encoding="utf-8"?>
<ds:datastoreItem xmlns:ds="http://schemas.openxmlformats.org/officeDocument/2006/customXml" ds:itemID="{940ED886-FCAA-43F2-AEE0-DF6361CA43C1}">
  <ds:schemaRefs>
    <ds:schemaRef ds:uri="http://schemas.microsoft.com/sharepoint/v3/contenttype/forms"/>
  </ds:schemaRefs>
</ds:datastoreItem>
</file>

<file path=customXml/itemProps4.xml><?xml version="1.0" encoding="utf-8"?>
<ds:datastoreItem xmlns:ds="http://schemas.openxmlformats.org/officeDocument/2006/customXml" ds:itemID="{F80C2F06-1331-4D65-A723-EA9ED4675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709fdda-027e-4a2b-89e4-674b4f5b6bfc"/>
    <ds:schemaRef ds:uri="12173b96-cad7-4fae-91ce-a856ec88b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DC9EEC2-C0EE-1144-A598-10AD0D6F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(x86)\microsoft office\office12\IMF Templates\ArticleIV.dotm</Template>
  <TotalTime>2</TotalTime>
  <Pages>56</Pages>
  <Words>8970</Words>
  <Characters>51131</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International Monetary Fund</Company>
  <LinksUpToDate>false</LinksUpToDate>
  <CharactersWithSpaces>59982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5138964-v5-Brazil_2013_Article_IV_Consultation_-_Policy_Note.DOCX</dc:title>
  <dc:creator>sroache</dc:creator>
  <cp:lastModifiedBy>Huang, Chengyu</cp:lastModifiedBy>
  <cp:revision>4</cp:revision>
  <cp:lastPrinted>2013-04-25T23:35:00Z</cp:lastPrinted>
  <dcterms:created xsi:type="dcterms:W3CDTF">2013-04-26T14:22:00Z</dcterms:created>
  <dcterms:modified xsi:type="dcterms:W3CDTF">2019-05-24T14:51:00Z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273328730</vt:i4>
  </property>
  <property fmtid="{D5CDD505-2E9C-101B-9397-08002B2CF9AE}" pid="3" name="_NewReviewCycle">
    <vt:lpwstr/>
  </property>
  <property fmtid="{D5CDD505-2E9C-101B-9397-08002B2CF9AE}" pid="4" name="_EmailSubject">
    <vt:lpwstr>FOR REVIEW: BRA Policy Note</vt:lpwstr>
  </property>
  <property fmtid="{D5CDD505-2E9C-101B-9397-08002B2CF9AE}" pid="5" name="_AuthorEmail">
    <vt:lpwstr>SRoache@imf.org</vt:lpwstr>
  </property>
  <property fmtid="{D5CDD505-2E9C-101B-9397-08002B2CF9AE}" pid="6" name="_AuthorEmailDisplayName">
    <vt:lpwstr>Roache, Shaun</vt:lpwstr>
  </property>
  <property fmtid="{D5CDD505-2E9C-101B-9397-08002B2CF9AE}" pid="7" name="_PreviousAdHocReviewCycleID">
    <vt:i4>451736507</vt:i4>
  </property>
  <property fmtid="{D5CDD505-2E9C-101B-9397-08002B2CF9AE}" pid="8" name="_ReviewingToolsShownOnce">
    <vt:lpwstr/>
  </property>
  <property fmtid="{D5CDD505-2E9C-101B-9397-08002B2CF9AE}" pid="9" name="ContentTypeId">
    <vt:lpwstr>0x010100BAAD1C15AB8BF74EB82ED756FB3339C00068A63F1EFBAB5E449B68363588F9F19E</vt:lpwstr>
  </property>
  <property fmtid="{D5CDD505-2E9C-101B-9397-08002B2CF9AE}" pid="10" name="SecurityClassification">
    <vt:lpwstr>FOR OFFICIAL USE ONLY</vt:lpwstr>
  </property>
  <property fmtid="{D5CDD505-2E9C-101B-9397-08002B2CF9AE}" pid="11" name="MMSClassification">
    <vt:lpwstr>1;#For Official Use Only|ceebc80d-5bab-57db-aa4c-a446741f09ad</vt:lpwstr>
  </property>
  <property fmtid="{D5CDD505-2E9C-101B-9397-08002B2CF9AE}" pid="12" name="MMSDepartments">
    <vt:lpwstr/>
  </property>
  <property fmtid="{D5CDD505-2E9C-101B-9397-08002B2CF9AE}" pid="13" name="MMSDocumentTypes">
    <vt:lpwstr/>
  </property>
</Properties>
</file>