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Question 2</w:t>
      </w:r>
    </w:p>
    <w:p>
      <w:pPr>
        <w:pStyle w:val="Heading1"/>
        <w:spacing w:after="160" w:before="240"/>
      </w:pPr>
      <w:r>
        <w:t xml:space="preserve">2.1 Common law and statutory tests for employment status</w:t>
      </w:r>
    </w:p>
    <w:p>
      <w:pPr>
        <w:spacing w:after="160" w:line="360"/>
        <w:jc w:val="both"/>
      </w:pPr>
      <w:r>
        <w:t xml:space="preserve">Neuer's status matters because only an employee is protected by labour legislation such as the Labour Relations Act 66 of 1995 (LRA) and the Basic Conditions of Employment Act 75 of 1997 (BCEA). An independent contractor's relationship with the person they work for is governed only by the law of contract. South African law has developed several common law tests to tell the two apart, and the legislature has added statutory guidance on top of them.</w:t>
      </w:r>
    </w:p>
    <w:p>
      <w:pPr>
        <w:pStyle w:val="Heading2"/>
        <w:spacing w:after="120" w:before="200"/>
      </w:pPr>
      <w:r>
        <w:t xml:space="preserve">The common law starting point</w:t>
      </w:r>
    </w:p>
    <w:p>
      <w:pPr>
        <w:spacing w:after="160" w:line="360"/>
        <w:jc w:val="both"/>
      </w:pPr>
      <w:r>
        <w:t xml:space="preserve">The common law separates a contract of service (</w:t>
      </w:r>
      <w:r>
        <w:rPr>
          <w:i/>
          <w:iCs/>
        </w:rPr>
        <w:t xml:space="preserve">locatio conductio operarum</w:t>
      </w:r>
      <w:r>
        <w:t xml:space="preserve">) from a contract of work (</w:t>
      </w:r>
      <w:r>
        <w:rPr>
          <w:i/>
          <w:iCs/>
        </w:rPr>
        <w:t xml:space="preserve">locatio conductio operis</w:t>
      </w:r>
      <w:r>
        <w:t xml:space="preserve">). In </w:t>
      </w:r>
      <w:r>
        <w:rPr>
          <w:i/>
          <w:iCs/>
        </w:rPr>
        <w:t xml:space="preserve">Smit v Workmen's Compensation Commissioner</w:t>
      </w:r>
      <w:r>
        <w:t xml:space="preserve"> 1979 (1) SA 51 (A), the court explained the difference. An employee places their labour at the employer's disposal and must obey lawful instructions. An independent contractor undertakes to produce a specific result and decides for themselves how to achieve it. The employee is paid for time or service. The contractor is paid for the finished product. The employment contract ends when the employee dies, but a contractor's obligations can sometimes pass to someone else. The courts then created the following tests to apply these ideas.</w:t>
      </w:r>
    </w:p>
    <w:p>
      <w:pPr>
        <w:pStyle w:val="Heading2"/>
        <w:spacing w:after="120" w:before="200"/>
      </w:pPr>
      <w:r>
        <w:t xml:space="preserve">(a) The control test</w:t>
      </w:r>
    </w:p>
    <w:p>
      <w:pPr>
        <w:spacing w:after="160" w:line="360"/>
        <w:jc w:val="both"/>
      </w:pPr>
      <w:r>
        <w:t xml:space="preserve">This was the earliest test. It asked whether the person who received the services had the right to control not only what work was done but also how it was done (</w:t>
      </w:r>
      <w:r>
        <w:rPr>
          <w:i/>
          <w:iCs/>
        </w:rPr>
        <w:t xml:space="preserve">Colonial Mutual Life Assurance Society Ltd v MacDonald</w:t>
      </w:r>
      <w:r>
        <w:t xml:space="preserve"> 1931 AD 412). If they had that right, the worker was an employee. The test worked well for manual labour but lost its value as work became more specialised. An employer often cannot tell a skilled professional, such as Neuer, how to perform a technical job. In </w:t>
      </w:r>
      <w:r>
        <w:rPr>
          <w:i/>
          <w:iCs/>
        </w:rPr>
        <w:t xml:space="preserve">R v AMCA Services Ltd</w:t>
      </w:r>
      <w:r>
        <w:t xml:space="preserve"> 1959 (4) SA 207 (A) the court accepted that control is relevant but is not decisive on its own.</w:t>
      </w:r>
    </w:p>
    <w:p>
      <w:pPr>
        <w:pStyle w:val="Heading2"/>
        <w:spacing w:after="120" w:before="200"/>
      </w:pPr>
      <w:r>
        <w:t xml:space="preserve">(b) The organisation (integration) test</w:t>
      </w:r>
    </w:p>
    <w:p>
      <w:pPr>
        <w:spacing w:after="160" w:line="360"/>
        <w:jc w:val="both"/>
      </w:pPr>
      <w:r>
        <w:t xml:space="preserve">Because the control test had these limits, the organisation test asked whether the worker formed part of the employer's organisation or merely provided services to it from outside. The Appellate Division criticised the test as too vague and declined to rely on it alone (</w:t>
      </w:r>
      <w:r>
        <w:rPr>
          <w:i/>
          <w:iCs/>
        </w:rPr>
        <w:t xml:space="preserve">Ongevallekommissaris v Onderlinge Versekeringsgenootskap AVBOB</w:t>
      </w:r>
      <w:r>
        <w:t xml:space="preserve"> 1976 (4) SA 446 (A)). Integration is still a useful factor, however.</w:t>
      </w:r>
    </w:p>
    <w:p>
      <w:pPr>
        <w:pStyle w:val="Heading2"/>
        <w:spacing w:after="120" w:before="200"/>
      </w:pPr>
      <w:r>
        <w:t xml:space="preserve">(c) The dominant impression test</w:t>
      </w:r>
    </w:p>
    <w:p>
      <w:pPr>
        <w:spacing w:after="160" w:line="360"/>
        <w:jc w:val="both"/>
      </w:pPr>
      <w:r>
        <w:t xml:space="preserve">The courts now take a broader view. In </w:t>
      </w:r>
      <w:r>
        <w:rPr>
          <w:i/>
          <w:iCs/>
        </w:rPr>
        <w:t xml:space="preserve">Smit</w:t>
      </w:r>
      <w:r>
        <w:t xml:space="preserve"> the court said no single factor decides the matter. The court looks at the relationship as a whole and asks which impression it creates: employment or independent contracting. Relevant factors include control, the right to supervise, who supplies tools, the method of payment, whether the worker must personally perform the work, and whether the worker may serve others. The Labour Appeal Court endorsed this approach in </w:t>
      </w:r>
      <w:r>
        <w:rPr>
          <w:i/>
          <w:iCs/>
        </w:rPr>
        <w:t xml:space="preserve">SA Broadcasting Corporation v McKenzie</w:t>
      </w:r>
      <w:r>
        <w:t xml:space="preserve"> (1999) 20 ILJ 585 (LAC), and in </w:t>
      </w:r>
      <w:r>
        <w:rPr>
          <w:i/>
          <w:iCs/>
        </w:rPr>
        <w:t xml:space="preserve">Niselow v Liberty Life Association of Africa Ltd</w:t>
      </w:r>
      <w:r>
        <w:t xml:space="preserve"> 1998 (4) SA 163 (SCA), where an insurance agent was held not to be an employee.</w:t>
      </w:r>
    </w:p>
    <w:p>
      <w:pPr>
        <w:pStyle w:val="Heading2"/>
        <w:spacing w:after="120" w:before="200"/>
      </w:pPr>
      <w:r>
        <w:t xml:space="preserve">(d) The reality test</w:t>
      </w:r>
    </w:p>
    <w:p>
      <w:pPr>
        <w:spacing w:after="160" w:line="360"/>
        <w:jc w:val="both"/>
      </w:pPr>
      <w:r>
        <w:t xml:space="preserve">The courts look past the label the parties give their contract and examine how the relationship actually works in practice (</w:t>
      </w:r>
      <w:r>
        <w:rPr>
          <w:i/>
          <w:iCs/>
        </w:rPr>
        <w:t xml:space="preserve">Denel (Pty) Ltd v Gerber</w:t>
      </w:r>
      <w:r>
        <w:t xml:space="preserve"> (2005) 26 ILJ 1256 (LAC)). In </w:t>
      </w:r>
      <w:r>
        <w:rPr>
          <w:i/>
          <w:iCs/>
        </w:rPr>
        <w:t xml:space="preserve">State Information Technology Agency (Pty) Ltd v CCMA</w:t>
      </w:r>
      <w:r>
        <w:t xml:space="preserve"> (2008) 29 ILJ 2234 (LAC) the court identified three main criteria:</w:t>
      </w:r>
    </w:p>
    <w:p>
      <w:pPr>
        <w:pStyle w:val="ListParagraph"/>
        <w:numPr>
          <w:ilvl w:val="0"/>
          <w:numId w:val="2"/>
        </w:numPr>
        <w:spacing w:after="80" w:line="320"/>
      </w:pPr>
      <w:r>
        <w:t xml:space="preserve">the employer's right to supervision and control;</w:t>
      </w:r>
    </w:p>
    <w:p>
      <w:pPr>
        <w:pStyle w:val="ListParagraph"/>
        <w:numPr>
          <w:ilvl w:val="0"/>
          <w:numId w:val="2"/>
        </w:numPr>
        <w:spacing w:after="80" w:line="320"/>
      </w:pPr>
      <w:r>
        <w:t xml:space="preserve">whether the worker forms an integral part of the organisation; and</w:t>
      </w:r>
    </w:p>
    <w:p>
      <w:pPr>
        <w:pStyle w:val="ListParagraph"/>
        <w:numPr>
          <w:ilvl w:val="0"/>
          <w:numId w:val="2"/>
        </w:numPr>
        <w:spacing w:after="80" w:line="320"/>
      </w:pPr>
      <w:r>
        <w:t xml:space="preserve">how economically dependent the worker is on the employer.</w:t>
      </w:r>
    </w:p>
    <w:p>
      <w:pPr>
        <w:pStyle w:val="Heading2"/>
        <w:spacing w:after="120" w:before="200"/>
      </w:pPr>
      <w:r>
        <w:t xml:space="preserve">Statutory tests</w:t>
      </w:r>
    </w:p>
    <w:p>
      <w:pPr>
        <w:spacing w:after="160" w:line="360"/>
        <w:jc w:val="both"/>
      </w:pPr>
      <w:r>
        <w:t xml:space="preserve">Section 213 of the LRA (mirrored in s 1 of the BCEA) defines an employee as any person, excluding an independent contractor, who works for another person and receives or is entitled to receive remuneration, or who in any manner assists in carrying on the employer's business. The definition specifically excludes independent contractors, so the common law tests remain relevant when it is applied.</w:t>
      </w:r>
    </w:p>
    <w:p>
      <w:pPr>
        <w:spacing w:after="160" w:line="360"/>
        <w:jc w:val="both"/>
      </w:pPr>
      <w:r>
        <w:t xml:space="preserve">Section 200A of the LRA, and s 83A of the BCEA, create a rebuttable presumption of employment. A person who earns below the threshold set by the Minister under s 6(3) of the BCEA is presumed to be an employee if any one of the following is present:</w:t>
      </w:r>
    </w:p>
    <w:p>
      <w:pPr>
        <w:pStyle w:val="ListParagraph"/>
        <w:numPr>
          <w:ilvl w:val="0"/>
          <w:numId w:val="3"/>
        </w:numPr>
        <w:spacing w:after="80" w:line="320"/>
      </w:pPr>
      <w:r>
        <w:t xml:space="preserve">(a) the manner in which they work is subject to another person's control or direction;</w:t>
      </w:r>
    </w:p>
    <w:p>
      <w:pPr>
        <w:pStyle w:val="ListParagraph"/>
        <w:numPr>
          <w:ilvl w:val="0"/>
          <w:numId w:val="3"/>
        </w:numPr>
        <w:spacing w:after="80" w:line="320"/>
      </w:pPr>
      <w:r>
        <w:t xml:space="preserve">(b) their hours of work are subject to another person's control or direction;</w:t>
      </w:r>
    </w:p>
    <w:p>
      <w:pPr>
        <w:pStyle w:val="ListParagraph"/>
        <w:numPr>
          <w:ilvl w:val="0"/>
          <w:numId w:val="3"/>
        </w:numPr>
        <w:spacing w:after="80" w:line="320"/>
      </w:pPr>
      <w:r>
        <w:t xml:space="preserve">(c) they form part of that person's organisation;</w:t>
      </w:r>
    </w:p>
    <w:p>
      <w:pPr>
        <w:pStyle w:val="ListParagraph"/>
        <w:numPr>
          <w:ilvl w:val="0"/>
          <w:numId w:val="3"/>
        </w:numPr>
        <w:spacing w:after="80" w:line="320"/>
      </w:pPr>
      <w:r>
        <w:t xml:space="preserve">(d) they have worked for that person for an average of at least 40 hours a month over the last three months;</w:t>
      </w:r>
    </w:p>
    <w:p>
      <w:pPr>
        <w:pStyle w:val="ListParagraph"/>
        <w:numPr>
          <w:ilvl w:val="0"/>
          <w:numId w:val="3"/>
        </w:numPr>
        <w:spacing w:after="80" w:line="320"/>
      </w:pPr>
      <w:r>
        <w:t xml:space="preserve">(e) they are economically dependent on that person;</w:t>
      </w:r>
    </w:p>
    <w:p>
      <w:pPr>
        <w:pStyle w:val="ListParagraph"/>
        <w:numPr>
          <w:ilvl w:val="0"/>
          <w:numId w:val="3"/>
        </w:numPr>
        <w:spacing w:after="80" w:line="320"/>
      </w:pPr>
      <w:r>
        <w:t xml:space="preserve">(f) they are provided with tools of trade or work equipment by that person; or</w:t>
      </w:r>
    </w:p>
    <w:p>
      <w:pPr>
        <w:pStyle w:val="ListParagraph"/>
        <w:numPr>
          <w:ilvl w:val="0"/>
          <w:numId w:val="3"/>
        </w:numPr>
        <w:spacing w:after="80" w:line="320"/>
      </w:pPr>
      <w:r>
        <w:t xml:space="preserve">(g) they work for, or render services to, only one person.</w:t>
      </w:r>
    </w:p>
    <w:p>
      <w:pPr>
        <w:spacing w:after="160" w:line="360"/>
        <w:jc w:val="both"/>
      </w:pPr>
      <w:r>
        <w:t xml:space="preserve">Once the presumption applies, the alleged employer must prove the opposite. The </w:t>
      </w:r>
      <w:r>
        <w:rPr>
          <w:i/>
          <w:iCs/>
        </w:rPr>
        <w:t xml:space="preserve">Code of Good Practice: Who is an Employee</w:t>
      </w:r>
      <w:r>
        <w:t xml:space="preserve"> (GN 1774 in GG 29445 of 1 December 2006) provides further guidance and confirms that the reality of the relationship takes priority over its form.</w:t>
      </w:r>
    </w:p>
    <w:p>
      <w:pPr>
        <w:pStyle w:val="Heading2"/>
        <w:spacing w:after="120" w:before="200"/>
      </w:pPr>
      <w:r>
        <w:t xml:space="preserve">Application to Neuer</w:t>
      </w:r>
    </w:p>
    <w:p>
      <w:pPr>
        <w:spacing w:after="160" w:line="360"/>
        <w:jc w:val="both"/>
      </w:pPr>
      <w:r>
        <w:t xml:space="preserve">The facts point strongly away from employment. Neuer is a recognised specialist, so GS is unlikely to control how he fits or repairs air conditioners. He serves several dealers in the area, including Tshitshiboya Vehicles, which is a direct competitor of GS. This means he is not economically dependent on GS, and factor (g) of s 200A is plainly absent. Nothing suggests that GS sets his hours, provides his tools, or treats him as part of its staff. Most telling, GS does not object when he works for its rivals. An employer would normally expect loyalty and could rely on the employee's common law duty of good faith to stop such conduct. GS's indifference shows that it is interested only in the result, namely working air conditioners, and not in Neuer's labour as such. This is the hallmark of a contract of work. Whether or not his earnings fall below the threshold, the presumption would be easily rebutted on these facts.</w:t>
      </w:r>
    </w:p>
    <w:p>
      <w:pPr>
        <w:pStyle w:val="Heading1"/>
        <w:spacing w:after="160" w:before="240"/>
      </w:pPr>
      <w:r>
        <w:t xml:space="preserve">2.2 Who is Neuer's employer and why?</w:t>
      </w:r>
    </w:p>
    <w:p>
      <w:pPr>
        <w:spacing w:after="160" w:line="360"/>
        <w:jc w:val="both"/>
      </w:pPr>
      <w:r>
        <w:t xml:space="preserve">Neuer has no employer. He is an independent contractor running his own business, and GS is simply one of his clients. He sells a finished service to several dealers, controls how he does the work, and depends on no single business for his income (</w:t>
      </w:r>
      <w:r>
        <w:rPr>
          <w:i/>
          <w:iCs/>
        </w:rPr>
        <w:t xml:space="preserve">Smit</w:t>
      </w:r>
      <w:r>
        <w:t xml:space="preserve">; </w:t>
      </w:r>
      <w:r>
        <w:rPr>
          <w:i/>
          <w:iCs/>
        </w:rPr>
        <w:t xml:space="preserve">SITA v CCMA</w:t>
      </w:r>
      <w:r>
        <w:t xml:space="preserve">). This also explains why GS is not concerned about him working for its competitors.</w:t>
      </w:r>
    </w:p>
    <w:p>
      <w:pPr>
        <w:pStyle w:val="Heading1"/>
        <w:spacing w:after="160" w:before="240"/>
      </w:pPr>
      <w:r>
        <w:t xml:space="preserve">2.3 Does GS have the power to discipline Neuer?</w:t>
      </w:r>
    </w:p>
    <w:p>
      <w:pPr>
        <w:spacing w:after="160" w:line="360"/>
        <w:jc w:val="both"/>
      </w:pPr>
      <w:r>
        <w:t xml:space="preserve">No. The power to discipline comes from the employment relationship itself. It is part of the employer's managerial prerogative, based on the employee's duty to obey lawful and reasonable instructions, and it is regulated by Schedule 8 of the LRA (Code of Good Practice: Dismissal, item 3). Because Neuer is not an employee, GS has no disciplinary authority over him and cannot hold a disciplinary hearing or issue him with warnings. If Neuer does poor work or breaches his agreement, GS's remedies lie in contract law. It may refuse to pay for defective work, claim damages, demand proper performance, or cancel the contract and use another contractor. For the same reason, Neuer could not claim unfair dismissal under s 185 of the LRA if GS stopped using his services, because that protection is reserved for employees.</w:t>
      </w:r>
    </w:p>
    <w:p>
      <w:pPr>
        <w:pStyle w:val="Heading1"/>
        <w:spacing w:after="160" w:before="240"/>
      </w:pPr>
      <w:r>
        <w:t xml:space="preserve">References</w:t>
      </w:r>
    </w:p>
    <w:p>
      <w:pPr>
        <w:pStyle w:val="Heading2"/>
        <w:spacing w:after="120" w:before="200"/>
      </w:pPr>
      <w:r>
        <w:t xml:space="preserve">Legislation</w:t>
      </w:r>
    </w:p>
    <w:p>
      <w:pPr>
        <w:spacing w:after="120"/>
        <w:ind w:left="720" w:hanging="720"/>
      </w:pPr>
      <w:r>
        <w:t xml:space="preserve">Basic Conditions of Employment Act 75 of 1997.</w:t>
      </w:r>
    </w:p>
    <w:p>
      <w:pPr>
        <w:spacing w:after="120"/>
        <w:ind w:left="720" w:hanging="720"/>
      </w:pPr>
      <w:r>
        <w:t xml:space="preserve">Labour Relations Act 66 of 1995.</w:t>
      </w:r>
    </w:p>
    <w:p>
      <w:pPr>
        <w:spacing w:after="120"/>
        <w:ind w:left="720" w:hanging="720"/>
      </w:pPr>
      <w:r>
        <w:t xml:space="preserve">Code of Good Practice: Who is an Employee, GN 1774 in GG 29445 of 1 December 2006.</w:t>
      </w:r>
    </w:p>
    <w:p>
      <w:pPr>
        <w:spacing w:after="120"/>
        <w:ind w:left="720" w:hanging="720"/>
      </w:pPr>
      <w:r>
        <w:t xml:space="preserve">Code of Good Practice: Dismissal, Schedule 8 to the Labour Relations Act 66 of 1995.</w:t>
      </w:r>
    </w:p>
    <w:p>
      <w:pPr>
        <w:pStyle w:val="Heading2"/>
        <w:spacing w:after="120" w:before="200"/>
      </w:pPr>
      <w:r>
        <w:t xml:space="preserve">Case law</w:t>
      </w:r>
    </w:p>
    <w:p>
      <w:pPr>
        <w:spacing w:after="120"/>
        <w:ind w:left="720" w:hanging="720"/>
      </w:pPr>
      <w:r>
        <w:rPr>
          <w:i/>
          <w:iCs/>
        </w:rPr>
        <w:t xml:space="preserve">Colonial Mutual Life Assurance Society Ltd v MacDonald</w:t>
      </w:r>
      <w:r>
        <w:t xml:space="preserve"> 1931 AD 412.</w:t>
      </w:r>
    </w:p>
    <w:p>
      <w:pPr>
        <w:spacing w:after="120"/>
        <w:ind w:left="720" w:hanging="720"/>
      </w:pPr>
      <w:r>
        <w:rPr>
          <w:i/>
          <w:iCs/>
        </w:rPr>
        <w:t xml:space="preserve">Denel (Pty) Ltd v Gerber</w:t>
      </w:r>
      <w:r>
        <w:t xml:space="preserve"> (2005) 26 ILJ 1256 (LAC).</w:t>
      </w:r>
    </w:p>
    <w:p>
      <w:pPr>
        <w:spacing w:after="120"/>
        <w:ind w:left="720" w:hanging="720"/>
      </w:pPr>
      <w:r>
        <w:rPr>
          <w:i/>
          <w:iCs/>
        </w:rPr>
        <w:t xml:space="preserve">Niselow v Liberty Life Association of Africa Ltd</w:t>
      </w:r>
      <w:r>
        <w:t xml:space="preserve"> 1998 (4) SA 163 (SCA).</w:t>
      </w:r>
    </w:p>
    <w:p>
      <w:pPr>
        <w:spacing w:after="120"/>
        <w:ind w:left="720" w:hanging="720"/>
      </w:pPr>
      <w:r>
        <w:rPr>
          <w:i/>
          <w:iCs/>
        </w:rPr>
        <w:t xml:space="preserve">Ongevallekommissaris v Onderlinge Versekeringsgenootskap AVBOB</w:t>
      </w:r>
      <w:r>
        <w:t xml:space="preserve"> 1976 (4) SA 446 (A).</w:t>
      </w:r>
    </w:p>
    <w:p>
      <w:pPr>
        <w:spacing w:after="120"/>
        <w:ind w:left="720" w:hanging="720"/>
      </w:pPr>
      <w:r>
        <w:rPr>
          <w:i/>
          <w:iCs/>
        </w:rPr>
        <w:t xml:space="preserve">R v AMCA Services Ltd</w:t>
      </w:r>
      <w:r>
        <w:t xml:space="preserve"> 1959 (4) SA 207 (A).</w:t>
      </w:r>
    </w:p>
    <w:p>
      <w:pPr>
        <w:spacing w:after="120"/>
        <w:ind w:left="720" w:hanging="720"/>
      </w:pPr>
      <w:r>
        <w:rPr>
          <w:i/>
          <w:iCs/>
        </w:rPr>
        <w:t xml:space="preserve">SA Broadcasting Corporation v McKenzie</w:t>
      </w:r>
      <w:r>
        <w:t xml:space="preserve"> (1999) 20 ILJ 585 (LAC).</w:t>
      </w:r>
    </w:p>
    <w:p>
      <w:pPr>
        <w:spacing w:after="120"/>
        <w:ind w:left="720" w:hanging="720"/>
      </w:pPr>
      <w:r>
        <w:rPr>
          <w:i/>
          <w:iCs/>
        </w:rPr>
        <w:t xml:space="preserve">Smit v Workmen's Compensation Commissioner</w:t>
      </w:r>
      <w:r>
        <w:t xml:space="preserve"> 1979 (1) SA 51 (A).</w:t>
      </w:r>
    </w:p>
    <w:p>
      <w:pPr>
        <w:spacing w:after="120"/>
        <w:ind w:left="720" w:hanging="720"/>
      </w:pPr>
      <w:r>
        <w:rPr>
          <w:i/>
          <w:iCs/>
        </w:rPr>
        <w:t xml:space="preserve">State Information Technology Agency (Pty) Ltd v CCMA</w:t>
      </w:r>
      <w:r>
        <w:t xml:space="preserve"> (2008) 29 ILJ 2234 (LAC).</w:t>
      </w:r>
    </w:p>
    <w:p>
      <w:pPr>
        <w:pStyle w:val="Heading2"/>
        <w:spacing w:after="120" w:before="200"/>
      </w:pPr>
      <w:r>
        <w:t xml:space="preserve">Textbooks</w:t>
      </w:r>
    </w:p>
    <w:p>
      <w:pPr>
        <w:spacing w:after="120"/>
        <w:ind w:left="720" w:hanging="720"/>
      </w:pPr>
      <w:r>
        <w:t xml:space="preserve">Grogan, J. (2022). </w:t>
      </w:r>
      <w:r>
        <w:rPr>
          <w:i/>
          <w:iCs/>
        </w:rPr>
        <w:t xml:space="preserve">Workplace Law</w:t>
      </w:r>
      <w:r>
        <w:t xml:space="preserve"> (13th ed.). Juta.</w:t>
      </w:r>
    </w:p>
    <w:p>
      <w:pPr>
        <w:spacing w:after="120"/>
        <w:ind w:left="720" w:hanging="720"/>
      </w:pPr>
      <w:r>
        <w:t xml:space="preserve">Van Niekerk, A., Smit, N., Christianson, M., McGregor, M., &amp; Van Eck, S. (2021). </w:t>
      </w:r>
      <w:r>
        <w:rPr>
          <w:i/>
          <w:iCs/>
        </w:rPr>
        <w:t xml:space="preserve">Law@Work</w:t>
      </w:r>
      <w:r>
        <w:t xml:space="preserve"> (5th ed.). LexisNexis.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Title">
    <w:name w:val="Title"/>
    <w:basedOn w:val="Normal"/>
    <w:next w:val="Normal"/>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2026-10-16T07:17:00.842Z</dcterms:created>
  <dcterms:modified xsi:type="dcterms:W3CDTF">2026-10-16T07:17:00.848Z</dcterms:modified>
</cp:coreProperties>
</file>

<file path=docProps/custom.xml><?xml version="1.0" encoding="utf-8"?>
<Properties xmlns="http://schemas.openxmlformats.org/officeDocument/2006/custom-properties" xmlns:vt="http://schemas.openxmlformats.org/officeDocument/2006/docPropsVTypes"/>
</file>