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Question 3</w:t>
      </w:r>
    </w:p>
    <w:p>
      <w:pPr>
        <w:pStyle w:val="Heading1"/>
        <w:spacing w:after="160" w:before="240"/>
      </w:pPr>
      <w:r>
        <w:t xml:space="preserve">3.1 Organisational rights under the LRA</w:t>
      </w:r>
    </w:p>
    <w:p>
      <w:pPr>
        <w:spacing w:after="160" w:line="360"/>
        <w:jc w:val="both"/>
      </w:pPr>
      <w:r>
        <w:t xml:space="preserve">Organisational rights give a trade union the practical means to recruit members, represent them and hold the employer to account. Without them a union would struggle to function inside the workplace (Grogan, 2023). Part A of Chapter III of the Labour Relations Act 66 of 1995 (LRA) provides for the following five rights:</w:t>
      </w:r>
    </w:p>
    <w:p>
      <w:pPr>
        <w:pStyle w:val="ListParagraph"/>
        <w:numPr>
          <w:ilvl w:val="0"/>
          <w:numId w:val="2"/>
        </w:numPr>
        <w:spacing w:after="80" w:line="320"/>
      </w:pPr>
      <w:r>
        <w:rPr>
          <w:b/>
          <w:bCs/>
        </w:rPr>
        <w:t xml:space="preserve">Access to the workplace (s 12).</w:t>
      </w:r>
      <w:r>
        <w:t xml:space="preserve"> Union officials may enter the employer's premises to recruit and meet members, hold meetings outside working hours, and conduct elections or ballots.</w:t>
      </w:r>
    </w:p>
    <w:p>
      <w:pPr>
        <w:pStyle w:val="ListParagraph"/>
        <w:numPr>
          <w:ilvl w:val="0"/>
          <w:numId w:val="2"/>
        </w:numPr>
        <w:spacing w:after="80" w:line="320"/>
      </w:pPr>
      <w:r>
        <w:rPr>
          <w:b/>
          <w:bCs/>
        </w:rPr>
        <w:t xml:space="preserve">Deduction of trade union subscriptions (s 13).</w:t>
      </w:r>
      <w:r>
        <w:t xml:space="preserve"> An employee may authorise the employer in writing to deduct union fees from their wages. The employer must pay these over to the union by the 15th day of each month.</w:t>
      </w:r>
    </w:p>
    <w:p>
      <w:pPr>
        <w:pStyle w:val="ListParagraph"/>
        <w:numPr>
          <w:ilvl w:val="0"/>
          <w:numId w:val="2"/>
        </w:numPr>
        <w:spacing w:after="80" w:line="320"/>
      </w:pPr>
      <w:r>
        <w:rPr>
          <w:b/>
          <w:bCs/>
        </w:rPr>
        <w:t xml:space="preserve">Trade union representatives (s 14).</w:t>
      </w:r>
      <w:r>
        <w:t xml:space="preserve"> Members in a workplace may elect shop stewards, who help members in grievance and disciplinary matters and monitor the employer's compliance with labour law.</w:t>
      </w:r>
    </w:p>
    <w:p>
      <w:pPr>
        <w:pStyle w:val="ListParagraph"/>
        <w:numPr>
          <w:ilvl w:val="0"/>
          <w:numId w:val="2"/>
        </w:numPr>
        <w:spacing w:after="80" w:line="320"/>
      </w:pPr>
      <w:r>
        <w:rPr>
          <w:b/>
          <w:bCs/>
        </w:rPr>
        <w:t xml:space="preserve">Leave for trade union activities (s 15).</w:t>
      </w:r>
      <w:r>
        <w:t xml:space="preserve"> Office bearers of the union are entitled to reasonable leave during working hours to perform union functions.</w:t>
      </w:r>
    </w:p>
    <w:p>
      <w:pPr>
        <w:pStyle w:val="ListParagraph"/>
        <w:numPr>
          <w:ilvl w:val="0"/>
          <w:numId w:val="2"/>
        </w:numPr>
        <w:spacing w:after="80" w:line="320"/>
      </w:pPr>
      <w:r>
        <w:rPr>
          <w:b/>
          <w:bCs/>
        </w:rPr>
        <w:t xml:space="preserve">Disclosure of information (s 16).</w:t>
      </w:r>
      <w:r>
        <w:t xml:space="preserve"> The employer must disclose relevant information that allows shop stewards to perform their functions and the union to consult or bargain effectively. Confidential, privileged or private information is excluded.</w:t>
      </w:r>
    </w:p>
    <w:p>
      <w:pPr>
        <w:spacing w:after="160" w:line="360"/>
        <w:jc w:val="both"/>
      </w:pPr>
      <w:r>
        <w:t xml:space="preserve">The rights in ss 12, 13 and 15 are available to a union that is sufficiently representative, while ss 14 and 16 are reserved for a majority union. A commissioner may, however, grant ss 14 and 16 rights to a sufficiently representative union under s 21(8A), and minority unions may also obtain rights by collective agreement or industrial action (</w:t>
      </w:r>
      <w:r>
        <w:rPr>
          <w:i/>
          <w:iCs/>
        </w:rPr>
        <w:t xml:space="preserve">NUMSA v Bader Bop (Pty) Ltd</w:t>
      </w:r>
      <w:r>
        <w:t xml:space="preserve"> 2003 (3) SA 513 (CC)).</w:t>
      </w:r>
    </w:p>
    <w:p>
      <w:pPr>
        <w:pStyle w:val="Heading1"/>
        <w:spacing w:after="160" w:before="240"/>
      </w:pPr>
      <w:r>
        <w:t xml:space="preserve">3.2 Collective agreements and BKR</w:t>
      </w:r>
    </w:p>
    <w:p>
      <w:pPr>
        <w:pStyle w:val="Heading2"/>
        <w:spacing w:after="120" w:before="200"/>
      </w:pPr>
      <w:r>
        <w:t xml:space="preserve">(i) When collective agreements bind non-parties</w:t>
      </w:r>
    </w:p>
    <w:p>
      <w:pPr>
        <w:spacing w:after="160" w:line="360"/>
        <w:jc w:val="both"/>
      </w:pPr>
      <w:r>
        <w:t xml:space="preserve">Casimero's advice is only partly correct. As a general rule, a contract binds only those who conclude it. Collective bargaining is different, because the LRA promotes majoritarianism and allows some agreements to reach beyond the parties who signed them (Van Niekerk et al., 2021). The main circumstances are these.</w:t>
      </w:r>
    </w:p>
    <w:p>
      <w:pPr>
        <w:spacing w:after="160" w:line="360"/>
        <w:jc w:val="both"/>
      </w:pPr>
      <w:r>
        <w:rPr>
          <w:b/>
          <w:bCs/>
        </w:rPr>
        <w:t xml:space="preserve">Section 23(1)(d) of the LRA.</w:t>
      </w:r>
      <w:r>
        <w:t xml:space="preserve"> A collective agreement binds employees who are not members of the trade union party if three requirements are met: the employees are identified in the agreement, the agreement expressly binds them, and the union or unions that are party to it have as members the majority of employees in the workplace. The Constitutional Court upheld this rule in </w:t>
      </w:r>
      <w:r>
        <w:rPr>
          <w:i/>
          <w:iCs/>
        </w:rPr>
        <w:t xml:space="preserve">AMCU v Chamber of Mines of South Africa</w:t>
      </w:r>
      <w:r>
        <w:t xml:space="preserve"> 2017 (3) SA 242 (CC). It held that extending a majority agreement to minority union members is a justifiable limit on their right to strike, since it promotes orderly bargaining. In </w:t>
      </w:r>
      <w:r>
        <w:rPr>
          <w:i/>
          <w:iCs/>
        </w:rPr>
        <w:t xml:space="preserve">AMCU v Royal Bafokeng Platinum Ltd</w:t>
      </w:r>
      <w:r>
        <w:t xml:space="preserve"> 2020 (3) SA 1 (CC) the court confirmed that majoritarianism remains a central feature of the LRA.</w:t>
      </w:r>
    </w:p>
    <w:p>
      <w:pPr>
        <w:spacing w:after="160" w:line="360"/>
        <w:jc w:val="both"/>
      </w:pPr>
      <w:r>
        <w:rPr>
          <w:b/>
          <w:bCs/>
        </w:rPr>
        <w:t xml:space="preserve">Section 23(1)(c) and (2).</w:t>
      </w:r>
      <w:r>
        <w:t xml:space="preserve"> An agreement binds members of a union party and employers who are members of an employers' organisation party, so far as the agreement applies between them. A person who was a member when the agreement was concluded stays bound for its full duration even after resigning.</w:t>
      </w:r>
    </w:p>
    <w:p>
      <w:pPr>
        <w:spacing w:after="160" w:line="360"/>
        <w:jc w:val="both"/>
      </w:pPr>
      <w:r>
        <w:rPr>
          <w:b/>
          <w:bCs/>
        </w:rPr>
        <w:t xml:space="preserve">Section 32.</w:t>
      </w:r>
      <w:r>
        <w:t xml:space="preserve"> The Minister may extend a bargaining council agreement to non-parties within the council's registered scope, if the council requests this and the statutory requirements are met.</w:t>
      </w:r>
    </w:p>
    <w:p>
      <w:pPr>
        <w:spacing w:after="160" w:line="360"/>
        <w:jc w:val="both"/>
      </w:pPr>
      <w:r>
        <w:rPr>
          <w:b/>
          <w:bCs/>
        </w:rPr>
        <w:t xml:space="preserve">Sections 18, 25 and 26.</w:t>
      </w:r>
      <w:r>
        <w:t xml:space="preserve"> A majority union and employer may set thresholds of representativeness for organisational rights that bind other unions, and may conclude agency shop or closed shop agreements that affect non-members.</w:t>
      </w:r>
    </w:p>
    <w:p>
      <w:pPr>
        <w:spacing w:after="160" w:line="360"/>
        <w:jc w:val="both"/>
      </w:pPr>
      <w:r>
        <w:t xml:space="preserve">Applying this to BKR, the fact that it did not sign the agreement is not decisive. If the agreement was concluded by a majority union, identifies the employees who are now BKR members, and expressly binds them, those employees are bound under s 23(1)(d). BKR cannot avoid the agreement simply because it came into existence later. Its remedy would be to grow its membership or to seek renegotiation when the agreement expires.</w:t>
      </w:r>
    </w:p>
    <w:p>
      <w:pPr>
        <w:pStyle w:val="Heading2"/>
        <w:spacing w:after="120" w:before="200"/>
      </w:pPr>
      <w:r>
        <w:t xml:space="preserve">(ii) Definition of 'collective agreement'</w:t>
      </w:r>
    </w:p>
    <w:p>
      <w:pPr>
        <w:spacing w:after="160" w:line="360"/>
        <w:jc w:val="both"/>
      </w:pPr>
      <w:r>
        <w:t xml:space="preserve">Section 213 of the LRA defines a collective agreement as a written agreement about terms and conditions of employment or any other matter of mutual interest, concluded by one or more registered trade unions on one side and, on the other side, one or more employers, one or more registered employers' organisations, or a combination of the two.</w:t>
      </w:r>
    </w:p>
    <w:p>
      <w:pPr>
        <w:spacing w:after="160" w:line="360"/>
        <w:jc w:val="both"/>
      </w:pPr>
      <w:r>
        <w:t xml:space="preserve">Four requirements follow from this. The agreement must be in writing. It must deal with terms and conditions of employment or a matter of mutual interest. A registered trade union must be a party, so an agreement with an unregistered union or with an informal workers' committee does not qualify. Finally, the other party must be an employer or a registered employers' organisation.</w:t>
      </w:r>
    </w:p>
    <w:p>
      <w:pPr>
        <w:pStyle w:val="Title"/>
        <w:spacing w:before="400"/>
        <w:jc w:val="center"/>
      </w:pPr>
      <w:r>
        <w:t xml:space="preserve">Question 4</w:t>
      </w:r>
    </w:p>
    <w:p>
      <w:pPr>
        <w:pStyle w:val="Heading1"/>
        <w:spacing w:after="160" w:before="240"/>
      </w:pPr>
      <w:r>
        <w:t xml:space="preserve">4.1 Strikes and pickets distinguished</w:t>
      </w:r>
    </w:p>
    <w:p>
      <w:pPr>
        <w:spacing w:after="160" w:line="360"/>
        <w:jc w:val="both"/>
      </w:pPr>
      <w:r>
        <w:rPr>
          <w:b/>
          <w:bCs/>
        </w:rPr>
        <w:t xml:space="preserve">A strike</w:t>
      </w:r>
      <w:r>
        <w:t xml:space="preserve"> is defined in s 213 of the LRA as a partial or complete concerted refusal to work, or the retardation or obstruction of work, by persons who are or have been employed by the same or different employers, in order to remedy a grievance or resolve a dispute about a matter of mutual interest between employer and employee. In essence, workers withhold their labour as a means of pressure.</w:t>
      </w:r>
    </w:p>
    <w:p>
      <w:pPr>
        <w:spacing w:after="160" w:line="360"/>
        <w:jc w:val="both"/>
      </w:pPr>
      <w:r>
        <w:t xml:space="preserve">For a strike to be protected, s 64(1) requires that the dispute first be referred to the CCMA or a bargaining council for conciliation. A certificate of non-resolution must be issued, or 30 days must pass from the referral. The employer must then receive at least 48 hours' written notice of the start of the strike, or seven days' notice where the employer is the state. The strike must also not fall under the limits in s 65, for example where a collective agreement prohibits it or where the issue must go to arbitration. Since the 2018 amendments, a picketing rule must be in place before the CCMA issues a certificate (s 64(1)(a)).</w:t>
      </w:r>
    </w:p>
    <w:p>
      <w:pPr>
        <w:spacing w:after="160" w:line="360"/>
        <w:jc w:val="both"/>
      </w:pPr>
      <w:r>
        <w:rPr>
          <w:b/>
          <w:bCs/>
        </w:rPr>
        <w:t xml:space="preserve">A picket</w:t>
      </w:r>
      <w:r>
        <w:t xml:space="preserve">, on the other hand, is not a withholding of work but a peaceful demonstration. Under s 69 a registered trade union may authorise its members and supporters to picket in support of a protected strike or in opposition to a lock-out. The picket must be held in a public place outside the employer's premises, or inside them with the employer's permission. It must follow the picketing rules agreed by the parties or set by the CCMA, guided by the Code of Good Practice: Collective Bargaining, Industrial Action and Picketing (2018).</w:t>
      </w:r>
    </w:p>
    <w:p>
      <w:pPr>
        <w:spacing w:after="160" w:line="360"/>
        <w:jc w:val="both"/>
      </w:pPr>
      <w:r>
        <w:t xml:space="preserve">The main differences are therefore these. A strike concerns the withdrawal of labour, while a picket concerns persuasion and protest. Only employees can strike, but supporters who are not employees may join a picket. A picket depends on there being a protected strike or a lock-out, and it must be authorised by a registered union. A union that authorises a gathering may be held liable for riot damage if it fails to take reasonable steps to prevent it (</w:t>
      </w:r>
      <w:r>
        <w:rPr>
          <w:i/>
          <w:iCs/>
        </w:rPr>
        <w:t xml:space="preserve">SATAWU v Garvas</w:t>
      </w:r>
      <w:r>
        <w:t xml:space="preserve"> 2013 (1) SA 83 (CC)).</w:t>
      </w:r>
    </w:p>
    <w:p>
      <w:pPr>
        <w:pStyle w:val="Heading1"/>
        <w:spacing w:after="160" w:before="240"/>
      </w:pPr>
      <w:r>
        <w:t xml:space="preserve">4.2 Freedom of association in essential and maintenance services</w:t>
      </w:r>
    </w:p>
    <w:p>
      <w:pPr>
        <w:spacing w:after="160" w:line="360"/>
        <w:jc w:val="both"/>
      </w:pPr>
      <w:r>
        <w:t xml:space="preserve">Section 18 of the Constitution guarantees freedom of association, and s 23(2) gives every worker the right to form and join a trade union, to take part in its activities and to strike. Sections 4 and 5 of the LRA give effect to these rights. Employees in essential and maintenance services keep their freedom of association in full. They may join unions, elect shop stewards and bargain collectively. What the law limits is their right to strike (s 65(1)(d)).</w:t>
      </w:r>
    </w:p>
    <w:p>
      <w:pPr>
        <w:spacing w:after="160" w:line="360"/>
        <w:jc w:val="both"/>
      </w:pPr>
      <w:r>
        <w:t xml:space="preserve">An </w:t>
      </w:r>
      <w:r>
        <w:rPr>
          <w:b/>
          <w:bCs/>
        </w:rPr>
        <w:t xml:space="preserve">essential service</w:t>
      </w:r>
      <w:r>
        <w:t xml:space="preserve"> is a service whose interruption endangers the life, personal safety or health of the whole or part of the population, together with the Parliamentary service and the South African Police Service (s 213). The Essential Services Committee designates which services qualify (s 71). A </w:t>
      </w:r>
      <w:r>
        <w:rPr>
          <w:b/>
          <w:bCs/>
        </w:rPr>
        <w:t xml:space="preserve">maintenance service</w:t>
      </w:r>
      <w:r>
        <w:t xml:space="preserve"> is one whose interruption would cause the material physical destruction of any working area, plant or machinery (s 75). In place of a strike, unresolved disputes in these services go to compulsory arbitration (s 74), and parties may agree on minimum services so that part of the workforce may still strike (s 72).</w:t>
      </w:r>
    </w:p>
    <w:p>
      <w:pPr>
        <w:spacing w:after="160" w:line="360"/>
        <w:jc w:val="both"/>
      </w:pPr>
      <w:r>
        <w:t xml:space="preserve">The courts interpret these limits narrowly. In </w:t>
      </w:r>
      <w:r>
        <w:rPr>
          <w:i/>
          <w:iCs/>
        </w:rPr>
        <w:t xml:space="preserve">South African Police Service v Police and Prisons Civil Rights Union</w:t>
      </w:r>
      <w:r>
        <w:t xml:space="preserve"> 2011 (6) SA 1 (CC), the court held that only SAPS members who actually perform police functions are in an essential service. Support staff such as cleaners and administrative workers kept their right to strike. In </w:t>
      </w:r>
      <w:r>
        <w:rPr>
          <w:i/>
          <w:iCs/>
        </w:rPr>
        <w:t xml:space="preserve">South African National Defence Union v Minister of Defence</w:t>
      </w:r>
      <w:r>
        <w:t xml:space="preserve"> 1999 (4) SA 469 (CC), a ban on soldiers joining trade unions was struck down, which shows that even in highly sensitive services freedom of association itself remains protected.</w:t>
      </w:r>
    </w:p>
    <w:p>
      <w:pPr>
        <w:spacing w:after="160" w:line="360"/>
        <w:jc w:val="both"/>
      </w:pPr>
      <w:r>
        <w:t xml:space="preserve">The reason for these limits is to balance workers' rights against the public interest. A strike by nurses, firefighters or water plant operators could cost lives or cause irreversible damage. The limitation is justified under s 36 of the Constitution because it is narrowly tailored and is backed by compulsory arbitration, which gives these workers a fair alternative way to resolve disputes.</w:t>
      </w:r>
    </w:p>
    <w:p>
      <w:pPr>
        <w:pStyle w:val="Heading1"/>
        <w:spacing w:after="160" w:before="240"/>
      </w:pPr>
      <w:r>
        <w:t xml:space="preserve">References</w:t>
      </w:r>
    </w:p>
    <w:p>
      <w:pPr>
        <w:pStyle w:val="Heading2"/>
        <w:spacing w:after="120" w:before="200"/>
      </w:pPr>
      <w:r>
        <w:t xml:space="preserve">Legislation</w:t>
      </w:r>
    </w:p>
    <w:p>
      <w:pPr>
        <w:spacing w:after="120"/>
        <w:ind w:left="720" w:hanging="720"/>
      </w:pPr>
      <w:r>
        <w:t xml:space="preserve">Constitution of the Republic of South Africa, 1996.</w:t>
      </w:r>
    </w:p>
    <w:p>
      <w:pPr>
        <w:spacing w:after="120"/>
        <w:ind w:left="720" w:hanging="720"/>
      </w:pPr>
      <w:r>
        <w:t xml:space="preserve">Labour Relations Act 66 of 1995.</w:t>
      </w:r>
    </w:p>
    <w:p>
      <w:pPr>
        <w:spacing w:after="120"/>
        <w:ind w:left="720" w:hanging="720"/>
      </w:pPr>
      <w:r>
        <w:t xml:space="preserve">Labour Relations Amendment Act 8 of 2018.</w:t>
      </w:r>
    </w:p>
    <w:p>
      <w:pPr>
        <w:spacing w:after="120"/>
        <w:ind w:left="720" w:hanging="720"/>
      </w:pPr>
      <w:r>
        <w:t xml:space="preserve">Code of Good Practice: Collective Bargaining, Industrial Action and Picketing, GN R1396 in GG 42121 of 19 December 2018.</w:t>
      </w:r>
    </w:p>
    <w:p>
      <w:pPr>
        <w:pStyle w:val="Heading2"/>
        <w:spacing w:after="120" w:before="200"/>
      </w:pPr>
      <w:r>
        <w:t xml:space="preserve">Case law</w:t>
      </w:r>
    </w:p>
    <w:p>
      <w:pPr>
        <w:spacing w:after="120"/>
        <w:ind w:left="720" w:hanging="720"/>
      </w:pPr>
      <w:r>
        <w:rPr>
          <w:i/>
          <w:iCs/>
        </w:rPr>
        <w:t xml:space="preserve">AMCU v Chamber of Mines of South Africa</w:t>
      </w:r>
      <w:r>
        <w:t xml:space="preserve"> 2017 (3) SA 242 (CC).</w:t>
      </w:r>
    </w:p>
    <w:p>
      <w:pPr>
        <w:spacing w:after="120"/>
        <w:ind w:left="720" w:hanging="720"/>
      </w:pPr>
      <w:r>
        <w:rPr>
          <w:i/>
          <w:iCs/>
        </w:rPr>
        <w:t xml:space="preserve">AMCU v Royal Bafokeng Platinum Ltd</w:t>
      </w:r>
      <w:r>
        <w:t xml:space="preserve"> 2020 (3) SA 1 (CC).</w:t>
      </w:r>
    </w:p>
    <w:p>
      <w:pPr>
        <w:spacing w:after="120"/>
        <w:ind w:left="720" w:hanging="720"/>
      </w:pPr>
      <w:r>
        <w:rPr>
          <w:i/>
          <w:iCs/>
        </w:rPr>
        <w:t xml:space="preserve">NUMSA v Bader Bop (Pty) Ltd</w:t>
      </w:r>
      <w:r>
        <w:t xml:space="preserve"> 2003 (3) SA 513 (CC).</w:t>
      </w:r>
    </w:p>
    <w:p>
      <w:pPr>
        <w:spacing w:after="120"/>
        <w:ind w:left="720" w:hanging="720"/>
      </w:pPr>
      <w:r>
        <w:rPr>
          <w:i/>
          <w:iCs/>
        </w:rPr>
        <w:t xml:space="preserve">SATAWU v Garvas</w:t>
      </w:r>
      <w:r>
        <w:t xml:space="preserve"> 2013 (1) SA 83 (CC).</w:t>
      </w:r>
    </w:p>
    <w:p>
      <w:pPr>
        <w:spacing w:after="120"/>
        <w:ind w:left="720" w:hanging="720"/>
      </w:pPr>
      <w:r>
        <w:rPr>
          <w:i/>
          <w:iCs/>
        </w:rPr>
        <w:t xml:space="preserve">South African National Defence Union v Minister of Defence</w:t>
      </w:r>
      <w:r>
        <w:t xml:space="preserve"> 1999 (4) SA 469 (CC).</w:t>
      </w:r>
    </w:p>
    <w:p>
      <w:pPr>
        <w:spacing w:after="120"/>
        <w:ind w:left="720" w:hanging="720"/>
      </w:pPr>
      <w:r>
        <w:rPr>
          <w:i/>
          <w:iCs/>
        </w:rPr>
        <w:t xml:space="preserve">South African Police Service v Police and Prisons Civil Rights Union</w:t>
      </w:r>
      <w:r>
        <w:t xml:space="preserve"> 2011 (6) SA 1 (CC).</w:t>
      </w:r>
    </w:p>
    <w:p>
      <w:pPr>
        <w:pStyle w:val="Heading2"/>
        <w:spacing w:after="120" w:before="200"/>
      </w:pPr>
      <w:r>
        <w:t xml:space="preserve">Textbooks</w:t>
      </w:r>
    </w:p>
    <w:p>
      <w:pPr>
        <w:spacing w:after="120"/>
        <w:ind w:left="720" w:hanging="720"/>
      </w:pPr>
      <w:r>
        <w:t xml:space="preserve">Grogan, J. (2023). </w:t>
      </w:r>
      <w:r>
        <w:rPr>
          <w:i/>
          <w:iCs/>
        </w:rPr>
        <w:t xml:space="preserve">Collective Labour Law</w:t>
      </w:r>
      <w:r>
        <w:t xml:space="preserve"> (4th ed.). Juta.</w:t>
      </w:r>
    </w:p>
    <w:p>
      <w:pPr>
        <w:spacing w:after="120"/>
        <w:ind w:left="720" w:hanging="720"/>
      </w:pPr>
      <w:r>
        <w:t xml:space="preserve">Van Niekerk, A., Smit, N., Christianson, M., McGregor, M., &amp; Van Eck, S. (2021). </w:t>
      </w:r>
      <w:r>
        <w:rPr>
          <w:i/>
          <w:iCs/>
        </w:rPr>
        <w:t xml:space="preserve">Law@Work</w:t>
      </w:r>
      <w:r>
        <w:t xml:space="preserve"> (5th ed.). LexisNexis.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Title">
    <w:name w:val="Title"/>
    <w:basedOn w:val="Normal"/>
    <w:next w:val="Normal"/>
    <w:rPr>
      <w:rFonts w:ascii="Times New Roman" w:cs="Times New Roman" w:eastAsia="Times New Roman" w:hAnsi="Times New Roman"/>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2026-10-16T07:39:02.616Z</dcterms:created>
  <dcterms:modified xsi:type="dcterms:W3CDTF">2026-10-16T07:39:02.624Z</dcterms:modified>
</cp:coreProperties>
</file>

<file path=docProps/custom.xml><?xml version="1.0" encoding="utf-8"?>
<Properties xmlns="http://schemas.openxmlformats.org/officeDocument/2006/custom-properties" xmlns:vt="http://schemas.openxmlformats.org/officeDocument/2006/docPropsVTypes"/>
</file>