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F560" w14:textId="77777777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Hospital Readmission Analysis and Interactive Dashboard</w:t>
      </w:r>
    </w:p>
    <w:p w14:paraId="65F615DA" w14:textId="14F4D4C0" w:rsidR="00D83D3F" w:rsidRPr="00D83D3F" w:rsidRDefault="00D83D3F" w:rsidP="00D83D3F">
      <w:r w:rsidRPr="00D83D3F">
        <w:rPr>
          <w:b/>
          <w:bCs/>
        </w:rPr>
        <w:t>Name</w:t>
      </w:r>
      <w:r w:rsidRPr="00D83D3F">
        <w:t xml:space="preserve">: </w:t>
      </w:r>
      <w:r>
        <w:t>Johnson Millil</w:t>
      </w:r>
      <w:r w:rsidRPr="00D83D3F">
        <w:br/>
      </w:r>
      <w:r w:rsidRPr="00D83D3F">
        <w:rPr>
          <w:b/>
          <w:bCs/>
        </w:rPr>
        <w:t>Date</w:t>
      </w:r>
      <w:r w:rsidRPr="00D83D3F">
        <w:t>: April 02, 2025</w:t>
      </w:r>
      <w:r w:rsidRPr="00D83D3F">
        <w:br/>
      </w:r>
      <w:r w:rsidRPr="00D83D3F">
        <w:rPr>
          <w:b/>
          <w:bCs/>
        </w:rPr>
        <w:t>Course</w:t>
      </w:r>
      <w:r w:rsidRPr="00D83D3F">
        <w:t xml:space="preserve">: </w:t>
      </w:r>
      <w:r>
        <w:t>D601 Data Storytelling for Varied Audiences</w:t>
      </w:r>
    </w:p>
    <w:p w14:paraId="2CB12BF5" w14:textId="77777777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Part 1A: Interactive Data Dashboard</w:t>
      </w:r>
    </w:p>
    <w:p w14:paraId="23F00EBA" w14:textId="2BDB7787" w:rsidR="00D83D3F" w:rsidRPr="00D83D3F" w:rsidRDefault="00D83D3F" w:rsidP="00D83D3F">
      <w:r w:rsidRPr="00D83D3F">
        <w:t>I developed an interactive Tableau dashboard to analyze hospital readmissions using the medical_clean.csv dataset, which contains 10,000 patient records</w:t>
      </w:r>
      <w:r w:rsidR="008F0F52">
        <w:t xml:space="preserve"> (</w:t>
      </w:r>
      <w:proofErr w:type="spellStart"/>
      <w:r w:rsidR="008F0F52">
        <w:t>xAI</w:t>
      </w:r>
      <w:proofErr w:type="spellEnd"/>
      <w:r w:rsidR="008F0F52">
        <w:t>, 2025)</w:t>
      </w:r>
      <w:r w:rsidRPr="00D83D3F">
        <w:t>. The dashboard is designed with a colorblind-friendly palette (</w:t>
      </w:r>
      <w:proofErr w:type="gramStart"/>
      <w:r w:rsidRPr="00D83D3F">
        <w:t>blue-orange</w:t>
      </w:r>
      <w:proofErr w:type="gramEnd"/>
      <w:r w:rsidRPr="00D83D3F">
        <w:t>) to ensure accessibility for all users, including those with color vision deficiencies</w:t>
      </w:r>
      <w:r w:rsidR="008F0F52">
        <w:t xml:space="preserve"> (Tableau, n.d.)</w:t>
      </w:r>
      <w:r w:rsidRPr="00D83D3F">
        <w:t>.</w:t>
      </w:r>
    </w:p>
    <w:p w14:paraId="4B71BC4D" w14:textId="77777777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Data Representations</w:t>
      </w:r>
    </w:p>
    <w:p w14:paraId="6551C1CB" w14:textId="77777777" w:rsidR="00D83D3F" w:rsidRPr="00D83D3F" w:rsidRDefault="00D83D3F" w:rsidP="00D83D3F">
      <w:pPr>
        <w:numPr>
          <w:ilvl w:val="0"/>
          <w:numId w:val="1"/>
        </w:numPr>
      </w:pPr>
      <w:r w:rsidRPr="00D83D3F">
        <w:rPr>
          <w:b/>
          <w:bCs/>
        </w:rPr>
        <w:t>Bar Chart</w:t>
      </w:r>
      <w:r w:rsidRPr="00D83D3F">
        <w:t>: Displays readmission rates by age group (&lt;30: 34.6%, 30–49: 37.2%, 50–69: 36.2%, 70+: 37.8%), showing that older patients (70+) have the highest readmission rate.</w:t>
      </w:r>
    </w:p>
    <w:p w14:paraId="0C847133" w14:textId="77777777" w:rsidR="00D83D3F" w:rsidRPr="00D83D3F" w:rsidRDefault="00D83D3F" w:rsidP="00D83D3F">
      <w:pPr>
        <w:numPr>
          <w:ilvl w:val="0"/>
          <w:numId w:val="1"/>
        </w:numPr>
      </w:pPr>
      <w:r w:rsidRPr="00D83D3F">
        <w:rPr>
          <w:b/>
          <w:bCs/>
        </w:rPr>
        <w:t>Map</w:t>
      </w:r>
      <w:r w:rsidRPr="00D83D3F">
        <w:t>: Visualizes readmission rates by state, highlighting top states like TX (223 readmissions) and CA (210) for regional analysis.</w:t>
      </w:r>
    </w:p>
    <w:p w14:paraId="4FF76CF2" w14:textId="77777777" w:rsidR="00D83D3F" w:rsidRPr="00D83D3F" w:rsidRDefault="00D83D3F" w:rsidP="00D83D3F">
      <w:pPr>
        <w:numPr>
          <w:ilvl w:val="0"/>
          <w:numId w:val="1"/>
        </w:numPr>
      </w:pPr>
      <w:r w:rsidRPr="00D83D3F">
        <w:rPr>
          <w:b/>
          <w:bCs/>
        </w:rPr>
        <w:t>Scatter Plot</w:t>
      </w:r>
      <w:r w:rsidRPr="00D83D3F">
        <w:t xml:space="preserve">: Plots average </w:t>
      </w:r>
      <w:proofErr w:type="spellStart"/>
      <w:r w:rsidRPr="00D83D3F">
        <w:t>Initial_days</w:t>
      </w:r>
      <w:proofErr w:type="spellEnd"/>
      <w:r w:rsidRPr="00D83D3F">
        <w:t xml:space="preserve"> against </w:t>
      </w:r>
      <w:proofErr w:type="spellStart"/>
      <w:r w:rsidRPr="00D83D3F">
        <w:t>TotalCharge</w:t>
      </w:r>
      <w:proofErr w:type="spellEnd"/>
      <w:r w:rsidRPr="00D83D3F">
        <w:t xml:space="preserve">, colored by </w:t>
      </w:r>
      <w:proofErr w:type="spellStart"/>
      <w:r w:rsidRPr="00D83D3F">
        <w:t>ReAdmis</w:t>
      </w:r>
      <w:proofErr w:type="spellEnd"/>
      <w:r w:rsidRPr="00D83D3F">
        <w:t>, revealing that readmitted patients have longer stays (63.86 days) and higher charges (around 5K–10K) compared to non-readmitted patients (17.41 days, 0K–5K).</w:t>
      </w:r>
    </w:p>
    <w:p w14:paraId="621B5B53" w14:textId="77777777" w:rsidR="00D83D3F" w:rsidRPr="00D83D3F" w:rsidRDefault="00D83D3F" w:rsidP="00D83D3F">
      <w:pPr>
        <w:numPr>
          <w:ilvl w:val="0"/>
          <w:numId w:val="1"/>
        </w:numPr>
      </w:pPr>
      <w:r w:rsidRPr="00D83D3F">
        <w:rPr>
          <w:b/>
          <w:bCs/>
        </w:rPr>
        <w:t>Table</w:t>
      </w:r>
      <w:r w:rsidRPr="00D83D3F">
        <w:t>: Lists risk factors (</w:t>
      </w:r>
      <w:proofErr w:type="spellStart"/>
      <w:r w:rsidRPr="00D83D3F">
        <w:t>HighBlood</w:t>
      </w:r>
      <w:proofErr w:type="spellEnd"/>
      <w:r w:rsidRPr="00D83D3F">
        <w:t>: 36.8%, Overweight: 36.4%, Long Stay &gt;50 days: 88.1%), showing their readmission rates and patient counts.</w:t>
      </w:r>
    </w:p>
    <w:p w14:paraId="4E8B7012" w14:textId="77777777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Interactive Controls</w:t>
      </w:r>
    </w:p>
    <w:p w14:paraId="5657321D" w14:textId="77777777" w:rsidR="00D83D3F" w:rsidRPr="00D83D3F" w:rsidRDefault="00D83D3F" w:rsidP="00D83D3F">
      <w:pPr>
        <w:numPr>
          <w:ilvl w:val="0"/>
          <w:numId w:val="2"/>
        </w:numPr>
      </w:pPr>
      <w:r w:rsidRPr="00D83D3F">
        <w:rPr>
          <w:b/>
          <w:bCs/>
        </w:rPr>
        <w:t>Filters</w:t>
      </w:r>
      <w:r w:rsidRPr="00D83D3F">
        <w:t>: Dropdowns for State and Age Group allow users to focus on specific regions or demographics.</w:t>
      </w:r>
    </w:p>
    <w:p w14:paraId="6A2A58A0" w14:textId="77777777" w:rsidR="00D83D3F" w:rsidRPr="00D83D3F" w:rsidRDefault="00D83D3F" w:rsidP="00D83D3F">
      <w:pPr>
        <w:numPr>
          <w:ilvl w:val="0"/>
          <w:numId w:val="2"/>
        </w:numPr>
      </w:pPr>
      <w:r w:rsidRPr="00D83D3F">
        <w:rPr>
          <w:b/>
          <w:bCs/>
        </w:rPr>
        <w:t>Map Action</w:t>
      </w:r>
      <w:r w:rsidRPr="00D83D3F">
        <w:t>: Clicking a state on the map filters all visuals to that state’s data, enabling regional analysis.</w:t>
      </w:r>
    </w:p>
    <w:p w14:paraId="7596E703" w14:textId="77777777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Key Performance Indicators (KPIs)</w:t>
      </w:r>
    </w:p>
    <w:p w14:paraId="392945B7" w14:textId="77777777" w:rsidR="00D83D3F" w:rsidRPr="00D83D3F" w:rsidRDefault="00D83D3F" w:rsidP="00D83D3F">
      <w:pPr>
        <w:numPr>
          <w:ilvl w:val="0"/>
          <w:numId w:val="3"/>
        </w:numPr>
      </w:pPr>
      <w:r w:rsidRPr="00D83D3F">
        <w:rPr>
          <w:b/>
          <w:bCs/>
        </w:rPr>
        <w:t>Readmission Rate</w:t>
      </w:r>
      <w:r w:rsidRPr="00D83D3F">
        <w:t>: 36.7%, indicating a significant portion of patients return.</w:t>
      </w:r>
    </w:p>
    <w:p w14:paraId="7F645F68" w14:textId="77777777" w:rsidR="00D83D3F" w:rsidRPr="00D83D3F" w:rsidRDefault="00D83D3F" w:rsidP="00D83D3F">
      <w:pPr>
        <w:numPr>
          <w:ilvl w:val="0"/>
          <w:numId w:val="3"/>
        </w:numPr>
      </w:pPr>
      <w:r w:rsidRPr="00D83D3F">
        <w:rPr>
          <w:b/>
          <w:bCs/>
        </w:rPr>
        <w:t>Average Initial Days</w:t>
      </w:r>
      <w:r w:rsidRPr="00D83D3F">
        <w:t>: 34.5 days, providing context for hospital stay duration.</w:t>
      </w:r>
    </w:p>
    <w:p w14:paraId="0516C680" w14:textId="77777777" w:rsidR="00D83D3F" w:rsidRDefault="00D83D3F">
      <w:pPr>
        <w:rPr>
          <w:b/>
          <w:bCs/>
        </w:rPr>
      </w:pPr>
      <w:r>
        <w:rPr>
          <w:b/>
          <w:bCs/>
        </w:rPr>
        <w:br w:type="page"/>
      </w:r>
    </w:p>
    <w:p w14:paraId="48AD287E" w14:textId="0F9292CF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lastRenderedPageBreak/>
        <w:t>PA Questions</w:t>
      </w:r>
    </w:p>
    <w:p w14:paraId="35F75299" w14:textId="77777777" w:rsidR="00D83D3F" w:rsidRPr="00D83D3F" w:rsidRDefault="00D83D3F" w:rsidP="00D83D3F">
      <w:pPr>
        <w:numPr>
          <w:ilvl w:val="0"/>
          <w:numId w:val="4"/>
        </w:numPr>
      </w:pPr>
      <w:r w:rsidRPr="00D83D3F">
        <w:rPr>
          <w:b/>
          <w:bCs/>
        </w:rPr>
        <w:t>What trends are in the data?</w:t>
      </w:r>
      <w:r w:rsidRPr="00D83D3F">
        <w:t xml:space="preserve"> The overall readmission rate is 36.7%, with older patients (70+: 37.8%) and those aged 30–49 (37.2%) at higher risk. Initial hospital stays are a strong predictor: readmitted patients average 63.86 days, compared to 17.41 days for non-readmitted. </w:t>
      </w:r>
      <w:proofErr w:type="spellStart"/>
      <w:r w:rsidRPr="00D83D3F">
        <w:t>HighBlood</w:t>
      </w:r>
      <w:proofErr w:type="spellEnd"/>
      <w:r w:rsidRPr="00D83D3F">
        <w:t xml:space="preserve"> (36.8%) and Overweight (36.4%) show similar readmission rates to their counterparts (36.6% and 37.3%), suggesting limited impact as standalone risk factors. However, patients with long stays (&gt;50 days) have a much higher readmission rate (88.1%). Top states for readmissions include TX (223) and CA (210), indicating regional variation.</w:t>
      </w:r>
    </w:p>
    <w:p w14:paraId="6C2895D7" w14:textId="77777777" w:rsidR="00D83D3F" w:rsidRPr="00D83D3F" w:rsidRDefault="00D83D3F" w:rsidP="00D83D3F">
      <w:pPr>
        <w:numPr>
          <w:ilvl w:val="0"/>
          <w:numId w:val="4"/>
        </w:numPr>
      </w:pPr>
      <w:r w:rsidRPr="00D83D3F">
        <w:rPr>
          <w:b/>
          <w:bCs/>
        </w:rPr>
        <w:t>How does the dashboard support decision-making?</w:t>
      </w:r>
      <w:r w:rsidRPr="00D83D3F">
        <w:t xml:space="preserve"> The SVP can identify high-readmission states (e.g., TX, CA) for resource allocation. The VP of Research can analyze long stays (63.86 days for readmitted, 88.1% readmission rate for &gt;50 days) as a key risk factor for further study. Regional VPs can use the map and filters to focus on their areas, while peers can explore risk factors like </w:t>
      </w:r>
      <w:proofErr w:type="spellStart"/>
      <w:r w:rsidRPr="00D83D3F">
        <w:t>HighBlood</w:t>
      </w:r>
      <w:proofErr w:type="spellEnd"/>
      <w:r w:rsidRPr="00D83D3F">
        <w:t>, Overweight, and Long Stay to develop targeted interventions.</w:t>
      </w:r>
    </w:p>
    <w:p w14:paraId="6C094646" w14:textId="4869BB04" w:rsidR="00D83D3F" w:rsidRPr="00D83D3F" w:rsidRDefault="00D83D3F" w:rsidP="00D83D3F">
      <w:pPr>
        <w:rPr>
          <w:b/>
          <w:bCs/>
        </w:rPr>
      </w:pPr>
      <w:r w:rsidRPr="00D83D3F">
        <w:rPr>
          <w:b/>
          <w:bCs/>
        </w:rPr>
        <w:t>Instructions</w:t>
      </w:r>
    </w:p>
    <w:p w14:paraId="3AD9DE4C" w14:textId="77777777" w:rsidR="00D83D3F" w:rsidRPr="00D83D3F" w:rsidRDefault="00D83D3F" w:rsidP="00D83D3F">
      <w:r w:rsidRPr="00D83D3F">
        <w:t>To access and use the Hospital Readmission Dashboard:</w:t>
      </w:r>
    </w:p>
    <w:p w14:paraId="5331CE9E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>Install Tableau Public from tableau.com.</w:t>
      </w:r>
    </w:p>
    <w:p w14:paraId="38D06867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 xml:space="preserve">Download </w:t>
      </w:r>
      <w:proofErr w:type="spellStart"/>
      <w:r w:rsidRPr="00D83D3F">
        <w:t>YourName_ReadmissionDashboard.twbx</w:t>
      </w:r>
      <w:proofErr w:type="spellEnd"/>
      <w:r w:rsidRPr="00D83D3F">
        <w:t xml:space="preserve"> and open it in Tableau Public.</w:t>
      </w:r>
    </w:p>
    <w:p w14:paraId="2E420B90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>The dashboard will display KPIs, charts, and a map in a 1200x800 layout.</w:t>
      </w:r>
    </w:p>
    <w:p w14:paraId="36C26C7A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>Use the State and Age Group dropdown filters on the top-right to refine data (e.g., select TX or &lt;30).</w:t>
      </w:r>
    </w:p>
    <w:p w14:paraId="5BC86401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>Click a state on the map to filter all visuals to that state’s data; reset by selecting “All” in the State filter.</w:t>
      </w:r>
    </w:p>
    <w:p w14:paraId="31B1527B" w14:textId="77777777" w:rsidR="00D83D3F" w:rsidRPr="00D83D3F" w:rsidRDefault="00D83D3F" w:rsidP="00D83D3F">
      <w:pPr>
        <w:numPr>
          <w:ilvl w:val="0"/>
          <w:numId w:val="5"/>
        </w:numPr>
      </w:pPr>
      <w:r w:rsidRPr="00D83D3F">
        <w:t>Hover over visuals for tooltips with detailed metrics (e.g., readmission rates, patient counts).</w:t>
      </w:r>
    </w:p>
    <w:p w14:paraId="70812B51" w14:textId="77777777" w:rsidR="00D83D3F" w:rsidRDefault="00D83D3F" w:rsidP="00D83D3F">
      <w:pPr>
        <w:rPr>
          <w:b/>
          <w:bCs/>
        </w:rPr>
      </w:pPr>
    </w:p>
    <w:p w14:paraId="270DCF9C" w14:textId="4DE61F95" w:rsidR="00D83D3F" w:rsidRDefault="00D83D3F" w:rsidP="00D83D3F">
      <w:pPr>
        <w:rPr>
          <w:b/>
          <w:bCs/>
        </w:rPr>
      </w:pPr>
    </w:p>
    <w:p w14:paraId="209959EA" w14:textId="77777777" w:rsidR="00D83D3F" w:rsidRDefault="00D83D3F">
      <w:pPr>
        <w:rPr>
          <w:b/>
          <w:bCs/>
        </w:rPr>
      </w:pPr>
      <w:r>
        <w:rPr>
          <w:b/>
          <w:bCs/>
        </w:rPr>
        <w:br w:type="page"/>
      </w:r>
    </w:p>
    <w:p w14:paraId="7AB60389" w14:textId="75490DD5" w:rsidR="00D83D3F" w:rsidRPr="00D83D3F" w:rsidRDefault="00D83D3F" w:rsidP="00D83D3F">
      <w:pPr>
        <w:jc w:val="center"/>
        <w:rPr>
          <w:b/>
          <w:bCs/>
        </w:rPr>
      </w:pPr>
      <w:r>
        <w:rPr>
          <w:b/>
          <w:bCs/>
        </w:rPr>
        <w:lastRenderedPageBreak/>
        <w:t>Res</w:t>
      </w:r>
      <w:r w:rsidRPr="00D83D3F">
        <w:rPr>
          <w:b/>
          <w:bCs/>
        </w:rPr>
        <w:t>ources</w:t>
      </w:r>
    </w:p>
    <w:p w14:paraId="33B28A38" w14:textId="77777777" w:rsidR="00D83D3F" w:rsidRPr="00D83D3F" w:rsidRDefault="00D83D3F" w:rsidP="00D83D3F">
      <w:pPr>
        <w:numPr>
          <w:ilvl w:val="0"/>
          <w:numId w:val="6"/>
        </w:numPr>
      </w:pPr>
      <w:proofErr w:type="spellStart"/>
      <w:r w:rsidRPr="00D83D3F">
        <w:t>xAI</w:t>
      </w:r>
      <w:proofErr w:type="spellEnd"/>
      <w:r w:rsidRPr="00D83D3F">
        <w:t xml:space="preserve">. (2025). </w:t>
      </w:r>
      <w:r w:rsidRPr="00D83D3F">
        <w:rPr>
          <w:i/>
          <w:iCs/>
        </w:rPr>
        <w:t>Medical_clean.csv</w:t>
      </w:r>
      <w:r w:rsidRPr="00D83D3F">
        <w:t xml:space="preserve"> [Data file]. Provided for WGU course assessment.</w:t>
      </w:r>
    </w:p>
    <w:p w14:paraId="636D4C1A" w14:textId="5AFD7476" w:rsidR="00D83D3F" w:rsidRPr="00D83D3F" w:rsidRDefault="00D83D3F" w:rsidP="00D83D3F">
      <w:pPr>
        <w:numPr>
          <w:ilvl w:val="0"/>
          <w:numId w:val="6"/>
        </w:numPr>
      </w:pPr>
      <w:r w:rsidRPr="00D83D3F">
        <w:t xml:space="preserve">Tableau. (n.d.). </w:t>
      </w:r>
      <w:r w:rsidRPr="00D83D3F">
        <w:rPr>
          <w:i/>
          <w:iCs/>
        </w:rPr>
        <w:t>Colorblind-friendly palette</w:t>
      </w:r>
      <w:r w:rsidRPr="00D83D3F">
        <w:t>. Retrieved from https://www.tableau.com/about/blog/2016/4/how-make-your-data-visualizations-accessible-everyone-54847</w:t>
      </w:r>
    </w:p>
    <w:p w14:paraId="3F43C705" w14:textId="6D48947A" w:rsidR="008C0D8C" w:rsidRPr="00D83D3F" w:rsidRDefault="008C0D8C" w:rsidP="00D83D3F"/>
    <w:sectPr w:rsidR="008C0D8C" w:rsidRPr="00D8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EAB9" w14:textId="77777777" w:rsidR="00CE5F4D" w:rsidRDefault="00CE5F4D" w:rsidP="00D83D3F">
      <w:pPr>
        <w:spacing w:after="0" w:line="240" w:lineRule="auto"/>
      </w:pPr>
      <w:r>
        <w:separator/>
      </w:r>
    </w:p>
  </w:endnote>
  <w:endnote w:type="continuationSeparator" w:id="0">
    <w:p w14:paraId="70B8969F" w14:textId="77777777" w:rsidR="00CE5F4D" w:rsidRDefault="00CE5F4D" w:rsidP="00D8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40E8" w14:textId="77777777" w:rsidR="00CE5F4D" w:rsidRDefault="00CE5F4D" w:rsidP="00D83D3F">
      <w:pPr>
        <w:spacing w:after="0" w:line="240" w:lineRule="auto"/>
      </w:pPr>
      <w:r>
        <w:separator/>
      </w:r>
    </w:p>
  </w:footnote>
  <w:footnote w:type="continuationSeparator" w:id="0">
    <w:p w14:paraId="6DF0083D" w14:textId="77777777" w:rsidR="00CE5F4D" w:rsidRDefault="00CE5F4D" w:rsidP="00D8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A10"/>
    <w:multiLevelType w:val="multilevel"/>
    <w:tmpl w:val="FACE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A4941"/>
    <w:multiLevelType w:val="multilevel"/>
    <w:tmpl w:val="086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10A54"/>
    <w:multiLevelType w:val="multilevel"/>
    <w:tmpl w:val="E1F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330F0"/>
    <w:multiLevelType w:val="multilevel"/>
    <w:tmpl w:val="4F72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C5823"/>
    <w:multiLevelType w:val="multilevel"/>
    <w:tmpl w:val="EA5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11AEA"/>
    <w:multiLevelType w:val="multilevel"/>
    <w:tmpl w:val="6F68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BA"/>
    <w:rsid w:val="00012CD6"/>
    <w:rsid w:val="00096FCE"/>
    <w:rsid w:val="000E2709"/>
    <w:rsid w:val="001C6CBA"/>
    <w:rsid w:val="007B4E2B"/>
    <w:rsid w:val="008C0D8C"/>
    <w:rsid w:val="008F0F52"/>
    <w:rsid w:val="008F62E3"/>
    <w:rsid w:val="00A57DA9"/>
    <w:rsid w:val="00CE5F4D"/>
    <w:rsid w:val="00D8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E203"/>
  <w15:chartTrackingRefBased/>
  <w15:docId w15:val="{841114EE-2B7D-43DE-8F35-01831185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D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3F"/>
  </w:style>
  <w:style w:type="paragraph" w:styleId="Footer">
    <w:name w:val="footer"/>
    <w:basedOn w:val="Normal"/>
    <w:link w:val="FooterChar"/>
    <w:uiPriority w:val="99"/>
    <w:unhideWhenUsed/>
    <w:rsid w:val="00D83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Millil</dc:creator>
  <cp:keywords/>
  <dc:description/>
  <cp:lastModifiedBy>Johnson Millil</cp:lastModifiedBy>
  <cp:revision>2</cp:revision>
  <dcterms:created xsi:type="dcterms:W3CDTF">2025-04-02T22:41:00Z</dcterms:created>
  <dcterms:modified xsi:type="dcterms:W3CDTF">2025-04-05T16:16:00Z</dcterms:modified>
</cp:coreProperties>
</file>