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APSO Business Functionality and Value Guide</w:t>
      </w:r>
    </w:p>
    <w:p>
      <w:pPr>
        <w:jc w:val="center"/>
      </w:pPr>
      <w:r>
        <w:rPr>
          <w:i/>
          <w:color w:val="595959"/>
          <w:sz w:val="22"/>
        </w:rPr>
        <w:t>Stakeholder guide to the AI SDLC intelligence application</w:t>
      </w:r>
    </w:p>
    <w:p>
      <w:pPr>
        <w:jc w:val="center"/>
      </w:pPr>
      <w:r>
        <w:t>Audience: Business sponsors, delivery leaders, product owners, program managers, customer stakeholders</w:t>
      </w:r>
      <w:r>
        <w:br/>
        <w:t>Locked environments: dev and prod only</w:t>
      </w:r>
      <w:r>
        <w:br/>
        <w:t>MVP integration policy: Jira and Bitbucket read-only; AWS mocked until supplied</w:t>
      </w:r>
    </w:p>
    <w:p/>
    <w:tbl>
      <w:tblPr>
        <w:tblW w:type="auto" w:w="0"/>
        <w:jc w:val="center"/>
        <w:tblLook w:firstColumn="1" w:firstRow="1" w:lastColumn="0" w:lastRow="0" w:noHBand="0" w:noVBand="1" w:val="04A0"/>
      </w:tblPr>
      <w:tblGrid>
        <w:gridCol w:w="10368"/>
      </w:tblGrid>
      <w:tr>
        <w:tc>
          <w:tcPr>
            <w:tcW w:type="dxa" w:w="10368"/>
            <w:shd w:fill="EEF6E8"/>
          </w:tcPr>
          <w:p>
            <w:pPr>
              <w:spacing w:after="60"/>
            </w:pPr>
            <w:r>
              <w:rPr>
                <w:b/>
                <w:color w:val="255B2F"/>
                <w:sz w:val="20"/>
              </w:rPr>
              <w:t>Business Purpose</w:t>
            </w:r>
          </w:p>
          <w:p>
            <w:pPr>
              <w:spacing w:after="0"/>
            </w:pPr>
            <w:r>
              <w:rPr>
                <w:sz w:val="18"/>
              </w:rPr>
              <w:t>APSO is designed to prove how AI can improve SDLC productivity, quality, release confidence, and process efficiency using evidence from actual delivery systems.</w:t>
            </w:r>
          </w:p>
        </w:tc>
      </w:tr>
    </w:tbl>
    <w:p/>
    <w:p>
      <w:pPr>
        <w:pStyle w:val="Heading1"/>
      </w:pPr>
      <w:r>
        <w:t>1. Executive Summary</w:t>
      </w:r>
    </w:p>
    <w:p>
      <w:r>
        <w:t>APSO turns delivery data into actionable intelligence. Instead of showing only sprint metrics or static dashboards, APSO identifies requirement gaps, code risks, coverage gaps, and release readiness issues before they become rework, defects, or delivery delays.</w:t>
      </w:r>
    </w:p>
    <w:p>
      <w:pPr>
        <w:pStyle w:val="ListBullet"/>
      </w:pPr>
      <w:r>
        <w:t>For leadership: visibility into quality, productivity, release risk, and improvement evidence.</w:t>
      </w:r>
    </w:p>
    <w:p>
      <w:pPr>
        <w:pStyle w:val="ListBullet"/>
      </w:pPr>
      <w:r>
        <w:t>For product owners: better stories, clearer acceptance criteria, and fewer ambiguous requirements.</w:t>
      </w:r>
    </w:p>
    <w:p>
      <w:pPr>
        <w:pStyle w:val="ListBullet"/>
      </w:pPr>
      <w:r>
        <w:t>For engineering leads: earlier detection of code risk, test gaps, security issues, and review bottlenecks.</w:t>
      </w:r>
    </w:p>
    <w:p>
      <w:pPr>
        <w:pStyle w:val="ListBullet"/>
      </w:pPr>
      <w:r>
        <w:t>For customers: a stronger demo and product narrative showing measurable AI impact.</w:t>
      </w:r>
    </w:p>
    <w:p>
      <w:pPr>
        <w:pStyle w:val="Heading1"/>
      </w:pPr>
      <w:r>
        <w:t>2. Business Problem</w:t>
      </w:r>
    </w:p>
    <w:p>
      <w:r>
        <w:t>The original dashboard demo showed SDLC reporting, but stakeholders expected AI capabilities that actively improve delivery. APSO addresses that expectation by connecting requirements, code, tests, pipelines, and releases into one intelligence layer.</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pPr>
              <w:spacing w:after="0"/>
            </w:pPr>
            <w:r/>
            <w:r>
              <w:rPr>
                <w:b/>
                <w:sz w:val="17"/>
              </w:rPr>
              <w:t>Current Pain</w:t>
            </w:r>
          </w:p>
        </w:tc>
        <w:tc>
          <w:tcPr>
            <w:tcW w:type="dxa" w:w="3168"/>
            <w:shd w:fill="D9EAF7"/>
            <w:vAlign w:val="center"/>
          </w:tcPr>
          <w:p>
            <w:pPr>
              <w:spacing w:after="0"/>
            </w:pPr>
            <w:r/>
            <w:r>
              <w:rPr>
                <w:b/>
                <w:sz w:val="17"/>
              </w:rPr>
              <w:t>Business Impact</w:t>
            </w:r>
          </w:p>
        </w:tc>
        <w:tc>
          <w:tcPr>
            <w:tcW w:type="dxa" w:w="5616"/>
            <w:shd w:fill="D9EAF7"/>
            <w:vAlign w:val="center"/>
          </w:tcPr>
          <w:p>
            <w:pPr>
              <w:spacing w:after="0"/>
            </w:pPr>
            <w:r/>
            <w:r>
              <w:rPr>
                <w:b/>
                <w:sz w:val="17"/>
              </w:rPr>
              <w:t>APSO Response</w:t>
            </w:r>
          </w:p>
        </w:tc>
      </w:tr>
      <w:tr>
        <w:tc>
          <w:tcPr>
            <w:tcW w:type="dxa" w:w="2880"/>
            <w:vAlign w:val="center"/>
          </w:tcPr>
          <w:p>
            <w:pPr>
              <w:spacing w:after="0"/>
            </w:pPr>
            <w:r/>
            <w:r>
              <w:rPr>
                <w:sz w:val="17"/>
              </w:rPr>
              <w:t>Ambiguous requirements</w:t>
            </w:r>
          </w:p>
        </w:tc>
        <w:tc>
          <w:tcPr>
            <w:tcW w:type="dxa" w:w="3168"/>
            <w:vAlign w:val="center"/>
          </w:tcPr>
          <w:p>
            <w:pPr>
              <w:spacing w:after="0"/>
            </w:pPr>
            <w:r/>
            <w:r>
              <w:rPr>
                <w:sz w:val="17"/>
              </w:rPr>
              <w:t>Rework, missed expectations, delayed acceptance.</w:t>
            </w:r>
          </w:p>
        </w:tc>
        <w:tc>
          <w:tcPr>
            <w:tcW w:type="dxa" w:w="5616"/>
            <w:vAlign w:val="center"/>
          </w:tcPr>
          <w:p>
            <w:pPr>
              <w:spacing w:after="0"/>
            </w:pPr>
            <w:r/>
            <w:r>
              <w:rPr>
                <w:sz w:val="17"/>
              </w:rPr>
              <w:t>Definition Gap Engine finds missing acceptance criteria, unclear terms, missing personas, and missing NFRs.</w:t>
            </w:r>
          </w:p>
        </w:tc>
      </w:tr>
      <w:tr>
        <w:tc>
          <w:tcPr>
            <w:tcW w:type="dxa" w:w="2880"/>
            <w:vAlign w:val="center"/>
          </w:tcPr>
          <w:p>
            <w:pPr>
              <w:spacing w:after="0"/>
            </w:pPr>
            <w:r/>
            <w:r>
              <w:rPr>
                <w:sz w:val="17"/>
              </w:rPr>
              <w:t>Late quality discovery</w:t>
            </w:r>
          </w:p>
        </w:tc>
        <w:tc>
          <w:tcPr>
            <w:tcW w:type="dxa" w:w="3168"/>
            <w:vAlign w:val="center"/>
          </w:tcPr>
          <w:p>
            <w:pPr>
              <w:spacing w:after="0"/>
            </w:pPr>
            <w:r/>
            <w:r>
              <w:rPr>
                <w:sz w:val="17"/>
              </w:rPr>
              <w:t>Defects found after development or testing.</w:t>
            </w:r>
          </w:p>
        </w:tc>
        <w:tc>
          <w:tcPr>
            <w:tcW w:type="dxa" w:w="5616"/>
            <w:vAlign w:val="center"/>
          </w:tcPr>
          <w:p>
            <w:pPr>
              <w:spacing w:after="0"/>
            </w:pPr>
            <w:r/>
            <w:r>
              <w:rPr>
                <w:sz w:val="17"/>
              </w:rPr>
              <w:t>Quality Benchmarking Engine catches risks earlier using scanners and AI explanation.</w:t>
            </w:r>
          </w:p>
        </w:tc>
      </w:tr>
      <w:tr>
        <w:tc>
          <w:tcPr>
            <w:tcW w:type="dxa" w:w="2880"/>
            <w:vAlign w:val="center"/>
          </w:tcPr>
          <w:p>
            <w:pPr>
              <w:spacing w:after="0"/>
            </w:pPr>
            <w:r/>
            <w:r>
              <w:rPr>
                <w:sz w:val="17"/>
              </w:rPr>
              <w:t>Weak traceability</w:t>
            </w:r>
          </w:p>
        </w:tc>
        <w:tc>
          <w:tcPr>
            <w:tcW w:type="dxa" w:w="3168"/>
            <w:vAlign w:val="center"/>
          </w:tcPr>
          <w:p>
            <w:pPr>
              <w:spacing w:after="0"/>
            </w:pPr>
            <w:r/>
            <w:r>
              <w:rPr>
                <w:sz w:val="17"/>
              </w:rPr>
              <w:t>Hard to prove whether a story has code, tests, and CI evidence.</w:t>
            </w:r>
          </w:p>
        </w:tc>
        <w:tc>
          <w:tcPr>
            <w:tcW w:type="dxa" w:w="5616"/>
            <w:vAlign w:val="center"/>
          </w:tcPr>
          <w:p>
            <w:pPr>
              <w:spacing w:after="0"/>
            </w:pPr>
            <w:r/>
            <w:r>
              <w:rPr>
                <w:sz w:val="17"/>
              </w:rPr>
              <w:t>Coverage Verification links Jira items to commits, PRs, test results, and pipelines.</w:t>
            </w:r>
          </w:p>
        </w:tc>
      </w:tr>
      <w:tr>
        <w:tc>
          <w:tcPr>
            <w:tcW w:type="dxa" w:w="2880"/>
            <w:vAlign w:val="center"/>
          </w:tcPr>
          <w:p>
            <w:pPr>
              <w:spacing w:after="0"/>
            </w:pPr>
            <w:r/>
            <w:r>
              <w:rPr>
                <w:sz w:val="17"/>
              </w:rPr>
              <w:t>Dashboard-only reporting</w:t>
            </w:r>
          </w:p>
        </w:tc>
        <w:tc>
          <w:tcPr>
            <w:tcW w:type="dxa" w:w="3168"/>
            <w:vAlign w:val="center"/>
          </w:tcPr>
          <w:p>
            <w:pPr>
              <w:spacing w:after="0"/>
            </w:pPr>
            <w:r/>
            <w:r>
              <w:rPr>
                <w:sz w:val="17"/>
              </w:rPr>
              <w:t>Leadership sees status but not actionable improvement.</w:t>
            </w:r>
          </w:p>
        </w:tc>
        <w:tc>
          <w:tcPr>
            <w:tcW w:type="dxa" w:w="5616"/>
            <w:vAlign w:val="center"/>
          </w:tcPr>
          <w:p>
            <w:pPr>
              <w:spacing w:after="0"/>
            </w:pPr>
            <w:r/>
            <w:r>
              <w:rPr>
                <w:sz w:val="17"/>
              </w:rPr>
              <w:t>Findings inbox and proof packs show risks, actions, and measurable outcomes.</w:t>
            </w:r>
          </w:p>
        </w:tc>
      </w:tr>
      <w:tr>
        <w:tc>
          <w:tcPr>
            <w:tcW w:type="dxa" w:w="2880"/>
            <w:vAlign w:val="center"/>
          </w:tcPr>
          <w:p>
            <w:pPr>
              <w:spacing w:after="0"/>
            </w:pPr>
            <w:r/>
            <w:r>
              <w:rPr>
                <w:sz w:val="17"/>
              </w:rPr>
              <w:t>Unproven AI productivity</w:t>
            </w:r>
          </w:p>
        </w:tc>
        <w:tc>
          <w:tcPr>
            <w:tcW w:type="dxa" w:w="3168"/>
            <w:vAlign w:val="center"/>
          </w:tcPr>
          <w:p>
            <w:pPr>
              <w:spacing w:after="0"/>
            </w:pPr>
            <w:r/>
            <w:r>
              <w:rPr>
                <w:sz w:val="17"/>
              </w:rPr>
              <w:t>Stakeholders do not see evidence of impact.</w:t>
            </w:r>
          </w:p>
        </w:tc>
        <w:tc>
          <w:tcPr>
            <w:tcW w:type="dxa" w:w="5616"/>
            <w:vAlign w:val="center"/>
          </w:tcPr>
          <w:p>
            <w:pPr>
              <w:spacing w:after="0"/>
            </w:pPr>
            <w:r/>
            <w:r>
              <w:rPr>
                <w:sz w:val="17"/>
              </w:rPr>
              <w:t>Evidence framework tracks hours saved, rework avoided, defects prevented, and lead-time improvements.</w:t>
            </w:r>
          </w:p>
        </w:tc>
      </w:tr>
    </w:tbl>
    <w:p/>
    <w:p>
      <w:pPr>
        <w:pStyle w:val="Heading1"/>
      </w:pPr>
      <w:r>
        <w:t>3. Product Vision</w:t>
      </w:r>
    </w:p>
    <w:p>
      <w:r>
        <w:t>APSO should be positioned as an AI SDLC Control Tower: a product that continuously reviews delivery artifacts, identifies risks, recommends actions, and creates evidence that AI is improving delivery quality and productivity.</w:t>
      </w:r>
    </w:p>
    <w:tbl>
      <w:tblPr>
        <w:tblW w:type="auto" w:w="0"/>
        <w:jc w:val="center"/>
        <w:tblLook w:firstColumn="1" w:firstRow="1" w:lastColumn="0" w:lastRow="0" w:noHBand="0" w:noVBand="1" w:val="04A0"/>
      </w:tblPr>
      <w:tblGrid>
        <w:gridCol w:w="10368"/>
      </w:tblGrid>
      <w:tr>
        <w:tc>
          <w:tcPr>
            <w:tcW w:type="dxa" w:w="10368"/>
            <w:shd w:fill="D9EAF7"/>
          </w:tcPr>
          <w:p>
            <w:pPr>
              <w:spacing w:after="60"/>
            </w:pPr>
            <w:r>
              <w:rPr>
                <w:b/>
                <w:color w:val="255B2F"/>
                <w:sz w:val="20"/>
              </w:rPr>
              <w:t>Positioning Statement</w:t>
            </w:r>
          </w:p>
          <w:p>
            <w:pPr>
              <w:spacing w:after="0"/>
            </w:pPr>
            <w:r>
              <w:rPr>
                <w:sz w:val="18"/>
              </w:rPr>
              <w:t>APSO helps delivery organizations reduce rework, improve release confidence, and prove AI-driven productivity gains by analyzing requirements, code, tests, and pipelines with explainable evidence.</w:t>
            </w:r>
          </w:p>
        </w:tc>
      </w:tr>
    </w:tbl>
    <w:p/>
    <w:p>
      <w:pPr>
        <w:pStyle w:val="Heading1"/>
      </w:pPr>
      <w:r>
        <w:t>4. Main User Groups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D9EAF7"/>
            <w:vAlign w:val="center"/>
          </w:tcPr>
          <w:p>
            <w:pPr>
              <w:spacing w:after="0"/>
            </w:pPr>
            <w:r/>
            <w:r>
              <w:rPr>
                <w:b/>
                <w:sz w:val="17"/>
              </w:rPr>
              <w:t>User Group</w:t>
            </w:r>
          </w:p>
        </w:tc>
        <w:tc>
          <w:tcPr>
            <w:tcW w:type="dxa" w:w="4032"/>
            <w:shd w:fill="D9EAF7"/>
            <w:vAlign w:val="center"/>
          </w:tcPr>
          <w:p>
            <w:pPr>
              <w:spacing w:after="0"/>
            </w:pPr>
            <w:r/>
            <w:r>
              <w:rPr>
                <w:b/>
                <w:sz w:val="17"/>
              </w:rPr>
              <w:t>What They Need</w:t>
            </w:r>
          </w:p>
        </w:tc>
        <w:tc>
          <w:tcPr>
            <w:tcW w:type="dxa" w:w="5472"/>
            <w:shd w:fill="D9EAF7"/>
            <w:vAlign w:val="center"/>
          </w:tcPr>
          <w:p>
            <w:pPr>
              <w:spacing w:after="0"/>
            </w:pPr>
            <w:r/>
            <w:r>
              <w:rPr>
                <w:b/>
                <w:sz w:val="17"/>
              </w:rPr>
              <w:t>APSO Value</w:t>
            </w:r>
          </w:p>
        </w:tc>
      </w:tr>
      <w:tr>
        <w:tc>
          <w:tcPr>
            <w:tcW w:type="dxa" w:w="2160"/>
            <w:vAlign w:val="center"/>
          </w:tcPr>
          <w:p>
            <w:pPr>
              <w:spacing w:after="0"/>
            </w:pPr>
            <w:r/>
            <w:r>
              <w:rPr>
                <w:sz w:val="17"/>
              </w:rPr>
              <w:t>Executive Sponsor</w:t>
            </w:r>
          </w:p>
        </w:tc>
        <w:tc>
          <w:tcPr>
            <w:tcW w:type="dxa" w:w="4032"/>
            <w:vAlign w:val="center"/>
          </w:tcPr>
          <w:p>
            <w:pPr>
              <w:spacing w:after="0"/>
            </w:pPr>
            <w:r/>
            <w:r>
              <w:rPr>
                <w:sz w:val="17"/>
              </w:rPr>
              <w:t>Confidence that AI improves delivery outcomes.</w:t>
            </w:r>
          </w:p>
        </w:tc>
        <w:tc>
          <w:tcPr>
            <w:tcW w:type="dxa" w:w="5472"/>
            <w:vAlign w:val="center"/>
          </w:tcPr>
          <w:p>
            <w:pPr>
              <w:spacing w:after="0"/>
            </w:pPr>
            <w:r/>
            <w:r>
              <w:rPr>
                <w:sz w:val="17"/>
              </w:rPr>
              <w:t>Proof packs, trends, productivity and quality indicators.</w:t>
            </w:r>
          </w:p>
        </w:tc>
      </w:tr>
      <w:tr>
        <w:tc>
          <w:tcPr>
            <w:tcW w:type="dxa" w:w="2160"/>
            <w:vAlign w:val="center"/>
          </w:tcPr>
          <w:p>
            <w:pPr>
              <w:spacing w:after="0"/>
            </w:pPr>
            <w:r/>
            <w:r>
              <w:rPr>
                <w:sz w:val="17"/>
              </w:rPr>
              <w:t>Delivery Manager</w:t>
            </w:r>
          </w:p>
        </w:tc>
        <w:tc>
          <w:tcPr>
            <w:tcW w:type="dxa" w:w="4032"/>
            <w:vAlign w:val="center"/>
          </w:tcPr>
          <w:p>
            <w:pPr>
              <w:spacing w:after="0"/>
            </w:pPr>
            <w:r/>
            <w:r>
              <w:rPr>
                <w:sz w:val="17"/>
              </w:rPr>
              <w:t>Visibility into risks, blockers, readiness, and team flow.</w:t>
            </w:r>
          </w:p>
        </w:tc>
        <w:tc>
          <w:tcPr>
            <w:tcW w:type="dxa" w:w="5472"/>
            <w:vAlign w:val="center"/>
          </w:tcPr>
          <w:p>
            <w:pPr>
              <w:spacing w:after="0"/>
            </w:pPr>
            <w:r/>
            <w:r>
              <w:rPr>
                <w:sz w:val="17"/>
              </w:rPr>
              <w:t>Project health, release readiness, findings by severity.</w:t>
            </w:r>
          </w:p>
        </w:tc>
      </w:tr>
      <w:tr>
        <w:tc>
          <w:tcPr>
            <w:tcW w:type="dxa" w:w="2160"/>
            <w:vAlign w:val="center"/>
          </w:tcPr>
          <w:p>
            <w:pPr>
              <w:spacing w:after="0"/>
            </w:pPr>
            <w:r/>
            <w:r>
              <w:rPr>
                <w:sz w:val="17"/>
              </w:rPr>
              <w:t>Product Owner</w:t>
            </w:r>
          </w:p>
        </w:tc>
        <w:tc>
          <w:tcPr>
            <w:tcW w:type="dxa" w:w="4032"/>
            <w:vAlign w:val="center"/>
          </w:tcPr>
          <w:p>
            <w:pPr>
              <w:spacing w:after="0"/>
            </w:pPr>
            <w:r/>
            <w:r>
              <w:rPr>
                <w:sz w:val="17"/>
              </w:rPr>
              <w:t>Better stories and fewer missed requirements.</w:t>
            </w:r>
          </w:p>
        </w:tc>
        <w:tc>
          <w:tcPr>
            <w:tcW w:type="dxa" w:w="5472"/>
            <w:vAlign w:val="center"/>
          </w:tcPr>
          <w:p>
            <w:pPr>
              <w:spacing w:after="0"/>
            </w:pPr>
            <w:r/>
            <w:r>
              <w:rPr>
                <w:sz w:val="17"/>
              </w:rPr>
              <w:t>Story quality scoring and requirement gap recommendations.</w:t>
            </w:r>
          </w:p>
        </w:tc>
      </w:tr>
      <w:tr>
        <w:tc>
          <w:tcPr>
            <w:tcW w:type="dxa" w:w="2160"/>
            <w:vAlign w:val="center"/>
          </w:tcPr>
          <w:p>
            <w:pPr>
              <w:spacing w:after="0"/>
            </w:pPr>
            <w:r/>
            <w:r>
              <w:rPr>
                <w:sz w:val="17"/>
              </w:rPr>
              <w:t>Tech Lead</w:t>
            </w:r>
          </w:p>
        </w:tc>
        <w:tc>
          <w:tcPr>
            <w:tcW w:type="dxa" w:w="4032"/>
            <w:vAlign w:val="center"/>
          </w:tcPr>
          <w:p>
            <w:pPr>
              <w:spacing w:after="0"/>
            </w:pPr>
            <w:r/>
            <w:r>
              <w:rPr>
                <w:sz w:val="17"/>
              </w:rPr>
              <w:t>Earlier code quality and test coverage visibility.</w:t>
            </w:r>
          </w:p>
        </w:tc>
        <w:tc>
          <w:tcPr>
            <w:tcW w:type="dxa" w:w="5472"/>
            <w:vAlign w:val="center"/>
          </w:tcPr>
          <w:p>
            <w:pPr>
              <w:spacing w:after="0"/>
            </w:pPr>
            <w:r/>
            <w:r>
              <w:rPr>
                <w:sz w:val="17"/>
              </w:rPr>
              <w:t>Code risk findings, scanner evidence, coverage traceability.</w:t>
            </w:r>
          </w:p>
        </w:tc>
      </w:tr>
      <w:tr>
        <w:tc>
          <w:tcPr>
            <w:tcW w:type="dxa" w:w="2160"/>
            <w:vAlign w:val="center"/>
          </w:tcPr>
          <w:p>
            <w:pPr>
              <w:spacing w:after="0"/>
            </w:pPr>
            <w:r/>
            <w:r>
              <w:rPr>
                <w:sz w:val="17"/>
              </w:rPr>
              <w:t>Developer</w:t>
            </w:r>
          </w:p>
        </w:tc>
        <w:tc>
          <w:tcPr>
            <w:tcW w:type="dxa" w:w="4032"/>
            <w:vAlign w:val="center"/>
          </w:tcPr>
          <w:p>
            <w:pPr>
              <w:spacing w:after="0"/>
            </w:pPr>
            <w:r/>
            <w:r>
              <w:rPr>
                <w:sz w:val="17"/>
              </w:rPr>
              <w:t>Actionable feedback, not vague dashboards.</w:t>
            </w:r>
          </w:p>
        </w:tc>
        <w:tc>
          <w:tcPr>
            <w:tcW w:type="dxa" w:w="5472"/>
            <w:vAlign w:val="center"/>
          </w:tcPr>
          <w:p>
            <w:pPr>
              <w:spacing w:after="0"/>
            </w:pPr>
            <w:r/>
            <w:r>
              <w:rPr>
                <w:sz w:val="17"/>
              </w:rPr>
              <w:t>Evidence-based findings with source links and suggested fixes.</w:t>
            </w:r>
          </w:p>
        </w:tc>
      </w:tr>
      <w:tr>
        <w:tc>
          <w:tcPr>
            <w:tcW w:type="dxa" w:w="2160"/>
            <w:vAlign w:val="center"/>
          </w:tcPr>
          <w:p>
            <w:pPr>
              <w:spacing w:after="0"/>
            </w:pPr>
            <w:r/>
            <w:r>
              <w:rPr>
                <w:sz w:val="17"/>
              </w:rPr>
              <w:t>QA Lead</w:t>
            </w:r>
          </w:p>
        </w:tc>
        <w:tc>
          <w:tcPr>
            <w:tcW w:type="dxa" w:w="4032"/>
            <w:vAlign w:val="center"/>
          </w:tcPr>
          <w:p>
            <w:pPr>
              <w:spacing w:after="0"/>
            </w:pPr>
            <w:r/>
            <w:r>
              <w:rPr>
                <w:sz w:val="17"/>
              </w:rPr>
              <w:t>Clear traceability between stories and tests.</w:t>
            </w:r>
          </w:p>
        </w:tc>
        <w:tc>
          <w:tcPr>
            <w:tcW w:type="dxa" w:w="5472"/>
            <w:vAlign w:val="center"/>
          </w:tcPr>
          <w:p>
            <w:pPr>
              <w:spacing w:after="0"/>
            </w:pPr>
            <w:r/>
            <w:r>
              <w:rPr>
                <w:sz w:val="17"/>
              </w:rPr>
              <w:t>Coverage gaps, test evidence, release readiness checks.</w:t>
            </w:r>
          </w:p>
        </w:tc>
      </w:tr>
      <w:tr>
        <w:tc>
          <w:tcPr>
            <w:tcW w:type="dxa" w:w="2160"/>
            <w:vAlign w:val="center"/>
          </w:tcPr>
          <w:p>
            <w:pPr>
              <w:spacing w:after="0"/>
            </w:pPr>
            <w:r/>
            <w:r>
              <w:rPr>
                <w:sz w:val="17"/>
              </w:rPr>
              <w:t>Auditor/Reviewer</w:t>
            </w:r>
          </w:p>
        </w:tc>
        <w:tc>
          <w:tcPr>
            <w:tcW w:type="dxa" w:w="4032"/>
            <w:vAlign w:val="center"/>
          </w:tcPr>
          <w:p>
            <w:pPr>
              <w:spacing w:after="0"/>
            </w:pPr>
            <w:r/>
            <w:r>
              <w:rPr>
                <w:sz w:val="17"/>
              </w:rPr>
              <w:t>Traceability and governance evidence.</w:t>
            </w:r>
          </w:p>
        </w:tc>
        <w:tc>
          <w:tcPr>
            <w:tcW w:type="dxa" w:w="5472"/>
            <w:vAlign w:val="center"/>
          </w:tcPr>
          <w:p>
            <w:pPr>
              <w:spacing w:after="0"/>
            </w:pPr>
            <w:r/>
            <w:r>
              <w:rPr>
                <w:sz w:val="17"/>
              </w:rPr>
              <w:t>Audit logs, evidence references, report snapshots.</w:t>
            </w:r>
          </w:p>
        </w:tc>
      </w:tr>
    </w:tbl>
    <w:p/>
    <w:p>
      <w:pPr>
        <w:pStyle w:val="Heading1"/>
      </w:pPr>
      <w:r>
        <w:t>5. Core Application Functionality</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D9EAF7"/>
            <w:vAlign w:val="center"/>
          </w:tcPr>
          <w:p>
            <w:pPr>
              <w:spacing w:after="0"/>
            </w:pPr>
            <w:r/>
            <w:r>
              <w:rPr>
                <w:b/>
                <w:sz w:val="17"/>
              </w:rPr>
              <w:t>Functionality</w:t>
            </w:r>
          </w:p>
        </w:tc>
        <w:tc>
          <w:tcPr>
            <w:tcW w:type="dxa" w:w="4608"/>
            <w:shd w:fill="D9EAF7"/>
            <w:vAlign w:val="center"/>
          </w:tcPr>
          <w:p>
            <w:pPr>
              <w:spacing w:after="0"/>
            </w:pPr>
            <w:r/>
            <w:r>
              <w:rPr>
                <w:b/>
                <w:sz w:val="17"/>
              </w:rPr>
              <w:t>What It Does</w:t>
            </w:r>
          </w:p>
        </w:tc>
        <w:tc>
          <w:tcPr>
            <w:tcW w:type="dxa" w:w="4464"/>
            <w:shd w:fill="D9EAF7"/>
            <w:vAlign w:val="center"/>
          </w:tcPr>
          <w:p>
            <w:pPr>
              <w:spacing w:after="0"/>
            </w:pPr>
            <w:r/>
            <w:r>
              <w:rPr>
                <w:b/>
                <w:sz w:val="17"/>
              </w:rPr>
              <w:t>Business Outcome</w:t>
            </w:r>
          </w:p>
        </w:tc>
      </w:tr>
      <w:tr>
        <w:tc>
          <w:tcPr>
            <w:tcW w:type="dxa" w:w="2592"/>
            <w:vAlign w:val="center"/>
          </w:tcPr>
          <w:p>
            <w:pPr>
              <w:spacing w:after="0"/>
            </w:pPr>
            <w:r/>
            <w:r>
              <w:rPr>
                <w:sz w:val="17"/>
              </w:rPr>
              <w:t>Integration Setup</w:t>
            </w:r>
          </w:p>
        </w:tc>
        <w:tc>
          <w:tcPr>
            <w:tcW w:type="dxa" w:w="4608"/>
            <w:vAlign w:val="center"/>
          </w:tcPr>
          <w:p>
            <w:pPr>
              <w:spacing w:after="0"/>
            </w:pPr>
            <w:r/>
            <w:r>
              <w:rPr>
                <w:sz w:val="17"/>
              </w:rPr>
              <w:t>Connects Jira, Bitbucket, and later AWS in read-only mode.</w:t>
            </w:r>
          </w:p>
        </w:tc>
        <w:tc>
          <w:tcPr>
            <w:tcW w:type="dxa" w:w="4464"/>
            <w:vAlign w:val="center"/>
          </w:tcPr>
          <w:p>
            <w:pPr>
              <w:spacing w:after="0"/>
            </w:pPr>
            <w:r/>
            <w:r>
              <w:rPr>
                <w:sz w:val="17"/>
              </w:rPr>
              <w:t>Fast onboarding without changing customer systems.</w:t>
            </w:r>
          </w:p>
        </w:tc>
      </w:tr>
      <w:tr>
        <w:tc>
          <w:tcPr>
            <w:tcW w:type="dxa" w:w="2592"/>
            <w:vAlign w:val="center"/>
          </w:tcPr>
          <w:p>
            <w:pPr>
              <w:spacing w:after="0"/>
            </w:pPr>
            <w:r/>
            <w:r>
              <w:rPr>
                <w:sz w:val="17"/>
              </w:rPr>
              <w:t>SDLC Data Hub</w:t>
            </w:r>
          </w:p>
        </w:tc>
        <w:tc>
          <w:tcPr>
            <w:tcW w:type="dxa" w:w="4608"/>
            <w:vAlign w:val="center"/>
          </w:tcPr>
          <w:p>
            <w:pPr>
              <w:spacing w:after="0"/>
            </w:pPr>
            <w:r/>
            <w:r>
              <w:rPr>
                <w:sz w:val="17"/>
              </w:rPr>
              <w:t>Normalizes stories, commits, PRs, pipelines, tests, coverage, and findings.</w:t>
            </w:r>
          </w:p>
        </w:tc>
        <w:tc>
          <w:tcPr>
            <w:tcW w:type="dxa" w:w="4464"/>
            <w:vAlign w:val="center"/>
          </w:tcPr>
          <w:p>
            <w:pPr>
              <w:spacing w:after="0"/>
            </w:pPr>
            <w:r/>
            <w:r>
              <w:rPr>
                <w:sz w:val="17"/>
              </w:rPr>
              <w:t>One evidence base across delivery lifecycle.</w:t>
            </w:r>
          </w:p>
        </w:tc>
      </w:tr>
      <w:tr>
        <w:tc>
          <w:tcPr>
            <w:tcW w:type="dxa" w:w="2592"/>
            <w:vAlign w:val="center"/>
          </w:tcPr>
          <w:p>
            <w:pPr>
              <w:spacing w:after="0"/>
            </w:pPr>
            <w:r/>
            <w:r>
              <w:rPr>
                <w:sz w:val="17"/>
              </w:rPr>
              <w:t>AI Findings Inbox</w:t>
            </w:r>
          </w:p>
        </w:tc>
        <w:tc>
          <w:tcPr>
            <w:tcW w:type="dxa" w:w="4608"/>
            <w:vAlign w:val="center"/>
          </w:tcPr>
          <w:p>
            <w:pPr>
              <w:spacing w:after="0"/>
            </w:pPr>
            <w:r/>
            <w:r>
              <w:rPr>
                <w:sz w:val="17"/>
              </w:rPr>
              <w:t>Central queue for gaps, risks, and recommendations.</w:t>
            </w:r>
          </w:p>
        </w:tc>
        <w:tc>
          <w:tcPr>
            <w:tcW w:type="dxa" w:w="4464"/>
            <w:vAlign w:val="center"/>
          </w:tcPr>
          <w:p>
            <w:pPr>
              <w:spacing w:after="0"/>
            </w:pPr>
            <w:r/>
            <w:r>
              <w:rPr>
                <w:sz w:val="17"/>
              </w:rPr>
              <w:t>Teams can act on findings instead of reading passive reports.</w:t>
            </w:r>
          </w:p>
        </w:tc>
      </w:tr>
      <w:tr>
        <w:tc>
          <w:tcPr>
            <w:tcW w:type="dxa" w:w="2592"/>
            <w:vAlign w:val="center"/>
          </w:tcPr>
          <w:p>
            <w:pPr>
              <w:spacing w:after="0"/>
            </w:pPr>
            <w:r/>
            <w:r>
              <w:rPr>
                <w:sz w:val="17"/>
              </w:rPr>
              <w:t>Requirement Quality Review</w:t>
            </w:r>
          </w:p>
        </w:tc>
        <w:tc>
          <w:tcPr>
            <w:tcW w:type="dxa" w:w="4608"/>
            <w:vAlign w:val="center"/>
          </w:tcPr>
          <w:p>
            <w:pPr>
              <w:spacing w:after="0"/>
            </w:pPr>
            <w:r/>
            <w:r>
              <w:rPr>
                <w:sz w:val="17"/>
              </w:rPr>
              <w:t>Reviews stories for completeness, ambiguity, testability, and NFR coverage.</w:t>
            </w:r>
          </w:p>
        </w:tc>
        <w:tc>
          <w:tcPr>
            <w:tcW w:type="dxa" w:w="4464"/>
            <w:vAlign w:val="center"/>
          </w:tcPr>
          <w:p>
            <w:pPr>
              <w:spacing w:after="0"/>
            </w:pPr>
            <w:r/>
            <w:r>
              <w:rPr>
                <w:sz w:val="17"/>
              </w:rPr>
              <w:t>Less rework and clearer development scope.</w:t>
            </w:r>
          </w:p>
        </w:tc>
      </w:tr>
      <w:tr>
        <w:tc>
          <w:tcPr>
            <w:tcW w:type="dxa" w:w="2592"/>
            <w:vAlign w:val="center"/>
          </w:tcPr>
          <w:p>
            <w:pPr>
              <w:spacing w:after="0"/>
            </w:pPr>
            <w:r/>
            <w:r>
              <w:rPr>
                <w:sz w:val="17"/>
              </w:rPr>
              <w:t>Code Quality Review</w:t>
            </w:r>
          </w:p>
        </w:tc>
        <w:tc>
          <w:tcPr>
            <w:tcW w:type="dxa" w:w="4608"/>
            <w:vAlign w:val="center"/>
          </w:tcPr>
          <w:p>
            <w:pPr>
              <w:spacing w:after="0"/>
            </w:pPr>
            <w:r/>
            <w:r>
              <w:rPr>
                <w:sz w:val="17"/>
              </w:rPr>
              <w:t>Combines static scanners with AI explanations.</w:t>
            </w:r>
          </w:p>
        </w:tc>
        <w:tc>
          <w:tcPr>
            <w:tcW w:type="dxa" w:w="4464"/>
            <w:vAlign w:val="center"/>
          </w:tcPr>
          <w:p>
            <w:pPr>
              <w:spacing w:after="0"/>
            </w:pPr>
            <w:r/>
            <w:r>
              <w:rPr>
                <w:sz w:val="17"/>
              </w:rPr>
              <w:t>Earlier detection of defects, smells, vulnerabilities, and maintainability risks.</w:t>
            </w:r>
          </w:p>
        </w:tc>
      </w:tr>
      <w:tr>
        <w:tc>
          <w:tcPr>
            <w:tcW w:type="dxa" w:w="2592"/>
            <w:vAlign w:val="center"/>
          </w:tcPr>
          <w:p>
            <w:pPr>
              <w:spacing w:after="0"/>
            </w:pPr>
            <w:r/>
            <w:r>
              <w:rPr>
                <w:sz w:val="17"/>
              </w:rPr>
              <w:t>Coverage Verification</w:t>
            </w:r>
          </w:p>
        </w:tc>
        <w:tc>
          <w:tcPr>
            <w:tcW w:type="dxa" w:w="4608"/>
            <w:vAlign w:val="center"/>
          </w:tcPr>
          <w:p>
            <w:pPr>
              <w:spacing w:after="0"/>
            </w:pPr>
            <w:r/>
            <w:r>
              <w:rPr>
                <w:sz w:val="17"/>
              </w:rPr>
              <w:t>Checks whether stories are backed by code, PRs, tests, and CI evidence.</w:t>
            </w:r>
          </w:p>
        </w:tc>
        <w:tc>
          <w:tcPr>
            <w:tcW w:type="dxa" w:w="4464"/>
            <w:vAlign w:val="center"/>
          </w:tcPr>
          <w:p>
            <w:pPr>
              <w:spacing w:after="0"/>
            </w:pPr>
            <w:r/>
            <w:r>
              <w:rPr>
                <w:sz w:val="17"/>
              </w:rPr>
              <w:t>Better release confidence and traceability.</w:t>
            </w:r>
          </w:p>
        </w:tc>
      </w:tr>
      <w:tr>
        <w:tc>
          <w:tcPr>
            <w:tcW w:type="dxa" w:w="2592"/>
            <w:vAlign w:val="center"/>
          </w:tcPr>
          <w:p>
            <w:pPr>
              <w:spacing w:after="0"/>
            </w:pPr>
            <w:r/>
            <w:r>
              <w:rPr>
                <w:sz w:val="17"/>
              </w:rPr>
              <w:t>Release Readiness</w:t>
            </w:r>
          </w:p>
        </w:tc>
        <w:tc>
          <w:tcPr>
            <w:tcW w:type="dxa" w:w="4608"/>
            <w:vAlign w:val="center"/>
          </w:tcPr>
          <w:p>
            <w:pPr>
              <w:spacing w:after="0"/>
            </w:pPr>
            <w:r/>
            <w:r>
              <w:rPr>
                <w:sz w:val="17"/>
              </w:rPr>
              <w:t>Aggregates open risks, pipeline status, tests, coverage, and unresolved findings.</w:t>
            </w:r>
          </w:p>
        </w:tc>
        <w:tc>
          <w:tcPr>
            <w:tcW w:type="dxa" w:w="4464"/>
            <w:vAlign w:val="center"/>
          </w:tcPr>
          <w:p>
            <w:pPr>
              <w:spacing w:after="0"/>
            </w:pPr>
            <w:r/>
            <w:r>
              <w:rPr>
                <w:sz w:val="17"/>
              </w:rPr>
              <w:t>Clear go/no-go support for releases.</w:t>
            </w:r>
          </w:p>
        </w:tc>
      </w:tr>
      <w:tr>
        <w:tc>
          <w:tcPr>
            <w:tcW w:type="dxa" w:w="2592"/>
            <w:vAlign w:val="center"/>
          </w:tcPr>
          <w:p>
            <w:pPr>
              <w:spacing w:after="0"/>
            </w:pPr>
            <w:r/>
            <w:r>
              <w:rPr>
                <w:sz w:val="17"/>
              </w:rPr>
              <w:t>Proof Pack Generator</w:t>
            </w:r>
          </w:p>
        </w:tc>
        <w:tc>
          <w:tcPr>
            <w:tcW w:type="dxa" w:w="4608"/>
            <w:vAlign w:val="center"/>
          </w:tcPr>
          <w:p>
            <w:pPr>
              <w:spacing w:after="0"/>
            </w:pPr>
            <w:r/>
            <w:r>
              <w:rPr>
                <w:sz w:val="17"/>
              </w:rPr>
              <w:t>Creates stakeholder reports with evidence and placeholders for missing actual metrics.</w:t>
            </w:r>
          </w:p>
        </w:tc>
        <w:tc>
          <w:tcPr>
            <w:tcW w:type="dxa" w:w="4464"/>
            <w:vAlign w:val="center"/>
          </w:tcPr>
          <w:p>
            <w:pPr>
              <w:spacing w:after="0"/>
            </w:pPr>
            <w:r/>
            <w:r>
              <w:rPr>
                <w:sz w:val="17"/>
              </w:rPr>
              <w:t>Supports demos, steering meetings, and customer value proof.</w:t>
            </w:r>
          </w:p>
        </w:tc>
      </w:tr>
      <w:tr>
        <w:tc>
          <w:tcPr>
            <w:tcW w:type="dxa" w:w="2592"/>
            <w:vAlign w:val="center"/>
          </w:tcPr>
          <w:p>
            <w:pPr>
              <w:spacing w:after="0"/>
            </w:pPr>
            <w:r/>
            <w:r>
              <w:rPr>
                <w:sz w:val="17"/>
              </w:rPr>
              <w:t>Audit and Governance</w:t>
            </w:r>
          </w:p>
        </w:tc>
        <w:tc>
          <w:tcPr>
            <w:tcW w:type="dxa" w:w="4608"/>
            <w:vAlign w:val="center"/>
          </w:tcPr>
          <w:p>
            <w:pPr>
              <w:spacing w:after="0"/>
            </w:pPr>
            <w:r/>
            <w:r>
              <w:rPr>
                <w:sz w:val="17"/>
              </w:rPr>
              <w:t>Tracks user actions, AI runs, configuration changes, and report generation.</w:t>
            </w:r>
          </w:p>
        </w:tc>
        <w:tc>
          <w:tcPr>
            <w:tcW w:type="dxa" w:w="4464"/>
            <w:vAlign w:val="center"/>
          </w:tcPr>
          <w:p>
            <w:pPr>
              <w:spacing w:after="0"/>
            </w:pPr>
            <w:r/>
            <w:r>
              <w:rPr>
                <w:sz w:val="17"/>
              </w:rPr>
              <w:t>Enterprise trust and supportability.</w:t>
            </w:r>
          </w:p>
        </w:tc>
      </w:tr>
    </w:tbl>
    <w:p/>
    <w:p>
      <w:pPr>
        <w:pStyle w:val="Heading1"/>
      </w:pPr>
      <w:r>
        <w:t>6. MVP Functionality</w:t>
      </w:r>
    </w:p>
    <w:p>
      <w:r>
        <w:t>The MVP should be sellable but focused. It should prove the strongest value first: quality, gaps, coverage, and evidence.</w:t>
      </w:r>
    </w:p>
    <w:p>
      <w:pPr>
        <w:pStyle w:val="ListBullet"/>
      </w:pPr>
      <w:r>
        <w:t>Read-only Jira ingestion for work items, comments, status, custom fields, and requirement text.</w:t>
      </w:r>
    </w:p>
    <w:p>
      <w:pPr>
        <w:pStyle w:val="ListBullet"/>
      </w:pPr>
      <w:r>
        <w:t>Read-only Bitbucket ingestion for repositories, commits, pull requests, pipelines, tests, and evidence.</w:t>
      </w:r>
    </w:p>
    <w:p>
      <w:pPr>
        <w:pStyle w:val="ListBullet"/>
      </w:pPr>
      <w:r>
        <w:t>Mocked AWS connector until AWS user/role is provided.</w:t>
      </w:r>
    </w:p>
    <w:p>
      <w:pPr>
        <w:pStyle w:val="ListBullet"/>
      </w:pPr>
      <w:r>
        <w:t>Definition Gap Engine for story quality.</w:t>
      </w:r>
    </w:p>
    <w:p>
      <w:pPr>
        <w:pStyle w:val="ListBullet"/>
      </w:pPr>
      <w:r>
        <w:t>Quality Benchmarking Engine for code/security risk.</w:t>
      </w:r>
    </w:p>
    <w:p>
      <w:pPr>
        <w:pStyle w:val="ListBullet"/>
      </w:pPr>
      <w:r>
        <w:t>Coverage Verification Engine for traceability and release confidence.</w:t>
      </w:r>
    </w:p>
    <w:p>
      <w:pPr>
        <w:pStyle w:val="ListBullet"/>
      </w:pPr>
      <w:r>
        <w:t>AI Findings Inbox with lifecycle states.</w:t>
      </w:r>
    </w:p>
    <w:p>
      <w:pPr>
        <w:pStyle w:val="ListBullet"/>
      </w:pPr>
      <w:r>
        <w:t>Executive dashboard, project health dashboard, and release readiness report.</w:t>
      </w:r>
    </w:p>
    <w:p>
      <w:pPr>
        <w:pStyle w:val="ListBullet"/>
      </w:pPr>
      <w:r>
        <w:t>Proof pack export for business stakeholders.</w:t>
      </w:r>
    </w:p>
    <w:p>
      <w:pPr>
        <w:pStyle w:val="Heading1"/>
      </w:pPr>
      <w:r>
        <w:t>7. Out of Scope for MVP</w:t>
      </w:r>
    </w:p>
    <w:tbl>
      <w:tblPr>
        <w:tblStyle w:val="TableGrid"/>
        <w:tblW w:type="auto" w:w="0"/>
        <w:jc w:val="center"/>
        <w:tblLook w:firstColumn="1" w:firstRow="1" w:lastColumn="0" w:lastRow="0" w:noHBand="0" w:noVBand="1" w:val="04A0"/>
      </w:tblPr>
      <w:tblGrid>
        <w:gridCol w:w="5184"/>
        <w:gridCol w:w="5184"/>
      </w:tblGrid>
      <w:tr>
        <w:tc>
          <w:tcPr>
            <w:tcW w:type="dxa" w:w="3600"/>
            <w:shd w:fill="D9EAF7"/>
            <w:vAlign w:val="center"/>
          </w:tcPr>
          <w:p>
            <w:pPr>
              <w:spacing w:after="0"/>
            </w:pPr>
            <w:r/>
            <w:r>
              <w:rPr>
                <w:b/>
                <w:sz w:val="17"/>
              </w:rPr>
              <w:t>Backlog Item</w:t>
            </w:r>
          </w:p>
        </w:tc>
        <w:tc>
          <w:tcPr>
            <w:tcW w:type="dxa" w:w="8064"/>
            <w:shd w:fill="D9EAF7"/>
            <w:vAlign w:val="center"/>
          </w:tcPr>
          <w:p>
            <w:pPr>
              <w:spacing w:after="0"/>
            </w:pPr>
            <w:r/>
            <w:r>
              <w:rPr>
                <w:b/>
                <w:sz w:val="17"/>
              </w:rPr>
              <w:t>Why Deferred</w:t>
            </w:r>
          </w:p>
        </w:tc>
      </w:tr>
      <w:tr>
        <w:tc>
          <w:tcPr>
            <w:tcW w:type="dxa" w:w="3600"/>
            <w:vAlign w:val="center"/>
          </w:tcPr>
          <w:p>
            <w:pPr>
              <w:spacing w:after="0"/>
            </w:pPr>
            <w:r/>
            <w:r>
              <w:rPr>
                <w:sz w:val="17"/>
              </w:rPr>
              <w:t>Jira write-back</w:t>
            </w:r>
          </w:p>
        </w:tc>
        <w:tc>
          <w:tcPr>
            <w:tcW w:type="dxa" w:w="8064"/>
            <w:vAlign w:val="center"/>
          </w:tcPr>
          <w:p>
            <w:pPr>
              <w:spacing w:after="0"/>
            </w:pPr>
            <w:r/>
            <w:r>
              <w:rPr>
                <w:sz w:val="17"/>
              </w:rPr>
              <w:t>MVP should be safe read-only extraction. Write-back requires extra approval and permissions.</w:t>
            </w:r>
          </w:p>
        </w:tc>
      </w:tr>
      <w:tr>
        <w:tc>
          <w:tcPr>
            <w:tcW w:type="dxa" w:w="3600"/>
            <w:vAlign w:val="center"/>
          </w:tcPr>
          <w:p>
            <w:pPr>
              <w:spacing w:after="0"/>
            </w:pPr>
            <w:r/>
            <w:r>
              <w:rPr>
                <w:sz w:val="17"/>
              </w:rPr>
              <w:t>Bitbucket write-back</w:t>
            </w:r>
          </w:p>
        </w:tc>
        <w:tc>
          <w:tcPr>
            <w:tcW w:type="dxa" w:w="8064"/>
            <w:vAlign w:val="center"/>
          </w:tcPr>
          <w:p>
            <w:pPr>
              <w:spacing w:after="0"/>
            </w:pPr>
            <w:r/>
            <w:r>
              <w:rPr>
                <w:sz w:val="17"/>
              </w:rPr>
              <w:t>PR comments, code insights, and pipeline triggers should wait until findings quality is proven.</w:t>
            </w:r>
          </w:p>
        </w:tc>
      </w:tr>
      <w:tr>
        <w:tc>
          <w:tcPr>
            <w:tcW w:type="dxa" w:w="3600"/>
            <w:vAlign w:val="center"/>
          </w:tcPr>
          <w:p>
            <w:pPr>
              <w:spacing w:after="0"/>
            </w:pPr>
            <w:r/>
            <w:r>
              <w:rPr>
                <w:sz w:val="17"/>
              </w:rPr>
              <w:t>Advanced contributor analytics</w:t>
            </w:r>
          </w:p>
        </w:tc>
        <w:tc>
          <w:tcPr>
            <w:tcW w:type="dxa" w:w="8064"/>
            <w:vAlign w:val="center"/>
          </w:tcPr>
          <w:p>
            <w:pPr>
              <w:spacing w:after="0"/>
            </w:pPr>
            <w:r/>
            <w:r>
              <w:rPr>
                <w:sz w:val="17"/>
              </w:rPr>
              <w:t>Requires careful governance to avoid surveillance concerns.</w:t>
            </w:r>
          </w:p>
        </w:tc>
      </w:tr>
      <w:tr>
        <w:tc>
          <w:tcPr>
            <w:tcW w:type="dxa" w:w="3600"/>
            <w:vAlign w:val="center"/>
          </w:tcPr>
          <w:p>
            <w:pPr>
              <w:spacing w:after="0"/>
            </w:pPr>
            <w:r/>
            <w:r>
              <w:rPr>
                <w:sz w:val="17"/>
              </w:rPr>
              <w:t>Paid model providers</w:t>
            </w:r>
          </w:p>
        </w:tc>
        <w:tc>
          <w:tcPr>
            <w:tcW w:type="dxa" w:w="8064"/>
            <w:vAlign w:val="center"/>
          </w:tcPr>
          <w:p>
            <w:pPr>
              <w:spacing w:after="0"/>
            </w:pPr>
            <w:r/>
            <w:r>
              <w:rPr>
                <w:sz w:val="17"/>
              </w:rPr>
              <w:t>Development must avoid paid AI usage.</w:t>
            </w:r>
          </w:p>
        </w:tc>
      </w:tr>
      <w:tr>
        <w:tc>
          <w:tcPr>
            <w:tcW w:type="dxa" w:w="3600"/>
            <w:vAlign w:val="center"/>
          </w:tcPr>
          <w:p>
            <w:pPr>
              <w:spacing w:after="0"/>
            </w:pPr>
            <w:r/>
            <w:r>
              <w:rPr>
                <w:sz w:val="17"/>
              </w:rPr>
              <w:t>Live AWS integration</w:t>
            </w:r>
          </w:p>
        </w:tc>
        <w:tc>
          <w:tcPr>
            <w:tcW w:type="dxa" w:w="8064"/>
            <w:vAlign w:val="center"/>
          </w:tcPr>
          <w:p>
            <w:pPr>
              <w:spacing w:after="0"/>
            </w:pPr>
            <w:r/>
            <w:r>
              <w:rPr>
                <w:sz w:val="17"/>
              </w:rPr>
              <w:t>AWS user will be supplied later; dev uses mocks first.</w:t>
            </w:r>
          </w:p>
        </w:tc>
      </w:tr>
      <w:tr>
        <w:tc>
          <w:tcPr>
            <w:tcW w:type="dxa" w:w="3600"/>
            <w:vAlign w:val="center"/>
          </w:tcPr>
          <w:p>
            <w:pPr>
              <w:spacing w:after="0"/>
            </w:pPr>
            <w:r/>
            <w:r>
              <w:rPr>
                <w:sz w:val="17"/>
              </w:rPr>
              <w:t>Billing/subscription module</w:t>
            </w:r>
          </w:p>
        </w:tc>
        <w:tc>
          <w:tcPr>
            <w:tcW w:type="dxa" w:w="8064"/>
            <w:vAlign w:val="center"/>
          </w:tcPr>
          <w:p>
            <w:pPr>
              <w:spacing w:after="0"/>
            </w:pPr>
            <w:r/>
            <w:r>
              <w:rPr>
                <w:sz w:val="17"/>
              </w:rPr>
              <w:t>Not needed to prove product value in MVP.</w:t>
            </w:r>
          </w:p>
        </w:tc>
      </w:tr>
      <w:tr>
        <w:tc>
          <w:tcPr>
            <w:tcW w:type="dxa" w:w="3600"/>
            <w:vAlign w:val="center"/>
          </w:tcPr>
          <w:p>
            <w:pPr>
              <w:spacing w:after="0"/>
            </w:pPr>
            <w:r/>
            <w:r>
              <w:rPr>
                <w:sz w:val="17"/>
              </w:rPr>
              <w:t>Advanced benchmarking</w:t>
            </w:r>
          </w:p>
        </w:tc>
        <w:tc>
          <w:tcPr>
            <w:tcW w:type="dxa" w:w="8064"/>
            <w:vAlign w:val="center"/>
          </w:tcPr>
          <w:p>
            <w:pPr>
              <w:spacing w:after="0"/>
            </w:pPr>
            <w:r/>
            <w:r>
              <w:rPr>
                <w:sz w:val="17"/>
              </w:rPr>
              <w:t>Requires larger historical data volume and calibrated metrics.</w:t>
            </w:r>
          </w:p>
        </w:tc>
      </w:tr>
    </w:tbl>
    <w:p/>
    <w:p>
      <w:pPr>
        <w:pStyle w:val="Heading1"/>
      </w:pPr>
      <w:r>
        <w:t>8. How APSO Works: Business Flow</w:t>
      </w:r>
    </w:p>
    <w:p>
      <w:pPr>
        <w:pStyle w:val="ListNumber"/>
      </w:pPr>
      <w:r>
        <w:t>A tenant admin connects Jira and Bitbucket with read-only credentials.</w:t>
      </w:r>
    </w:p>
    <w:p>
      <w:pPr>
        <w:pStyle w:val="ListNumber"/>
      </w:pPr>
      <w:r>
        <w:t>APSO synchronizes project, story, repository, pull request, pipeline, and test evidence.</w:t>
      </w:r>
    </w:p>
    <w:p>
      <w:pPr>
        <w:pStyle w:val="ListNumber"/>
      </w:pPr>
      <w:r>
        <w:t>APSO analyzes stories for gaps and ambiguity.</w:t>
      </w:r>
    </w:p>
    <w:p>
      <w:pPr>
        <w:pStyle w:val="ListNumber"/>
      </w:pPr>
      <w:r>
        <w:t>APSO analyzes code and pipeline evidence for quality and release risk.</w:t>
      </w:r>
    </w:p>
    <w:p>
      <w:pPr>
        <w:pStyle w:val="ListNumber"/>
      </w:pPr>
      <w:r>
        <w:t>APSO links requirements to code, PRs, tests, and build evidence.</w:t>
      </w:r>
    </w:p>
    <w:p>
      <w:pPr>
        <w:pStyle w:val="ListNumber"/>
      </w:pPr>
      <w:r>
        <w:t>APSO creates explainable findings with severity, confidence, and source links.</w:t>
      </w:r>
    </w:p>
    <w:p>
      <w:pPr>
        <w:pStyle w:val="ListNumber"/>
      </w:pPr>
      <w:r>
        <w:t>Teams review findings, mark actions, and resolve risks.</w:t>
      </w:r>
    </w:p>
    <w:p>
      <w:pPr>
        <w:pStyle w:val="ListNumber"/>
      </w:pPr>
      <w:r>
        <w:t>Leaders view dashboards and generate proof packs showing delivery improvement evidence.</w:t>
      </w:r>
    </w:p>
    <w:p>
      <w:pPr>
        <w:pStyle w:val="Heading1"/>
      </w:pPr>
      <w:r>
        <w:t>9. AI Engines Explained for Stakeholders</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D9EAF7"/>
            <w:vAlign w:val="center"/>
          </w:tcPr>
          <w:p>
            <w:pPr>
              <w:spacing w:after="0"/>
            </w:pPr>
            <w:r/>
            <w:r>
              <w:rPr>
                <w:b/>
                <w:sz w:val="17"/>
              </w:rPr>
              <w:t>AI Engine</w:t>
            </w:r>
          </w:p>
        </w:tc>
        <w:tc>
          <w:tcPr>
            <w:tcW w:type="dxa" w:w="4824"/>
            <w:shd w:fill="D9EAF7"/>
            <w:vAlign w:val="center"/>
          </w:tcPr>
          <w:p>
            <w:pPr>
              <w:spacing w:after="0"/>
            </w:pPr>
            <w:r/>
            <w:r>
              <w:rPr>
                <w:b/>
                <w:sz w:val="17"/>
              </w:rPr>
              <w:t>Plain-English Explanation</w:t>
            </w:r>
          </w:p>
        </w:tc>
        <w:tc>
          <w:tcPr>
            <w:tcW w:type="dxa" w:w="4104"/>
            <w:shd w:fill="D9EAF7"/>
            <w:vAlign w:val="center"/>
          </w:tcPr>
          <w:p>
            <w:pPr>
              <w:spacing w:after="0"/>
            </w:pPr>
            <w:r/>
            <w:r>
              <w:rPr>
                <w:b/>
                <w:sz w:val="17"/>
              </w:rPr>
              <w:t>Example Finding</w:t>
            </w:r>
          </w:p>
        </w:tc>
      </w:tr>
      <w:tr>
        <w:tc>
          <w:tcPr>
            <w:tcW w:type="dxa" w:w="2736"/>
            <w:vAlign w:val="center"/>
          </w:tcPr>
          <w:p>
            <w:pPr>
              <w:spacing w:after="0"/>
            </w:pPr>
            <w:r/>
            <w:r>
              <w:rPr>
                <w:sz w:val="17"/>
              </w:rPr>
              <w:t>Definition Gap Engine</w:t>
            </w:r>
          </w:p>
        </w:tc>
        <w:tc>
          <w:tcPr>
            <w:tcW w:type="dxa" w:w="4824"/>
            <w:vAlign w:val="center"/>
          </w:tcPr>
          <w:p>
            <w:pPr>
              <w:spacing w:after="0"/>
            </w:pPr>
            <w:r/>
            <w:r>
              <w:rPr>
                <w:sz w:val="17"/>
              </w:rPr>
              <w:t>Acts like a requirements reviewer that checks whether a story is clear enough to build and test.</w:t>
            </w:r>
          </w:p>
        </w:tc>
        <w:tc>
          <w:tcPr>
            <w:tcW w:type="dxa" w:w="4104"/>
            <w:vAlign w:val="center"/>
          </w:tcPr>
          <w:p>
            <w:pPr>
              <w:spacing w:after="0"/>
            </w:pPr>
            <w:r/>
            <w:r>
              <w:rPr>
                <w:sz w:val="17"/>
              </w:rPr>
              <w:t>Story lacks acceptance criteria for failure scenarios and has undefined user persona.</w:t>
            </w:r>
          </w:p>
        </w:tc>
      </w:tr>
      <w:tr>
        <w:tc>
          <w:tcPr>
            <w:tcW w:type="dxa" w:w="2736"/>
            <w:vAlign w:val="center"/>
          </w:tcPr>
          <w:p>
            <w:pPr>
              <w:spacing w:after="0"/>
            </w:pPr>
            <w:r/>
            <w:r>
              <w:rPr>
                <w:sz w:val="17"/>
              </w:rPr>
              <w:t>Quality Benchmarking Engine</w:t>
            </w:r>
          </w:p>
        </w:tc>
        <w:tc>
          <w:tcPr>
            <w:tcW w:type="dxa" w:w="4824"/>
            <w:vAlign w:val="center"/>
          </w:tcPr>
          <w:p>
            <w:pPr>
              <w:spacing w:after="0"/>
            </w:pPr>
            <w:r/>
            <w:r>
              <w:rPr>
                <w:sz w:val="17"/>
              </w:rPr>
              <w:t>Acts like a code quality reviewer that combines scanner evidence with AI explanation.</w:t>
            </w:r>
          </w:p>
        </w:tc>
        <w:tc>
          <w:tcPr>
            <w:tcW w:type="dxa" w:w="4104"/>
            <w:vAlign w:val="center"/>
          </w:tcPr>
          <w:p>
            <w:pPr>
              <w:spacing w:after="0"/>
            </w:pPr>
            <w:r/>
            <w:r>
              <w:rPr>
                <w:sz w:val="17"/>
              </w:rPr>
              <w:t>PR introduces high-complexity method and missing validation around external input.</w:t>
            </w:r>
          </w:p>
        </w:tc>
      </w:tr>
      <w:tr>
        <w:tc>
          <w:tcPr>
            <w:tcW w:type="dxa" w:w="2736"/>
            <w:vAlign w:val="center"/>
          </w:tcPr>
          <w:p>
            <w:pPr>
              <w:spacing w:after="0"/>
            </w:pPr>
            <w:r/>
            <w:r>
              <w:rPr>
                <w:sz w:val="17"/>
              </w:rPr>
              <w:t>Coverage Verification Engine</w:t>
            </w:r>
          </w:p>
        </w:tc>
        <w:tc>
          <w:tcPr>
            <w:tcW w:type="dxa" w:w="4824"/>
            <w:vAlign w:val="center"/>
          </w:tcPr>
          <w:p>
            <w:pPr>
              <w:spacing w:after="0"/>
            </w:pPr>
            <w:r/>
            <w:r>
              <w:rPr>
                <w:sz w:val="17"/>
              </w:rPr>
              <w:t>Checks whether delivery work has evidence across code, tests, and pipeline results.</w:t>
            </w:r>
          </w:p>
        </w:tc>
        <w:tc>
          <w:tcPr>
            <w:tcW w:type="dxa" w:w="4104"/>
            <w:vAlign w:val="center"/>
          </w:tcPr>
          <w:p>
            <w:pPr>
              <w:spacing w:after="0"/>
            </w:pPr>
            <w:r/>
            <w:r>
              <w:rPr>
                <w:sz w:val="17"/>
              </w:rPr>
              <w:t>Story marked done but no linked test evidence or successful pipeline run found.</w:t>
            </w:r>
          </w:p>
        </w:tc>
      </w:tr>
      <w:tr>
        <w:tc>
          <w:tcPr>
            <w:tcW w:type="dxa" w:w="2736"/>
            <w:vAlign w:val="center"/>
          </w:tcPr>
          <w:p>
            <w:pPr>
              <w:spacing w:after="0"/>
            </w:pPr>
            <w:r/>
            <w:r>
              <w:rPr>
                <w:sz w:val="17"/>
              </w:rPr>
              <w:t>Release Readiness Engine</w:t>
            </w:r>
          </w:p>
        </w:tc>
        <w:tc>
          <w:tcPr>
            <w:tcW w:type="dxa" w:w="4824"/>
            <w:vAlign w:val="center"/>
          </w:tcPr>
          <w:p>
            <w:pPr>
              <w:spacing w:after="0"/>
            </w:pPr>
            <w:r/>
            <w:r>
              <w:rPr>
                <w:sz w:val="17"/>
              </w:rPr>
              <w:t>Summarizes whether the release is safe to proceed based on unresolved risks and evidence.</w:t>
            </w:r>
          </w:p>
        </w:tc>
        <w:tc>
          <w:tcPr>
            <w:tcW w:type="dxa" w:w="4104"/>
            <w:vAlign w:val="center"/>
          </w:tcPr>
          <w:p>
            <w:pPr>
              <w:spacing w:after="0"/>
            </w:pPr>
            <w:r/>
            <w:r>
              <w:rPr>
                <w:sz w:val="17"/>
              </w:rPr>
              <w:t>Release has 3 high-risk open findings and 2 failed pipeline runs.</w:t>
            </w:r>
          </w:p>
        </w:tc>
      </w:tr>
      <w:tr>
        <w:tc>
          <w:tcPr>
            <w:tcW w:type="dxa" w:w="2736"/>
            <w:vAlign w:val="center"/>
          </w:tcPr>
          <w:p>
            <w:pPr>
              <w:spacing w:after="0"/>
            </w:pPr>
            <w:r/>
            <w:r>
              <w:rPr>
                <w:sz w:val="17"/>
              </w:rPr>
              <w:t>Future Priority Engine</w:t>
            </w:r>
          </w:p>
        </w:tc>
        <w:tc>
          <w:tcPr>
            <w:tcW w:type="dxa" w:w="4824"/>
            <w:vAlign w:val="center"/>
          </w:tcPr>
          <w:p>
            <w:pPr>
              <w:spacing w:after="0"/>
            </w:pPr>
            <w:r/>
            <w:r>
              <w:rPr>
                <w:sz w:val="17"/>
              </w:rPr>
              <w:t>Will recommend backlog priority based on value, dependency, effort, and risk.</w:t>
            </w:r>
          </w:p>
        </w:tc>
        <w:tc>
          <w:tcPr>
            <w:tcW w:type="dxa" w:w="4104"/>
            <w:vAlign w:val="center"/>
          </w:tcPr>
          <w:p>
            <w:pPr>
              <w:spacing w:after="0"/>
            </w:pPr>
            <w:r/>
            <w:r>
              <w:rPr>
                <w:sz w:val="17"/>
              </w:rPr>
              <w:t>Deferred to later phase.</w:t>
            </w:r>
          </w:p>
        </w:tc>
      </w:tr>
      <w:tr>
        <w:tc>
          <w:tcPr>
            <w:tcW w:type="dxa" w:w="2736"/>
            <w:vAlign w:val="center"/>
          </w:tcPr>
          <w:p>
            <w:pPr>
              <w:spacing w:after="0"/>
            </w:pPr>
            <w:r/>
            <w:r>
              <w:rPr>
                <w:sz w:val="17"/>
              </w:rPr>
              <w:t>Future Semantic Alignment Engine</w:t>
            </w:r>
          </w:p>
        </w:tc>
        <w:tc>
          <w:tcPr>
            <w:tcW w:type="dxa" w:w="4824"/>
            <w:vAlign w:val="center"/>
          </w:tcPr>
          <w:p>
            <w:pPr>
              <w:spacing w:after="0"/>
            </w:pPr>
            <w:r/>
            <w:r>
              <w:rPr>
                <w:sz w:val="17"/>
              </w:rPr>
              <w:t>Will compare requirements, code, tests, and release notes for drift.</w:t>
            </w:r>
          </w:p>
        </w:tc>
        <w:tc>
          <w:tcPr>
            <w:tcW w:type="dxa" w:w="4104"/>
            <w:vAlign w:val="center"/>
          </w:tcPr>
          <w:p>
            <w:pPr>
              <w:spacing w:after="0"/>
            </w:pPr>
            <w:r/>
            <w:r>
              <w:rPr>
                <w:sz w:val="17"/>
              </w:rPr>
              <w:t>Deferred to later phase.</w:t>
            </w:r>
          </w:p>
        </w:tc>
      </w:tr>
    </w:tbl>
    <w:p/>
    <w:p>
      <w:pPr>
        <w:pStyle w:val="Heading1"/>
      </w:pPr>
      <w:r>
        <w:t>10. Key Dashboards and Screens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vAlign w:val="center"/>
          </w:tcPr>
          <w:p>
            <w:pPr>
              <w:spacing w:after="0"/>
            </w:pPr>
            <w:r/>
            <w:r>
              <w:rPr>
                <w:b/>
                <w:sz w:val="17"/>
              </w:rPr>
              <w:t>Screen</w:t>
            </w:r>
          </w:p>
        </w:tc>
        <w:tc>
          <w:tcPr>
            <w:tcW w:type="dxa" w:w="5904"/>
            <w:shd w:fill="D9EAF7"/>
            <w:vAlign w:val="center"/>
          </w:tcPr>
          <w:p>
            <w:pPr>
              <w:spacing w:after="0"/>
            </w:pPr>
            <w:r/>
            <w:r>
              <w:rPr>
                <w:b/>
                <w:sz w:val="17"/>
              </w:rPr>
              <w:t>Purpose</w:t>
            </w:r>
          </w:p>
        </w:tc>
        <w:tc>
          <w:tcPr>
            <w:tcW w:type="dxa" w:w="2880"/>
            <w:shd w:fill="D9EAF7"/>
            <w:vAlign w:val="center"/>
          </w:tcPr>
          <w:p>
            <w:pPr>
              <w:spacing w:after="0"/>
            </w:pPr>
            <w:r/>
            <w:r>
              <w:rPr>
                <w:b/>
                <w:sz w:val="17"/>
              </w:rPr>
              <w:t>Primary Audience</w:t>
            </w:r>
          </w:p>
        </w:tc>
      </w:tr>
      <w:tr>
        <w:tc>
          <w:tcPr>
            <w:tcW w:type="dxa" w:w="2880"/>
            <w:vAlign w:val="center"/>
          </w:tcPr>
          <w:p>
            <w:pPr>
              <w:spacing w:after="0"/>
            </w:pPr>
            <w:r/>
            <w:r>
              <w:rPr>
                <w:sz w:val="17"/>
              </w:rPr>
              <w:t>Executive Dashboard</w:t>
            </w:r>
          </w:p>
        </w:tc>
        <w:tc>
          <w:tcPr>
            <w:tcW w:type="dxa" w:w="5904"/>
            <w:vAlign w:val="center"/>
          </w:tcPr>
          <w:p>
            <w:pPr>
              <w:spacing w:after="0"/>
            </w:pPr>
            <w:r/>
            <w:r>
              <w:rPr>
                <w:sz w:val="17"/>
              </w:rPr>
              <w:t>Shows delivery health, quality trends, release readiness, proof metrics.</w:t>
            </w:r>
          </w:p>
        </w:tc>
        <w:tc>
          <w:tcPr>
            <w:tcW w:type="dxa" w:w="2880"/>
            <w:vAlign w:val="center"/>
          </w:tcPr>
          <w:p>
            <w:pPr>
              <w:spacing w:after="0"/>
            </w:pPr>
            <w:r/>
            <w:r>
              <w:rPr>
                <w:sz w:val="17"/>
              </w:rPr>
              <w:t>Executives, sponsors.</w:t>
            </w:r>
          </w:p>
        </w:tc>
      </w:tr>
      <w:tr>
        <w:tc>
          <w:tcPr>
            <w:tcW w:type="dxa" w:w="2880"/>
            <w:vAlign w:val="center"/>
          </w:tcPr>
          <w:p>
            <w:pPr>
              <w:spacing w:after="0"/>
            </w:pPr>
            <w:r/>
            <w:r>
              <w:rPr>
                <w:sz w:val="17"/>
              </w:rPr>
              <w:t>Project Health Dashboard</w:t>
            </w:r>
          </w:p>
        </w:tc>
        <w:tc>
          <w:tcPr>
            <w:tcW w:type="dxa" w:w="5904"/>
            <w:vAlign w:val="center"/>
          </w:tcPr>
          <w:p>
            <w:pPr>
              <w:spacing w:after="0"/>
            </w:pPr>
            <w:r/>
            <w:r>
              <w:rPr>
                <w:sz w:val="17"/>
              </w:rPr>
              <w:t>Shows project-level findings, risks, sync health, readiness.</w:t>
            </w:r>
          </w:p>
        </w:tc>
        <w:tc>
          <w:tcPr>
            <w:tcW w:type="dxa" w:w="2880"/>
            <w:vAlign w:val="center"/>
          </w:tcPr>
          <w:p>
            <w:pPr>
              <w:spacing w:after="0"/>
            </w:pPr>
            <w:r/>
            <w:r>
              <w:rPr>
                <w:sz w:val="17"/>
              </w:rPr>
              <w:t>Delivery managers, tech leads.</w:t>
            </w:r>
          </w:p>
        </w:tc>
      </w:tr>
      <w:tr>
        <w:tc>
          <w:tcPr>
            <w:tcW w:type="dxa" w:w="2880"/>
            <w:vAlign w:val="center"/>
          </w:tcPr>
          <w:p>
            <w:pPr>
              <w:spacing w:after="0"/>
            </w:pPr>
            <w:r/>
            <w:r>
              <w:rPr>
                <w:sz w:val="17"/>
              </w:rPr>
              <w:t>Findings Inbox</w:t>
            </w:r>
          </w:p>
        </w:tc>
        <w:tc>
          <w:tcPr>
            <w:tcW w:type="dxa" w:w="5904"/>
            <w:vAlign w:val="center"/>
          </w:tcPr>
          <w:p>
            <w:pPr>
              <w:spacing w:after="0"/>
            </w:pPr>
            <w:r/>
            <w:r>
              <w:rPr>
                <w:sz w:val="17"/>
              </w:rPr>
              <w:t>Shows actionable AI findings with lifecycle management.</w:t>
            </w:r>
          </w:p>
        </w:tc>
        <w:tc>
          <w:tcPr>
            <w:tcW w:type="dxa" w:w="2880"/>
            <w:vAlign w:val="center"/>
          </w:tcPr>
          <w:p>
            <w:pPr>
              <w:spacing w:after="0"/>
            </w:pPr>
            <w:r/>
            <w:r>
              <w:rPr>
                <w:sz w:val="17"/>
              </w:rPr>
              <w:t>Product, engineering, QA.</w:t>
            </w:r>
          </w:p>
        </w:tc>
      </w:tr>
      <w:tr>
        <w:tc>
          <w:tcPr>
            <w:tcW w:type="dxa" w:w="2880"/>
            <w:vAlign w:val="center"/>
          </w:tcPr>
          <w:p>
            <w:pPr>
              <w:spacing w:after="0"/>
            </w:pPr>
            <w:r/>
            <w:r>
              <w:rPr>
                <w:sz w:val="17"/>
              </w:rPr>
              <w:t>Story Quality View</w:t>
            </w:r>
          </w:p>
        </w:tc>
        <w:tc>
          <w:tcPr>
            <w:tcW w:type="dxa" w:w="5904"/>
            <w:vAlign w:val="center"/>
          </w:tcPr>
          <w:p>
            <w:pPr>
              <w:spacing w:after="0"/>
            </w:pPr>
            <w:r/>
            <w:r>
              <w:rPr>
                <w:sz w:val="17"/>
              </w:rPr>
              <w:t>Shows requirement gaps, ambiguity, missing NFRs, testability issues.</w:t>
            </w:r>
          </w:p>
        </w:tc>
        <w:tc>
          <w:tcPr>
            <w:tcW w:type="dxa" w:w="2880"/>
            <w:vAlign w:val="center"/>
          </w:tcPr>
          <w:p>
            <w:pPr>
              <w:spacing w:after="0"/>
            </w:pPr>
            <w:r/>
            <w:r>
              <w:rPr>
                <w:sz w:val="17"/>
              </w:rPr>
              <w:t>Product owners, BAs, scrum leads.</w:t>
            </w:r>
          </w:p>
        </w:tc>
      </w:tr>
      <w:tr>
        <w:tc>
          <w:tcPr>
            <w:tcW w:type="dxa" w:w="2880"/>
            <w:vAlign w:val="center"/>
          </w:tcPr>
          <w:p>
            <w:pPr>
              <w:spacing w:after="0"/>
            </w:pPr>
            <w:r/>
            <w:r>
              <w:rPr>
                <w:sz w:val="17"/>
              </w:rPr>
              <w:t>Code Quality View</w:t>
            </w:r>
          </w:p>
        </w:tc>
        <w:tc>
          <w:tcPr>
            <w:tcW w:type="dxa" w:w="5904"/>
            <w:vAlign w:val="center"/>
          </w:tcPr>
          <w:p>
            <w:pPr>
              <w:spacing w:after="0"/>
            </w:pPr>
            <w:r/>
            <w:r>
              <w:rPr>
                <w:sz w:val="17"/>
              </w:rPr>
              <w:t>Shows scanner-backed risks and AI explanations.</w:t>
            </w:r>
          </w:p>
        </w:tc>
        <w:tc>
          <w:tcPr>
            <w:tcW w:type="dxa" w:w="2880"/>
            <w:vAlign w:val="center"/>
          </w:tcPr>
          <w:p>
            <w:pPr>
              <w:spacing w:after="0"/>
            </w:pPr>
            <w:r/>
            <w:r>
              <w:rPr>
                <w:sz w:val="17"/>
              </w:rPr>
              <w:t>Tech leads, developers.</w:t>
            </w:r>
          </w:p>
        </w:tc>
      </w:tr>
      <w:tr>
        <w:tc>
          <w:tcPr>
            <w:tcW w:type="dxa" w:w="2880"/>
            <w:vAlign w:val="center"/>
          </w:tcPr>
          <w:p>
            <w:pPr>
              <w:spacing w:after="0"/>
            </w:pPr>
            <w:r/>
            <w:r>
              <w:rPr>
                <w:sz w:val="17"/>
              </w:rPr>
              <w:t>Coverage Traceability View</w:t>
            </w:r>
          </w:p>
        </w:tc>
        <w:tc>
          <w:tcPr>
            <w:tcW w:type="dxa" w:w="5904"/>
            <w:vAlign w:val="center"/>
          </w:tcPr>
          <w:p>
            <w:pPr>
              <w:spacing w:after="0"/>
            </w:pPr>
            <w:r/>
            <w:r>
              <w:rPr>
                <w:sz w:val="17"/>
              </w:rPr>
              <w:t>Shows story-to-code-to-test-to-build evidence.</w:t>
            </w:r>
          </w:p>
        </w:tc>
        <w:tc>
          <w:tcPr>
            <w:tcW w:type="dxa" w:w="2880"/>
            <w:vAlign w:val="center"/>
          </w:tcPr>
          <w:p>
            <w:pPr>
              <w:spacing w:after="0"/>
            </w:pPr>
            <w:r/>
            <w:r>
              <w:rPr>
                <w:sz w:val="17"/>
              </w:rPr>
              <w:t>QA leads, release managers.</w:t>
            </w:r>
          </w:p>
        </w:tc>
      </w:tr>
      <w:tr>
        <w:tc>
          <w:tcPr>
            <w:tcW w:type="dxa" w:w="2880"/>
            <w:vAlign w:val="center"/>
          </w:tcPr>
          <w:p>
            <w:pPr>
              <w:spacing w:after="0"/>
            </w:pPr>
            <w:r/>
            <w:r>
              <w:rPr>
                <w:sz w:val="17"/>
              </w:rPr>
              <w:t>Proof Pack Export</w:t>
            </w:r>
          </w:p>
        </w:tc>
        <w:tc>
          <w:tcPr>
            <w:tcW w:type="dxa" w:w="5904"/>
            <w:vAlign w:val="center"/>
          </w:tcPr>
          <w:p>
            <w:pPr>
              <w:spacing w:after="0"/>
            </w:pPr>
            <w:r/>
            <w:r>
              <w:rPr>
                <w:sz w:val="17"/>
              </w:rPr>
              <w:t>Creates stakeholder-ready report.</w:t>
            </w:r>
          </w:p>
        </w:tc>
        <w:tc>
          <w:tcPr>
            <w:tcW w:type="dxa" w:w="2880"/>
            <w:vAlign w:val="center"/>
          </w:tcPr>
          <w:p>
            <w:pPr>
              <w:spacing w:after="0"/>
            </w:pPr>
            <w:r/>
            <w:r>
              <w:rPr>
                <w:sz w:val="17"/>
              </w:rPr>
              <w:t>Business sponsors, customer stakeholders.</w:t>
            </w:r>
          </w:p>
        </w:tc>
      </w:tr>
    </w:tbl>
    <w:p/>
    <w:p>
      <w:pPr>
        <w:pStyle w:val="Heading1"/>
      </w:pPr>
      <w:r>
        <w:t>11. Business Metrics and Proof Framework</w:t>
      </w:r>
    </w:p>
    <w:p>
      <w:r>
        <w:t>APSO must not invent metrics. It should clearly label actual, estimated, placeholder, and AI-inferred values. For the MVP, missing customer proof data should be shown as placeholders until measured.</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D9EAF7"/>
            <w:vAlign w:val="center"/>
          </w:tcPr>
          <w:p>
            <w:pPr>
              <w:spacing w:after="0"/>
            </w:pPr>
            <w:r/>
            <w:r>
              <w:rPr>
                <w:b/>
                <w:sz w:val="17"/>
              </w:rPr>
              <w:t>Metric</w:t>
            </w:r>
          </w:p>
        </w:tc>
        <w:tc>
          <w:tcPr>
            <w:tcW w:type="dxa" w:w="4680"/>
            <w:shd w:fill="D9EAF7"/>
            <w:vAlign w:val="center"/>
          </w:tcPr>
          <w:p>
            <w:pPr>
              <w:spacing w:after="0"/>
            </w:pPr>
            <w:r/>
            <w:r>
              <w:rPr>
                <w:b/>
                <w:sz w:val="17"/>
              </w:rPr>
              <w:t>Meaning</w:t>
            </w:r>
          </w:p>
        </w:tc>
        <w:tc>
          <w:tcPr>
            <w:tcW w:type="dxa" w:w="4392"/>
            <w:shd w:fill="D9EAF7"/>
            <w:vAlign w:val="center"/>
          </w:tcPr>
          <w:p>
            <w:pPr>
              <w:spacing w:after="0"/>
            </w:pPr>
            <w:r/>
            <w:r>
              <w:rPr>
                <w:b/>
                <w:sz w:val="17"/>
              </w:rPr>
              <w:t>Evidence Source</w:t>
            </w:r>
          </w:p>
        </w:tc>
      </w:tr>
      <w:tr>
        <w:tc>
          <w:tcPr>
            <w:tcW w:type="dxa" w:w="2592"/>
            <w:vAlign w:val="center"/>
          </w:tcPr>
          <w:p>
            <w:pPr>
              <w:spacing w:after="0"/>
            </w:pPr>
            <w:r/>
            <w:r>
              <w:rPr>
                <w:sz w:val="17"/>
              </w:rPr>
              <w:t>Hours saved</w:t>
            </w:r>
          </w:p>
        </w:tc>
        <w:tc>
          <w:tcPr>
            <w:tcW w:type="dxa" w:w="4680"/>
            <w:vAlign w:val="center"/>
          </w:tcPr>
          <w:p>
            <w:pPr>
              <w:spacing w:after="0"/>
            </w:pPr>
            <w:r/>
            <w:r>
              <w:rPr>
                <w:sz w:val="17"/>
              </w:rPr>
              <w:t>Estimated or actual effort avoided through earlier detection.</w:t>
            </w:r>
          </w:p>
        </w:tc>
        <w:tc>
          <w:tcPr>
            <w:tcW w:type="dxa" w:w="4392"/>
            <w:vAlign w:val="center"/>
          </w:tcPr>
          <w:p>
            <w:pPr>
              <w:spacing w:after="0"/>
            </w:pPr>
            <w:r/>
            <w:r>
              <w:rPr>
                <w:sz w:val="17"/>
              </w:rPr>
              <w:t>Finding lifecycle, stakeholder input, historical rework records.</w:t>
            </w:r>
          </w:p>
        </w:tc>
      </w:tr>
      <w:tr>
        <w:tc>
          <w:tcPr>
            <w:tcW w:type="dxa" w:w="2592"/>
            <w:vAlign w:val="center"/>
          </w:tcPr>
          <w:p>
            <w:pPr>
              <w:spacing w:after="0"/>
            </w:pPr>
            <w:r/>
            <w:r>
              <w:rPr>
                <w:sz w:val="17"/>
              </w:rPr>
              <w:t>Rework avoided</w:t>
            </w:r>
          </w:p>
        </w:tc>
        <w:tc>
          <w:tcPr>
            <w:tcW w:type="dxa" w:w="4680"/>
            <w:vAlign w:val="center"/>
          </w:tcPr>
          <w:p>
            <w:pPr>
              <w:spacing w:after="0"/>
            </w:pPr>
            <w:r/>
            <w:r>
              <w:rPr>
                <w:sz w:val="17"/>
              </w:rPr>
              <w:t>Work prevented by catching gaps before development or release.</w:t>
            </w:r>
          </w:p>
        </w:tc>
        <w:tc>
          <w:tcPr>
            <w:tcW w:type="dxa" w:w="4392"/>
            <w:vAlign w:val="center"/>
          </w:tcPr>
          <w:p>
            <w:pPr>
              <w:spacing w:after="0"/>
            </w:pPr>
            <w:r/>
            <w:r>
              <w:rPr>
                <w:sz w:val="17"/>
              </w:rPr>
              <w:t>Story gap findings, defect history, resolved actions.</w:t>
            </w:r>
          </w:p>
        </w:tc>
      </w:tr>
      <w:tr>
        <w:tc>
          <w:tcPr>
            <w:tcW w:type="dxa" w:w="2592"/>
            <w:vAlign w:val="center"/>
          </w:tcPr>
          <w:p>
            <w:pPr>
              <w:spacing w:after="0"/>
            </w:pPr>
            <w:r/>
            <w:r>
              <w:rPr>
                <w:sz w:val="17"/>
              </w:rPr>
              <w:t>Defects prevented</w:t>
            </w:r>
          </w:p>
        </w:tc>
        <w:tc>
          <w:tcPr>
            <w:tcW w:type="dxa" w:w="4680"/>
            <w:vAlign w:val="center"/>
          </w:tcPr>
          <w:p>
            <w:pPr>
              <w:spacing w:after="0"/>
            </w:pPr>
            <w:r/>
            <w:r>
              <w:rPr>
                <w:sz w:val="17"/>
              </w:rPr>
              <w:t>Risks identified before production or QA escalation.</w:t>
            </w:r>
          </w:p>
        </w:tc>
        <w:tc>
          <w:tcPr>
            <w:tcW w:type="dxa" w:w="4392"/>
            <w:vAlign w:val="center"/>
          </w:tcPr>
          <w:p>
            <w:pPr>
              <w:spacing w:after="0"/>
            </w:pPr>
            <w:r/>
            <w:r>
              <w:rPr>
                <w:sz w:val="17"/>
              </w:rPr>
              <w:t>Quality findings, scanner output, defect records.</w:t>
            </w:r>
          </w:p>
        </w:tc>
      </w:tr>
      <w:tr>
        <w:tc>
          <w:tcPr>
            <w:tcW w:type="dxa" w:w="2592"/>
            <w:vAlign w:val="center"/>
          </w:tcPr>
          <w:p>
            <w:pPr>
              <w:spacing w:after="0"/>
            </w:pPr>
            <w:r/>
            <w:r>
              <w:rPr>
                <w:sz w:val="17"/>
              </w:rPr>
              <w:t>Lead-time reduction</w:t>
            </w:r>
          </w:p>
        </w:tc>
        <w:tc>
          <w:tcPr>
            <w:tcW w:type="dxa" w:w="4680"/>
            <w:vAlign w:val="center"/>
          </w:tcPr>
          <w:p>
            <w:pPr>
              <w:spacing w:after="0"/>
            </w:pPr>
            <w:r/>
            <w:r>
              <w:rPr>
                <w:sz w:val="17"/>
              </w:rPr>
              <w:t>Improvement in time from ready to done or PR to merge.</w:t>
            </w:r>
          </w:p>
        </w:tc>
        <w:tc>
          <w:tcPr>
            <w:tcW w:type="dxa" w:w="4392"/>
            <w:vAlign w:val="center"/>
          </w:tcPr>
          <w:p>
            <w:pPr>
              <w:spacing w:after="0"/>
            </w:pPr>
            <w:r/>
            <w:r>
              <w:rPr>
                <w:sz w:val="17"/>
              </w:rPr>
              <w:t>Jira status history, PR timeline, pipeline timeline.</w:t>
            </w:r>
          </w:p>
        </w:tc>
      </w:tr>
      <w:tr>
        <w:tc>
          <w:tcPr>
            <w:tcW w:type="dxa" w:w="2592"/>
            <w:vAlign w:val="center"/>
          </w:tcPr>
          <w:p>
            <w:pPr>
              <w:spacing w:after="0"/>
            </w:pPr>
            <w:r/>
            <w:r>
              <w:rPr>
                <w:sz w:val="17"/>
              </w:rPr>
              <w:t>Coverage improvement</w:t>
            </w:r>
          </w:p>
        </w:tc>
        <w:tc>
          <w:tcPr>
            <w:tcW w:type="dxa" w:w="4680"/>
            <w:vAlign w:val="center"/>
          </w:tcPr>
          <w:p>
            <w:pPr>
              <w:spacing w:after="0"/>
            </w:pPr>
            <w:r/>
            <w:r>
              <w:rPr>
                <w:sz w:val="17"/>
              </w:rPr>
              <w:t>Increase in test/traceability evidence.</w:t>
            </w:r>
          </w:p>
        </w:tc>
        <w:tc>
          <w:tcPr>
            <w:tcW w:type="dxa" w:w="4392"/>
            <w:vAlign w:val="center"/>
          </w:tcPr>
          <w:p>
            <w:pPr>
              <w:spacing w:after="0"/>
            </w:pPr>
            <w:r/>
            <w:r>
              <w:rPr>
                <w:sz w:val="17"/>
              </w:rPr>
              <w:t>Coverage reports, test results, PR links.</w:t>
            </w:r>
          </w:p>
        </w:tc>
      </w:tr>
      <w:tr>
        <w:tc>
          <w:tcPr>
            <w:tcW w:type="dxa" w:w="2592"/>
            <w:vAlign w:val="center"/>
          </w:tcPr>
          <w:p>
            <w:pPr>
              <w:spacing w:after="0"/>
            </w:pPr>
            <w:r/>
            <w:r>
              <w:rPr>
                <w:sz w:val="17"/>
              </w:rPr>
              <w:t>Release readiness</w:t>
            </w:r>
          </w:p>
        </w:tc>
        <w:tc>
          <w:tcPr>
            <w:tcW w:type="dxa" w:w="4680"/>
            <w:vAlign w:val="center"/>
          </w:tcPr>
          <w:p>
            <w:pPr>
              <w:spacing w:after="0"/>
            </w:pPr>
            <w:r/>
            <w:r>
              <w:rPr>
                <w:sz w:val="17"/>
              </w:rPr>
              <w:t>Composite view of risk, tests, pipelines, and unresolved findings.</w:t>
            </w:r>
          </w:p>
        </w:tc>
        <w:tc>
          <w:tcPr>
            <w:tcW w:type="dxa" w:w="4392"/>
            <w:vAlign w:val="center"/>
          </w:tcPr>
          <w:p>
            <w:pPr>
              <w:spacing w:after="0"/>
            </w:pPr>
            <w:r/>
            <w:r>
              <w:rPr>
                <w:sz w:val="17"/>
              </w:rPr>
              <w:t>Jira, Bitbucket, CI/CD, APSO findings.</w:t>
            </w:r>
          </w:p>
        </w:tc>
      </w:tr>
    </w:tbl>
    <w:p/>
    <w:p>
      <w:pPr>
        <w:pStyle w:val="Heading1"/>
      </w:pPr>
      <w:r>
        <w:t>12. Production-Grade Business Capabilities</w:t>
      </w:r>
    </w:p>
    <w:p>
      <w:pPr>
        <w:pStyle w:val="ListBullet"/>
      </w:pPr>
      <w:r>
        <w:t>Multi-tenant setup for multiple customers or business units.</w:t>
      </w:r>
    </w:p>
    <w:p>
      <w:pPr>
        <w:pStyle w:val="ListBullet"/>
      </w:pPr>
      <w:r>
        <w:t>Role-based access for executives, managers, product owners, developers, QA, and auditors.</w:t>
      </w:r>
    </w:p>
    <w:p>
      <w:pPr>
        <w:pStyle w:val="ListBullet"/>
      </w:pPr>
      <w:r>
        <w:t>Read-only integration posture for safe onboarding.</w:t>
      </w:r>
    </w:p>
    <w:p>
      <w:pPr>
        <w:pStyle w:val="ListBullet"/>
      </w:pPr>
      <w:r>
        <w:t>Evidence-backed recommendations with source links.</w:t>
      </w:r>
    </w:p>
    <w:p>
      <w:pPr>
        <w:pStyle w:val="ListBullet"/>
      </w:pPr>
      <w:r>
        <w:t>Audit logs for enterprise trust.</w:t>
      </w:r>
    </w:p>
    <w:p>
      <w:pPr>
        <w:pStyle w:val="ListBullet"/>
      </w:pPr>
      <w:r>
        <w:t>Configurable scoring policies in later phases.</w:t>
      </w:r>
    </w:p>
    <w:p>
      <w:pPr>
        <w:pStyle w:val="ListBullet"/>
      </w:pPr>
      <w:r>
        <w:t>Self-hosted/freeware-first deployment posture.</w:t>
      </w:r>
    </w:p>
    <w:p>
      <w:pPr>
        <w:pStyle w:val="ListBullet"/>
      </w:pPr>
      <w:r>
        <w:t>Future optional paid model adapters without changing application behavior.</w:t>
      </w:r>
    </w:p>
    <w:p>
      <w:pPr>
        <w:pStyle w:val="Heading1"/>
      </w:pPr>
      <w:r>
        <w:t>13. Demo Storyline</w:t>
      </w:r>
    </w:p>
    <w:p>
      <w:pPr>
        <w:pStyle w:val="ListNumber"/>
      </w:pPr>
      <w:r>
        <w:t>Start with a Jira story that appears ready.</w:t>
      </w:r>
    </w:p>
    <w:p>
      <w:pPr>
        <w:pStyle w:val="ListNumber"/>
      </w:pPr>
      <w:r>
        <w:t>Show APSO detecting missing acceptance criteria and ambiguous scope.</w:t>
      </w:r>
    </w:p>
    <w:p>
      <w:pPr>
        <w:pStyle w:val="ListNumber"/>
      </w:pPr>
      <w:r>
        <w:t>Open the linked Bitbucket PR/code evidence.</w:t>
      </w:r>
    </w:p>
    <w:p>
      <w:pPr>
        <w:pStyle w:val="ListNumber"/>
      </w:pPr>
      <w:r>
        <w:t>Show quality/security findings generated from deterministic scanner evidence.</w:t>
      </w:r>
    </w:p>
    <w:p>
      <w:pPr>
        <w:pStyle w:val="ListNumber"/>
      </w:pPr>
      <w:r>
        <w:t>Show coverage traceability from Jira story to commits, PRs, tests, and pipeline status.</w:t>
      </w:r>
    </w:p>
    <w:p>
      <w:pPr>
        <w:pStyle w:val="ListNumber"/>
      </w:pPr>
      <w:r>
        <w:t>Show release readiness summary highlighting unresolved risks.</w:t>
      </w:r>
    </w:p>
    <w:p>
      <w:pPr>
        <w:pStyle w:val="ListNumber"/>
      </w:pPr>
      <w:r>
        <w:t>Generate a proof pack explaining what APSO found, what action is needed, and what metric should be captured.</w:t>
      </w:r>
    </w:p>
    <w:p>
      <w:pPr>
        <w:pStyle w:val="Heading1"/>
      </w:pPr>
      <w:r>
        <w:t>14. Stakeholder Acceptance Criteria</w:t>
      </w:r>
    </w:p>
    <w:p>
      <w:pPr>
        <w:pStyle w:val="ListBullet"/>
      </w:pPr>
      <w:r>
        <w:t>Business stakeholders can understand what APSO does without reading code.</w:t>
      </w:r>
    </w:p>
    <w:p>
      <w:pPr>
        <w:pStyle w:val="ListBullet"/>
      </w:pPr>
      <w:r>
        <w:t>Every dashboard and report connects to business outcomes.</w:t>
      </w:r>
    </w:p>
    <w:p>
      <w:pPr>
        <w:pStyle w:val="ListBullet"/>
      </w:pPr>
      <w:r>
        <w:t>AI findings are explainable and evidence-backed.</w:t>
      </w:r>
    </w:p>
    <w:p>
      <w:pPr>
        <w:pStyle w:val="ListBullet"/>
      </w:pPr>
      <w:r>
        <w:t>The product avoids unsafe write-back during MVP.</w:t>
      </w:r>
    </w:p>
    <w:p>
      <w:pPr>
        <w:pStyle w:val="ListBullet"/>
      </w:pPr>
      <w:r>
        <w:t>The MVP can be demonstrated with real read-only Jira/Bitbucket data.</w:t>
      </w:r>
    </w:p>
    <w:p>
      <w:pPr>
        <w:pStyle w:val="ListBullet"/>
      </w:pPr>
      <w:r>
        <w:t>Proof metrics are clearly separated from placeholders.</w:t>
      </w:r>
    </w:p>
    <w:p>
      <w:pPr>
        <w:pStyle w:val="ListBullet"/>
      </w:pPr>
      <w:r>
        <w:t>The product narrative supports a future sellable application.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APSO Business Functionality and Value Guide | Stakeholder-ready functionality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75E"/>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