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APSO Locked Freeware Implementation Plan</w:t>
      </w:r>
    </w:p>
    <w:p>
      <w:pPr>
        <w:jc w:val="center"/>
      </w:pPr>
      <w:r>
        <w:rPr>
          <w:i/>
          <w:color w:val="595959"/>
          <w:sz w:val="22"/>
        </w:rPr>
        <w:t>Configuration-first, read-only integration baseline for production-grade AI SDLC intelligence</w:t>
      </w:r>
    </w:p>
    <w:p>
      <w:pPr>
        <w:jc w:val="center"/>
      </w:pPr>
      <w:r>
        <w:t>Environment model: dev and prod only | Core development cost: no paid software or paid SaaS dependency</w:t>
      </w:r>
    </w:p>
    <w:tbl>
      <w:tblPr>
        <w:tblW w:type="auto" w:w="0"/>
        <w:jc w:val="center"/>
        <w:tblLook w:firstColumn="1" w:firstRow="1" w:lastColumn="0" w:lastRow="0" w:noHBand="0" w:noVBand="1" w:val="04A0"/>
      </w:tblPr>
      <w:tblGrid>
        <w:gridCol w:w="10368"/>
      </w:tblGrid>
      <w:tr>
        <w:tc>
          <w:tcPr>
            <w:tcW w:type="dxa" w:w="10368"/>
            <w:shd w:fill="EEF6E8"/>
          </w:tcPr>
          <w:p>
            <w:pPr>
              <w:spacing w:after="60"/>
            </w:pPr>
            <w:r>
              <w:rPr>
                <w:b/>
                <w:color w:val="255B2F"/>
                <w:sz w:val="20"/>
              </w:rPr>
              <w:t>Development Non-Deviation Rule</w:t>
            </w:r>
          </w:p>
          <w:p>
            <w:pPr>
              <w:spacing w:after="0"/>
            </w:pPr>
            <w:r>
              <w:rPr>
                <w:sz w:val="18"/>
              </w:rPr>
              <w:t>The APSO team must follow this document as the delivery authority. No alternate framework, paid SaaS dependency, model provider, database, auth platform, object store, workflow engine, observability stack, scanner, or write-back integration may be introduced without formal approval and a versioned update to this document.</w:t>
            </w:r>
          </w:p>
        </w:tc>
      </w:tr>
    </w:tbl>
    <w:p/>
    <w:p>
      <w:pPr>
        <w:pStyle w:val="Heading1"/>
      </w:pPr>
      <w:r>
        <w:t>1. Executive Summary</w:t>
      </w:r>
    </w:p>
    <w:p>
      <w:r>
        <w:t>APSO will be built as a sellable AI SDLC intelligence platform that extracts evidence from Jira, Bitbucket, AWS CodeCommit, and CI/CD pipelines, then analyzes requirement quality, code quality, coverage, release readiness, and productivity indicators. The original development scope is read-only extraction and analysis. Jira or Bitbucket write-back is not part of the MVP.</w:t>
      </w:r>
    </w:p>
    <w:p>
      <w:r>
        <w:t>The stack is locked to free/open-source/self-hosted components for development. Jira, Bitbucket, and AWS are external customer systems and are integrations only; they are not required as paid development dependencies because dev must support fixture/mock mode.</w:t>
      </w:r>
    </w:p>
    <w:p>
      <w:pPr>
        <w:pStyle w:val="Heading1"/>
      </w:pPr>
      <w:r>
        <w:t>2. Locked Environments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shd w:fill="D9EAF7"/>
          </w:tcPr>
          <w:p>
            <w:pPr>
              <w:spacing w:after="0"/>
            </w:pPr>
            <w:r/>
            <w:r>
              <w:rPr>
                <w:b/>
                <w:sz w:val="18"/>
              </w:rPr>
              <w:t>Environment</w:t>
            </w:r>
          </w:p>
        </w:tc>
        <w:tc>
          <w:tcPr>
            <w:tcW w:type="dxa" w:w="3744"/>
            <w:vAlign w:val="center"/>
            <w:shd w:fill="D9EAF7"/>
          </w:tcPr>
          <w:p>
            <w:pPr>
              <w:spacing w:after="0"/>
            </w:pPr>
            <w:r/>
            <w:r>
              <w:rPr>
                <w:b/>
                <w:sz w:val="18"/>
              </w:rPr>
              <w:t>Purpose</w:t>
            </w:r>
          </w:p>
        </w:tc>
        <w:tc>
          <w:tcPr>
            <w:tcW w:type="dxa" w:w="3312"/>
            <w:vAlign w:val="center"/>
            <w:shd w:fill="D9EAF7"/>
          </w:tcPr>
          <w:p>
            <w:pPr>
              <w:spacing w:after="0"/>
            </w:pPr>
            <w:r/>
            <w:r>
              <w:rPr>
                <w:b/>
                <w:sz w:val="18"/>
              </w:rPr>
              <w:t>Allowed Integration Mode</w:t>
            </w:r>
          </w:p>
        </w:tc>
        <w:tc>
          <w:tcPr>
            <w:tcW w:type="dxa" w:w="3600"/>
            <w:vAlign w:val="center"/>
            <w:shd w:fill="D9EAF7"/>
          </w:tcPr>
          <w:p>
            <w:pPr>
              <w:spacing w:after="0"/>
            </w:pPr>
            <w:r/>
            <w:r>
              <w:rPr>
                <w:b/>
                <w:sz w:val="18"/>
              </w:rPr>
              <w:t>AI Model Policy</w:t>
            </w:r>
          </w:p>
        </w:tc>
      </w:tr>
      <w:tr>
        <w:tc>
          <w:tcPr>
            <w:tcW w:type="dxa" w:w="1440"/>
            <w:vAlign w:val="center"/>
          </w:tcPr>
          <w:p>
            <w:pPr>
              <w:spacing w:after="0"/>
            </w:pPr>
            <w:r/>
            <w:r>
              <w:rPr>
                <w:b w:val="0"/>
                <w:sz w:val="18"/>
              </w:rPr>
              <w:t>dev</w:t>
            </w:r>
          </w:p>
        </w:tc>
        <w:tc>
          <w:tcPr>
            <w:tcW w:type="dxa" w:w="3744"/>
            <w:vAlign w:val="center"/>
          </w:tcPr>
          <w:p>
            <w:pPr>
              <w:spacing w:after="0"/>
            </w:pPr>
            <w:r/>
            <w:r>
              <w:rPr>
                <w:b w:val="0"/>
                <w:sz w:val="18"/>
              </w:rPr>
              <w:t>Internal development, testing, demos, fixture data, and optional read-only live connector checks.</w:t>
            </w:r>
          </w:p>
        </w:tc>
        <w:tc>
          <w:tcPr>
            <w:tcW w:type="dxa" w:w="3312"/>
            <w:vAlign w:val="center"/>
          </w:tcPr>
          <w:p>
            <w:pPr>
              <w:spacing w:after="0"/>
            </w:pPr>
            <w:r/>
            <w:r>
              <w:rPr>
                <w:b w:val="0"/>
                <w:sz w:val="18"/>
              </w:rPr>
              <w:t>Mock/fixture by default; live read-only tokens allowed when available.</w:t>
            </w:r>
          </w:p>
        </w:tc>
        <w:tc>
          <w:tcPr>
            <w:tcW w:type="dxa" w:w="3600"/>
            <w:vAlign w:val="center"/>
          </w:tcPr>
          <w:p>
            <w:pPr>
              <w:spacing w:after="0"/>
            </w:pPr>
            <w:r/>
            <w:r>
              <w:rPr>
                <w:b w:val="0"/>
                <w:sz w:val="18"/>
              </w:rPr>
              <w:t>Ollama only: qwen2.5-coder:14b and qwen3-embedding:4b.</w:t>
            </w:r>
          </w:p>
        </w:tc>
      </w:tr>
      <w:tr>
        <w:tc>
          <w:tcPr>
            <w:tcW w:type="dxa" w:w="1440"/>
            <w:vAlign w:val="center"/>
          </w:tcPr>
          <w:p>
            <w:pPr>
              <w:spacing w:after="0"/>
            </w:pPr>
            <w:r/>
            <w:r>
              <w:rPr>
                <w:b w:val="0"/>
                <w:sz w:val="18"/>
              </w:rPr>
              <w:t>prod</w:t>
            </w:r>
          </w:p>
        </w:tc>
        <w:tc>
          <w:tcPr>
            <w:tcW w:type="dxa" w:w="3744"/>
            <w:vAlign w:val="center"/>
          </w:tcPr>
          <w:p>
            <w:pPr>
              <w:spacing w:after="0"/>
            </w:pPr>
            <w:r/>
            <w:r>
              <w:rPr>
                <w:b w:val="0"/>
                <w:sz w:val="18"/>
              </w:rPr>
              <w:t>Customer/self-hosted production deployment.</w:t>
            </w:r>
          </w:p>
        </w:tc>
        <w:tc>
          <w:tcPr>
            <w:tcW w:type="dxa" w:w="3312"/>
            <w:vAlign w:val="center"/>
          </w:tcPr>
          <w:p>
            <w:pPr>
              <w:spacing w:after="0"/>
            </w:pPr>
            <w:r/>
            <w:r>
              <w:rPr>
                <w:b w:val="0"/>
                <w:sz w:val="18"/>
              </w:rPr>
              <w:t>Live customer Jira, Bitbucket, AWS CodeCommit, and CI/CD integrations.</w:t>
            </w:r>
          </w:p>
        </w:tc>
        <w:tc>
          <w:tcPr>
            <w:tcW w:type="dxa" w:w="3600"/>
            <w:vAlign w:val="center"/>
          </w:tcPr>
          <w:p>
            <w:pPr>
              <w:spacing w:after="0"/>
            </w:pPr>
            <w:r/>
            <w:r>
              <w:rPr>
                <w:b w:val="0"/>
                <w:sz w:val="18"/>
              </w:rPr>
              <w:t>AI Gateway controls provider. Default remains self-hosted/local unless approved.</w:t>
            </w:r>
          </w:p>
        </w:tc>
      </w:tr>
    </w:tbl>
    <w:p/>
    <w:p>
      <w:pPr>
        <w:pStyle w:val="Heading1"/>
      </w:pPr>
      <w:r>
        <w:t>3. Locked Freeware/Open-Source Stack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12"/>
            <w:vAlign w:val="center"/>
            <w:shd w:fill="D9EAF7"/>
          </w:tcPr>
          <w:p>
            <w:pPr>
              <w:spacing w:after="0"/>
            </w:pPr>
            <w:r/>
            <w:r>
              <w:rPr>
                <w:b/>
                <w:sz w:val="18"/>
              </w:rPr>
              <w:t>Layer</w:t>
            </w:r>
          </w:p>
        </w:tc>
        <w:tc>
          <w:tcPr>
            <w:tcW w:type="dxa" w:w="2520"/>
            <w:vAlign w:val="center"/>
            <w:shd w:fill="D9EAF7"/>
          </w:tcPr>
          <w:p>
            <w:pPr>
              <w:spacing w:after="0"/>
            </w:pPr>
            <w:r/>
            <w:r>
              <w:rPr>
                <w:b/>
                <w:sz w:val="18"/>
              </w:rPr>
              <w:t>Locked Tool</w:t>
            </w:r>
          </w:p>
        </w:tc>
        <w:tc>
          <w:tcPr>
            <w:tcW w:type="dxa" w:w="4752"/>
            <w:vAlign w:val="center"/>
            <w:shd w:fill="D9EAF7"/>
          </w:tcPr>
          <w:p>
            <w:pPr>
              <w:spacing w:after="0"/>
            </w:pPr>
            <w:r/>
            <w:r>
              <w:rPr>
                <w:b/>
                <w:sz w:val="18"/>
              </w:rPr>
              <w:t>Purpose</w:t>
            </w:r>
          </w:p>
        </w:tc>
        <w:tc>
          <w:tcPr>
            <w:tcW w:type="dxa" w:w="3024"/>
            <w:vAlign w:val="center"/>
            <w:shd w:fill="D9EAF7"/>
          </w:tcPr>
          <w:p>
            <w:pPr>
              <w:spacing w:after="0"/>
            </w:pPr>
            <w:r/>
            <w:r>
              <w:rPr>
                <w:b/>
                <w:sz w:val="18"/>
              </w:rPr>
              <w:t>Cost/License Posture</w:t>
            </w:r>
          </w:p>
        </w:tc>
      </w:tr>
      <w:tr>
        <w:tc>
          <w:tcPr>
            <w:tcW w:type="dxa" w:w="1512"/>
            <w:vAlign w:val="center"/>
          </w:tcPr>
          <w:p>
            <w:pPr>
              <w:spacing w:after="0"/>
            </w:pPr>
            <w:r/>
            <w:r>
              <w:rPr>
                <w:b w:val="0"/>
                <w:sz w:val="18"/>
              </w:rPr>
              <w:t>Frontend</w:t>
            </w:r>
          </w:p>
        </w:tc>
        <w:tc>
          <w:tcPr>
            <w:tcW w:type="dxa" w:w="2520"/>
            <w:vAlign w:val="center"/>
          </w:tcPr>
          <w:p>
            <w:pPr>
              <w:spacing w:after="0"/>
            </w:pPr>
            <w:r/>
            <w:r>
              <w:rPr>
                <w:b w:val="0"/>
                <w:sz w:val="18"/>
              </w:rPr>
              <w:t>Next.js, React, TypeScript, Tailwind CSS, shadcn/ui</w:t>
            </w:r>
          </w:p>
        </w:tc>
        <w:tc>
          <w:tcPr>
            <w:tcW w:type="dxa" w:w="4752"/>
            <w:vAlign w:val="center"/>
          </w:tcPr>
          <w:p>
            <w:pPr>
              <w:spacing w:after="0"/>
            </w:pPr>
            <w:r/>
            <w:r>
              <w:rPr>
                <w:b w:val="0"/>
                <w:sz w:val="18"/>
              </w:rPr>
              <w:t>Build APSO web UI, dashboards, findings inbox, settings, reports.</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Backend API</w:t>
            </w:r>
          </w:p>
        </w:tc>
        <w:tc>
          <w:tcPr>
            <w:tcW w:type="dxa" w:w="2520"/>
            <w:vAlign w:val="center"/>
          </w:tcPr>
          <w:p>
            <w:pPr>
              <w:spacing w:after="0"/>
            </w:pPr>
            <w:r/>
            <w:r>
              <w:rPr>
                <w:b w:val="0"/>
                <w:sz w:val="18"/>
              </w:rPr>
              <w:t>FastAPI, Pydantic, SQLAlchemy, Alembic</w:t>
            </w:r>
          </w:p>
        </w:tc>
        <w:tc>
          <w:tcPr>
            <w:tcW w:type="dxa" w:w="4752"/>
            <w:vAlign w:val="center"/>
          </w:tcPr>
          <w:p>
            <w:pPr>
              <w:spacing w:after="0"/>
            </w:pPr>
            <w:r/>
            <w:r>
              <w:rPr>
                <w:b w:val="0"/>
                <w:sz w:val="18"/>
              </w:rPr>
              <w:t>APIs, validation, database access, migrations.</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Auth</w:t>
            </w:r>
          </w:p>
        </w:tc>
        <w:tc>
          <w:tcPr>
            <w:tcW w:type="dxa" w:w="2520"/>
            <w:vAlign w:val="center"/>
          </w:tcPr>
          <w:p>
            <w:pPr>
              <w:spacing w:after="0"/>
            </w:pPr>
            <w:r/>
            <w:r>
              <w:rPr>
                <w:b w:val="0"/>
                <w:sz w:val="18"/>
              </w:rPr>
              <w:t>Self-hosted Supabase Auth</w:t>
            </w:r>
          </w:p>
        </w:tc>
        <w:tc>
          <w:tcPr>
            <w:tcW w:type="dxa" w:w="4752"/>
            <w:vAlign w:val="center"/>
          </w:tcPr>
          <w:p>
            <w:pPr>
              <w:spacing w:after="0"/>
            </w:pPr>
            <w:r/>
            <w:r>
              <w:rPr>
                <w:b w:val="0"/>
                <w:sz w:val="18"/>
              </w:rPr>
              <w:t>User auth, sessions, JWT, tenant identity.</w:t>
            </w:r>
          </w:p>
        </w:tc>
        <w:tc>
          <w:tcPr>
            <w:tcW w:type="dxa" w:w="3024"/>
            <w:vAlign w:val="center"/>
          </w:tcPr>
          <w:p>
            <w:pPr>
              <w:spacing w:after="0"/>
            </w:pPr>
            <w:r/>
            <w:r>
              <w:rPr>
                <w:b w:val="0"/>
                <w:sz w:val="18"/>
              </w:rPr>
              <w:t>Self-hosted open-source; no Supabase Cloud dependency.</w:t>
            </w:r>
          </w:p>
        </w:tc>
      </w:tr>
      <w:tr>
        <w:tc>
          <w:tcPr>
            <w:tcW w:type="dxa" w:w="1512"/>
            <w:vAlign w:val="center"/>
          </w:tcPr>
          <w:p>
            <w:pPr>
              <w:spacing w:after="0"/>
            </w:pPr>
            <w:r/>
            <w:r>
              <w:rPr>
                <w:b w:val="0"/>
                <w:sz w:val="18"/>
              </w:rPr>
              <w:t>Database</w:t>
            </w:r>
          </w:p>
        </w:tc>
        <w:tc>
          <w:tcPr>
            <w:tcW w:type="dxa" w:w="2520"/>
            <w:vAlign w:val="center"/>
          </w:tcPr>
          <w:p>
            <w:pPr>
              <w:spacing w:after="0"/>
            </w:pPr>
            <w:r/>
            <w:r>
              <w:rPr>
                <w:b w:val="0"/>
                <w:sz w:val="18"/>
              </w:rPr>
              <w:t>PostgreSQL + pgvector</w:t>
            </w:r>
          </w:p>
        </w:tc>
        <w:tc>
          <w:tcPr>
            <w:tcW w:type="dxa" w:w="4752"/>
            <w:vAlign w:val="center"/>
          </w:tcPr>
          <w:p>
            <w:pPr>
              <w:spacing w:after="0"/>
            </w:pPr>
            <w:r/>
            <w:r>
              <w:rPr>
                <w:b w:val="0"/>
                <w:sz w:val="18"/>
              </w:rPr>
              <w:t>System of record, vectors, audit, metrics, normalized SDLC graph.</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Object Storage</w:t>
            </w:r>
          </w:p>
        </w:tc>
        <w:tc>
          <w:tcPr>
            <w:tcW w:type="dxa" w:w="2520"/>
            <w:vAlign w:val="center"/>
          </w:tcPr>
          <w:p>
            <w:pPr>
              <w:spacing w:after="0"/>
            </w:pPr>
            <w:r/>
            <w:r>
              <w:rPr>
                <w:b w:val="0"/>
                <w:sz w:val="18"/>
              </w:rPr>
              <w:t>MinIO</w:t>
            </w:r>
          </w:p>
        </w:tc>
        <w:tc>
          <w:tcPr>
            <w:tcW w:type="dxa" w:w="4752"/>
            <w:vAlign w:val="center"/>
          </w:tcPr>
          <w:p>
            <w:pPr>
              <w:spacing w:after="0"/>
            </w:pPr>
            <w:r/>
            <w:r>
              <w:rPr>
                <w:b w:val="0"/>
                <w:sz w:val="18"/>
              </w:rPr>
              <w:t>Reports, scan artifacts, CI logs, exports, attachments metadata bundles.</w:t>
            </w:r>
          </w:p>
        </w:tc>
        <w:tc>
          <w:tcPr>
            <w:tcW w:type="dxa" w:w="3024"/>
            <w:vAlign w:val="center"/>
          </w:tcPr>
          <w:p>
            <w:pPr>
              <w:spacing w:after="0"/>
            </w:pPr>
            <w:r/>
            <w:r>
              <w:rPr>
                <w:b w:val="0"/>
                <w:sz w:val="18"/>
              </w:rPr>
              <w:t>Free/open source AGPLv3; do not modify source without legal review.</w:t>
            </w:r>
          </w:p>
        </w:tc>
      </w:tr>
      <w:tr>
        <w:tc>
          <w:tcPr>
            <w:tcW w:type="dxa" w:w="1512"/>
            <w:vAlign w:val="center"/>
          </w:tcPr>
          <w:p>
            <w:pPr>
              <w:spacing w:after="0"/>
            </w:pPr>
            <w:r/>
            <w:r>
              <w:rPr>
                <w:b w:val="0"/>
                <w:sz w:val="18"/>
              </w:rPr>
              <w:t>AI Runtime</w:t>
            </w:r>
          </w:p>
        </w:tc>
        <w:tc>
          <w:tcPr>
            <w:tcW w:type="dxa" w:w="2520"/>
            <w:vAlign w:val="center"/>
          </w:tcPr>
          <w:p>
            <w:pPr>
              <w:spacing w:after="0"/>
            </w:pPr>
            <w:r/>
            <w:r>
              <w:rPr>
                <w:b w:val="0"/>
                <w:sz w:val="18"/>
              </w:rPr>
              <w:t>Ollama</w:t>
            </w:r>
          </w:p>
        </w:tc>
        <w:tc>
          <w:tcPr>
            <w:tcW w:type="dxa" w:w="4752"/>
            <w:vAlign w:val="center"/>
          </w:tcPr>
          <w:p>
            <w:pPr>
              <w:spacing w:after="0"/>
            </w:pPr>
            <w:r/>
            <w:r>
              <w:rPr>
                <w:b w:val="0"/>
                <w:sz w:val="18"/>
              </w:rPr>
              <w:t>Run local models for development and default self-hosted AI.</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LLM</w:t>
            </w:r>
          </w:p>
        </w:tc>
        <w:tc>
          <w:tcPr>
            <w:tcW w:type="dxa" w:w="2520"/>
            <w:vAlign w:val="center"/>
          </w:tcPr>
          <w:p>
            <w:pPr>
              <w:spacing w:after="0"/>
            </w:pPr>
            <w:r/>
            <w:r>
              <w:rPr>
                <w:b w:val="0"/>
                <w:sz w:val="18"/>
              </w:rPr>
              <w:t>qwen2.5-coder:14b</w:t>
            </w:r>
          </w:p>
        </w:tc>
        <w:tc>
          <w:tcPr>
            <w:tcW w:type="dxa" w:w="4752"/>
            <w:vAlign w:val="center"/>
          </w:tcPr>
          <w:p>
            <w:pPr>
              <w:spacing w:after="0"/>
            </w:pPr>
            <w:r/>
            <w:r>
              <w:rPr>
                <w:b w:val="0"/>
                <w:sz w:val="18"/>
              </w:rPr>
              <w:t>Story/code analysis, explanation, recommendations.</w:t>
            </w:r>
          </w:p>
        </w:tc>
        <w:tc>
          <w:tcPr>
            <w:tcW w:type="dxa" w:w="3024"/>
            <w:vAlign w:val="center"/>
          </w:tcPr>
          <w:p>
            <w:pPr>
              <w:spacing w:after="0"/>
            </w:pPr>
            <w:r/>
            <w:r>
              <w:rPr>
                <w:b w:val="0"/>
                <w:sz w:val="18"/>
              </w:rPr>
              <w:t>Free model; verify exact license before commercial release.</w:t>
            </w:r>
          </w:p>
        </w:tc>
      </w:tr>
      <w:tr>
        <w:tc>
          <w:tcPr>
            <w:tcW w:type="dxa" w:w="1512"/>
            <w:vAlign w:val="center"/>
          </w:tcPr>
          <w:p>
            <w:pPr>
              <w:spacing w:after="0"/>
            </w:pPr>
            <w:r/>
            <w:r>
              <w:rPr>
                <w:b w:val="0"/>
                <w:sz w:val="18"/>
              </w:rPr>
              <w:t>Embeddings</w:t>
            </w:r>
          </w:p>
        </w:tc>
        <w:tc>
          <w:tcPr>
            <w:tcW w:type="dxa" w:w="2520"/>
            <w:vAlign w:val="center"/>
          </w:tcPr>
          <w:p>
            <w:pPr>
              <w:spacing w:after="0"/>
            </w:pPr>
            <w:r/>
            <w:r>
              <w:rPr>
                <w:b w:val="0"/>
                <w:sz w:val="18"/>
              </w:rPr>
              <w:t>qwen3-embedding:4b</w:t>
            </w:r>
          </w:p>
        </w:tc>
        <w:tc>
          <w:tcPr>
            <w:tcW w:type="dxa" w:w="4752"/>
            <w:vAlign w:val="center"/>
          </w:tcPr>
          <w:p>
            <w:pPr>
              <w:spacing w:after="0"/>
            </w:pPr>
            <w:r/>
            <w:r>
              <w:rPr>
                <w:b w:val="0"/>
                <w:sz w:val="18"/>
              </w:rPr>
              <w:t>Semantic search over Jira, PRs, code snippets, logs, docs.</w:t>
            </w:r>
          </w:p>
        </w:tc>
        <w:tc>
          <w:tcPr>
            <w:tcW w:type="dxa" w:w="3024"/>
            <w:vAlign w:val="center"/>
          </w:tcPr>
          <w:p>
            <w:pPr>
              <w:spacing w:after="0"/>
            </w:pPr>
            <w:r/>
            <w:r>
              <w:rPr>
                <w:b w:val="0"/>
                <w:sz w:val="18"/>
              </w:rPr>
              <w:t>Free model; verify exact license before commercial release.</w:t>
            </w:r>
          </w:p>
        </w:tc>
      </w:tr>
      <w:tr>
        <w:tc>
          <w:tcPr>
            <w:tcW w:type="dxa" w:w="1512"/>
            <w:vAlign w:val="center"/>
          </w:tcPr>
          <w:p>
            <w:pPr>
              <w:spacing w:after="0"/>
            </w:pPr>
            <w:r/>
            <w:r>
              <w:rPr>
                <w:b w:val="0"/>
                <w:sz w:val="18"/>
              </w:rPr>
              <w:t>AI Workflow</w:t>
            </w:r>
          </w:p>
        </w:tc>
        <w:tc>
          <w:tcPr>
            <w:tcW w:type="dxa" w:w="2520"/>
            <w:vAlign w:val="center"/>
          </w:tcPr>
          <w:p>
            <w:pPr>
              <w:spacing w:after="0"/>
            </w:pPr>
            <w:r/>
            <w:r>
              <w:rPr>
                <w:b w:val="0"/>
                <w:sz w:val="18"/>
              </w:rPr>
              <w:t>LangGraph</w:t>
            </w:r>
          </w:p>
        </w:tc>
        <w:tc>
          <w:tcPr>
            <w:tcW w:type="dxa" w:w="4752"/>
            <w:vAlign w:val="center"/>
          </w:tcPr>
          <w:p>
            <w:pPr>
              <w:spacing w:after="0"/>
            </w:pPr>
            <w:r/>
            <w:r>
              <w:rPr>
                <w:b w:val="0"/>
                <w:sz w:val="18"/>
              </w:rPr>
              <w:t>Repeatable multi-step agent workflows.</w:t>
            </w:r>
          </w:p>
        </w:tc>
        <w:tc>
          <w:tcPr>
            <w:tcW w:type="dxa" w:w="3024"/>
            <w:vAlign w:val="center"/>
          </w:tcPr>
          <w:p>
            <w:pPr>
              <w:spacing w:after="0"/>
            </w:pPr>
            <w:r/>
            <w:r>
              <w:rPr>
                <w:b w:val="0"/>
                <w:sz w:val="18"/>
              </w:rPr>
              <w:t>Free/open source library.</w:t>
            </w:r>
          </w:p>
        </w:tc>
      </w:tr>
      <w:tr>
        <w:tc>
          <w:tcPr>
            <w:tcW w:type="dxa" w:w="1512"/>
            <w:vAlign w:val="center"/>
          </w:tcPr>
          <w:p>
            <w:pPr>
              <w:spacing w:after="0"/>
            </w:pPr>
            <w:r/>
            <w:r>
              <w:rPr>
                <w:b w:val="0"/>
                <w:sz w:val="18"/>
              </w:rPr>
              <w:t>RAG</w:t>
            </w:r>
          </w:p>
        </w:tc>
        <w:tc>
          <w:tcPr>
            <w:tcW w:type="dxa" w:w="2520"/>
            <w:vAlign w:val="center"/>
          </w:tcPr>
          <w:p>
            <w:pPr>
              <w:spacing w:after="0"/>
            </w:pPr>
            <w:r/>
            <w:r>
              <w:rPr>
                <w:b w:val="0"/>
                <w:sz w:val="18"/>
              </w:rPr>
              <w:t>LlamaIndex</w:t>
            </w:r>
          </w:p>
        </w:tc>
        <w:tc>
          <w:tcPr>
            <w:tcW w:type="dxa" w:w="4752"/>
            <w:vAlign w:val="center"/>
          </w:tcPr>
          <w:p>
            <w:pPr>
              <w:spacing w:after="0"/>
            </w:pPr>
            <w:r/>
            <w:r>
              <w:rPr>
                <w:b w:val="0"/>
                <w:sz w:val="18"/>
              </w:rPr>
              <w:t>Retrieval/indexing over tenant-approved data.</w:t>
            </w:r>
          </w:p>
        </w:tc>
        <w:tc>
          <w:tcPr>
            <w:tcW w:type="dxa" w:w="3024"/>
            <w:vAlign w:val="center"/>
          </w:tcPr>
          <w:p>
            <w:pPr>
              <w:spacing w:after="0"/>
            </w:pPr>
            <w:r/>
            <w:r>
              <w:rPr>
                <w:b w:val="0"/>
                <w:sz w:val="18"/>
              </w:rPr>
              <w:t>Free/open source library.</w:t>
            </w:r>
          </w:p>
        </w:tc>
      </w:tr>
      <w:tr>
        <w:tc>
          <w:tcPr>
            <w:tcW w:type="dxa" w:w="1512"/>
            <w:vAlign w:val="center"/>
          </w:tcPr>
          <w:p>
            <w:pPr>
              <w:spacing w:after="0"/>
            </w:pPr>
            <w:r/>
            <w:r>
              <w:rPr>
                <w:b w:val="0"/>
                <w:sz w:val="18"/>
              </w:rPr>
              <w:t>Workflow Engine</w:t>
            </w:r>
          </w:p>
        </w:tc>
        <w:tc>
          <w:tcPr>
            <w:tcW w:type="dxa" w:w="2520"/>
            <w:vAlign w:val="center"/>
          </w:tcPr>
          <w:p>
            <w:pPr>
              <w:spacing w:after="0"/>
            </w:pPr>
            <w:r/>
            <w:r>
              <w:rPr>
                <w:b w:val="0"/>
                <w:sz w:val="18"/>
              </w:rPr>
              <w:t>Temporal OSS</w:t>
            </w:r>
          </w:p>
        </w:tc>
        <w:tc>
          <w:tcPr>
            <w:tcW w:type="dxa" w:w="4752"/>
            <w:vAlign w:val="center"/>
          </w:tcPr>
          <w:p>
            <w:pPr>
              <w:spacing w:after="0"/>
            </w:pPr>
            <w:r/>
            <w:r>
              <w:rPr>
                <w:b w:val="0"/>
                <w:sz w:val="18"/>
              </w:rPr>
              <w:t>Durable sync, scan, AI analysis, and report workflows.</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Cache/Queue</w:t>
            </w:r>
          </w:p>
        </w:tc>
        <w:tc>
          <w:tcPr>
            <w:tcW w:type="dxa" w:w="2520"/>
            <w:vAlign w:val="center"/>
          </w:tcPr>
          <w:p>
            <w:pPr>
              <w:spacing w:after="0"/>
            </w:pPr>
            <w:r/>
            <w:r>
              <w:rPr>
                <w:b w:val="0"/>
                <w:sz w:val="18"/>
              </w:rPr>
              <w:t>Valkey</w:t>
            </w:r>
          </w:p>
        </w:tc>
        <w:tc>
          <w:tcPr>
            <w:tcW w:type="dxa" w:w="4752"/>
            <w:vAlign w:val="center"/>
          </w:tcPr>
          <w:p>
            <w:pPr>
              <w:spacing w:after="0"/>
            </w:pPr>
            <w:r/>
            <w:r>
              <w:rPr>
                <w:b w:val="0"/>
                <w:sz w:val="18"/>
              </w:rPr>
              <w:t>Cache, locks, rate limits, temporary job state.</w:t>
            </w:r>
          </w:p>
        </w:tc>
        <w:tc>
          <w:tcPr>
            <w:tcW w:type="dxa" w:w="3024"/>
            <w:vAlign w:val="center"/>
          </w:tcPr>
          <w:p>
            <w:pPr>
              <w:spacing w:after="0"/>
            </w:pPr>
            <w:r/>
            <w:r>
              <w:rPr>
                <w:b w:val="0"/>
                <w:sz w:val="18"/>
              </w:rPr>
              <w:t>Free/open source BSD.</w:t>
            </w:r>
          </w:p>
        </w:tc>
      </w:tr>
      <w:tr>
        <w:tc>
          <w:tcPr>
            <w:tcW w:type="dxa" w:w="1512"/>
            <w:vAlign w:val="center"/>
          </w:tcPr>
          <w:p>
            <w:pPr>
              <w:spacing w:after="0"/>
            </w:pPr>
            <w:r/>
            <w:r>
              <w:rPr>
                <w:b w:val="0"/>
                <w:sz w:val="18"/>
              </w:rPr>
              <w:t>Metrics</w:t>
            </w:r>
          </w:p>
        </w:tc>
        <w:tc>
          <w:tcPr>
            <w:tcW w:type="dxa" w:w="2520"/>
            <w:vAlign w:val="center"/>
          </w:tcPr>
          <w:p>
            <w:pPr>
              <w:spacing w:after="0"/>
            </w:pPr>
            <w:r/>
            <w:r>
              <w:rPr>
                <w:b w:val="0"/>
                <w:sz w:val="18"/>
              </w:rPr>
              <w:t>Prometheus</w:t>
            </w:r>
          </w:p>
        </w:tc>
        <w:tc>
          <w:tcPr>
            <w:tcW w:type="dxa" w:w="4752"/>
            <w:vAlign w:val="center"/>
          </w:tcPr>
          <w:p>
            <w:pPr>
              <w:spacing w:after="0"/>
            </w:pPr>
            <w:r/>
            <w:r>
              <w:rPr>
                <w:b w:val="0"/>
                <w:sz w:val="18"/>
              </w:rPr>
              <w:t>Service and workflow metrics.</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Dashboards</w:t>
            </w:r>
          </w:p>
        </w:tc>
        <w:tc>
          <w:tcPr>
            <w:tcW w:type="dxa" w:w="2520"/>
            <w:vAlign w:val="center"/>
          </w:tcPr>
          <w:p>
            <w:pPr>
              <w:spacing w:after="0"/>
            </w:pPr>
            <w:r/>
            <w:r>
              <w:rPr>
                <w:b w:val="0"/>
                <w:sz w:val="18"/>
              </w:rPr>
              <w:t>Grafana OSS</w:t>
            </w:r>
          </w:p>
        </w:tc>
        <w:tc>
          <w:tcPr>
            <w:tcW w:type="dxa" w:w="4752"/>
            <w:vAlign w:val="center"/>
          </w:tcPr>
          <w:p>
            <w:pPr>
              <w:spacing w:after="0"/>
            </w:pPr>
            <w:r/>
            <w:r>
              <w:rPr>
                <w:b w:val="0"/>
                <w:sz w:val="18"/>
              </w:rPr>
              <w:t>Operational dashboards.</w:t>
            </w:r>
          </w:p>
        </w:tc>
        <w:tc>
          <w:tcPr>
            <w:tcW w:type="dxa" w:w="3024"/>
            <w:vAlign w:val="center"/>
          </w:tcPr>
          <w:p>
            <w:pPr>
              <w:spacing w:after="0"/>
            </w:pPr>
            <w:r/>
            <w:r>
              <w:rPr>
                <w:b w:val="0"/>
                <w:sz w:val="18"/>
              </w:rPr>
              <w:t>Free/open source AGPLv3; do not modify source without legal review.</w:t>
            </w:r>
          </w:p>
        </w:tc>
      </w:tr>
      <w:tr>
        <w:tc>
          <w:tcPr>
            <w:tcW w:type="dxa" w:w="1512"/>
            <w:vAlign w:val="center"/>
          </w:tcPr>
          <w:p>
            <w:pPr>
              <w:spacing w:after="0"/>
            </w:pPr>
            <w:r/>
            <w:r>
              <w:rPr>
                <w:b w:val="0"/>
                <w:sz w:val="18"/>
              </w:rPr>
              <w:t>Logs</w:t>
            </w:r>
          </w:p>
        </w:tc>
        <w:tc>
          <w:tcPr>
            <w:tcW w:type="dxa" w:w="2520"/>
            <w:vAlign w:val="center"/>
          </w:tcPr>
          <w:p>
            <w:pPr>
              <w:spacing w:after="0"/>
            </w:pPr>
            <w:r/>
            <w:r>
              <w:rPr>
                <w:b w:val="0"/>
                <w:sz w:val="18"/>
              </w:rPr>
              <w:t>Loki</w:t>
            </w:r>
          </w:p>
        </w:tc>
        <w:tc>
          <w:tcPr>
            <w:tcW w:type="dxa" w:w="4752"/>
            <w:vAlign w:val="center"/>
          </w:tcPr>
          <w:p>
            <w:pPr>
              <w:spacing w:after="0"/>
            </w:pPr>
            <w:r/>
            <w:r>
              <w:rPr>
                <w:b w:val="0"/>
                <w:sz w:val="18"/>
              </w:rPr>
              <w:t>Centralized logs.</w:t>
            </w:r>
          </w:p>
        </w:tc>
        <w:tc>
          <w:tcPr>
            <w:tcW w:type="dxa" w:w="3024"/>
            <w:vAlign w:val="center"/>
          </w:tcPr>
          <w:p>
            <w:pPr>
              <w:spacing w:after="0"/>
            </w:pPr>
            <w:r/>
            <w:r>
              <w:rPr>
                <w:b w:val="0"/>
                <w:sz w:val="18"/>
              </w:rPr>
              <w:t>Free/open source AGPLv3; do not modify source without legal review.</w:t>
            </w:r>
          </w:p>
        </w:tc>
      </w:tr>
      <w:tr>
        <w:tc>
          <w:tcPr>
            <w:tcW w:type="dxa" w:w="1512"/>
            <w:vAlign w:val="center"/>
          </w:tcPr>
          <w:p>
            <w:pPr>
              <w:spacing w:after="0"/>
            </w:pPr>
            <w:r/>
            <w:r>
              <w:rPr>
                <w:b w:val="0"/>
                <w:sz w:val="18"/>
              </w:rPr>
              <w:t>Tracing</w:t>
            </w:r>
          </w:p>
        </w:tc>
        <w:tc>
          <w:tcPr>
            <w:tcW w:type="dxa" w:w="2520"/>
            <w:vAlign w:val="center"/>
          </w:tcPr>
          <w:p>
            <w:pPr>
              <w:spacing w:after="0"/>
            </w:pPr>
            <w:r/>
            <w:r>
              <w:rPr>
                <w:b w:val="0"/>
                <w:sz w:val="18"/>
              </w:rPr>
              <w:t>Jaeger</w:t>
            </w:r>
          </w:p>
        </w:tc>
        <w:tc>
          <w:tcPr>
            <w:tcW w:type="dxa" w:w="4752"/>
            <w:vAlign w:val="center"/>
          </w:tcPr>
          <w:p>
            <w:pPr>
              <w:spacing w:after="0"/>
            </w:pPr>
            <w:r/>
            <w:r>
              <w:rPr>
                <w:b w:val="0"/>
                <w:sz w:val="18"/>
              </w:rPr>
              <w:t>Distributed tracing across services.</w:t>
            </w:r>
          </w:p>
        </w:tc>
        <w:tc>
          <w:tcPr>
            <w:tcW w:type="dxa" w:w="3024"/>
            <w:vAlign w:val="center"/>
          </w:tcPr>
          <w:p>
            <w:pPr>
              <w:spacing w:after="0"/>
            </w:pPr>
            <w:r/>
            <w:r>
              <w:rPr>
                <w:b w:val="0"/>
                <w:sz w:val="18"/>
              </w:rPr>
              <w:t>Free/open source.</w:t>
            </w:r>
          </w:p>
        </w:tc>
      </w:tr>
      <w:tr>
        <w:tc>
          <w:tcPr>
            <w:tcW w:type="dxa" w:w="1512"/>
            <w:vAlign w:val="center"/>
          </w:tcPr>
          <w:p>
            <w:pPr>
              <w:spacing w:after="0"/>
            </w:pPr>
            <w:r/>
            <w:r>
              <w:rPr>
                <w:b w:val="0"/>
                <w:sz w:val="18"/>
              </w:rPr>
              <w:t>Scanners</w:t>
            </w:r>
          </w:p>
        </w:tc>
        <w:tc>
          <w:tcPr>
            <w:tcW w:type="dxa" w:w="2520"/>
            <w:vAlign w:val="center"/>
          </w:tcPr>
          <w:p>
            <w:pPr>
              <w:spacing w:after="0"/>
            </w:pPr>
            <w:r/>
            <w:r>
              <w:rPr>
                <w:b w:val="0"/>
                <w:sz w:val="18"/>
              </w:rPr>
              <w:t>Semgrep CE, tree-sitter, Gitleaks, Trivy, OWASP Dependency-Check</w:t>
            </w:r>
          </w:p>
        </w:tc>
        <w:tc>
          <w:tcPr>
            <w:tcW w:type="dxa" w:w="4752"/>
            <w:vAlign w:val="center"/>
          </w:tcPr>
          <w:p>
            <w:pPr>
              <w:spacing w:after="0"/>
            </w:pPr>
            <w:r/>
            <w:r>
              <w:rPr>
                <w:b w:val="0"/>
                <w:sz w:val="18"/>
              </w:rPr>
              <w:t>Static analysis, parsing, secret detection, vulnerability scanning.</w:t>
            </w:r>
          </w:p>
        </w:tc>
        <w:tc>
          <w:tcPr>
            <w:tcW w:type="dxa" w:w="3024"/>
            <w:vAlign w:val="center"/>
          </w:tcPr>
          <w:p>
            <w:pPr>
              <w:spacing w:after="0"/>
            </w:pPr>
            <w:r/>
            <w:r>
              <w:rPr>
                <w:b w:val="0"/>
                <w:sz w:val="18"/>
              </w:rPr>
              <w:t>Free/open-source/community editions only.</w:t>
            </w:r>
          </w:p>
        </w:tc>
      </w:tr>
      <w:tr>
        <w:tc>
          <w:tcPr>
            <w:tcW w:type="dxa" w:w="1512"/>
            <w:vAlign w:val="center"/>
          </w:tcPr>
          <w:p>
            <w:pPr>
              <w:spacing w:after="0"/>
            </w:pPr>
            <w:r/>
            <w:r>
              <w:rPr>
                <w:b w:val="0"/>
                <w:sz w:val="18"/>
              </w:rPr>
              <w:t>Deployment</w:t>
            </w:r>
          </w:p>
        </w:tc>
        <w:tc>
          <w:tcPr>
            <w:tcW w:type="dxa" w:w="2520"/>
            <w:vAlign w:val="center"/>
          </w:tcPr>
          <w:p>
            <w:pPr>
              <w:spacing w:after="0"/>
            </w:pPr>
            <w:r/>
            <w:r>
              <w:rPr>
                <w:b w:val="0"/>
                <w:sz w:val="18"/>
              </w:rPr>
              <w:t>Docker Compose for dev, k3s for prod</w:t>
            </w:r>
          </w:p>
        </w:tc>
        <w:tc>
          <w:tcPr>
            <w:tcW w:type="dxa" w:w="4752"/>
            <w:vAlign w:val="center"/>
          </w:tcPr>
          <w:p>
            <w:pPr>
              <w:spacing w:after="0"/>
            </w:pPr>
            <w:r/>
            <w:r>
              <w:rPr>
                <w:b w:val="0"/>
                <w:sz w:val="18"/>
              </w:rPr>
              <w:t>Repeatable self-hosted deployment.</w:t>
            </w:r>
          </w:p>
        </w:tc>
        <w:tc>
          <w:tcPr>
            <w:tcW w:type="dxa" w:w="3024"/>
            <w:vAlign w:val="center"/>
          </w:tcPr>
          <w:p>
            <w:pPr>
              <w:spacing w:after="0"/>
            </w:pPr>
            <w:r/>
            <w:r>
              <w:rPr>
                <w:b w:val="0"/>
                <w:sz w:val="18"/>
              </w:rPr>
              <w:t>Free/open source.</w:t>
            </w:r>
          </w:p>
        </w:tc>
      </w:tr>
    </w:tbl>
    <w:p/>
    <w:p>
      <w:pPr>
        <w:pStyle w:val="Heading1"/>
      </w:pPr>
      <w:r>
        <w:t>4. Configuration-First Rule</w:t>
      </w:r>
    </w:p>
    <w:p>
      <w:r>
        <w:t>All external systems and frameworks must be configurable. Development must not hard-code Jira site URLs, Bitbucket workspaces, AWS accounts, Supabase endpoints, model names, scanner rules, storage buckets, scoring weights, or environment behavior.</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D9EAF7"/>
          </w:tcPr>
          <w:p>
            <w:pPr>
              <w:spacing w:after="0"/>
            </w:pPr>
            <w:r/>
            <w:r>
              <w:rPr>
                <w:b/>
                <w:sz w:val="18"/>
              </w:rPr>
              <w:t>Configuration Area</w:t>
            </w:r>
          </w:p>
        </w:tc>
        <w:tc>
          <w:tcPr>
            <w:tcW w:type="dxa" w:w="9216"/>
            <w:vAlign w:val="center"/>
            <w:shd w:fill="D9EAF7"/>
          </w:tcPr>
          <w:p>
            <w:pPr>
              <w:spacing w:after="0"/>
            </w:pPr>
            <w:r/>
            <w:r>
              <w:rPr>
                <w:b/>
                <w:sz w:val="18"/>
              </w:rPr>
              <w:t>Must Be Configurable</w:t>
            </w:r>
          </w:p>
        </w:tc>
      </w:tr>
      <w:tr>
        <w:tc>
          <w:tcPr>
            <w:tcW w:type="dxa" w:w="2448"/>
            <w:vAlign w:val="center"/>
          </w:tcPr>
          <w:p>
            <w:pPr>
              <w:spacing w:after="0"/>
            </w:pPr>
            <w:r/>
            <w:r>
              <w:rPr>
                <w:b w:val="0"/>
                <w:sz w:val="18"/>
              </w:rPr>
              <w:t>Environment</w:t>
            </w:r>
          </w:p>
        </w:tc>
        <w:tc>
          <w:tcPr>
            <w:tcW w:type="dxa" w:w="9216"/>
            <w:vAlign w:val="center"/>
          </w:tcPr>
          <w:p>
            <w:pPr>
              <w:spacing w:after="0"/>
            </w:pPr>
            <w:r/>
            <w:r>
              <w:rPr>
                <w:b w:val="0"/>
                <w:sz w:val="18"/>
              </w:rPr>
              <w:t>dev/prod, URLs, CORS, logging, feature flags.</w:t>
            </w:r>
          </w:p>
        </w:tc>
      </w:tr>
      <w:tr>
        <w:tc>
          <w:tcPr>
            <w:tcW w:type="dxa" w:w="2448"/>
            <w:vAlign w:val="center"/>
          </w:tcPr>
          <w:p>
            <w:pPr>
              <w:spacing w:after="0"/>
            </w:pPr>
            <w:r/>
            <w:r>
              <w:rPr>
                <w:b w:val="0"/>
                <w:sz w:val="18"/>
              </w:rPr>
              <w:t>Tenant</w:t>
            </w:r>
          </w:p>
        </w:tc>
        <w:tc>
          <w:tcPr>
            <w:tcW w:type="dxa" w:w="9216"/>
            <w:vAlign w:val="center"/>
          </w:tcPr>
          <w:p>
            <w:pPr>
              <w:spacing w:after="0"/>
            </w:pPr>
            <w:r/>
            <w:r>
              <w:rPr>
                <w:b w:val="0"/>
                <w:sz w:val="18"/>
              </w:rPr>
              <w:t>tenant name, domain, timezone, modules, retention, AI policy.</w:t>
            </w:r>
          </w:p>
        </w:tc>
      </w:tr>
      <w:tr>
        <w:tc>
          <w:tcPr>
            <w:tcW w:type="dxa" w:w="2448"/>
            <w:vAlign w:val="center"/>
          </w:tcPr>
          <w:p>
            <w:pPr>
              <w:spacing w:after="0"/>
            </w:pPr>
            <w:r/>
            <w:r>
              <w:rPr>
                <w:b w:val="0"/>
                <w:sz w:val="18"/>
              </w:rPr>
              <w:t>Supabase</w:t>
            </w:r>
          </w:p>
        </w:tc>
        <w:tc>
          <w:tcPr>
            <w:tcW w:type="dxa" w:w="9216"/>
            <w:vAlign w:val="center"/>
          </w:tcPr>
          <w:p>
            <w:pPr>
              <w:spacing w:after="0"/>
            </w:pPr>
            <w:r/>
            <w:r>
              <w:rPr>
                <w:b w:val="0"/>
                <w:sz w:val="18"/>
              </w:rPr>
              <w:t>self-hosted URL, JWT secret, anon/service keys, role mapping.</w:t>
            </w:r>
          </w:p>
        </w:tc>
      </w:tr>
      <w:tr>
        <w:tc>
          <w:tcPr>
            <w:tcW w:type="dxa" w:w="2448"/>
            <w:vAlign w:val="center"/>
          </w:tcPr>
          <w:p>
            <w:pPr>
              <w:spacing w:after="0"/>
            </w:pPr>
            <w:r/>
            <w:r>
              <w:rPr>
                <w:b w:val="0"/>
                <w:sz w:val="18"/>
              </w:rPr>
              <w:t>Postgres</w:t>
            </w:r>
          </w:p>
        </w:tc>
        <w:tc>
          <w:tcPr>
            <w:tcW w:type="dxa" w:w="9216"/>
            <w:vAlign w:val="center"/>
          </w:tcPr>
          <w:p>
            <w:pPr>
              <w:spacing w:after="0"/>
            </w:pPr>
            <w:r/>
            <w:r>
              <w:rPr>
                <w:b w:val="0"/>
                <w:sz w:val="18"/>
              </w:rPr>
              <w:t>database URL, schemas, RLS, migrations, backup policy.</w:t>
            </w:r>
          </w:p>
        </w:tc>
      </w:tr>
      <w:tr>
        <w:tc>
          <w:tcPr>
            <w:tcW w:type="dxa" w:w="2448"/>
            <w:vAlign w:val="center"/>
          </w:tcPr>
          <w:p>
            <w:pPr>
              <w:spacing w:after="0"/>
            </w:pPr>
            <w:r/>
            <w:r>
              <w:rPr>
                <w:b w:val="0"/>
                <w:sz w:val="18"/>
              </w:rPr>
              <w:t>Jira</w:t>
            </w:r>
          </w:p>
        </w:tc>
        <w:tc>
          <w:tcPr>
            <w:tcW w:type="dxa" w:w="9216"/>
            <w:vAlign w:val="center"/>
          </w:tcPr>
          <w:p>
            <w:pPr>
              <w:spacing w:after="0"/>
            </w:pPr>
            <w:r/>
            <w:r>
              <w:rPr>
                <w:b w:val="0"/>
                <w:sz w:val="18"/>
              </w:rPr>
              <w:t>base URL/cloud ID, auth token, project keys, field mappings, sync mode.</w:t>
            </w:r>
          </w:p>
        </w:tc>
      </w:tr>
      <w:tr>
        <w:tc>
          <w:tcPr>
            <w:tcW w:type="dxa" w:w="2448"/>
            <w:vAlign w:val="center"/>
          </w:tcPr>
          <w:p>
            <w:pPr>
              <w:spacing w:after="0"/>
            </w:pPr>
            <w:r/>
            <w:r>
              <w:rPr>
                <w:b w:val="0"/>
                <w:sz w:val="18"/>
              </w:rPr>
              <w:t>Bitbucket</w:t>
            </w:r>
          </w:p>
        </w:tc>
        <w:tc>
          <w:tcPr>
            <w:tcW w:type="dxa" w:w="9216"/>
            <w:vAlign w:val="center"/>
          </w:tcPr>
          <w:p>
            <w:pPr>
              <w:spacing w:after="0"/>
            </w:pPr>
            <w:r/>
            <w:r>
              <w:rPr>
                <w:b w:val="0"/>
                <w:sz w:val="18"/>
              </w:rPr>
              <w:t>workspace, repositories, token, branch patterns, scope validation, sync mode.</w:t>
            </w:r>
          </w:p>
        </w:tc>
      </w:tr>
      <w:tr>
        <w:tc>
          <w:tcPr>
            <w:tcW w:type="dxa" w:w="2448"/>
            <w:vAlign w:val="center"/>
          </w:tcPr>
          <w:p>
            <w:pPr>
              <w:spacing w:after="0"/>
            </w:pPr>
            <w:r/>
            <w:r>
              <w:rPr>
                <w:b w:val="0"/>
                <w:sz w:val="18"/>
              </w:rPr>
              <w:t>AWS</w:t>
            </w:r>
          </w:p>
        </w:tc>
        <w:tc>
          <w:tcPr>
            <w:tcW w:type="dxa" w:w="9216"/>
            <w:vAlign w:val="center"/>
          </w:tcPr>
          <w:p>
            <w:pPr>
              <w:spacing w:after="0"/>
            </w:pPr>
            <w:r/>
            <w:r>
              <w:rPr>
                <w:b w:val="0"/>
                <w:sz w:val="18"/>
              </w:rPr>
              <w:t>region, account, CodeCommit repos, CodeBuild/CodePipeline names, read-only role.</w:t>
            </w:r>
          </w:p>
        </w:tc>
      </w:tr>
      <w:tr>
        <w:tc>
          <w:tcPr>
            <w:tcW w:type="dxa" w:w="2448"/>
            <w:vAlign w:val="center"/>
          </w:tcPr>
          <w:p>
            <w:pPr>
              <w:spacing w:after="0"/>
            </w:pPr>
            <w:r/>
            <w:r>
              <w:rPr>
                <w:b w:val="0"/>
                <w:sz w:val="18"/>
              </w:rPr>
              <w:t>AI Gateway</w:t>
            </w:r>
          </w:p>
        </w:tc>
        <w:tc>
          <w:tcPr>
            <w:tcW w:type="dxa" w:w="9216"/>
            <w:vAlign w:val="center"/>
          </w:tcPr>
          <w:p>
            <w:pPr>
              <w:spacing w:after="0"/>
            </w:pPr>
            <w:r/>
            <w:r>
              <w:rPr>
                <w:b w:val="0"/>
                <w:sz w:val="18"/>
              </w:rPr>
              <w:t>provider, model, embedding model, prompt version, output schema, external AI flag.</w:t>
            </w:r>
          </w:p>
        </w:tc>
      </w:tr>
      <w:tr>
        <w:tc>
          <w:tcPr>
            <w:tcW w:type="dxa" w:w="2448"/>
            <w:vAlign w:val="center"/>
          </w:tcPr>
          <w:p>
            <w:pPr>
              <w:spacing w:after="0"/>
            </w:pPr>
            <w:r/>
            <w:r>
              <w:rPr>
                <w:b w:val="0"/>
                <w:sz w:val="18"/>
              </w:rPr>
              <w:t>Scanners</w:t>
            </w:r>
          </w:p>
        </w:tc>
        <w:tc>
          <w:tcPr>
            <w:tcW w:type="dxa" w:w="9216"/>
            <w:vAlign w:val="center"/>
          </w:tcPr>
          <w:p>
            <w:pPr>
              <w:spacing w:after="0"/>
            </w:pPr>
            <w:r/>
            <w:r>
              <w:rPr>
                <w:b w:val="0"/>
                <w:sz w:val="18"/>
              </w:rPr>
              <w:t>rulesets, ignored paths, severity thresholds, enabled tools.</w:t>
            </w:r>
          </w:p>
        </w:tc>
      </w:tr>
      <w:tr>
        <w:tc>
          <w:tcPr>
            <w:tcW w:type="dxa" w:w="2448"/>
            <w:vAlign w:val="center"/>
          </w:tcPr>
          <w:p>
            <w:pPr>
              <w:spacing w:after="0"/>
            </w:pPr>
            <w:r/>
            <w:r>
              <w:rPr>
                <w:b w:val="0"/>
                <w:sz w:val="18"/>
              </w:rPr>
              <w:t>Storage</w:t>
            </w:r>
          </w:p>
        </w:tc>
        <w:tc>
          <w:tcPr>
            <w:tcW w:type="dxa" w:w="9216"/>
            <w:vAlign w:val="center"/>
          </w:tcPr>
          <w:p>
            <w:pPr>
              <w:spacing w:after="0"/>
            </w:pPr>
            <w:r/>
            <w:r>
              <w:rPr>
                <w:b w:val="0"/>
                <w:sz w:val="18"/>
              </w:rPr>
              <w:t>MinIO endpoint, buckets, retention, max file size.</w:t>
            </w:r>
          </w:p>
        </w:tc>
      </w:tr>
      <w:tr>
        <w:tc>
          <w:tcPr>
            <w:tcW w:type="dxa" w:w="2448"/>
            <w:vAlign w:val="center"/>
          </w:tcPr>
          <w:p>
            <w:pPr>
              <w:spacing w:after="0"/>
            </w:pPr>
            <w:r/>
            <w:r>
              <w:rPr>
                <w:b w:val="0"/>
                <w:sz w:val="18"/>
              </w:rPr>
              <w:t>Observability</w:t>
            </w:r>
          </w:p>
        </w:tc>
        <w:tc>
          <w:tcPr>
            <w:tcW w:type="dxa" w:w="9216"/>
            <w:vAlign w:val="center"/>
          </w:tcPr>
          <w:p>
            <w:pPr>
              <w:spacing w:after="0"/>
            </w:pPr>
            <w:r/>
            <w:r>
              <w:rPr>
                <w:b w:val="0"/>
                <w:sz w:val="18"/>
              </w:rPr>
              <w:t>Prometheus scrape, Grafana dashboards, Loki labels, Jaeger sampling.</w:t>
            </w:r>
          </w:p>
        </w:tc>
      </w:tr>
    </w:tbl>
    <w:p/>
    <w:p>
      <w:pPr>
        <w:pStyle w:val="Heading1"/>
      </w:pPr>
      <w:r>
        <w:t>5. Original Development Scope</w:t>
      </w:r>
    </w:p>
    <w:p>
      <w:pPr>
        <w:pStyle w:val="ListBullet"/>
      </w:pPr>
      <w:r>
        <w:t>Extract and normalize Jira work items, comments, statuses, custom fields, and project metadata.</w:t>
      </w:r>
    </w:p>
    <w:p>
      <w:pPr>
        <w:pStyle w:val="ListBullet"/>
      </w:pPr>
      <w:r>
        <w:t>Extract and normalize Bitbucket repositories, commits, pull requests, branches, pipeline results, logs, tests, and code-insight evidence where readable.</w:t>
      </w:r>
    </w:p>
    <w:p>
      <w:pPr>
        <w:pStyle w:val="ListBullet"/>
      </w:pPr>
      <w:r>
        <w:t>Extract and normalize AWS CodeCommit, CodeBuild, and CodePipeline evidence in read-only mode.</w:t>
      </w:r>
    </w:p>
    <w:p>
      <w:pPr>
        <w:pStyle w:val="ListBullet"/>
      </w:pPr>
      <w:r>
        <w:t>Run Definition Gap, Quality Benchmarking, and Coverage Verification engines.</w:t>
      </w:r>
    </w:p>
    <w:p>
      <w:pPr>
        <w:pStyle w:val="ListBullet"/>
      </w:pPr>
      <w:r>
        <w:t>Generate explainable findings, scores, dashboards, release readiness views, and proof-pack reports.</w:t>
      </w:r>
    </w:p>
    <w:p>
      <w:pPr>
        <w:pStyle w:val="ListBullet"/>
      </w:pPr>
      <w:r>
        <w:t>Keep all external systems read-only for MVP. No Jira or Bitbucket write-back in MVP.</w:t>
      </w:r>
    </w:p>
    <w:p>
      <w:pPr>
        <w:pStyle w:val="Heading1"/>
      </w:pPr>
      <w:r>
        <w:t>6. Jira Integration Scope</w:t>
      </w:r>
    </w:p>
    <w:p>
      <w:r>
        <w:t>The current Jira API token scopes are sufficient for original read-only development when the token user has access to the target projects.</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center"/>
            <w:shd w:fill="D9EAF7"/>
          </w:tcPr>
          <w:p>
            <w:pPr>
              <w:spacing w:after="0"/>
            </w:pPr>
            <w:r/>
            <w:r>
              <w:rPr>
                <w:b/>
                <w:sz w:val="18"/>
              </w:rPr>
              <w:t>Scope</w:t>
            </w:r>
          </w:p>
        </w:tc>
        <w:tc>
          <w:tcPr>
            <w:tcW w:type="dxa" w:w="1728"/>
            <w:vAlign w:val="center"/>
            <w:shd w:fill="D9EAF7"/>
          </w:tcPr>
          <w:p>
            <w:pPr>
              <w:spacing w:after="0"/>
            </w:pPr>
            <w:r/>
            <w:r>
              <w:rPr>
                <w:b/>
                <w:sz w:val="18"/>
              </w:rPr>
              <w:t>Required Now?</w:t>
            </w:r>
          </w:p>
        </w:tc>
        <w:tc>
          <w:tcPr>
            <w:tcW w:type="dxa" w:w="7200"/>
            <w:vAlign w:val="center"/>
            <w:shd w:fill="D9EAF7"/>
          </w:tcPr>
          <w:p>
            <w:pPr>
              <w:spacing w:after="0"/>
            </w:pPr>
            <w:r/>
            <w:r>
              <w:rPr>
                <w:b/>
                <w:sz w:val="18"/>
              </w:rPr>
              <w:t>Purpose</w:t>
            </w:r>
          </w:p>
        </w:tc>
      </w:tr>
      <w:tr>
        <w:tc>
          <w:tcPr>
            <w:tcW w:type="dxa" w:w="2736"/>
            <w:vAlign w:val="center"/>
          </w:tcPr>
          <w:p>
            <w:pPr>
              <w:spacing w:after="0"/>
            </w:pPr>
            <w:r/>
            <w:r>
              <w:rPr>
                <w:b w:val="0"/>
                <w:sz w:val="18"/>
              </w:rPr>
              <w:t>read:account</w:t>
            </w:r>
          </w:p>
        </w:tc>
        <w:tc>
          <w:tcPr>
            <w:tcW w:type="dxa" w:w="1728"/>
            <w:vAlign w:val="center"/>
          </w:tcPr>
          <w:p>
            <w:pPr>
              <w:spacing w:after="0"/>
            </w:pPr>
            <w:r/>
            <w:r>
              <w:rPr>
                <w:b w:val="0"/>
                <w:sz w:val="18"/>
              </w:rPr>
              <w:t>Yes</w:t>
            </w:r>
          </w:p>
        </w:tc>
        <w:tc>
          <w:tcPr>
            <w:tcW w:type="dxa" w:w="7200"/>
            <w:vAlign w:val="center"/>
          </w:tcPr>
          <w:p>
            <w:pPr>
              <w:spacing w:after="0"/>
            </w:pPr>
            <w:r/>
            <w:r>
              <w:rPr>
                <w:b w:val="0"/>
                <w:sz w:val="18"/>
              </w:rPr>
              <w:t>Read account/user profile information needed for attribution and connector identity.</w:t>
            </w:r>
          </w:p>
        </w:tc>
      </w:tr>
      <w:tr>
        <w:tc>
          <w:tcPr>
            <w:tcW w:type="dxa" w:w="2736"/>
            <w:vAlign w:val="center"/>
          </w:tcPr>
          <w:p>
            <w:pPr>
              <w:spacing w:after="0"/>
            </w:pPr>
            <w:r/>
            <w:r>
              <w:rPr>
                <w:b w:val="0"/>
                <w:sz w:val="18"/>
              </w:rPr>
              <w:t>read:jira-work</w:t>
            </w:r>
          </w:p>
        </w:tc>
        <w:tc>
          <w:tcPr>
            <w:tcW w:type="dxa" w:w="1728"/>
            <w:vAlign w:val="center"/>
          </w:tcPr>
          <w:p>
            <w:pPr>
              <w:spacing w:after="0"/>
            </w:pPr>
            <w:r/>
            <w:r>
              <w:rPr>
                <w:b w:val="0"/>
                <w:sz w:val="18"/>
              </w:rPr>
              <w:t>Yes</w:t>
            </w:r>
          </w:p>
        </w:tc>
        <w:tc>
          <w:tcPr>
            <w:tcW w:type="dxa" w:w="7200"/>
            <w:vAlign w:val="center"/>
          </w:tcPr>
          <w:p>
            <w:pPr>
              <w:spacing w:after="0"/>
            </w:pPr>
            <w:r/>
            <w:r>
              <w:rPr>
                <w:b w:val="0"/>
                <w:sz w:val="18"/>
              </w:rPr>
              <w:t>Read Jira project and issue data, search issues, and read associated work objects permitted to the token user.</w:t>
            </w:r>
          </w:p>
        </w:tc>
      </w:tr>
      <w:tr>
        <w:tc>
          <w:tcPr>
            <w:tcW w:type="dxa" w:w="2736"/>
            <w:vAlign w:val="center"/>
          </w:tcPr>
          <w:p>
            <w:pPr>
              <w:spacing w:after="0"/>
            </w:pPr>
            <w:r/>
            <w:r>
              <w:rPr>
                <w:b w:val="0"/>
                <w:sz w:val="18"/>
              </w:rPr>
              <w:t>manage:jira-webhook</w:t>
            </w:r>
          </w:p>
        </w:tc>
        <w:tc>
          <w:tcPr>
            <w:tcW w:type="dxa" w:w="1728"/>
            <w:vAlign w:val="center"/>
          </w:tcPr>
          <w:p>
            <w:pPr>
              <w:spacing w:after="0"/>
            </w:pPr>
            <w:r/>
            <w:r>
              <w:rPr>
                <w:b w:val="0"/>
                <w:sz w:val="18"/>
              </w:rPr>
              <w:t>No, backlog</w:t>
            </w:r>
          </w:p>
        </w:tc>
        <w:tc>
          <w:tcPr>
            <w:tcW w:type="dxa" w:w="7200"/>
            <w:vAlign w:val="center"/>
          </w:tcPr>
          <w:p>
            <w:pPr>
              <w:spacing w:after="0"/>
            </w:pPr>
            <w:r/>
            <w:r>
              <w:rPr>
                <w:b w:val="0"/>
                <w:sz w:val="18"/>
              </w:rPr>
              <w:t>Only needed later if APSO manages Jira webhooks instead of scheduled polling.</w:t>
            </w:r>
          </w:p>
        </w:tc>
      </w:tr>
      <w:tr>
        <w:tc>
          <w:tcPr>
            <w:tcW w:type="dxa" w:w="2736"/>
            <w:vAlign w:val="center"/>
          </w:tcPr>
          <w:p>
            <w:pPr>
              <w:spacing w:after="0"/>
            </w:pPr>
            <w:r/>
            <w:r>
              <w:rPr>
                <w:b w:val="0"/>
                <w:sz w:val="18"/>
              </w:rPr>
              <w:t>write:jira-work</w:t>
            </w:r>
          </w:p>
        </w:tc>
        <w:tc>
          <w:tcPr>
            <w:tcW w:type="dxa" w:w="1728"/>
            <w:vAlign w:val="center"/>
          </w:tcPr>
          <w:p>
            <w:pPr>
              <w:spacing w:after="0"/>
            </w:pPr>
            <w:r/>
            <w:r>
              <w:rPr>
                <w:b w:val="0"/>
                <w:sz w:val="18"/>
              </w:rPr>
              <w:t>No, backlog</w:t>
            </w:r>
          </w:p>
        </w:tc>
        <w:tc>
          <w:tcPr>
            <w:tcW w:type="dxa" w:w="7200"/>
            <w:vAlign w:val="center"/>
          </w:tcPr>
          <w:p>
            <w:pPr>
              <w:spacing w:after="0"/>
            </w:pPr>
            <w:r/>
            <w:r>
              <w:rPr>
                <w:b w:val="0"/>
                <w:sz w:val="18"/>
              </w:rPr>
              <w:t>Only needed later if APSO writes comments, updates issues, changes priorities, or creates Jira tickets.</w:t>
            </w:r>
          </w:p>
        </w:tc>
      </w:tr>
    </w:tbl>
    <w:p/>
    <w:tbl>
      <w:tblPr>
        <w:tblW w:type="auto" w:w="0"/>
        <w:jc w:val="center"/>
        <w:tblLook w:firstColumn="1" w:firstRow="1" w:lastColumn="0" w:lastRow="0" w:noHBand="0" w:noVBand="1" w:val="04A0"/>
      </w:tblPr>
      <w:tblGrid>
        <w:gridCol w:w="10368"/>
      </w:tblGrid>
      <w:tr>
        <w:tc>
          <w:tcPr>
            <w:tcW w:type="dxa" w:w="10368"/>
            <w:shd w:fill="EEF6E8"/>
          </w:tcPr>
          <w:p>
            <w:pPr>
              <w:spacing w:after="60"/>
            </w:pPr>
            <w:r>
              <w:rPr>
                <w:b/>
                <w:color w:val="255B2F"/>
                <w:sz w:val="20"/>
              </w:rPr>
              <w:t>Locked Jira MVP Policy</w:t>
            </w:r>
          </w:p>
          <w:p>
            <w:pPr>
              <w:spacing w:after="0"/>
            </w:pPr>
            <w:r>
              <w:rPr>
                <w:sz w:val="18"/>
              </w:rPr>
              <w:t>Jira integration is read-only for MVP. APSO must use scheduled polling first. No Jira issue creation, comments, field updates, priority changes, label changes, status transitions, or AI recommendation write-back may be implemented in MVP.</w:t>
            </w:r>
          </w:p>
        </w:tc>
      </w:tr>
    </w:tbl>
    <w:p/>
    <w:p>
      <w:pPr>
        <w:pStyle w:val="Heading1"/>
      </w:pPr>
      <w:r>
        <w:t>7. Bitbucket Integration Scope</w:t>
      </w:r>
    </w:p>
    <w:p>
      <w:r>
        <w:t>For the Bitbucket API token shown in the selection screen, choose only read scopes required for extraction and evidence analysis. Atlassian states that repository read does not include pull requests, so PR read must be selected separately. Pipeline read includes pipeline information such as pipelines, steps, artifacts, logs, tests, and code-insights.</w:t>
      </w:r>
    </w:p>
    <w:tbl>
      <w:tblPr>
        <w:tblStyle w:val="TableGrid"/>
        <w:tblW w:type="auto" w:w="0"/>
        <w:jc w:val="center"/>
        <w:tblLook w:firstColumn="1" w:firstRow="1" w:lastColumn="0" w:lastRow="0" w:noHBand="0" w:noVBand="1" w:val="04A0"/>
      </w:tblPr>
      <w:tblGrid>
        <w:gridCol w:w="3456"/>
        <w:gridCol w:w="3456"/>
        <w:gridCol w:w="3456"/>
      </w:tblGrid>
      <w:tr>
        <w:tc>
          <w:tcPr>
            <w:tcW w:type="dxa" w:w="3096"/>
            <w:vAlign w:val="center"/>
            <w:shd w:fill="D9EAF7"/>
          </w:tcPr>
          <w:p>
            <w:pPr>
              <w:spacing w:after="0"/>
            </w:pPr>
            <w:r/>
            <w:r>
              <w:rPr>
                <w:b/>
                <w:sz w:val="18"/>
              </w:rPr>
              <w:t>Bitbucket Scope</w:t>
            </w:r>
          </w:p>
        </w:tc>
        <w:tc>
          <w:tcPr>
            <w:tcW w:type="dxa" w:w="1728"/>
            <w:vAlign w:val="center"/>
            <w:shd w:fill="D9EAF7"/>
          </w:tcPr>
          <w:p>
            <w:pPr>
              <w:spacing w:after="0"/>
            </w:pPr>
            <w:r/>
            <w:r>
              <w:rPr>
                <w:b/>
                <w:sz w:val="18"/>
              </w:rPr>
              <w:t>Select?</w:t>
            </w:r>
          </w:p>
        </w:tc>
        <w:tc>
          <w:tcPr>
            <w:tcW w:type="dxa" w:w="6912"/>
            <w:vAlign w:val="center"/>
            <w:shd w:fill="D9EAF7"/>
          </w:tcPr>
          <w:p>
            <w:pPr>
              <w:spacing w:after="0"/>
            </w:pPr>
            <w:r/>
            <w:r>
              <w:rPr>
                <w:b/>
                <w:sz w:val="18"/>
              </w:rPr>
              <w:t>Why APSO Needs It</w:t>
            </w:r>
          </w:p>
        </w:tc>
      </w:tr>
      <w:tr>
        <w:tc>
          <w:tcPr>
            <w:tcW w:type="dxa" w:w="3096"/>
            <w:vAlign w:val="center"/>
          </w:tcPr>
          <w:p>
            <w:pPr>
              <w:spacing w:after="0"/>
            </w:pPr>
            <w:r/>
            <w:r>
              <w:rPr>
                <w:b w:val="0"/>
                <w:sz w:val="18"/>
              </w:rPr>
              <w:t>read:account</w:t>
            </w:r>
          </w:p>
        </w:tc>
        <w:tc>
          <w:tcPr>
            <w:tcW w:type="dxa" w:w="1728"/>
            <w:vAlign w:val="center"/>
          </w:tcPr>
          <w:p>
            <w:pPr>
              <w:spacing w:after="0"/>
            </w:pPr>
            <w:r/>
            <w:r>
              <w:rPr>
                <w:b w:val="0"/>
                <w:sz w:val="18"/>
              </w:rPr>
              <w:t>Yes</w:t>
            </w:r>
          </w:p>
        </w:tc>
        <w:tc>
          <w:tcPr>
            <w:tcW w:type="dxa" w:w="6912"/>
            <w:vAlign w:val="center"/>
          </w:tcPr>
          <w:p>
            <w:pPr>
              <w:spacing w:after="0"/>
            </w:pPr>
            <w:r/>
            <w:r>
              <w:rPr>
                <w:b w:val="0"/>
                <w:sz w:val="18"/>
              </w:rPr>
              <w:t>View user profiles/account context where required by the token flow.</w:t>
            </w:r>
          </w:p>
        </w:tc>
      </w:tr>
      <w:tr>
        <w:tc>
          <w:tcPr>
            <w:tcW w:type="dxa" w:w="3096"/>
            <w:vAlign w:val="center"/>
          </w:tcPr>
          <w:p>
            <w:pPr>
              <w:spacing w:after="0"/>
            </w:pPr>
            <w:r/>
            <w:r>
              <w:rPr>
                <w:b w:val="0"/>
                <w:sz w:val="18"/>
              </w:rPr>
              <w:t>read:me</w:t>
            </w:r>
          </w:p>
        </w:tc>
        <w:tc>
          <w:tcPr>
            <w:tcW w:type="dxa" w:w="1728"/>
            <w:vAlign w:val="center"/>
          </w:tcPr>
          <w:p>
            <w:pPr>
              <w:spacing w:after="0"/>
            </w:pPr>
            <w:r/>
            <w:r>
              <w:rPr>
                <w:b w:val="0"/>
                <w:sz w:val="18"/>
              </w:rPr>
              <w:t>Yes</w:t>
            </w:r>
          </w:p>
        </w:tc>
        <w:tc>
          <w:tcPr>
            <w:tcW w:type="dxa" w:w="6912"/>
            <w:vAlign w:val="center"/>
          </w:tcPr>
          <w:p>
            <w:pPr>
              <w:spacing w:after="0"/>
            </w:pPr>
            <w:r/>
            <w:r>
              <w:rPr>
                <w:b w:val="0"/>
                <w:sz w:val="18"/>
              </w:rPr>
              <w:t>Validate the authenticated token owner and connector identity.</w:t>
            </w:r>
          </w:p>
        </w:tc>
      </w:tr>
      <w:tr>
        <w:tc>
          <w:tcPr>
            <w:tcW w:type="dxa" w:w="3096"/>
            <w:vAlign w:val="center"/>
          </w:tcPr>
          <w:p>
            <w:pPr>
              <w:spacing w:after="0"/>
            </w:pPr>
            <w:r/>
            <w:r>
              <w:rPr>
                <w:b w:val="0"/>
                <w:sz w:val="18"/>
              </w:rPr>
              <w:t>read:user:bitbucket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user information for PR authors/reviewers and attribution.</w:t>
            </w:r>
          </w:p>
        </w:tc>
      </w:tr>
      <w:tr>
        <w:tc>
          <w:tcPr>
            <w:tcW w:type="dxa" w:w="3096"/>
            <w:vAlign w:val="center"/>
          </w:tcPr>
          <w:p>
            <w:pPr>
              <w:spacing w:after="0"/>
            </w:pPr>
            <w:r/>
            <w:r>
              <w:rPr>
                <w:b w:val="0"/>
                <w:sz w:val="18"/>
              </w:rPr>
              <w:t>read:workspace:bitbucket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List/view workspaces the token can access.</w:t>
            </w:r>
          </w:p>
        </w:tc>
      </w:tr>
      <w:tr>
        <w:tc>
          <w:tcPr>
            <w:tcW w:type="dxa" w:w="3096"/>
            <w:vAlign w:val="center"/>
          </w:tcPr>
          <w:p>
            <w:pPr>
              <w:spacing w:after="0"/>
            </w:pPr>
            <w:r/>
            <w:r>
              <w:rPr>
                <w:b w:val="0"/>
                <w:sz w:val="18"/>
              </w:rPr>
              <w:t>read:project:bitbucket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projects and project metadata for grouping repositories.</w:t>
            </w:r>
          </w:p>
        </w:tc>
      </w:tr>
      <w:tr>
        <w:tc>
          <w:tcPr>
            <w:tcW w:type="dxa" w:w="3096"/>
            <w:vAlign w:val="center"/>
          </w:tcPr>
          <w:p>
            <w:pPr>
              <w:spacing w:after="0"/>
            </w:pPr>
            <w:r/>
            <w:r>
              <w:rPr>
                <w:b w:val="0"/>
                <w:sz w:val="18"/>
              </w:rPr>
              <w:t>read:repository:bitbucket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repositories, source code, branches, files, and repository configuration.</w:t>
            </w:r>
          </w:p>
        </w:tc>
      </w:tr>
      <w:tr>
        <w:tc>
          <w:tcPr>
            <w:tcW w:type="dxa" w:w="3096"/>
            <w:vAlign w:val="center"/>
          </w:tcPr>
          <w:p>
            <w:pPr>
              <w:spacing w:after="0"/>
            </w:pPr>
            <w:r/>
            <w:r>
              <w:rPr>
                <w:b w:val="0"/>
                <w:sz w:val="18"/>
              </w:rPr>
              <w:t>read:pullrequest:bitbucket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pull requests, reviews, PR metadata, and PR evidence.</w:t>
            </w:r>
          </w:p>
        </w:tc>
      </w:tr>
      <w:tr>
        <w:tc>
          <w:tcPr>
            <w:tcW w:type="dxa" w:w="3096"/>
            <w:vAlign w:val="center"/>
          </w:tcPr>
          <w:p>
            <w:pPr>
              <w:spacing w:after="0"/>
            </w:pPr>
            <w:r/>
            <w:r>
              <w:rPr>
                <w:b w:val="0"/>
                <w:sz w:val="18"/>
              </w:rPr>
              <w:t>read:pipeline:bitbucket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pipelines, steps, caches, artifacts, logs, tests, and code insights.</w:t>
            </w:r>
          </w:p>
        </w:tc>
      </w:tr>
      <w:tr>
        <w:tc>
          <w:tcPr>
            <w:tcW w:type="dxa" w:w="3096"/>
            <w:vAlign w:val="center"/>
          </w:tcPr>
          <w:p>
            <w:pPr>
              <w:spacing w:after="0"/>
            </w:pPr>
            <w:r/>
            <w:r>
              <w:rPr>
                <w:b w:val="0"/>
                <w:sz w:val="18"/>
              </w:rPr>
              <w:t>read:test:bitbucket</w:t>
            </w:r>
          </w:p>
        </w:tc>
        <w:tc>
          <w:tcPr>
            <w:tcW w:type="dxa" w:w="1728"/>
            <w:vAlign w:val="center"/>
          </w:tcPr>
          <w:p>
            <w:pPr>
              <w:spacing w:after="0"/>
            </w:pPr>
            <w:r/>
            <w:r>
              <w:rPr>
                <w:b w:val="0"/>
                <w:sz w:val="18"/>
              </w:rPr>
              <w:t>Yes</w:t>
            </w:r>
          </w:p>
        </w:tc>
        <w:tc>
          <w:tcPr>
            <w:tcW w:type="dxa" w:w="6912"/>
            <w:vAlign w:val="center"/>
          </w:tcPr>
          <w:p>
            <w:pPr>
              <w:spacing w:after="0"/>
            </w:pPr>
            <w:r/>
            <w:r>
              <w:rPr>
                <w:b w:val="0"/>
                <w:sz w:val="18"/>
              </w:rPr>
              <w:t>Read repository/workspace test data where exposed separately in the token UI.</w:t>
            </w:r>
          </w:p>
        </w:tc>
      </w:tr>
      <w:tr>
        <w:tc>
          <w:tcPr>
            <w:tcW w:type="dxa" w:w="3096"/>
            <w:vAlign w:val="center"/>
          </w:tcPr>
          <w:p>
            <w:pPr>
              <w:spacing w:after="0"/>
            </w:pPr>
            <w:r/>
            <w:r>
              <w:rPr>
                <w:b w:val="0"/>
                <w:sz w:val="18"/>
              </w:rPr>
              <w:t>read:permission:bitbucket</w:t>
            </w:r>
          </w:p>
        </w:tc>
        <w:tc>
          <w:tcPr>
            <w:tcW w:type="dxa" w:w="1728"/>
            <w:vAlign w:val="center"/>
          </w:tcPr>
          <w:p>
            <w:pPr>
              <w:spacing w:after="0"/>
            </w:pPr>
            <w:r/>
            <w:r>
              <w:rPr>
                <w:b w:val="0"/>
                <w:sz w:val="18"/>
              </w:rPr>
              <w:t>Optional</w:t>
            </w:r>
          </w:p>
        </w:tc>
        <w:tc>
          <w:tcPr>
            <w:tcW w:type="dxa" w:w="6912"/>
            <w:vAlign w:val="center"/>
          </w:tcPr>
          <w:p>
            <w:pPr>
              <w:spacing w:after="0"/>
            </w:pPr>
            <w:r/>
            <w:r>
              <w:rPr>
                <w:b w:val="0"/>
                <w:sz w:val="18"/>
              </w:rPr>
              <w:t>Useful for diagnostics and permission validation; not needed for core extraction if access is already known.</w:t>
            </w:r>
          </w:p>
        </w:tc>
      </w:tr>
      <w:tr>
        <w:tc>
          <w:tcPr>
            <w:tcW w:type="dxa" w:w="3096"/>
            <w:vAlign w:val="center"/>
          </w:tcPr>
          <w:p>
            <w:pPr>
              <w:spacing w:after="0"/>
            </w:pPr>
            <w:r/>
            <w:r>
              <w:rPr>
                <w:b w:val="0"/>
                <w:sz w:val="18"/>
              </w:rPr>
              <w:t>read:webhook:bitbucket</w:t>
            </w:r>
          </w:p>
        </w:tc>
        <w:tc>
          <w:tcPr>
            <w:tcW w:type="dxa" w:w="1728"/>
            <w:vAlign w:val="center"/>
          </w:tcPr>
          <w:p>
            <w:pPr>
              <w:spacing w:after="0"/>
            </w:pPr>
            <w:r/>
            <w:r>
              <w:rPr>
                <w:b w:val="0"/>
                <w:sz w:val="18"/>
              </w:rPr>
              <w:t>Optional/backlog</w:t>
            </w:r>
          </w:p>
        </w:tc>
        <w:tc>
          <w:tcPr>
            <w:tcW w:type="dxa" w:w="6912"/>
            <w:vAlign w:val="center"/>
          </w:tcPr>
          <w:p>
            <w:pPr>
              <w:spacing w:after="0"/>
            </w:pPr>
            <w:r/>
            <w:r>
              <w:rPr>
                <w:b w:val="0"/>
                <w:sz w:val="18"/>
              </w:rPr>
              <w:t>Only view existing webhooks. MVP should use polling unless webhook reading is needed for diagnostics.</w:t>
            </w:r>
          </w:p>
        </w:tc>
      </w:tr>
      <w:tr>
        <w:tc>
          <w:tcPr>
            <w:tcW w:type="dxa" w:w="3096"/>
            <w:vAlign w:val="center"/>
          </w:tcPr>
          <w:p>
            <w:pPr>
              <w:spacing w:after="0"/>
            </w:pPr>
            <w:r/>
            <w:r>
              <w:rPr>
                <w:b w:val="0"/>
                <w:sz w:val="18"/>
              </w:rPr>
              <w:t>read:runner:bitbucket</w:t>
            </w:r>
          </w:p>
        </w:tc>
        <w:tc>
          <w:tcPr>
            <w:tcW w:type="dxa" w:w="1728"/>
            <w:vAlign w:val="center"/>
          </w:tcPr>
          <w:p>
            <w:pPr>
              <w:spacing w:after="0"/>
            </w:pPr>
            <w:r/>
            <w:r>
              <w:rPr>
                <w:b w:val="0"/>
                <w:sz w:val="18"/>
              </w:rPr>
              <w:t>No for MVP</w:t>
            </w:r>
          </w:p>
        </w:tc>
        <w:tc>
          <w:tcPr>
            <w:tcW w:type="dxa" w:w="6912"/>
            <w:vAlign w:val="center"/>
          </w:tcPr>
          <w:p>
            <w:pPr>
              <w:spacing w:after="0"/>
            </w:pPr>
            <w:r/>
            <w:r>
              <w:rPr>
                <w:b w:val="0"/>
                <w:sz w:val="18"/>
              </w:rPr>
              <w:t>Runner metadata is not required for the first APSO extraction scope.</w:t>
            </w:r>
          </w:p>
        </w:tc>
      </w:tr>
      <w:tr>
        <w:tc>
          <w:tcPr>
            <w:tcW w:type="dxa" w:w="3096"/>
            <w:vAlign w:val="center"/>
          </w:tcPr>
          <w:p>
            <w:pPr>
              <w:spacing w:after="0"/>
            </w:pPr>
            <w:r/>
            <w:r>
              <w:rPr>
                <w:b w:val="0"/>
                <w:sz w:val="18"/>
              </w:rPr>
              <w:t>read:issue:bitbucket</w:t>
            </w:r>
          </w:p>
        </w:tc>
        <w:tc>
          <w:tcPr>
            <w:tcW w:type="dxa" w:w="1728"/>
            <w:vAlign w:val="center"/>
          </w:tcPr>
          <w:p>
            <w:pPr>
              <w:spacing w:after="0"/>
            </w:pPr>
            <w:r/>
            <w:r>
              <w:rPr>
                <w:b w:val="0"/>
                <w:sz w:val="18"/>
              </w:rPr>
              <w:t>No unless Bitbucket Issues are used</w:t>
            </w:r>
          </w:p>
        </w:tc>
        <w:tc>
          <w:tcPr>
            <w:tcW w:type="dxa" w:w="6912"/>
            <w:vAlign w:val="center"/>
          </w:tcPr>
          <w:p>
            <w:pPr>
              <w:spacing w:after="0"/>
            </w:pPr>
            <w:r/>
            <w:r>
              <w:rPr>
                <w:b w:val="0"/>
                <w:sz w:val="18"/>
              </w:rPr>
              <w:t>Only needed if the team tracks work in Bitbucket Issues; Jira is the system of record.</w:t>
            </w:r>
          </w:p>
        </w:tc>
      </w:tr>
      <w:tr>
        <w:tc>
          <w:tcPr>
            <w:tcW w:type="dxa" w:w="3096"/>
            <w:vAlign w:val="center"/>
          </w:tcPr>
          <w:p>
            <w:pPr>
              <w:spacing w:after="0"/>
            </w:pPr>
            <w:r/>
            <w:r>
              <w:rPr>
                <w:b w:val="0"/>
                <w:sz w:val="18"/>
              </w:rPr>
              <w:t>read:wiki:bitbucket</w:t>
            </w:r>
          </w:p>
        </w:tc>
        <w:tc>
          <w:tcPr>
            <w:tcW w:type="dxa" w:w="1728"/>
            <w:vAlign w:val="center"/>
          </w:tcPr>
          <w:p>
            <w:pPr>
              <w:spacing w:after="0"/>
            </w:pPr>
            <w:r/>
            <w:r>
              <w:rPr>
                <w:b w:val="0"/>
                <w:sz w:val="18"/>
              </w:rPr>
              <w:t>No unless wiki requirements are used</w:t>
            </w:r>
          </w:p>
        </w:tc>
        <w:tc>
          <w:tcPr>
            <w:tcW w:type="dxa" w:w="6912"/>
            <w:vAlign w:val="center"/>
          </w:tcPr>
          <w:p>
            <w:pPr>
              <w:spacing w:after="0"/>
            </w:pPr>
            <w:r/>
            <w:r>
              <w:rPr>
                <w:b w:val="0"/>
                <w:sz w:val="18"/>
              </w:rPr>
              <w:t>Only needed if requirements/docs live in Bitbucket Wiki.</w:t>
            </w:r>
          </w:p>
        </w:tc>
      </w:tr>
      <w:tr>
        <w:tc>
          <w:tcPr>
            <w:tcW w:type="dxa" w:w="3096"/>
            <w:vAlign w:val="center"/>
          </w:tcPr>
          <w:p>
            <w:pPr>
              <w:spacing w:after="0"/>
            </w:pPr>
            <w:r/>
            <w:r>
              <w:rPr>
                <w:b w:val="0"/>
                <w:sz w:val="18"/>
              </w:rPr>
              <w:t>read:snippet:bitbucket</w:t>
            </w:r>
          </w:p>
        </w:tc>
        <w:tc>
          <w:tcPr>
            <w:tcW w:type="dxa" w:w="1728"/>
            <w:vAlign w:val="center"/>
          </w:tcPr>
          <w:p>
            <w:pPr>
              <w:spacing w:after="0"/>
            </w:pPr>
            <w:r/>
            <w:r>
              <w:rPr>
                <w:b w:val="0"/>
                <w:sz w:val="18"/>
              </w:rPr>
              <w:t>No</w:t>
            </w:r>
          </w:p>
        </w:tc>
        <w:tc>
          <w:tcPr>
            <w:tcW w:type="dxa" w:w="6912"/>
            <w:vAlign w:val="center"/>
          </w:tcPr>
          <w:p>
            <w:pPr>
              <w:spacing w:after="0"/>
            </w:pPr>
            <w:r/>
            <w:r>
              <w:rPr>
                <w:b w:val="0"/>
                <w:sz w:val="18"/>
              </w:rPr>
              <w:t>Not part of APSO MVP evidence model.</w:t>
            </w:r>
          </w:p>
        </w:tc>
      </w:tr>
      <w:tr>
        <w:tc>
          <w:tcPr>
            <w:tcW w:type="dxa" w:w="3096"/>
            <w:vAlign w:val="center"/>
          </w:tcPr>
          <w:p>
            <w:pPr>
              <w:spacing w:after="0"/>
            </w:pPr>
            <w:r/>
            <w:r>
              <w:rPr>
                <w:b w:val="0"/>
                <w:sz w:val="18"/>
              </w:rPr>
              <w:t>read:ssh-key:bitbucket</w:t>
            </w:r>
          </w:p>
        </w:tc>
        <w:tc>
          <w:tcPr>
            <w:tcW w:type="dxa" w:w="1728"/>
            <w:vAlign w:val="center"/>
          </w:tcPr>
          <w:p>
            <w:pPr>
              <w:spacing w:after="0"/>
            </w:pPr>
            <w:r/>
            <w:r>
              <w:rPr>
                <w:b w:val="0"/>
                <w:sz w:val="18"/>
              </w:rPr>
              <w:t>No</w:t>
            </w:r>
          </w:p>
        </w:tc>
        <w:tc>
          <w:tcPr>
            <w:tcW w:type="dxa" w:w="6912"/>
            <w:vAlign w:val="center"/>
          </w:tcPr>
          <w:p>
            <w:pPr>
              <w:spacing w:after="0"/>
            </w:pPr>
            <w:r/>
            <w:r>
              <w:rPr>
                <w:b w:val="0"/>
                <w:sz w:val="18"/>
              </w:rPr>
              <w:t>Not needed for SDLC analysis.</w:t>
            </w:r>
          </w:p>
        </w:tc>
      </w:tr>
      <w:tr>
        <w:tc>
          <w:tcPr>
            <w:tcW w:type="dxa" w:w="3096"/>
            <w:vAlign w:val="center"/>
          </w:tcPr>
          <w:p>
            <w:pPr>
              <w:spacing w:after="0"/>
            </w:pPr>
            <w:r/>
            <w:r>
              <w:rPr>
                <w:b w:val="0"/>
                <w:sz w:val="18"/>
              </w:rPr>
              <w:t>read:gpg-key:bitbucket</w:t>
            </w:r>
          </w:p>
        </w:tc>
        <w:tc>
          <w:tcPr>
            <w:tcW w:type="dxa" w:w="1728"/>
            <w:vAlign w:val="center"/>
          </w:tcPr>
          <w:p>
            <w:pPr>
              <w:spacing w:after="0"/>
            </w:pPr>
            <w:r/>
            <w:r>
              <w:rPr>
                <w:b w:val="0"/>
                <w:sz w:val="18"/>
              </w:rPr>
              <w:t>No</w:t>
            </w:r>
          </w:p>
        </w:tc>
        <w:tc>
          <w:tcPr>
            <w:tcW w:type="dxa" w:w="6912"/>
            <w:vAlign w:val="center"/>
          </w:tcPr>
          <w:p>
            <w:pPr>
              <w:spacing w:after="0"/>
            </w:pPr>
            <w:r/>
            <w:r>
              <w:rPr>
                <w:b w:val="0"/>
                <w:sz w:val="18"/>
              </w:rPr>
              <w:t>Not needed for SDLC analysis.</w:t>
            </w:r>
          </w:p>
        </w:tc>
      </w:tr>
      <w:tr>
        <w:tc>
          <w:tcPr>
            <w:tcW w:type="dxa" w:w="3096"/>
            <w:vAlign w:val="center"/>
          </w:tcPr>
          <w:p>
            <w:pPr>
              <w:spacing w:after="0"/>
            </w:pPr>
            <w:r/>
            <w:r>
              <w:rPr>
                <w:b w:val="0"/>
                <w:sz w:val="18"/>
              </w:rPr>
              <w:t>read:package:bitbucket</w:t>
            </w:r>
          </w:p>
        </w:tc>
        <w:tc>
          <w:tcPr>
            <w:tcW w:type="dxa" w:w="1728"/>
            <w:vAlign w:val="center"/>
          </w:tcPr>
          <w:p>
            <w:pPr>
              <w:spacing w:after="0"/>
            </w:pPr>
            <w:r/>
            <w:r>
              <w:rPr>
                <w:b w:val="0"/>
                <w:sz w:val="18"/>
              </w:rPr>
              <w:t>No for MVP</w:t>
            </w:r>
          </w:p>
        </w:tc>
        <w:tc>
          <w:tcPr>
            <w:tcW w:type="dxa" w:w="6912"/>
            <w:vAlign w:val="center"/>
          </w:tcPr>
          <w:p>
            <w:pPr>
              <w:spacing w:after="0"/>
            </w:pPr>
            <w:r/>
            <w:r>
              <w:rPr>
                <w:b w:val="0"/>
                <w:sz w:val="18"/>
              </w:rPr>
              <w:t>Only needed if package registry evidence is added later.</w:t>
            </w:r>
          </w:p>
        </w:tc>
      </w:tr>
    </w:tbl>
    <w:p/>
    <w:tbl>
      <w:tblPr>
        <w:tblW w:type="auto" w:w="0"/>
        <w:jc w:val="center"/>
        <w:tblLook w:firstColumn="1" w:firstRow="1" w:lastColumn="0" w:lastRow="0" w:noHBand="0" w:noVBand="1" w:val="04A0"/>
      </w:tblPr>
      <w:tblGrid>
        <w:gridCol w:w="10368"/>
      </w:tblGrid>
      <w:tr>
        <w:tc>
          <w:tcPr>
            <w:tcW w:type="dxa" w:w="10368"/>
            <w:shd w:fill="EEF6E8"/>
          </w:tcPr>
          <w:p>
            <w:pPr>
              <w:spacing w:after="60"/>
            </w:pPr>
            <w:r>
              <w:rPr>
                <w:b/>
                <w:color w:val="255B2F"/>
                <w:sz w:val="20"/>
              </w:rPr>
              <w:t>Locked Bitbucket MVP Policy</w:t>
            </w:r>
          </w:p>
          <w:p>
            <w:pPr>
              <w:spacing w:after="0"/>
            </w:pPr>
            <w:r>
              <w:rPr>
                <w:sz w:val="18"/>
              </w:rPr>
              <w:t>Bitbucket integration is read-only for MVP. Do not request write/admin/delete scopes. Do not create branches, commits, pull requests, comments, pipeline runs, pipeline variables, code insights, webhooks, repository settings, or permission changes in MVP.</w:t>
            </w:r>
          </w:p>
        </w:tc>
      </w:tr>
    </w:tbl>
    <w:p/>
    <w:p>
      <w:pPr>
        <w:pStyle w:val="Heading1"/>
      </w:pPr>
      <w:r>
        <w:t>8. Backlog: Write-Back And Automation Features</w:t>
      </w:r>
    </w:p>
    <w:p>
      <w:r>
        <w:t>The following items are explicitly backlog/future-phase capabilities. They explain why write scopes may be useful later, but they are not part of the original development scope.</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center"/>
            <w:shd w:fill="D9EAF7"/>
          </w:tcPr>
          <w:p>
            <w:pPr>
              <w:spacing w:after="0"/>
            </w:pPr>
            <w:r/>
            <w:r>
              <w:rPr>
                <w:b/>
                <w:sz w:val="18"/>
              </w:rPr>
              <w:t>Backlog Item</w:t>
            </w:r>
          </w:p>
        </w:tc>
        <w:tc>
          <w:tcPr>
            <w:tcW w:type="dxa" w:w="2520"/>
            <w:vAlign w:val="center"/>
            <w:shd w:fill="D9EAF7"/>
          </w:tcPr>
          <w:p>
            <w:pPr>
              <w:spacing w:after="0"/>
            </w:pPr>
            <w:r/>
            <w:r>
              <w:rPr>
                <w:b/>
                <w:sz w:val="18"/>
              </w:rPr>
              <w:t>Future Permission Needed</w:t>
            </w:r>
          </w:p>
        </w:tc>
        <w:tc>
          <w:tcPr>
            <w:tcW w:type="dxa" w:w="5760"/>
            <w:vAlign w:val="center"/>
            <w:shd w:fill="D9EAF7"/>
          </w:tcPr>
          <w:p>
            <w:pPr>
              <w:spacing w:after="0"/>
            </w:pPr>
            <w:r/>
            <w:r>
              <w:rPr>
                <w:b/>
                <w:sz w:val="18"/>
              </w:rPr>
              <w:t>Description</w:t>
            </w:r>
          </w:p>
        </w:tc>
      </w:tr>
      <w:tr>
        <w:tc>
          <w:tcPr>
            <w:tcW w:type="dxa" w:w="3384"/>
            <w:vAlign w:val="center"/>
          </w:tcPr>
          <w:p>
            <w:pPr>
              <w:spacing w:after="0"/>
            </w:pPr>
            <w:r/>
            <w:r>
              <w:rPr>
                <w:b w:val="0"/>
                <w:sz w:val="18"/>
              </w:rPr>
              <w:t>Create Jira tickets from AI findings</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Allow an approved user to convert an APSO finding into a Jira task/bug.</w:t>
            </w:r>
          </w:p>
        </w:tc>
      </w:tr>
      <w:tr>
        <w:tc>
          <w:tcPr>
            <w:tcW w:type="dxa" w:w="3384"/>
            <w:vAlign w:val="center"/>
          </w:tcPr>
          <w:p>
            <w:pPr>
              <w:spacing w:after="0"/>
            </w:pPr>
            <w:r/>
            <w:r>
              <w:rPr>
                <w:b w:val="0"/>
                <w:sz w:val="18"/>
              </w:rPr>
              <w:t>Add comments to Jira stories</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Write AI recommendations or reviewer notes back to Jira comments after human approval.</w:t>
            </w:r>
          </w:p>
        </w:tc>
      </w:tr>
      <w:tr>
        <w:tc>
          <w:tcPr>
            <w:tcW w:type="dxa" w:w="3384"/>
            <w:vAlign w:val="center"/>
          </w:tcPr>
          <w:p>
            <w:pPr>
              <w:spacing w:after="0"/>
            </w:pPr>
            <w:r/>
            <w:r>
              <w:rPr>
                <w:b w:val="0"/>
                <w:sz w:val="18"/>
              </w:rPr>
              <w:t>Update Jira priority</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Apply approved priority recommendations to Jira.</w:t>
            </w:r>
          </w:p>
        </w:tc>
      </w:tr>
      <w:tr>
        <w:tc>
          <w:tcPr>
            <w:tcW w:type="dxa" w:w="3384"/>
            <w:vAlign w:val="center"/>
          </w:tcPr>
          <w:p>
            <w:pPr>
              <w:spacing w:after="0"/>
            </w:pPr>
            <w:r/>
            <w:r>
              <w:rPr>
                <w:b w:val="0"/>
                <w:sz w:val="18"/>
              </w:rPr>
              <w:t>Change Jira labels</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Apply approved labels such as risk, quality-gap, or needs-nfr.</w:t>
            </w:r>
          </w:p>
        </w:tc>
      </w:tr>
      <w:tr>
        <w:tc>
          <w:tcPr>
            <w:tcW w:type="dxa" w:w="3384"/>
            <w:vAlign w:val="center"/>
          </w:tcPr>
          <w:p>
            <w:pPr>
              <w:spacing w:after="0"/>
            </w:pPr>
            <w:r/>
            <w:r>
              <w:rPr>
                <w:b w:val="0"/>
                <w:sz w:val="18"/>
              </w:rPr>
              <w:t>Move Jira issue status</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Transition issue workflow only after explicit approval.</w:t>
            </w:r>
          </w:p>
        </w:tc>
      </w:tr>
      <w:tr>
        <w:tc>
          <w:tcPr>
            <w:tcW w:type="dxa" w:w="3384"/>
            <w:vAlign w:val="center"/>
          </w:tcPr>
          <w:p>
            <w:pPr>
              <w:spacing w:after="0"/>
            </w:pPr>
            <w:r/>
            <w:r>
              <w:rPr>
                <w:b w:val="0"/>
                <w:sz w:val="18"/>
              </w:rPr>
              <w:t>Write back AI recommendations into Jira</w:t>
            </w:r>
          </w:p>
        </w:tc>
        <w:tc>
          <w:tcPr>
            <w:tcW w:type="dxa" w:w="2520"/>
            <w:vAlign w:val="center"/>
          </w:tcPr>
          <w:p>
            <w:pPr>
              <w:spacing w:after="0"/>
            </w:pPr>
            <w:r/>
            <w:r>
              <w:rPr>
                <w:b w:val="0"/>
                <w:sz w:val="18"/>
              </w:rPr>
              <w:t>write:jira-work</w:t>
            </w:r>
          </w:p>
        </w:tc>
        <w:tc>
          <w:tcPr>
            <w:tcW w:type="dxa" w:w="5760"/>
            <w:vAlign w:val="center"/>
          </w:tcPr>
          <w:p>
            <w:pPr>
              <w:spacing w:after="0"/>
            </w:pPr>
            <w:r/>
            <w:r>
              <w:rPr>
                <w:b w:val="0"/>
                <w:sz w:val="18"/>
              </w:rPr>
              <w:t>Persist approved APSO analysis into Jira fields/comments.</w:t>
            </w:r>
          </w:p>
        </w:tc>
      </w:tr>
      <w:tr>
        <w:tc>
          <w:tcPr>
            <w:tcW w:type="dxa" w:w="3384"/>
            <w:vAlign w:val="center"/>
          </w:tcPr>
          <w:p>
            <w:pPr>
              <w:spacing w:after="0"/>
            </w:pPr>
            <w:r/>
            <w:r>
              <w:rPr>
                <w:b w:val="0"/>
                <w:sz w:val="18"/>
              </w:rPr>
              <w:t>Manage Jira webhooks</w:t>
            </w:r>
          </w:p>
        </w:tc>
        <w:tc>
          <w:tcPr>
            <w:tcW w:type="dxa" w:w="2520"/>
            <w:vAlign w:val="center"/>
          </w:tcPr>
          <w:p>
            <w:pPr>
              <w:spacing w:after="0"/>
            </w:pPr>
            <w:r/>
            <w:r>
              <w:rPr>
                <w:b w:val="0"/>
                <w:sz w:val="18"/>
              </w:rPr>
              <w:t>manage:jira-webhook</w:t>
            </w:r>
          </w:p>
        </w:tc>
        <w:tc>
          <w:tcPr>
            <w:tcW w:type="dxa" w:w="5760"/>
            <w:vAlign w:val="center"/>
          </w:tcPr>
          <w:p>
            <w:pPr>
              <w:spacing w:after="0"/>
            </w:pPr>
            <w:r/>
            <w:r>
              <w:rPr>
                <w:b w:val="0"/>
                <w:sz w:val="18"/>
              </w:rPr>
              <w:t>Register/refresh/delete Jira webhooks for real-time sync.</w:t>
            </w:r>
          </w:p>
        </w:tc>
      </w:tr>
      <w:tr>
        <w:tc>
          <w:tcPr>
            <w:tcW w:type="dxa" w:w="3384"/>
            <w:vAlign w:val="center"/>
          </w:tcPr>
          <w:p>
            <w:pPr>
              <w:spacing w:after="0"/>
            </w:pPr>
            <w:r/>
            <w:r>
              <w:rPr>
                <w:b w:val="0"/>
                <w:sz w:val="18"/>
              </w:rPr>
              <w:t>Create Bitbucket PR comments</w:t>
            </w:r>
          </w:p>
        </w:tc>
        <w:tc>
          <w:tcPr>
            <w:tcW w:type="dxa" w:w="2520"/>
            <w:vAlign w:val="center"/>
          </w:tcPr>
          <w:p>
            <w:pPr>
              <w:spacing w:after="0"/>
            </w:pPr>
            <w:r/>
            <w:r>
              <w:rPr>
                <w:b w:val="0"/>
                <w:sz w:val="18"/>
              </w:rPr>
              <w:t>Bitbucket write pull request scope</w:t>
            </w:r>
          </w:p>
        </w:tc>
        <w:tc>
          <w:tcPr>
            <w:tcW w:type="dxa" w:w="5760"/>
            <w:vAlign w:val="center"/>
          </w:tcPr>
          <w:p>
            <w:pPr>
              <w:spacing w:after="0"/>
            </w:pPr>
            <w:r/>
            <w:r>
              <w:rPr>
                <w:b w:val="0"/>
                <w:sz w:val="18"/>
              </w:rPr>
              <w:t>Comment on pull requests with approved APSO findings.</w:t>
            </w:r>
          </w:p>
        </w:tc>
      </w:tr>
      <w:tr>
        <w:tc>
          <w:tcPr>
            <w:tcW w:type="dxa" w:w="3384"/>
            <w:vAlign w:val="center"/>
          </w:tcPr>
          <w:p>
            <w:pPr>
              <w:spacing w:after="0"/>
            </w:pPr>
            <w:r/>
            <w:r>
              <w:rPr>
                <w:b w:val="0"/>
                <w:sz w:val="18"/>
              </w:rPr>
              <w:t>Upload Bitbucket code insights</w:t>
            </w:r>
          </w:p>
        </w:tc>
        <w:tc>
          <w:tcPr>
            <w:tcW w:type="dxa" w:w="2520"/>
            <w:vAlign w:val="center"/>
          </w:tcPr>
          <w:p>
            <w:pPr>
              <w:spacing w:after="0"/>
            </w:pPr>
            <w:r/>
            <w:r>
              <w:rPr>
                <w:b w:val="0"/>
                <w:sz w:val="18"/>
              </w:rPr>
              <w:t>Bitbucket write pipeline/code-insight scope</w:t>
            </w:r>
          </w:p>
        </w:tc>
        <w:tc>
          <w:tcPr>
            <w:tcW w:type="dxa" w:w="5760"/>
            <w:vAlign w:val="center"/>
          </w:tcPr>
          <w:p>
            <w:pPr>
              <w:spacing w:after="0"/>
            </w:pPr>
            <w:r/>
            <w:r>
              <w:rPr>
                <w:b w:val="0"/>
                <w:sz w:val="18"/>
              </w:rPr>
              <w:t>Publish APSO scan results back into Bitbucket.</w:t>
            </w:r>
          </w:p>
        </w:tc>
      </w:tr>
      <w:tr>
        <w:tc>
          <w:tcPr>
            <w:tcW w:type="dxa" w:w="3384"/>
            <w:vAlign w:val="center"/>
          </w:tcPr>
          <w:p>
            <w:pPr>
              <w:spacing w:after="0"/>
            </w:pPr>
            <w:r/>
            <w:r>
              <w:rPr>
                <w:b w:val="0"/>
                <w:sz w:val="18"/>
              </w:rPr>
              <w:t>Trigger Bitbucket pipelines</w:t>
            </w:r>
          </w:p>
        </w:tc>
        <w:tc>
          <w:tcPr>
            <w:tcW w:type="dxa" w:w="2520"/>
            <w:vAlign w:val="center"/>
          </w:tcPr>
          <w:p>
            <w:pPr>
              <w:spacing w:after="0"/>
            </w:pPr>
            <w:r/>
            <w:r>
              <w:rPr>
                <w:b w:val="0"/>
                <w:sz w:val="18"/>
              </w:rPr>
              <w:t>Bitbucket write pipeline scope</w:t>
            </w:r>
          </w:p>
        </w:tc>
        <w:tc>
          <w:tcPr>
            <w:tcW w:type="dxa" w:w="5760"/>
            <w:vAlign w:val="center"/>
          </w:tcPr>
          <w:p>
            <w:pPr>
              <w:spacing w:after="0"/>
            </w:pPr>
            <w:r/>
            <w:r>
              <w:rPr>
                <w:b w:val="0"/>
                <w:sz w:val="18"/>
              </w:rPr>
              <w:t>Start/stop/retry pipelines from APSO.</w:t>
            </w:r>
          </w:p>
        </w:tc>
      </w:tr>
      <w:tr>
        <w:tc>
          <w:tcPr>
            <w:tcW w:type="dxa" w:w="3384"/>
            <w:vAlign w:val="center"/>
          </w:tcPr>
          <w:p>
            <w:pPr>
              <w:spacing w:after="0"/>
            </w:pPr>
            <w:r/>
            <w:r>
              <w:rPr>
                <w:b w:val="0"/>
                <w:sz w:val="18"/>
              </w:rPr>
              <w:t>Manage Bitbucket webhooks</w:t>
            </w:r>
          </w:p>
        </w:tc>
        <w:tc>
          <w:tcPr>
            <w:tcW w:type="dxa" w:w="2520"/>
            <w:vAlign w:val="center"/>
          </w:tcPr>
          <w:p>
            <w:pPr>
              <w:spacing w:after="0"/>
            </w:pPr>
            <w:r/>
            <w:r>
              <w:rPr>
                <w:b w:val="0"/>
                <w:sz w:val="18"/>
              </w:rPr>
              <w:t>Bitbucket webhook write/admin scope</w:t>
            </w:r>
          </w:p>
        </w:tc>
        <w:tc>
          <w:tcPr>
            <w:tcW w:type="dxa" w:w="5760"/>
            <w:vAlign w:val="center"/>
          </w:tcPr>
          <w:p>
            <w:pPr>
              <w:spacing w:after="0"/>
            </w:pPr>
            <w:r/>
            <w:r>
              <w:rPr>
                <w:b w:val="0"/>
                <w:sz w:val="18"/>
              </w:rPr>
              <w:t>Create/update/delete Bitbucket webhooks for real-time sync.</w:t>
            </w:r>
          </w:p>
        </w:tc>
      </w:tr>
    </w:tbl>
    <w:p/>
    <w:p>
      <w:pPr>
        <w:pStyle w:val="Heading1"/>
      </w:pPr>
      <w:r>
        <w:t>9. Required Config Files Before Development</w:t>
      </w:r>
    </w:p>
    <w:tbl>
      <w:tblPr>
        <w:tblStyle w:val="TableGrid"/>
        <w:tblW w:type="auto" w:w="0"/>
        <w:jc w:val="center"/>
        <w:tblLook w:firstColumn="1" w:firstRow="1" w:lastColumn="0" w:lastRow="0" w:noHBand="0" w:noVBand="1" w:val="04A0"/>
      </w:tblPr>
      <w:tblGrid>
        <w:gridCol w:w="5184"/>
        <w:gridCol w:w="5184"/>
      </w:tblGrid>
      <w:tr>
        <w:tc>
          <w:tcPr>
            <w:tcW w:type="dxa" w:w="3744"/>
            <w:vAlign w:val="center"/>
            <w:shd w:fill="D9EAF7"/>
          </w:tcPr>
          <w:p>
            <w:pPr>
              <w:spacing w:after="0"/>
            </w:pPr>
            <w:r/>
            <w:r>
              <w:rPr>
                <w:b/>
                <w:sz w:val="18"/>
              </w:rPr>
              <w:t>File</w:t>
            </w:r>
          </w:p>
        </w:tc>
        <w:tc>
          <w:tcPr>
            <w:tcW w:type="dxa" w:w="7776"/>
            <w:vAlign w:val="center"/>
            <w:shd w:fill="D9EAF7"/>
          </w:tcPr>
          <w:p>
            <w:pPr>
              <w:spacing w:after="0"/>
            </w:pPr>
            <w:r/>
            <w:r>
              <w:rPr>
                <w:b/>
                <w:sz w:val="18"/>
              </w:rPr>
              <w:t>Purpose</w:t>
            </w:r>
          </w:p>
        </w:tc>
      </w:tr>
      <w:tr>
        <w:tc>
          <w:tcPr>
            <w:tcW w:type="dxa" w:w="3744"/>
            <w:vAlign w:val="center"/>
          </w:tcPr>
          <w:p>
            <w:pPr>
              <w:spacing w:after="0"/>
            </w:pPr>
            <w:r/>
            <w:r>
              <w:rPr>
                <w:b w:val="0"/>
                <w:sz w:val="18"/>
              </w:rPr>
              <w:t>config/environments.dev.yaml</w:t>
            </w:r>
          </w:p>
        </w:tc>
        <w:tc>
          <w:tcPr>
            <w:tcW w:type="dxa" w:w="7776"/>
            <w:vAlign w:val="center"/>
          </w:tcPr>
          <w:p>
            <w:pPr>
              <w:spacing w:after="0"/>
            </w:pPr>
            <w:r/>
            <w:r>
              <w:rPr>
                <w:b w:val="0"/>
                <w:sz w:val="18"/>
              </w:rPr>
              <w:t>All dev URLs, mock/live mode flags, local Ollama, local service endpoints.</w:t>
            </w:r>
          </w:p>
        </w:tc>
      </w:tr>
      <w:tr>
        <w:tc>
          <w:tcPr>
            <w:tcW w:type="dxa" w:w="3744"/>
            <w:vAlign w:val="center"/>
          </w:tcPr>
          <w:p>
            <w:pPr>
              <w:spacing w:after="0"/>
            </w:pPr>
            <w:r/>
            <w:r>
              <w:rPr>
                <w:b w:val="0"/>
                <w:sz w:val="18"/>
              </w:rPr>
              <w:t>config/environments.prod.yaml</w:t>
            </w:r>
          </w:p>
        </w:tc>
        <w:tc>
          <w:tcPr>
            <w:tcW w:type="dxa" w:w="7776"/>
            <w:vAlign w:val="center"/>
          </w:tcPr>
          <w:p>
            <w:pPr>
              <w:spacing w:after="0"/>
            </w:pPr>
            <w:r/>
            <w:r>
              <w:rPr>
                <w:b w:val="0"/>
                <w:sz w:val="18"/>
              </w:rPr>
              <w:t>Production URLs, live integration modes, production secrets references.</w:t>
            </w:r>
          </w:p>
        </w:tc>
      </w:tr>
      <w:tr>
        <w:tc>
          <w:tcPr>
            <w:tcW w:type="dxa" w:w="3744"/>
            <w:vAlign w:val="center"/>
          </w:tcPr>
          <w:p>
            <w:pPr>
              <w:spacing w:after="0"/>
            </w:pPr>
            <w:r/>
            <w:r>
              <w:rPr>
                <w:b w:val="0"/>
                <w:sz w:val="18"/>
              </w:rPr>
              <w:t>config/integrations.jira.yaml</w:t>
            </w:r>
          </w:p>
        </w:tc>
        <w:tc>
          <w:tcPr>
            <w:tcW w:type="dxa" w:w="7776"/>
            <w:vAlign w:val="center"/>
          </w:tcPr>
          <w:p>
            <w:pPr>
              <w:spacing w:after="0"/>
            </w:pPr>
            <w:r/>
            <w:r>
              <w:rPr>
                <w:b w:val="0"/>
                <w:sz w:val="18"/>
              </w:rPr>
              <w:t>Jira project keys, field mappings, polling interval, read-only token reference.</w:t>
            </w:r>
          </w:p>
        </w:tc>
      </w:tr>
      <w:tr>
        <w:tc>
          <w:tcPr>
            <w:tcW w:type="dxa" w:w="3744"/>
            <w:vAlign w:val="center"/>
          </w:tcPr>
          <w:p>
            <w:pPr>
              <w:spacing w:after="0"/>
            </w:pPr>
            <w:r/>
            <w:r>
              <w:rPr>
                <w:b w:val="0"/>
                <w:sz w:val="18"/>
              </w:rPr>
              <w:t>config/integrations.bitbucket.yaml</w:t>
            </w:r>
          </w:p>
        </w:tc>
        <w:tc>
          <w:tcPr>
            <w:tcW w:type="dxa" w:w="7776"/>
            <w:vAlign w:val="center"/>
          </w:tcPr>
          <w:p>
            <w:pPr>
              <w:spacing w:after="0"/>
            </w:pPr>
            <w:r/>
            <w:r>
              <w:rPr>
                <w:b w:val="0"/>
                <w:sz w:val="18"/>
              </w:rPr>
              <w:t>Workspace/repo mapping, branch patterns, required read scopes, polling interval.</w:t>
            </w:r>
          </w:p>
        </w:tc>
      </w:tr>
      <w:tr>
        <w:tc>
          <w:tcPr>
            <w:tcW w:type="dxa" w:w="3744"/>
            <w:vAlign w:val="center"/>
          </w:tcPr>
          <w:p>
            <w:pPr>
              <w:spacing w:after="0"/>
            </w:pPr>
            <w:r/>
            <w:r>
              <w:rPr>
                <w:b w:val="0"/>
                <w:sz w:val="18"/>
              </w:rPr>
              <w:t>config/integrations.aws.yaml</w:t>
            </w:r>
          </w:p>
        </w:tc>
        <w:tc>
          <w:tcPr>
            <w:tcW w:type="dxa" w:w="7776"/>
            <w:vAlign w:val="center"/>
          </w:tcPr>
          <w:p>
            <w:pPr>
              <w:spacing w:after="0"/>
            </w:pPr>
            <w:r/>
            <w:r>
              <w:rPr>
                <w:b w:val="0"/>
                <w:sz w:val="18"/>
              </w:rPr>
              <w:t>AWS region/account, CodeCommit repos, CodeBuild/CodePipeline names, read-only role reference.</w:t>
            </w:r>
          </w:p>
        </w:tc>
      </w:tr>
      <w:tr>
        <w:tc>
          <w:tcPr>
            <w:tcW w:type="dxa" w:w="3744"/>
            <w:vAlign w:val="center"/>
          </w:tcPr>
          <w:p>
            <w:pPr>
              <w:spacing w:after="0"/>
            </w:pPr>
            <w:r/>
            <w:r>
              <w:rPr>
                <w:b w:val="0"/>
                <w:sz w:val="18"/>
              </w:rPr>
              <w:t>config/ai-gateway.yaml</w:t>
            </w:r>
          </w:p>
        </w:tc>
        <w:tc>
          <w:tcPr>
            <w:tcW w:type="dxa" w:w="7776"/>
            <w:vAlign w:val="center"/>
          </w:tcPr>
          <w:p>
            <w:pPr>
              <w:spacing w:after="0"/>
            </w:pPr>
            <w:r/>
            <w:r>
              <w:rPr>
                <w:b w:val="0"/>
                <w:sz w:val="18"/>
              </w:rPr>
              <w:t>Ollama provider, Qwen models, output validation, prompt versions.</w:t>
            </w:r>
          </w:p>
        </w:tc>
      </w:tr>
      <w:tr>
        <w:tc>
          <w:tcPr>
            <w:tcW w:type="dxa" w:w="3744"/>
            <w:vAlign w:val="center"/>
          </w:tcPr>
          <w:p>
            <w:pPr>
              <w:spacing w:after="0"/>
            </w:pPr>
            <w:r/>
            <w:r>
              <w:rPr>
                <w:b w:val="0"/>
                <w:sz w:val="18"/>
              </w:rPr>
              <w:t>config/scanners.yaml</w:t>
            </w:r>
          </w:p>
        </w:tc>
        <w:tc>
          <w:tcPr>
            <w:tcW w:type="dxa" w:w="7776"/>
            <w:vAlign w:val="center"/>
          </w:tcPr>
          <w:p>
            <w:pPr>
              <w:spacing w:after="0"/>
            </w:pPr>
            <w:r/>
            <w:r>
              <w:rPr>
                <w:b w:val="0"/>
                <w:sz w:val="18"/>
              </w:rPr>
              <w:t>Semgrep/tree-sitter/Gitleaks/Trivy/OWASP settings.</w:t>
            </w:r>
          </w:p>
        </w:tc>
      </w:tr>
      <w:tr>
        <w:tc>
          <w:tcPr>
            <w:tcW w:type="dxa" w:w="3744"/>
            <w:vAlign w:val="center"/>
          </w:tcPr>
          <w:p>
            <w:pPr>
              <w:spacing w:after="0"/>
            </w:pPr>
            <w:r/>
            <w:r>
              <w:rPr>
                <w:b w:val="0"/>
                <w:sz w:val="18"/>
              </w:rPr>
              <w:t>config/scoring-policies.yaml</w:t>
            </w:r>
          </w:p>
        </w:tc>
        <w:tc>
          <w:tcPr>
            <w:tcW w:type="dxa" w:w="7776"/>
            <w:vAlign w:val="center"/>
          </w:tcPr>
          <w:p>
            <w:pPr>
              <w:spacing w:after="0"/>
            </w:pPr>
            <w:r/>
            <w:r>
              <w:rPr>
                <w:b w:val="0"/>
                <w:sz w:val="18"/>
              </w:rPr>
              <w:t>Requirement quality, code risk, release readiness scoring weights.</w:t>
            </w:r>
          </w:p>
        </w:tc>
      </w:tr>
      <w:tr>
        <w:tc>
          <w:tcPr>
            <w:tcW w:type="dxa" w:w="3744"/>
            <w:vAlign w:val="center"/>
          </w:tcPr>
          <w:p>
            <w:pPr>
              <w:spacing w:after="0"/>
            </w:pPr>
            <w:r/>
            <w:r>
              <w:rPr>
                <w:b w:val="0"/>
                <w:sz w:val="18"/>
              </w:rPr>
              <w:t>config/feature-flags.yaml</w:t>
            </w:r>
          </w:p>
        </w:tc>
        <w:tc>
          <w:tcPr>
            <w:tcW w:type="dxa" w:w="7776"/>
            <w:vAlign w:val="center"/>
          </w:tcPr>
          <w:p>
            <w:pPr>
              <w:spacing w:after="0"/>
            </w:pPr>
            <w:r/>
            <w:r>
              <w:rPr>
                <w:b w:val="0"/>
                <w:sz w:val="18"/>
              </w:rPr>
              <w:t>Phase-gated features and backlog toggles.</w:t>
            </w:r>
          </w:p>
        </w:tc>
      </w:tr>
      <w:tr>
        <w:tc>
          <w:tcPr>
            <w:tcW w:type="dxa" w:w="3744"/>
            <w:vAlign w:val="center"/>
          </w:tcPr>
          <w:p>
            <w:pPr>
              <w:spacing w:after="0"/>
            </w:pPr>
            <w:r/>
            <w:r>
              <w:rPr>
                <w:b w:val="0"/>
                <w:sz w:val="18"/>
              </w:rPr>
              <w:t>config/security.yaml</w:t>
            </w:r>
          </w:p>
        </w:tc>
        <w:tc>
          <w:tcPr>
            <w:tcW w:type="dxa" w:w="7776"/>
            <w:vAlign w:val="center"/>
          </w:tcPr>
          <w:p>
            <w:pPr>
              <w:spacing w:after="0"/>
            </w:pPr>
            <w:r/>
            <w:r>
              <w:rPr>
                <w:b w:val="0"/>
                <w:sz w:val="18"/>
              </w:rPr>
              <w:t>Credential encryption, JWT, webhook secrets, PII redaction, audit policy.</w:t>
            </w:r>
          </w:p>
        </w:tc>
      </w:tr>
    </w:tbl>
    <w:p/>
    <w:p>
      <w:pPr>
        <w:pStyle w:val="Heading1"/>
      </w:pPr>
      <w:r>
        <w:t>10. Phase Plan</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center"/>
            <w:shd w:fill="D9EAF7"/>
          </w:tcPr>
          <w:p>
            <w:pPr>
              <w:spacing w:after="0"/>
            </w:pPr>
            <w:r/>
            <w:r>
              <w:rPr>
                <w:b/>
                <w:sz w:val="18"/>
              </w:rPr>
              <w:t>Phase</w:t>
            </w:r>
          </w:p>
        </w:tc>
        <w:tc>
          <w:tcPr>
            <w:tcW w:type="dxa" w:w="5760"/>
            <w:vAlign w:val="center"/>
            <w:shd w:fill="D9EAF7"/>
          </w:tcPr>
          <w:p>
            <w:pPr>
              <w:spacing w:after="0"/>
            </w:pPr>
            <w:r/>
            <w:r>
              <w:rPr>
                <w:b/>
                <w:sz w:val="18"/>
              </w:rPr>
              <w:t>Build</w:t>
            </w:r>
          </w:p>
        </w:tc>
        <w:tc>
          <w:tcPr>
            <w:tcW w:type="dxa" w:w="3528"/>
            <w:vAlign w:val="center"/>
            <w:shd w:fill="D9EAF7"/>
          </w:tcPr>
          <w:p>
            <w:pPr>
              <w:spacing w:after="0"/>
            </w:pPr>
            <w:r/>
            <w:r>
              <w:rPr>
                <w:b/>
                <w:sz w:val="18"/>
              </w:rPr>
              <w:t>Must Not Include</w:t>
            </w:r>
          </w:p>
        </w:tc>
      </w:tr>
      <w:tr>
        <w:tc>
          <w:tcPr>
            <w:tcW w:type="dxa" w:w="2376"/>
            <w:vAlign w:val="center"/>
          </w:tcPr>
          <w:p>
            <w:pPr>
              <w:spacing w:after="0"/>
            </w:pPr>
            <w:r/>
            <w:r>
              <w:rPr>
                <w:b w:val="0"/>
                <w:sz w:val="18"/>
              </w:rPr>
              <w:t>Phase 1: Foundation</w:t>
            </w:r>
          </w:p>
        </w:tc>
        <w:tc>
          <w:tcPr>
            <w:tcW w:type="dxa" w:w="5760"/>
            <w:vAlign w:val="center"/>
          </w:tcPr>
          <w:p>
            <w:pPr>
              <w:spacing w:after="0"/>
            </w:pPr>
            <w:r/>
            <w:r>
              <w:rPr>
                <w:b w:val="0"/>
                <w:sz w:val="18"/>
              </w:rPr>
              <w:t>dev/prod config, auth, Postgres/pgvector, MinIO, Valkey, Temporal, AI Gateway, Ollama/Qwen setup.</w:t>
            </w:r>
          </w:p>
        </w:tc>
        <w:tc>
          <w:tcPr>
            <w:tcW w:type="dxa" w:w="3528"/>
            <w:vAlign w:val="center"/>
          </w:tcPr>
          <w:p>
            <w:pPr>
              <w:spacing w:after="0"/>
            </w:pPr>
            <w:r/>
            <w:r>
              <w:rPr>
                <w:b w:val="0"/>
                <w:sz w:val="18"/>
              </w:rPr>
              <w:t>Paid model APIs, live write-back, alternate tools.</w:t>
            </w:r>
          </w:p>
        </w:tc>
      </w:tr>
      <w:tr>
        <w:tc>
          <w:tcPr>
            <w:tcW w:type="dxa" w:w="2376"/>
            <w:vAlign w:val="center"/>
          </w:tcPr>
          <w:p>
            <w:pPr>
              <w:spacing w:after="0"/>
            </w:pPr>
            <w:r/>
            <w:r>
              <w:rPr>
                <w:b w:val="0"/>
                <w:sz w:val="18"/>
              </w:rPr>
              <w:t>Phase 2: Read-Only Integrations</w:t>
            </w:r>
          </w:p>
        </w:tc>
        <w:tc>
          <w:tcPr>
            <w:tcW w:type="dxa" w:w="5760"/>
            <w:vAlign w:val="center"/>
          </w:tcPr>
          <w:p>
            <w:pPr>
              <w:spacing w:after="0"/>
            </w:pPr>
            <w:r/>
            <w:r>
              <w:rPr>
                <w:b w:val="0"/>
                <w:sz w:val="18"/>
              </w:rPr>
              <w:t>Jira, Bitbucket, AWS read-only polling, normalized storage, integration health.</w:t>
            </w:r>
          </w:p>
        </w:tc>
        <w:tc>
          <w:tcPr>
            <w:tcW w:type="dxa" w:w="3528"/>
            <w:vAlign w:val="center"/>
          </w:tcPr>
          <w:p>
            <w:pPr>
              <w:spacing w:after="0"/>
            </w:pPr>
            <w:r/>
            <w:r>
              <w:rPr>
                <w:b w:val="0"/>
                <w:sz w:val="18"/>
              </w:rPr>
              <w:t>Jira/Bitbucket writes, webhook creation, admin scopes.</w:t>
            </w:r>
          </w:p>
        </w:tc>
      </w:tr>
      <w:tr>
        <w:tc>
          <w:tcPr>
            <w:tcW w:type="dxa" w:w="2376"/>
            <w:vAlign w:val="center"/>
          </w:tcPr>
          <w:p>
            <w:pPr>
              <w:spacing w:after="0"/>
            </w:pPr>
            <w:r/>
            <w:r>
              <w:rPr>
                <w:b w:val="0"/>
                <w:sz w:val="18"/>
              </w:rPr>
              <w:t>Phase 3: MVP AI Engines</w:t>
            </w:r>
          </w:p>
        </w:tc>
        <w:tc>
          <w:tcPr>
            <w:tcW w:type="dxa" w:w="5760"/>
            <w:vAlign w:val="center"/>
          </w:tcPr>
          <w:p>
            <w:pPr>
              <w:spacing w:after="0"/>
            </w:pPr>
            <w:r/>
            <w:r>
              <w:rPr>
                <w:b w:val="0"/>
                <w:sz w:val="18"/>
              </w:rPr>
              <w:t>Definition Gap, Quality Benchmarking, Coverage Verification, AI Findings Inbox.</w:t>
            </w:r>
          </w:p>
        </w:tc>
        <w:tc>
          <w:tcPr>
            <w:tcW w:type="dxa" w:w="3528"/>
            <w:vAlign w:val="center"/>
          </w:tcPr>
          <w:p>
            <w:pPr>
              <w:spacing w:after="0"/>
            </w:pPr>
            <w:r/>
            <w:r>
              <w:rPr>
                <w:b w:val="0"/>
                <w:sz w:val="18"/>
              </w:rPr>
              <w:t>Priority automation, contributor scoring, direct provider calls.</w:t>
            </w:r>
          </w:p>
        </w:tc>
      </w:tr>
      <w:tr>
        <w:tc>
          <w:tcPr>
            <w:tcW w:type="dxa" w:w="2376"/>
            <w:vAlign w:val="center"/>
          </w:tcPr>
          <w:p>
            <w:pPr>
              <w:spacing w:after="0"/>
            </w:pPr>
            <w:r/>
            <w:r>
              <w:rPr>
                <w:b w:val="0"/>
                <w:sz w:val="18"/>
              </w:rPr>
              <w:t>Phase 4: Reporting</w:t>
            </w:r>
          </w:p>
        </w:tc>
        <w:tc>
          <w:tcPr>
            <w:tcW w:type="dxa" w:w="5760"/>
            <w:vAlign w:val="center"/>
          </w:tcPr>
          <w:p>
            <w:pPr>
              <w:spacing w:after="0"/>
            </w:pPr>
            <w:r/>
            <w:r>
              <w:rPr>
                <w:b w:val="0"/>
                <w:sz w:val="18"/>
              </w:rPr>
              <w:t>Dashboards, release readiness report, proof pack exports, placeholders for missing metrics.</w:t>
            </w:r>
          </w:p>
        </w:tc>
        <w:tc>
          <w:tcPr>
            <w:tcW w:type="dxa" w:w="3528"/>
            <w:vAlign w:val="center"/>
          </w:tcPr>
          <w:p>
            <w:pPr>
              <w:spacing w:after="0"/>
            </w:pPr>
            <w:r/>
            <w:r>
              <w:rPr>
                <w:b w:val="0"/>
                <w:sz w:val="18"/>
              </w:rPr>
              <w:t>Invented productivity metrics.</w:t>
            </w:r>
          </w:p>
        </w:tc>
      </w:tr>
      <w:tr>
        <w:tc>
          <w:tcPr>
            <w:tcW w:type="dxa" w:w="2376"/>
            <w:vAlign w:val="center"/>
          </w:tcPr>
          <w:p>
            <w:pPr>
              <w:spacing w:after="0"/>
            </w:pPr>
            <w:r/>
            <w:r>
              <w:rPr>
                <w:b w:val="0"/>
                <w:sz w:val="18"/>
              </w:rPr>
              <w:t>Phase 5: Production Hardening</w:t>
            </w:r>
          </w:p>
        </w:tc>
        <w:tc>
          <w:tcPr>
            <w:tcW w:type="dxa" w:w="5760"/>
            <w:vAlign w:val="center"/>
          </w:tcPr>
          <w:p>
            <w:pPr>
              <w:spacing w:after="0"/>
            </w:pPr>
            <w:r/>
            <w:r>
              <w:rPr>
                <w:b w:val="0"/>
                <w:sz w:val="18"/>
              </w:rPr>
              <w:t>RLS tests, audit logs, observability, backups, rate limits, security tests.</w:t>
            </w:r>
          </w:p>
        </w:tc>
        <w:tc>
          <w:tcPr>
            <w:tcW w:type="dxa" w:w="3528"/>
            <w:vAlign w:val="center"/>
          </w:tcPr>
          <w:p>
            <w:pPr>
              <w:spacing w:after="0"/>
            </w:pPr>
            <w:r/>
            <w:r>
              <w:rPr>
                <w:b w:val="0"/>
                <w:sz w:val="18"/>
              </w:rPr>
              <w:t>Paid SaaS dependencies.</w:t>
            </w:r>
          </w:p>
        </w:tc>
      </w:tr>
      <w:tr>
        <w:tc>
          <w:tcPr>
            <w:tcW w:type="dxa" w:w="2376"/>
            <w:vAlign w:val="center"/>
          </w:tcPr>
          <w:p>
            <w:pPr>
              <w:spacing w:after="0"/>
            </w:pPr>
            <w:r/>
            <w:r>
              <w:rPr>
                <w:b w:val="0"/>
                <w:sz w:val="18"/>
              </w:rPr>
              <w:t>Phase 6: Backlog/Advanced</w:t>
            </w:r>
          </w:p>
        </w:tc>
        <w:tc>
          <w:tcPr>
            <w:tcW w:type="dxa" w:w="5760"/>
            <w:vAlign w:val="center"/>
          </w:tcPr>
          <w:p>
            <w:pPr>
              <w:spacing w:after="0"/>
            </w:pPr>
            <w:r/>
            <w:r>
              <w:rPr>
                <w:b w:val="0"/>
                <w:sz w:val="18"/>
              </w:rPr>
              <w:t>Write-back, webhooks, Priority Engine, Semantic Alignment, Contributor Flow, paid model adapters if approved.</w:t>
            </w:r>
          </w:p>
        </w:tc>
        <w:tc>
          <w:tcPr>
            <w:tcW w:type="dxa" w:w="3528"/>
            <w:vAlign w:val="center"/>
          </w:tcPr>
          <w:p>
            <w:pPr>
              <w:spacing w:after="0"/>
            </w:pPr>
            <w:r/>
            <w:r>
              <w:rPr>
                <w:b w:val="0"/>
                <w:sz w:val="18"/>
              </w:rPr>
              <w:t>Anything implemented without scope approval.</w:t>
            </w:r>
          </w:p>
        </w:tc>
      </w:tr>
    </w:tbl>
    <w:p/>
    <w:p>
      <w:pPr>
        <w:pStyle w:val="Heading1"/>
      </w:pPr>
      <w:r>
        <w:t>11. Acceptance Checklist</w:t>
      </w:r>
    </w:p>
    <w:p>
      <w:pPr>
        <w:pStyle w:val="ListBullet"/>
      </w:pPr>
      <w:r>
        <w:t>Only dev and prod environments exist.</w:t>
      </w:r>
    </w:p>
    <w:p>
      <w:pPr>
        <w:pStyle w:val="ListBullet"/>
      </w:pPr>
      <w:r>
        <w:t>All Jira and Bitbucket MVP integrations are read-only.</w:t>
      </w:r>
    </w:p>
    <w:p>
      <w:pPr>
        <w:pStyle w:val="ListBullet"/>
      </w:pPr>
      <w:r>
        <w:t>Jira write-back and Bitbucket write-back are documented only as backlog items.</w:t>
      </w:r>
    </w:p>
    <w:p>
      <w:pPr>
        <w:pStyle w:val="ListBullet"/>
      </w:pPr>
      <w:r>
        <w:t>No paid SaaS dependency is required for development.</w:t>
      </w:r>
    </w:p>
    <w:p>
      <w:pPr>
        <w:pStyle w:val="ListBullet"/>
      </w:pPr>
      <w:r>
        <w:t>All AI calls go through APSO AI Gateway.</w:t>
      </w:r>
    </w:p>
    <w:p>
      <w:pPr>
        <w:pStyle w:val="ListBullet"/>
      </w:pPr>
      <w:r>
        <w:t>No external AI provider is enabled in dev.</w:t>
      </w:r>
    </w:p>
    <w:p>
      <w:pPr>
        <w:pStyle w:val="ListBullet"/>
      </w:pPr>
      <w:r>
        <w:t>All integrations are configuration-driven.</w:t>
      </w:r>
    </w:p>
    <w:p>
      <w:pPr>
        <w:pStyle w:val="ListBullet"/>
      </w:pPr>
      <w:r>
        <w:t>All AI outputs are schema validated before storage.</w:t>
      </w:r>
    </w:p>
    <w:p>
      <w:pPr>
        <w:pStyle w:val="ListBullet"/>
      </w:pPr>
      <w:r>
        <w:t>All business tables include tenant isolation.</w:t>
      </w:r>
    </w:p>
    <w:p>
      <w:pPr>
        <w:pStyle w:val="ListBullet"/>
      </w:pPr>
      <w:r>
        <w:t>All credentials are stored encrypted or referenced through approved secret handling.</w:t>
      </w:r>
    </w:p>
    <w:p>
      <w:pPr>
        <w:pStyle w:val="Heading1"/>
      </w:pPr>
      <w:r>
        <w:t>12. Reference Notes</w:t>
      </w:r>
    </w:p>
    <w:p>
      <w:r>
        <w:t>Scope guidance is based on Atlassian Jira and Bitbucket Cloud scope documentation checked on 2026-05-31. Bitbucket API token permissions define repository read, pull request read, pipeline read, project read, workspace read, and user read as separate selectable scopes; repository read does not automatically include pull requests. Jira read-only development uses read:account and read:jira-work; write:jira-work and webhook management remain backlog-only.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APSO Locked Freeware Implementation Plan | Read-only MVP scope | Configuration-first delivery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75E"/>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