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APSO Technical Architecture and Tech Stack Guide</w:t>
      </w:r>
    </w:p>
    <w:p>
      <w:pPr>
        <w:jc w:val="center"/>
      </w:pPr>
      <w:r>
        <w:rPr>
          <w:i/>
          <w:color w:val="595959"/>
          <w:sz w:val="22"/>
        </w:rPr>
        <w:t>Expanded Multi-Page Edition - locked freeware implementation guide for developers and technical leads</w:t>
      </w:r>
    </w:p>
    <w:p>
      <w:pPr>
        <w:jc w:val="center"/>
      </w:pPr>
      <w:r>
        <w:t>Audience: Developers, tech leads, architects, DevOps, security reviewers</w:t>
      </w:r>
      <w:r>
        <w:br/>
        <w:t>Locked environments: dev and prod only</w:t>
      </w:r>
      <w:r>
        <w:br/>
        <w:t>MVP integration policy: Jira and Bitbucket read-only; AWS mocked until supplied</w:t>
      </w:r>
    </w:p>
    <w:p/>
    <w:tbl>
      <w:tblPr>
        <w:tblW w:type="auto" w:w="0"/>
        <w:jc w:val="center"/>
        <w:tblLook w:firstColumn="1" w:firstRow="1" w:lastColumn="0" w:lastRow="0" w:noHBand="0" w:noVBand="1" w:val="04A0"/>
      </w:tblPr>
      <w:tblGrid>
        <w:gridCol w:w="10368"/>
      </w:tblGrid>
      <w:tr>
        <w:tc>
          <w:tcPr>
            <w:tcW w:type="dxa" w:w="10368"/>
            <w:shd w:fill="EEF6E8"/>
          </w:tcPr>
          <w:p>
            <w:pPr>
              <w:spacing w:after="60"/>
            </w:pPr>
            <w:r>
              <w:rPr>
                <w:b/>
                <w:color w:val="255B2F"/>
                <w:sz w:val="20"/>
              </w:rPr>
              <w:t>Document Authority</w:t>
            </w:r>
          </w:p>
          <w:p>
            <w:pPr>
              <w:spacing w:after="0"/>
            </w:pPr>
            <w:r>
              <w:rPr>
                <w:sz w:val="18"/>
              </w:rPr>
              <w:t>This guide is a controlling implementation reference. Development must not introduce alternate frameworks, paid services, direct model calls, write-back integrations, or additional environments without a formal document update.</w:t>
            </w:r>
          </w:p>
        </w:tc>
      </w:tr>
    </w:tbl>
    <w:p/>
    <w:p>
      <w:r>
        <w:br w:type="page"/>
      </w:r>
    </w:p>
    <w:p>
      <w:pPr>
        <w:pStyle w:val="Heading1"/>
      </w:pPr>
      <w:r>
        <w:t>1. Solution Overview</w:t>
      </w:r>
    </w:p>
    <w:p>
      <w:r>
        <w:t>APSO is an AI-powered SDLC intelligence platform. It extracts evidence from Jira, Bitbucket, AWS CodeCommit/CodeBuild/CodePipeline, source repositories, CI/CD outputs, and test artifacts. It then analyzes requirement quality, code quality, traceability, release readiness, and productivity indicators using deterministic scanners plus local AI reasoning.</w:t>
      </w:r>
    </w:p>
    <w:p>
      <w:pPr>
        <w:pStyle w:val="ListBullet"/>
      </w:pPr>
      <w:r>
        <w:t>MVP objective: deliver read-only SDLC intelligence with explainable findings and evidence-backed reports.</w:t>
      </w:r>
    </w:p>
    <w:p>
      <w:pPr>
        <w:pStyle w:val="ListBullet"/>
      </w:pPr>
      <w:r>
        <w:t>Development objective: use only freeware/open-source/self-hosted components and local AI models.</w:t>
      </w:r>
    </w:p>
    <w:p>
      <w:pPr>
        <w:pStyle w:val="ListBullet"/>
      </w:pPr>
      <w:r>
        <w:t>Architecture objective: keep all integrations, models, scanners, scoring policies, and environments configurable.</w:t>
      </w:r>
    </w:p>
    <w:p>
      <w:pPr>
        <w:pStyle w:val="ListBullet"/>
      </w:pPr>
      <w:r>
        <w:t>Commercial objective: build a sellable production-grade product while avoiding paid dependencies during development.</w:t>
      </w:r>
    </w:p>
    <w:p>
      <w:pPr>
        <w:pStyle w:val="Heading1"/>
      </w:pPr>
      <w:r>
        <w:t>2. Locked Environment Model</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shd w:fill="D9EAF7"/>
            <w:vAlign w:val="center"/>
          </w:tcPr>
          <w:p>
            <w:pPr>
              <w:spacing w:after="0"/>
            </w:pPr>
            <w:r/>
            <w:r>
              <w:rPr>
                <w:b/>
                <w:sz w:val="17"/>
              </w:rPr>
              <w:t>Environment</w:t>
            </w:r>
          </w:p>
        </w:tc>
        <w:tc>
          <w:tcPr>
            <w:tcW w:type="dxa" w:w="2592"/>
            <w:shd w:fill="D9EAF7"/>
            <w:vAlign w:val="center"/>
          </w:tcPr>
          <w:p>
            <w:pPr>
              <w:spacing w:after="0"/>
            </w:pPr>
            <w:r/>
            <w:r>
              <w:rPr>
                <w:b/>
                <w:sz w:val="17"/>
              </w:rPr>
              <w:t>Purpose</w:t>
            </w:r>
          </w:p>
        </w:tc>
        <w:tc>
          <w:tcPr>
            <w:tcW w:type="dxa" w:w="2880"/>
            <w:shd w:fill="D9EAF7"/>
            <w:vAlign w:val="center"/>
          </w:tcPr>
          <w:p>
            <w:pPr>
              <w:spacing w:after="0"/>
            </w:pPr>
            <w:r/>
            <w:r>
              <w:rPr>
                <w:b/>
                <w:sz w:val="17"/>
              </w:rPr>
              <w:t>Integration Policy</w:t>
            </w:r>
          </w:p>
        </w:tc>
        <w:tc>
          <w:tcPr>
            <w:tcW w:type="dxa" w:w="2448"/>
            <w:shd w:fill="D9EAF7"/>
            <w:vAlign w:val="center"/>
          </w:tcPr>
          <w:p>
            <w:pPr>
              <w:spacing w:after="0"/>
            </w:pPr>
            <w:r/>
            <w:r>
              <w:rPr>
                <w:b/>
                <w:sz w:val="17"/>
              </w:rPr>
              <w:t>AI Policy</w:t>
            </w:r>
          </w:p>
        </w:tc>
        <w:tc>
          <w:tcPr>
            <w:tcW w:type="dxa" w:w="2592"/>
            <w:shd w:fill="D9EAF7"/>
            <w:vAlign w:val="center"/>
          </w:tcPr>
          <w:p>
            <w:pPr>
              <w:spacing w:after="0"/>
            </w:pPr>
            <w:r/>
            <w:r>
              <w:rPr>
                <w:b/>
                <w:sz w:val="17"/>
              </w:rPr>
              <w:t>Data Policy</w:t>
            </w:r>
          </w:p>
        </w:tc>
      </w:tr>
      <w:tr>
        <w:tc>
          <w:tcPr>
            <w:tcW w:type="dxa" w:w="1152"/>
            <w:vAlign w:val="center"/>
          </w:tcPr>
          <w:p>
            <w:pPr>
              <w:spacing w:after="0"/>
            </w:pPr>
            <w:r/>
            <w:r>
              <w:rPr>
                <w:sz w:val="17"/>
              </w:rPr>
              <w:t>dev</w:t>
            </w:r>
          </w:p>
        </w:tc>
        <w:tc>
          <w:tcPr>
            <w:tcW w:type="dxa" w:w="2592"/>
            <w:vAlign w:val="center"/>
          </w:tcPr>
          <w:p>
            <w:pPr>
              <w:spacing w:after="0"/>
            </w:pPr>
            <w:r/>
            <w:r>
              <w:rPr>
                <w:sz w:val="17"/>
              </w:rPr>
              <w:t>Development, internal demos, connector tests, fixture/mocked AWS workflows.</w:t>
            </w:r>
          </w:p>
        </w:tc>
        <w:tc>
          <w:tcPr>
            <w:tcW w:type="dxa" w:w="2880"/>
            <w:vAlign w:val="center"/>
          </w:tcPr>
          <w:p>
            <w:pPr>
              <w:spacing w:after="0"/>
            </w:pPr>
            <w:r/>
            <w:r>
              <w:rPr>
                <w:sz w:val="17"/>
              </w:rPr>
              <w:t>Jira/Bitbucket read-only; AWS mocked.</w:t>
            </w:r>
          </w:p>
        </w:tc>
        <w:tc>
          <w:tcPr>
            <w:tcW w:type="dxa" w:w="2448"/>
            <w:vAlign w:val="center"/>
          </w:tcPr>
          <w:p>
            <w:pPr>
              <w:spacing w:after="0"/>
            </w:pPr>
            <w:r/>
            <w:r>
              <w:rPr>
                <w:sz w:val="17"/>
              </w:rPr>
              <w:t>Ollama only with Qwen models.</w:t>
            </w:r>
          </w:p>
        </w:tc>
        <w:tc>
          <w:tcPr>
            <w:tcW w:type="dxa" w:w="2592"/>
            <w:vAlign w:val="center"/>
          </w:tcPr>
          <w:p>
            <w:pPr>
              <w:spacing w:after="0"/>
            </w:pPr>
            <w:r/>
            <w:r>
              <w:rPr>
                <w:sz w:val="17"/>
              </w:rPr>
              <w:t>Use minimal live data; do not store secrets in Git.</w:t>
            </w:r>
          </w:p>
        </w:tc>
      </w:tr>
      <w:tr>
        <w:tc>
          <w:tcPr>
            <w:tcW w:type="dxa" w:w="1152"/>
            <w:vAlign w:val="center"/>
          </w:tcPr>
          <w:p>
            <w:pPr>
              <w:spacing w:after="0"/>
            </w:pPr>
            <w:r/>
            <w:r>
              <w:rPr>
                <w:sz w:val="17"/>
              </w:rPr>
              <w:t>prod</w:t>
            </w:r>
          </w:p>
        </w:tc>
        <w:tc>
          <w:tcPr>
            <w:tcW w:type="dxa" w:w="2592"/>
            <w:vAlign w:val="center"/>
          </w:tcPr>
          <w:p>
            <w:pPr>
              <w:spacing w:after="0"/>
            </w:pPr>
            <w:r/>
            <w:r>
              <w:rPr>
                <w:sz w:val="17"/>
              </w:rPr>
              <w:t>Self-hosted production/customer deployment.</w:t>
            </w:r>
          </w:p>
        </w:tc>
        <w:tc>
          <w:tcPr>
            <w:tcW w:type="dxa" w:w="2880"/>
            <w:vAlign w:val="center"/>
          </w:tcPr>
          <w:p>
            <w:pPr>
              <w:spacing w:after="0"/>
            </w:pPr>
            <w:r/>
            <w:r>
              <w:rPr>
                <w:sz w:val="17"/>
              </w:rPr>
              <w:t>Live read-only integrations unless future write-back is approved.</w:t>
            </w:r>
          </w:p>
        </w:tc>
        <w:tc>
          <w:tcPr>
            <w:tcW w:type="dxa" w:w="2448"/>
            <w:vAlign w:val="center"/>
          </w:tcPr>
          <w:p>
            <w:pPr>
              <w:spacing w:after="0"/>
            </w:pPr>
            <w:r/>
            <w:r>
              <w:rPr>
                <w:sz w:val="17"/>
              </w:rPr>
              <w:t>AI Gateway controlled; default local/self-hosted.</w:t>
            </w:r>
          </w:p>
        </w:tc>
        <w:tc>
          <w:tcPr>
            <w:tcW w:type="dxa" w:w="2592"/>
            <w:vAlign w:val="center"/>
          </w:tcPr>
          <w:p>
            <w:pPr>
              <w:spacing w:after="0"/>
            </w:pPr>
            <w:r/>
            <w:r>
              <w:rPr>
                <w:sz w:val="17"/>
              </w:rPr>
              <w:t>Tenant-isolated, audited, backed up.</w:t>
            </w:r>
          </w:p>
        </w:tc>
      </w:tr>
    </w:tbl>
    <w:p/>
    <w:p>
      <w:r>
        <w:br w:type="page"/>
      </w:r>
    </w:p>
    <w:p>
      <w:pPr>
        <w:pStyle w:val="Heading1"/>
      </w:pPr>
      <w:r>
        <w:t>3. High-Level Architecture</w:t>
      </w:r>
    </w:p>
    <w:p>
      <w:r>
        <w:t>The product is composed of separate services with clear contracts. Business modules call APSO services, not external providers directly.</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D9EAF7"/>
            <w:vAlign w:val="center"/>
          </w:tcPr>
          <w:p>
            <w:pPr>
              <w:spacing w:after="0"/>
            </w:pPr>
            <w:r/>
            <w:r>
              <w:rPr>
                <w:b/>
                <w:sz w:val="17"/>
              </w:rPr>
              <w:t>Layer</w:t>
            </w:r>
          </w:p>
        </w:tc>
        <w:tc>
          <w:tcPr>
            <w:tcW w:type="dxa" w:w="3240"/>
            <w:shd w:fill="D9EAF7"/>
            <w:vAlign w:val="center"/>
          </w:tcPr>
          <w:p>
            <w:pPr>
              <w:spacing w:after="0"/>
            </w:pPr>
            <w:r/>
            <w:r>
              <w:rPr>
                <w:b/>
                <w:sz w:val="17"/>
              </w:rPr>
              <w:t>Components</w:t>
            </w:r>
          </w:p>
        </w:tc>
        <w:tc>
          <w:tcPr>
            <w:tcW w:type="dxa" w:w="6624"/>
            <w:shd w:fill="D9EAF7"/>
            <w:vAlign w:val="center"/>
          </w:tcPr>
          <w:p>
            <w:pPr>
              <w:spacing w:after="0"/>
            </w:pPr>
            <w:r/>
            <w:r>
              <w:rPr>
                <w:b/>
                <w:sz w:val="17"/>
              </w:rPr>
              <w:t>Responsibility</w:t>
            </w:r>
          </w:p>
        </w:tc>
      </w:tr>
      <w:tr>
        <w:tc>
          <w:tcPr>
            <w:tcW w:type="dxa" w:w="1800"/>
            <w:vAlign w:val="center"/>
          </w:tcPr>
          <w:p>
            <w:pPr>
              <w:spacing w:after="0"/>
            </w:pPr>
            <w:r/>
            <w:r>
              <w:rPr>
                <w:sz w:val="17"/>
              </w:rPr>
              <w:t>User Experience</w:t>
            </w:r>
          </w:p>
        </w:tc>
        <w:tc>
          <w:tcPr>
            <w:tcW w:type="dxa" w:w="3240"/>
            <w:vAlign w:val="center"/>
          </w:tcPr>
          <w:p>
            <w:pPr>
              <w:spacing w:after="0"/>
            </w:pPr>
            <w:r/>
            <w:r>
              <w:rPr>
                <w:sz w:val="17"/>
              </w:rPr>
              <w:t>Next.js web app</w:t>
            </w:r>
          </w:p>
        </w:tc>
        <w:tc>
          <w:tcPr>
            <w:tcW w:type="dxa" w:w="6624"/>
            <w:vAlign w:val="center"/>
          </w:tcPr>
          <w:p>
            <w:pPr>
              <w:spacing w:after="0"/>
            </w:pPr>
            <w:r/>
            <w:r>
              <w:rPr>
                <w:sz w:val="17"/>
              </w:rPr>
              <w:t>Dashboards, integration setup, findings inbox, reports, admin configuration.</w:t>
            </w:r>
          </w:p>
        </w:tc>
      </w:tr>
      <w:tr>
        <w:tc>
          <w:tcPr>
            <w:tcW w:type="dxa" w:w="1800"/>
            <w:vAlign w:val="center"/>
          </w:tcPr>
          <w:p>
            <w:pPr>
              <w:spacing w:after="0"/>
            </w:pPr>
            <w:r/>
            <w:r>
              <w:rPr>
                <w:sz w:val="17"/>
              </w:rPr>
              <w:t>API Layer</w:t>
            </w:r>
          </w:p>
        </w:tc>
        <w:tc>
          <w:tcPr>
            <w:tcW w:type="dxa" w:w="3240"/>
            <w:vAlign w:val="center"/>
          </w:tcPr>
          <w:p>
            <w:pPr>
              <w:spacing w:after="0"/>
            </w:pPr>
            <w:r/>
            <w:r>
              <w:rPr>
                <w:sz w:val="17"/>
              </w:rPr>
              <w:t>FastAPI backend</w:t>
            </w:r>
          </w:p>
        </w:tc>
        <w:tc>
          <w:tcPr>
            <w:tcW w:type="dxa" w:w="6624"/>
            <w:vAlign w:val="center"/>
          </w:tcPr>
          <w:p>
            <w:pPr>
              <w:spacing w:after="0"/>
            </w:pPr>
            <w:r/>
            <w:r>
              <w:rPr>
                <w:sz w:val="17"/>
              </w:rPr>
              <w:t>Tenant-aware APIs, auth validation, RBAC, product workflows, configuration access.</w:t>
            </w:r>
          </w:p>
        </w:tc>
      </w:tr>
      <w:tr>
        <w:tc>
          <w:tcPr>
            <w:tcW w:type="dxa" w:w="1800"/>
            <w:vAlign w:val="center"/>
          </w:tcPr>
          <w:p>
            <w:pPr>
              <w:spacing w:after="0"/>
            </w:pPr>
            <w:r/>
            <w:r>
              <w:rPr>
                <w:sz w:val="17"/>
              </w:rPr>
              <w:t>Integration Layer</w:t>
            </w:r>
          </w:p>
        </w:tc>
        <w:tc>
          <w:tcPr>
            <w:tcW w:type="dxa" w:w="3240"/>
            <w:vAlign w:val="center"/>
          </w:tcPr>
          <w:p>
            <w:pPr>
              <w:spacing w:after="0"/>
            </w:pPr>
            <w:r/>
            <w:r>
              <w:rPr>
                <w:sz w:val="17"/>
              </w:rPr>
              <w:t>Jira, Bitbucket, AWS connectors</w:t>
            </w:r>
          </w:p>
        </w:tc>
        <w:tc>
          <w:tcPr>
            <w:tcW w:type="dxa" w:w="6624"/>
            <w:vAlign w:val="center"/>
          </w:tcPr>
          <w:p>
            <w:pPr>
              <w:spacing w:after="0"/>
            </w:pPr>
            <w:r/>
            <w:r>
              <w:rPr>
                <w:sz w:val="17"/>
              </w:rPr>
              <w:t>Read-only extraction, polling, sync checkpoints, rate-limit handling.</w:t>
            </w:r>
          </w:p>
        </w:tc>
      </w:tr>
      <w:tr>
        <w:tc>
          <w:tcPr>
            <w:tcW w:type="dxa" w:w="1800"/>
            <w:vAlign w:val="center"/>
          </w:tcPr>
          <w:p>
            <w:pPr>
              <w:spacing w:after="0"/>
            </w:pPr>
            <w:r/>
            <w:r>
              <w:rPr>
                <w:sz w:val="17"/>
              </w:rPr>
              <w:t>Workflow Layer</w:t>
            </w:r>
          </w:p>
        </w:tc>
        <w:tc>
          <w:tcPr>
            <w:tcW w:type="dxa" w:w="3240"/>
            <w:vAlign w:val="center"/>
          </w:tcPr>
          <w:p>
            <w:pPr>
              <w:spacing w:after="0"/>
            </w:pPr>
            <w:r/>
            <w:r>
              <w:rPr>
                <w:sz w:val="17"/>
              </w:rPr>
              <w:t>Temporal OSS workers</w:t>
            </w:r>
          </w:p>
        </w:tc>
        <w:tc>
          <w:tcPr>
            <w:tcW w:type="dxa" w:w="6624"/>
            <w:vAlign w:val="center"/>
          </w:tcPr>
          <w:p>
            <w:pPr>
              <w:spacing w:after="0"/>
            </w:pPr>
            <w:r/>
            <w:r>
              <w:rPr>
                <w:sz w:val="17"/>
              </w:rPr>
              <w:t>Durable jobs for sync, scanning, AI analysis, report generation, retries.</w:t>
            </w:r>
          </w:p>
        </w:tc>
      </w:tr>
      <w:tr>
        <w:tc>
          <w:tcPr>
            <w:tcW w:type="dxa" w:w="1800"/>
            <w:vAlign w:val="center"/>
          </w:tcPr>
          <w:p>
            <w:pPr>
              <w:spacing w:after="0"/>
            </w:pPr>
            <w:r/>
            <w:r>
              <w:rPr>
                <w:sz w:val="17"/>
              </w:rPr>
              <w:t>AI Layer</w:t>
            </w:r>
          </w:p>
        </w:tc>
        <w:tc>
          <w:tcPr>
            <w:tcW w:type="dxa" w:w="3240"/>
            <w:vAlign w:val="center"/>
          </w:tcPr>
          <w:p>
            <w:pPr>
              <w:spacing w:after="0"/>
            </w:pPr>
            <w:r/>
            <w:r>
              <w:rPr>
                <w:sz w:val="17"/>
              </w:rPr>
              <w:t>APSO AI Gateway, Ollama, Qwen, LangGraph, LlamaIndex</w:t>
            </w:r>
          </w:p>
        </w:tc>
        <w:tc>
          <w:tcPr>
            <w:tcW w:type="dxa" w:w="6624"/>
            <w:vAlign w:val="center"/>
          </w:tcPr>
          <w:p>
            <w:pPr>
              <w:spacing w:after="0"/>
            </w:pPr>
            <w:r/>
            <w:r>
              <w:rPr>
                <w:sz w:val="17"/>
              </w:rPr>
              <w:t>Model routing, prompts, RAG, structured outputs, AI audit.</w:t>
            </w:r>
          </w:p>
        </w:tc>
      </w:tr>
      <w:tr>
        <w:tc>
          <w:tcPr>
            <w:tcW w:type="dxa" w:w="1800"/>
            <w:vAlign w:val="center"/>
          </w:tcPr>
          <w:p>
            <w:pPr>
              <w:spacing w:after="0"/>
            </w:pPr>
            <w:r/>
            <w:r>
              <w:rPr>
                <w:sz w:val="17"/>
              </w:rPr>
              <w:t>Data Layer</w:t>
            </w:r>
          </w:p>
        </w:tc>
        <w:tc>
          <w:tcPr>
            <w:tcW w:type="dxa" w:w="3240"/>
            <w:vAlign w:val="center"/>
          </w:tcPr>
          <w:p>
            <w:pPr>
              <w:spacing w:after="0"/>
            </w:pPr>
            <w:r/>
            <w:r>
              <w:rPr>
                <w:sz w:val="17"/>
              </w:rPr>
              <w:t>Postgres, pgvector, MinIO, Valkey</w:t>
            </w:r>
          </w:p>
        </w:tc>
        <w:tc>
          <w:tcPr>
            <w:tcW w:type="dxa" w:w="6624"/>
            <w:vAlign w:val="center"/>
          </w:tcPr>
          <w:p>
            <w:pPr>
              <w:spacing w:after="0"/>
            </w:pPr>
            <w:r/>
            <w:r>
              <w:rPr>
                <w:sz w:val="17"/>
              </w:rPr>
              <w:t>Relational data, embeddings, artifacts, cache, locks, rate limits.</w:t>
            </w:r>
          </w:p>
        </w:tc>
      </w:tr>
      <w:tr>
        <w:tc>
          <w:tcPr>
            <w:tcW w:type="dxa" w:w="1800"/>
            <w:vAlign w:val="center"/>
          </w:tcPr>
          <w:p>
            <w:pPr>
              <w:spacing w:after="0"/>
            </w:pPr>
            <w:r/>
            <w:r>
              <w:rPr>
                <w:sz w:val="17"/>
              </w:rPr>
              <w:t>Observability</w:t>
            </w:r>
          </w:p>
        </w:tc>
        <w:tc>
          <w:tcPr>
            <w:tcW w:type="dxa" w:w="3240"/>
            <w:vAlign w:val="center"/>
          </w:tcPr>
          <w:p>
            <w:pPr>
              <w:spacing w:after="0"/>
            </w:pPr>
            <w:r/>
            <w:r>
              <w:rPr>
                <w:sz w:val="17"/>
              </w:rPr>
              <w:t>Prometheus, Grafana, Loki, Jaeger</w:t>
            </w:r>
          </w:p>
        </w:tc>
        <w:tc>
          <w:tcPr>
            <w:tcW w:type="dxa" w:w="6624"/>
            <w:vAlign w:val="center"/>
          </w:tcPr>
          <w:p>
            <w:pPr>
              <w:spacing w:after="0"/>
            </w:pPr>
            <w:r/>
            <w:r>
              <w:rPr>
                <w:sz w:val="17"/>
              </w:rPr>
              <w:t>Metrics, dashboards, logs, traces, operational diagnostics.</w:t>
            </w:r>
          </w:p>
        </w:tc>
      </w:tr>
      <w:tr>
        <w:tc>
          <w:tcPr>
            <w:tcW w:type="dxa" w:w="1800"/>
            <w:vAlign w:val="center"/>
          </w:tcPr>
          <w:p>
            <w:pPr>
              <w:spacing w:after="0"/>
            </w:pPr>
            <w:r/>
            <w:r>
              <w:rPr>
                <w:sz w:val="17"/>
              </w:rPr>
              <w:t>Security/Governance</w:t>
            </w:r>
          </w:p>
        </w:tc>
        <w:tc>
          <w:tcPr>
            <w:tcW w:type="dxa" w:w="3240"/>
            <w:vAlign w:val="center"/>
          </w:tcPr>
          <w:p>
            <w:pPr>
              <w:spacing w:after="0"/>
            </w:pPr>
            <w:r/>
            <w:r>
              <w:rPr>
                <w:sz w:val="17"/>
              </w:rPr>
              <w:t>Supabase Auth, RLS, audit logs, secret policies</w:t>
            </w:r>
          </w:p>
        </w:tc>
        <w:tc>
          <w:tcPr>
            <w:tcW w:type="dxa" w:w="6624"/>
            <w:vAlign w:val="center"/>
          </w:tcPr>
          <w:p>
            <w:pPr>
              <w:spacing w:after="0"/>
            </w:pPr>
            <w:r/>
            <w:r>
              <w:rPr>
                <w:sz w:val="17"/>
              </w:rPr>
              <w:t>Authentication, authorization, tenant isolation, compliance evidence.</w:t>
            </w:r>
          </w:p>
        </w:tc>
      </w:tr>
    </w:tbl>
    <w:p/>
    <w:p>
      <w:r>
        <w:br w:type="page"/>
      </w:r>
    </w:p>
    <w:p>
      <w:pPr>
        <w:pStyle w:val="Heading1"/>
      </w:pPr>
      <w:r>
        <w:t>4. Locked Tech Stack and Purpose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D9EAF7"/>
            <w:vAlign w:val="center"/>
          </w:tcPr>
          <w:p>
            <w:pPr>
              <w:spacing w:after="0"/>
            </w:pPr>
            <w:r/>
            <w:r>
              <w:rPr>
                <w:b/>
                <w:sz w:val="17"/>
              </w:rPr>
              <w:t>Component</w:t>
            </w:r>
          </w:p>
        </w:tc>
        <w:tc>
          <w:tcPr>
            <w:tcW w:type="dxa" w:w="3528"/>
            <w:shd w:fill="D9EAF7"/>
            <w:vAlign w:val="center"/>
          </w:tcPr>
          <w:p>
            <w:pPr>
              <w:spacing w:after="0"/>
            </w:pPr>
            <w:r/>
            <w:r>
              <w:rPr>
                <w:b/>
                <w:sz w:val="17"/>
              </w:rPr>
              <w:t>Purpose in APSO</w:t>
            </w:r>
          </w:p>
        </w:tc>
        <w:tc>
          <w:tcPr>
            <w:tcW w:type="dxa" w:w="2880"/>
            <w:shd w:fill="D9EAF7"/>
            <w:vAlign w:val="center"/>
          </w:tcPr>
          <w:p>
            <w:pPr>
              <w:spacing w:after="0"/>
            </w:pPr>
            <w:r/>
            <w:r>
              <w:rPr>
                <w:b/>
                <w:sz w:val="17"/>
              </w:rPr>
              <w:t>Why Locked</w:t>
            </w:r>
          </w:p>
        </w:tc>
        <w:tc>
          <w:tcPr>
            <w:tcW w:type="dxa" w:w="2808"/>
            <w:shd w:fill="D9EAF7"/>
            <w:vAlign w:val="center"/>
          </w:tcPr>
          <w:p>
            <w:pPr>
              <w:spacing w:after="0"/>
            </w:pPr>
            <w:r/>
            <w:r>
              <w:rPr>
                <w:b/>
                <w:sz w:val="17"/>
              </w:rPr>
              <w:t>Developer Rule</w:t>
            </w:r>
          </w:p>
        </w:tc>
      </w:tr>
      <w:tr>
        <w:tc>
          <w:tcPr>
            <w:tcW w:type="dxa" w:w="2448"/>
            <w:vAlign w:val="center"/>
          </w:tcPr>
          <w:p>
            <w:pPr>
              <w:spacing w:after="0"/>
            </w:pPr>
            <w:r/>
            <w:r>
              <w:rPr>
                <w:sz w:val="17"/>
              </w:rPr>
              <w:t>Next.js / React / TypeScript</w:t>
            </w:r>
          </w:p>
        </w:tc>
        <w:tc>
          <w:tcPr>
            <w:tcW w:type="dxa" w:w="3528"/>
            <w:vAlign w:val="center"/>
          </w:tcPr>
          <w:p>
            <w:pPr>
              <w:spacing w:after="0"/>
            </w:pPr>
            <w:r/>
            <w:r>
              <w:rPr>
                <w:sz w:val="17"/>
              </w:rPr>
              <w:t>Build the APSO web application, dashboards, settings, findings inbox, and report screens.</w:t>
            </w:r>
          </w:p>
        </w:tc>
        <w:tc>
          <w:tcPr>
            <w:tcW w:type="dxa" w:w="2880"/>
            <w:vAlign w:val="center"/>
          </w:tcPr>
          <w:p>
            <w:pPr>
              <w:spacing w:after="0"/>
            </w:pPr>
            <w:r/>
            <w:r>
              <w:rPr>
                <w:sz w:val="17"/>
              </w:rPr>
              <w:t>Strong typed frontend ecosystem; no paid account required.</w:t>
            </w:r>
          </w:p>
        </w:tc>
        <w:tc>
          <w:tcPr>
            <w:tcW w:type="dxa" w:w="2808"/>
            <w:vAlign w:val="center"/>
          </w:tcPr>
          <w:p>
            <w:pPr>
              <w:spacing w:after="0"/>
            </w:pPr>
            <w:r/>
            <w:r>
              <w:rPr>
                <w:sz w:val="17"/>
              </w:rPr>
              <w:t>Use TypeScript for all application code.</w:t>
            </w:r>
          </w:p>
        </w:tc>
      </w:tr>
      <w:tr>
        <w:tc>
          <w:tcPr>
            <w:tcW w:type="dxa" w:w="2448"/>
            <w:vAlign w:val="center"/>
          </w:tcPr>
          <w:p>
            <w:pPr>
              <w:spacing w:after="0"/>
            </w:pPr>
            <w:r/>
            <w:r>
              <w:rPr>
                <w:sz w:val="17"/>
              </w:rPr>
              <w:t>Tailwind CSS / shadcn/ui</w:t>
            </w:r>
          </w:p>
        </w:tc>
        <w:tc>
          <w:tcPr>
            <w:tcW w:type="dxa" w:w="3528"/>
            <w:vAlign w:val="center"/>
          </w:tcPr>
          <w:p>
            <w:pPr>
              <w:spacing w:after="0"/>
            </w:pPr>
            <w:r/>
            <w:r>
              <w:rPr>
                <w:sz w:val="17"/>
              </w:rPr>
              <w:t>Implement consistent UI components and styling.</w:t>
            </w:r>
          </w:p>
        </w:tc>
        <w:tc>
          <w:tcPr>
            <w:tcW w:type="dxa" w:w="2880"/>
            <w:vAlign w:val="center"/>
          </w:tcPr>
          <w:p>
            <w:pPr>
              <w:spacing w:after="0"/>
            </w:pPr>
            <w:r/>
            <w:r>
              <w:rPr>
                <w:sz w:val="17"/>
              </w:rPr>
              <w:t>Fast development with reusable accessible components.</w:t>
            </w:r>
          </w:p>
        </w:tc>
        <w:tc>
          <w:tcPr>
            <w:tcW w:type="dxa" w:w="2808"/>
            <w:vAlign w:val="center"/>
          </w:tcPr>
          <w:p>
            <w:pPr>
              <w:spacing w:after="0"/>
            </w:pPr>
            <w:r/>
            <w:r>
              <w:rPr>
                <w:sz w:val="17"/>
              </w:rPr>
              <w:t>Do not introduce another UI library without approval.</w:t>
            </w:r>
          </w:p>
        </w:tc>
      </w:tr>
      <w:tr>
        <w:tc>
          <w:tcPr>
            <w:tcW w:type="dxa" w:w="2448"/>
            <w:vAlign w:val="center"/>
          </w:tcPr>
          <w:p>
            <w:pPr>
              <w:spacing w:after="0"/>
            </w:pPr>
            <w:r/>
            <w:r>
              <w:rPr>
                <w:sz w:val="17"/>
              </w:rPr>
              <w:t>FastAPI</w:t>
            </w:r>
          </w:p>
        </w:tc>
        <w:tc>
          <w:tcPr>
            <w:tcW w:type="dxa" w:w="3528"/>
            <w:vAlign w:val="center"/>
          </w:tcPr>
          <w:p>
            <w:pPr>
              <w:spacing w:after="0"/>
            </w:pPr>
            <w:r/>
            <w:r>
              <w:rPr>
                <w:sz w:val="17"/>
              </w:rPr>
              <w:t>Expose tenant-aware backend APIs.</w:t>
            </w:r>
          </w:p>
        </w:tc>
        <w:tc>
          <w:tcPr>
            <w:tcW w:type="dxa" w:w="2880"/>
            <w:vAlign w:val="center"/>
          </w:tcPr>
          <w:p>
            <w:pPr>
              <w:spacing w:after="0"/>
            </w:pPr>
            <w:r/>
            <w:r>
              <w:rPr>
                <w:sz w:val="17"/>
              </w:rPr>
              <w:t>High productivity Python API framework, good validation and async support.</w:t>
            </w:r>
          </w:p>
        </w:tc>
        <w:tc>
          <w:tcPr>
            <w:tcW w:type="dxa" w:w="2808"/>
            <w:vAlign w:val="center"/>
          </w:tcPr>
          <w:p>
            <w:pPr>
              <w:spacing w:after="0"/>
            </w:pPr>
            <w:r/>
            <w:r>
              <w:rPr>
                <w:sz w:val="17"/>
              </w:rPr>
              <w:t>All product APIs live behind FastAPI.</w:t>
            </w:r>
          </w:p>
        </w:tc>
      </w:tr>
      <w:tr>
        <w:tc>
          <w:tcPr>
            <w:tcW w:type="dxa" w:w="2448"/>
            <w:vAlign w:val="center"/>
          </w:tcPr>
          <w:p>
            <w:pPr>
              <w:spacing w:after="0"/>
            </w:pPr>
            <w:r/>
            <w:r>
              <w:rPr>
                <w:sz w:val="17"/>
              </w:rPr>
              <w:t>Pydantic</w:t>
            </w:r>
          </w:p>
        </w:tc>
        <w:tc>
          <w:tcPr>
            <w:tcW w:type="dxa" w:w="3528"/>
            <w:vAlign w:val="center"/>
          </w:tcPr>
          <w:p>
            <w:pPr>
              <w:spacing w:after="0"/>
            </w:pPr>
            <w:r/>
            <w:r>
              <w:rPr>
                <w:sz w:val="17"/>
              </w:rPr>
              <w:t>Validate request/response payloads and AI structured outputs.</w:t>
            </w:r>
          </w:p>
        </w:tc>
        <w:tc>
          <w:tcPr>
            <w:tcW w:type="dxa" w:w="2880"/>
            <w:vAlign w:val="center"/>
          </w:tcPr>
          <w:p>
            <w:pPr>
              <w:spacing w:after="0"/>
            </w:pPr>
            <w:r/>
            <w:r>
              <w:rPr>
                <w:sz w:val="17"/>
              </w:rPr>
              <w:t>Critical for safe AI output handling.</w:t>
            </w:r>
          </w:p>
        </w:tc>
        <w:tc>
          <w:tcPr>
            <w:tcW w:type="dxa" w:w="2808"/>
            <w:vAlign w:val="center"/>
          </w:tcPr>
          <w:p>
            <w:pPr>
              <w:spacing w:after="0"/>
            </w:pPr>
            <w:r/>
            <w:r>
              <w:rPr>
                <w:sz w:val="17"/>
              </w:rPr>
              <w:t>No AI result is stored until schema validation passes.</w:t>
            </w:r>
          </w:p>
        </w:tc>
      </w:tr>
      <w:tr>
        <w:tc>
          <w:tcPr>
            <w:tcW w:type="dxa" w:w="2448"/>
            <w:vAlign w:val="center"/>
          </w:tcPr>
          <w:p>
            <w:pPr>
              <w:spacing w:after="0"/>
            </w:pPr>
            <w:r/>
            <w:r>
              <w:rPr>
                <w:sz w:val="17"/>
              </w:rPr>
              <w:t>SQLAlchemy / Alembic</w:t>
            </w:r>
          </w:p>
        </w:tc>
        <w:tc>
          <w:tcPr>
            <w:tcW w:type="dxa" w:w="3528"/>
            <w:vAlign w:val="center"/>
          </w:tcPr>
          <w:p>
            <w:pPr>
              <w:spacing w:after="0"/>
            </w:pPr>
            <w:r/>
            <w:r>
              <w:rPr>
                <w:sz w:val="17"/>
              </w:rPr>
              <w:t>ORM/database access and migrations.</w:t>
            </w:r>
          </w:p>
        </w:tc>
        <w:tc>
          <w:tcPr>
            <w:tcW w:type="dxa" w:w="2880"/>
            <w:vAlign w:val="center"/>
          </w:tcPr>
          <w:p>
            <w:pPr>
              <w:spacing w:after="0"/>
            </w:pPr>
            <w:r/>
            <w:r>
              <w:rPr>
                <w:sz w:val="17"/>
              </w:rPr>
              <w:t>Controlled schema evolution.</w:t>
            </w:r>
          </w:p>
        </w:tc>
        <w:tc>
          <w:tcPr>
            <w:tcW w:type="dxa" w:w="2808"/>
            <w:vAlign w:val="center"/>
          </w:tcPr>
          <w:p>
            <w:pPr>
              <w:spacing w:after="0"/>
            </w:pPr>
            <w:r/>
            <w:r>
              <w:rPr>
                <w:sz w:val="17"/>
              </w:rPr>
              <w:t>Every schema change requires migration.</w:t>
            </w:r>
          </w:p>
        </w:tc>
      </w:tr>
      <w:tr>
        <w:tc>
          <w:tcPr>
            <w:tcW w:type="dxa" w:w="2448"/>
            <w:vAlign w:val="center"/>
          </w:tcPr>
          <w:p>
            <w:pPr>
              <w:spacing w:after="0"/>
            </w:pPr>
            <w:r/>
            <w:r>
              <w:rPr>
                <w:sz w:val="17"/>
              </w:rPr>
              <w:t>Self-hosted Supabase Auth</w:t>
            </w:r>
          </w:p>
        </w:tc>
        <w:tc>
          <w:tcPr>
            <w:tcW w:type="dxa" w:w="3528"/>
            <w:vAlign w:val="center"/>
          </w:tcPr>
          <w:p>
            <w:pPr>
              <w:spacing w:after="0"/>
            </w:pPr>
            <w:r/>
            <w:r>
              <w:rPr>
                <w:sz w:val="17"/>
              </w:rPr>
              <w:t>Authentication, JWTs, user/session handling.</w:t>
            </w:r>
          </w:p>
        </w:tc>
        <w:tc>
          <w:tcPr>
            <w:tcW w:type="dxa" w:w="2880"/>
            <w:vAlign w:val="center"/>
          </w:tcPr>
          <w:p>
            <w:pPr>
              <w:spacing w:after="0"/>
            </w:pPr>
            <w:r/>
            <w:r>
              <w:rPr>
                <w:sz w:val="17"/>
              </w:rPr>
              <w:t>Avoids paid auth service while staying product-ready.</w:t>
            </w:r>
          </w:p>
        </w:tc>
        <w:tc>
          <w:tcPr>
            <w:tcW w:type="dxa" w:w="2808"/>
            <w:vAlign w:val="center"/>
          </w:tcPr>
          <w:p>
            <w:pPr>
              <w:spacing w:after="0"/>
            </w:pPr>
            <w:r/>
            <w:r>
              <w:rPr>
                <w:sz w:val="17"/>
              </w:rPr>
              <w:t>No alternate auth provider in MVP.</w:t>
            </w:r>
          </w:p>
        </w:tc>
      </w:tr>
      <w:tr>
        <w:tc>
          <w:tcPr>
            <w:tcW w:type="dxa" w:w="2448"/>
            <w:vAlign w:val="center"/>
          </w:tcPr>
          <w:p>
            <w:pPr>
              <w:spacing w:after="0"/>
            </w:pPr>
            <w:r/>
            <w:r>
              <w:rPr>
                <w:sz w:val="17"/>
              </w:rPr>
              <w:t>PostgreSQL</w:t>
            </w:r>
          </w:p>
        </w:tc>
        <w:tc>
          <w:tcPr>
            <w:tcW w:type="dxa" w:w="3528"/>
            <w:vAlign w:val="center"/>
          </w:tcPr>
          <w:p>
            <w:pPr>
              <w:spacing w:after="0"/>
            </w:pPr>
            <w:r/>
            <w:r>
              <w:rPr>
                <w:sz w:val="17"/>
              </w:rPr>
              <w:t>System of record for tenants, users, integrations, SDLC data, findings, audit.</w:t>
            </w:r>
          </w:p>
        </w:tc>
        <w:tc>
          <w:tcPr>
            <w:tcW w:type="dxa" w:w="2880"/>
            <w:vAlign w:val="center"/>
          </w:tcPr>
          <w:p>
            <w:pPr>
              <w:spacing w:after="0"/>
            </w:pPr>
            <w:r/>
            <w:r>
              <w:rPr>
                <w:sz w:val="17"/>
              </w:rPr>
              <w:t>Reliable open-source relational database.</w:t>
            </w:r>
          </w:p>
        </w:tc>
        <w:tc>
          <w:tcPr>
            <w:tcW w:type="dxa" w:w="2808"/>
            <w:vAlign w:val="center"/>
          </w:tcPr>
          <w:p>
            <w:pPr>
              <w:spacing w:after="0"/>
            </w:pPr>
            <w:r/>
            <w:r>
              <w:rPr>
                <w:sz w:val="17"/>
              </w:rPr>
              <w:t>Every business table includes tenant_id.</w:t>
            </w:r>
          </w:p>
        </w:tc>
      </w:tr>
      <w:tr>
        <w:tc>
          <w:tcPr>
            <w:tcW w:type="dxa" w:w="2448"/>
            <w:vAlign w:val="center"/>
          </w:tcPr>
          <w:p>
            <w:pPr>
              <w:spacing w:after="0"/>
            </w:pPr>
            <w:r/>
            <w:r>
              <w:rPr>
                <w:sz w:val="17"/>
              </w:rPr>
              <w:t>pgvector</w:t>
            </w:r>
          </w:p>
        </w:tc>
        <w:tc>
          <w:tcPr>
            <w:tcW w:type="dxa" w:w="3528"/>
            <w:vAlign w:val="center"/>
          </w:tcPr>
          <w:p>
            <w:pPr>
              <w:spacing w:after="0"/>
            </w:pPr>
            <w:r/>
            <w:r>
              <w:rPr>
                <w:sz w:val="17"/>
              </w:rPr>
              <w:t>Store embeddings for semantic search and alignment.</w:t>
            </w:r>
          </w:p>
        </w:tc>
        <w:tc>
          <w:tcPr>
            <w:tcW w:type="dxa" w:w="2880"/>
            <w:vAlign w:val="center"/>
          </w:tcPr>
          <w:p>
            <w:pPr>
              <w:spacing w:after="0"/>
            </w:pPr>
            <w:r/>
            <w:r>
              <w:rPr>
                <w:sz w:val="17"/>
              </w:rPr>
              <w:t>Avoids separate vector database cost.</w:t>
            </w:r>
          </w:p>
        </w:tc>
        <w:tc>
          <w:tcPr>
            <w:tcW w:type="dxa" w:w="2808"/>
            <w:vAlign w:val="center"/>
          </w:tcPr>
          <w:p>
            <w:pPr>
              <w:spacing w:after="0"/>
            </w:pPr>
            <w:r/>
            <w:r>
              <w:rPr>
                <w:sz w:val="17"/>
              </w:rPr>
              <w:t>Use Postgres vector tables for v1.</w:t>
            </w:r>
          </w:p>
        </w:tc>
      </w:tr>
      <w:tr>
        <w:tc>
          <w:tcPr>
            <w:tcW w:type="dxa" w:w="2448"/>
            <w:vAlign w:val="center"/>
          </w:tcPr>
          <w:p>
            <w:pPr>
              <w:spacing w:after="0"/>
            </w:pPr>
            <w:r/>
            <w:r>
              <w:rPr>
                <w:sz w:val="17"/>
              </w:rPr>
              <w:t>MinIO</w:t>
            </w:r>
          </w:p>
        </w:tc>
        <w:tc>
          <w:tcPr>
            <w:tcW w:type="dxa" w:w="3528"/>
            <w:vAlign w:val="center"/>
          </w:tcPr>
          <w:p>
            <w:pPr>
              <w:spacing w:after="0"/>
            </w:pPr>
            <w:r/>
            <w:r>
              <w:rPr>
                <w:sz w:val="17"/>
              </w:rPr>
              <w:t>Store reports, scan artifacts, logs, coverage files, export bundles.</w:t>
            </w:r>
          </w:p>
        </w:tc>
        <w:tc>
          <w:tcPr>
            <w:tcW w:type="dxa" w:w="2880"/>
            <w:vAlign w:val="center"/>
          </w:tcPr>
          <w:p>
            <w:pPr>
              <w:spacing w:after="0"/>
            </w:pPr>
            <w:r/>
            <w:r>
              <w:rPr>
                <w:sz w:val="17"/>
              </w:rPr>
              <w:t>Self-hosted S3-compatible storage.</w:t>
            </w:r>
          </w:p>
        </w:tc>
        <w:tc>
          <w:tcPr>
            <w:tcW w:type="dxa" w:w="2808"/>
            <w:vAlign w:val="center"/>
          </w:tcPr>
          <w:p>
            <w:pPr>
              <w:spacing w:after="0"/>
            </w:pPr>
            <w:r/>
            <w:r>
              <w:rPr>
                <w:sz w:val="17"/>
              </w:rPr>
              <w:t>Store metadata in Postgres, large files in MinIO.</w:t>
            </w:r>
          </w:p>
        </w:tc>
      </w:tr>
      <w:tr>
        <w:tc>
          <w:tcPr>
            <w:tcW w:type="dxa" w:w="2448"/>
            <w:vAlign w:val="center"/>
          </w:tcPr>
          <w:p>
            <w:pPr>
              <w:spacing w:after="0"/>
            </w:pPr>
            <w:r/>
            <w:r>
              <w:rPr>
                <w:sz w:val="17"/>
              </w:rPr>
              <w:t>Ollama</w:t>
            </w:r>
          </w:p>
        </w:tc>
        <w:tc>
          <w:tcPr>
            <w:tcW w:type="dxa" w:w="3528"/>
            <w:vAlign w:val="center"/>
          </w:tcPr>
          <w:p>
            <w:pPr>
              <w:spacing w:after="0"/>
            </w:pPr>
            <w:r/>
            <w:r>
              <w:rPr>
                <w:sz w:val="17"/>
              </w:rPr>
              <w:t>Run local AI models.</w:t>
            </w:r>
          </w:p>
        </w:tc>
        <w:tc>
          <w:tcPr>
            <w:tcW w:type="dxa" w:w="2880"/>
            <w:vAlign w:val="center"/>
          </w:tcPr>
          <w:p>
            <w:pPr>
              <w:spacing w:after="0"/>
            </w:pPr>
            <w:r/>
            <w:r>
              <w:rPr>
                <w:sz w:val="17"/>
              </w:rPr>
              <w:t>No paid AI API needed for development.</w:t>
            </w:r>
          </w:p>
        </w:tc>
        <w:tc>
          <w:tcPr>
            <w:tcW w:type="dxa" w:w="2808"/>
            <w:vAlign w:val="center"/>
          </w:tcPr>
          <w:p>
            <w:pPr>
              <w:spacing w:after="0"/>
            </w:pPr>
            <w:r/>
            <w:r>
              <w:rPr>
                <w:sz w:val="17"/>
              </w:rPr>
              <w:t>All local model calls go through AI Gateway.</w:t>
            </w:r>
          </w:p>
        </w:tc>
      </w:tr>
      <w:tr>
        <w:tc>
          <w:tcPr>
            <w:tcW w:type="dxa" w:w="2448"/>
            <w:vAlign w:val="center"/>
          </w:tcPr>
          <w:p>
            <w:pPr>
              <w:spacing w:after="0"/>
            </w:pPr>
            <w:r/>
            <w:r>
              <w:rPr>
                <w:sz w:val="17"/>
              </w:rPr>
              <w:t>qwen2.5-coder:14b</w:t>
            </w:r>
          </w:p>
        </w:tc>
        <w:tc>
          <w:tcPr>
            <w:tcW w:type="dxa" w:w="3528"/>
            <w:vAlign w:val="center"/>
          </w:tcPr>
          <w:p>
            <w:pPr>
              <w:spacing w:after="0"/>
            </w:pPr>
            <w:r/>
            <w:r>
              <w:rPr>
                <w:sz w:val="17"/>
              </w:rPr>
              <w:t>Default local LLM for code/story analysis and explanations.</w:t>
            </w:r>
          </w:p>
        </w:tc>
        <w:tc>
          <w:tcPr>
            <w:tcW w:type="dxa" w:w="2880"/>
            <w:vAlign w:val="center"/>
          </w:tcPr>
          <w:p>
            <w:pPr>
              <w:spacing w:after="0"/>
            </w:pPr>
            <w:r/>
            <w:r>
              <w:rPr>
                <w:sz w:val="17"/>
              </w:rPr>
              <w:t>Strong local coder model for development/testing.</w:t>
            </w:r>
          </w:p>
        </w:tc>
        <w:tc>
          <w:tcPr>
            <w:tcW w:type="dxa" w:w="2808"/>
            <w:vAlign w:val="center"/>
          </w:tcPr>
          <w:p>
            <w:pPr>
              <w:spacing w:after="0"/>
            </w:pPr>
            <w:r/>
            <w:r>
              <w:rPr>
                <w:sz w:val="17"/>
              </w:rPr>
              <w:t>Do not hard-code model name outside config.</w:t>
            </w:r>
          </w:p>
        </w:tc>
      </w:tr>
      <w:tr>
        <w:tc>
          <w:tcPr>
            <w:tcW w:type="dxa" w:w="2448"/>
            <w:vAlign w:val="center"/>
          </w:tcPr>
          <w:p>
            <w:pPr>
              <w:spacing w:after="0"/>
            </w:pPr>
            <w:r/>
            <w:r>
              <w:rPr>
                <w:sz w:val="17"/>
              </w:rPr>
              <w:t>qwen3-embedding:4b</w:t>
            </w:r>
          </w:p>
        </w:tc>
        <w:tc>
          <w:tcPr>
            <w:tcW w:type="dxa" w:w="3528"/>
            <w:vAlign w:val="center"/>
          </w:tcPr>
          <w:p>
            <w:pPr>
              <w:spacing w:after="0"/>
            </w:pPr>
            <w:r/>
            <w:r>
              <w:rPr>
                <w:sz w:val="17"/>
              </w:rPr>
              <w:t>Default embedding model for semantic search.</w:t>
            </w:r>
          </w:p>
        </w:tc>
        <w:tc>
          <w:tcPr>
            <w:tcW w:type="dxa" w:w="2880"/>
            <w:vAlign w:val="center"/>
          </w:tcPr>
          <w:p>
            <w:pPr>
              <w:spacing w:after="0"/>
            </w:pPr>
            <w:r/>
            <w:r>
              <w:rPr>
                <w:sz w:val="17"/>
              </w:rPr>
              <w:t>Local embeddings without paid API.</w:t>
            </w:r>
          </w:p>
        </w:tc>
        <w:tc>
          <w:tcPr>
            <w:tcW w:type="dxa" w:w="2808"/>
            <w:vAlign w:val="center"/>
          </w:tcPr>
          <w:p>
            <w:pPr>
              <w:spacing w:after="0"/>
            </w:pPr>
            <w:r/>
            <w:r>
              <w:rPr>
                <w:sz w:val="17"/>
              </w:rPr>
              <w:t>Embeddings go through AI Gateway.</w:t>
            </w:r>
          </w:p>
        </w:tc>
      </w:tr>
      <w:tr>
        <w:tc>
          <w:tcPr>
            <w:tcW w:type="dxa" w:w="2448"/>
            <w:vAlign w:val="center"/>
          </w:tcPr>
          <w:p>
            <w:pPr>
              <w:spacing w:after="0"/>
            </w:pPr>
            <w:r/>
            <w:r>
              <w:rPr>
                <w:sz w:val="17"/>
              </w:rPr>
              <w:t>LangGraph</w:t>
            </w:r>
          </w:p>
        </w:tc>
        <w:tc>
          <w:tcPr>
            <w:tcW w:type="dxa" w:w="3528"/>
            <w:vAlign w:val="center"/>
          </w:tcPr>
          <w:p>
            <w:pPr>
              <w:spacing w:after="0"/>
            </w:pPr>
            <w:r/>
            <w:r>
              <w:rPr>
                <w:sz w:val="17"/>
              </w:rPr>
              <w:t>Orchestrate multi-step AI workflows.</w:t>
            </w:r>
          </w:p>
        </w:tc>
        <w:tc>
          <w:tcPr>
            <w:tcW w:type="dxa" w:w="2880"/>
            <w:vAlign w:val="center"/>
          </w:tcPr>
          <w:p>
            <w:pPr>
              <w:spacing w:after="0"/>
            </w:pPr>
            <w:r/>
            <w:r>
              <w:rPr>
                <w:sz w:val="17"/>
              </w:rPr>
              <w:t>APSO analysis is step-based, not one prompt.</w:t>
            </w:r>
          </w:p>
        </w:tc>
        <w:tc>
          <w:tcPr>
            <w:tcW w:type="dxa" w:w="2808"/>
            <w:vAlign w:val="center"/>
          </w:tcPr>
          <w:p>
            <w:pPr>
              <w:spacing w:after="0"/>
            </w:pPr>
            <w:r/>
            <w:r>
              <w:rPr>
                <w:sz w:val="17"/>
              </w:rPr>
              <w:t>Use workflows for repeatable AI engines.</w:t>
            </w:r>
          </w:p>
        </w:tc>
      </w:tr>
      <w:tr>
        <w:tc>
          <w:tcPr>
            <w:tcW w:type="dxa" w:w="2448"/>
            <w:vAlign w:val="center"/>
          </w:tcPr>
          <w:p>
            <w:pPr>
              <w:spacing w:after="0"/>
            </w:pPr>
            <w:r/>
            <w:r>
              <w:rPr>
                <w:sz w:val="17"/>
              </w:rPr>
              <w:t>LlamaIndex</w:t>
            </w:r>
          </w:p>
        </w:tc>
        <w:tc>
          <w:tcPr>
            <w:tcW w:type="dxa" w:w="3528"/>
            <w:vAlign w:val="center"/>
          </w:tcPr>
          <w:p>
            <w:pPr>
              <w:spacing w:after="0"/>
            </w:pPr>
            <w:r/>
            <w:r>
              <w:rPr>
                <w:sz w:val="17"/>
              </w:rPr>
              <w:t>Build retrieval layer over Jira, PRs, code, logs, docs.</w:t>
            </w:r>
          </w:p>
        </w:tc>
        <w:tc>
          <w:tcPr>
            <w:tcW w:type="dxa" w:w="2880"/>
            <w:vAlign w:val="center"/>
          </w:tcPr>
          <w:p>
            <w:pPr>
              <w:spacing w:after="0"/>
            </w:pPr>
            <w:r/>
            <w:r>
              <w:rPr>
                <w:sz w:val="17"/>
              </w:rPr>
              <w:t>Simplifies RAG/indexing.</w:t>
            </w:r>
          </w:p>
        </w:tc>
        <w:tc>
          <w:tcPr>
            <w:tcW w:type="dxa" w:w="2808"/>
            <w:vAlign w:val="center"/>
          </w:tcPr>
          <w:p>
            <w:pPr>
              <w:spacing w:after="0"/>
            </w:pPr>
            <w:r/>
            <w:r>
              <w:rPr>
                <w:sz w:val="17"/>
              </w:rPr>
              <w:t>Retrieve only tenant-approved data.</w:t>
            </w:r>
          </w:p>
        </w:tc>
      </w:tr>
      <w:tr>
        <w:tc>
          <w:tcPr>
            <w:tcW w:type="dxa" w:w="2448"/>
            <w:vAlign w:val="center"/>
          </w:tcPr>
          <w:p>
            <w:pPr>
              <w:spacing w:after="0"/>
            </w:pPr>
            <w:r/>
            <w:r>
              <w:rPr>
                <w:sz w:val="17"/>
              </w:rPr>
              <w:t>Temporal OSS</w:t>
            </w:r>
          </w:p>
        </w:tc>
        <w:tc>
          <w:tcPr>
            <w:tcW w:type="dxa" w:w="3528"/>
            <w:vAlign w:val="center"/>
          </w:tcPr>
          <w:p>
            <w:pPr>
              <w:spacing w:after="0"/>
            </w:pPr>
            <w:r/>
            <w:r>
              <w:rPr>
                <w:sz w:val="17"/>
              </w:rPr>
              <w:t>Run durable long-running workflows.</w:t>
            </w:r>
          </w:p>
        </w:tc>
        <w:tc>
          <w:tcPr>
            <w:tcW w:type="dxa" w:w="2880"/>
            <w:vAlign w:val="center"/>
          </w:tcPr>
          <w:p>
            <w:pPr>
              <w:spacing w:after="0"/>
            </w:pPr>
            <w:r/>
            <w:r>
              <w:rPr>
                <w:sz w:val="17"/>
              </w:rPr>
              <w:t>Needed for reliable sync, scan, analysis, report jobs.</w:t>
            </w:r>
          </w:p>
        </w:tc>
        <w:tc>
          <w:tcPr>
            <w:tcW w:type="dxa" w:w="2808"/>
            <w:vAlign w:val="center"/>
          </w:tcPr>
          <w:p>
            <w:pPr>
              <w:spacing w:after="0"/>
            </w:pPr>
            <w:r/>
            <w:r>
              <w:rPr>
                <w:sz w:val="17"/>
              </w:rPr>
              <w:t>All long jobs must be Temporal workflows.</w:t>
            </w:r>
          </w:p>
        </w:tc>
      </w:tr>
      <w:tr>
        <w:tc>
          <w:tcPr>
            <w:tcW w:type="dxa" w:w="2448"/>
            <w:vAlign w:val="center"/>
          </w:tcPr>
          <w:p>
            <w:pPr>
              <w:spacing w:after="0"/>
            </w:pPr>
            <w:r/>
            <w:r>
              <w:rPr>
                <w:sz w:val="17"/>
              </w:rPr>
              <w:t>Valkey</w:t>
            </w:r>
          </w:p>
        </w:tc>
        <w:tc>
          <w:tcPr>
            <w:tcW w:type="dxa" w:w="3528"/>
            <w:vAlign w:val="center"/>
          </w:tcPr>
          <w:p>
            <w:pPr>
              <w:spacing w:after="0"/>
            </w:pPr>
            <w:r/>
            <w:r>
              <w:rPr>
                <w:sz w:val="17"/>
              </w:rPr>
              <w:t>Cache, distributed locks, rate limits, temporary state.</w:t>
            </w:r>
          </w:p>
        </w:tc>
        <w:tc>
          <w:tcPr>
            <w:tcW w:type="dxa" w:w="2880"/>
            <w:vAlign w:val="center"/>
          </w:tcPr>
          <w:p>
            <w:pPr>
              <w:spacing w:after="0"/>
            </w:pPr>
            <w:r/>
            <w:r>
              <w:rPr>
                <w:sz w:val="17"/>
              </w:rPr>
              <w:t>Open-source Redis-compatible option.</w:t>
            </w:r>
          </w:p>
        </w:tc>
        <w:tc>
          <w:tcPr>
            <w:tcW w:type="dxa" w:w="2808"/>
            <w:vAlign w:val="center"/>
          </w:tcPr>
          <w:p>
            <w:pPr>
              <w:spacing w:after="0"/>
            </w:pPr>
            <w:r/>
            <w:r>
              <w:rPr>
                <w:sz w:val="17"/>
              </w:rPr>
              <w:t>Use for transient data only.</w:t>
            </w:r>
          </w:p>
        </w:tc>
      </w:tr>
      <w:tr>
        <w:tc>
          <w:tcPr>
            <w:tcW w:type="dxa" w:w="2448"/>
            <w:vAlign w:val="center"/>
          </w:tcPr>
          <w:p>
            <w:pPr>
              <w:spacing w:after="0"/>
            </w:pPr>
            <w:r/>
            <w:r>
              <w:rPr>
                <w:sz w:val="17"/>
              </w:rPr>
              <w:t>Prometheus</w:t>
            </w:r>
          </w:p>
        </w:tc>
        <w:tc>
          <w:tcPr>
            <w:tcW w:type="dxa" w:w="3528"/>
            <w:vAlign w:val="center"/>
          </w:tcPr>
          <w:p>
            <w:pPr>
              <w:spacing w:after="0"/>
            </w:pPr>
            <w:r/>
            <w:r>
              <w:rPr>
                <w:sz w:val="17"/>
              </w:rPr>
              <w:t>Collect service and job metrics.</w:t>
            </w:r>
          </w:p>
        </w:tc>
        <w:tc>
          <w:tcPr>
            <w:tcW w:type="dxa" w:w="2880"/>
            <w:vAlign w:val="center"/>
          </w:tcPr>
          <w:p>
            <w:pPr>
              <w:spacing w:after="0"/>
            </w:pPr>
            <w:r/>
            <w:r>
              <w:rPr>
                <w:sz w:val="17"/>
              </w:rPr>
              <w:t>Open-source metric standard.</w:t>
            </w:r>
          </w:p>
        </w:tc>
        <w:tc>
          <w:tcPr>
            <w:tcW w:type="dxa" w:w="2808"/>
            <w:vAlign w:val="center"/>
          </w:tcPr>
          <w:p>
            <w:pPr>
              <w:spacing w:after="0"/>
            </w:pPr>
            <w:r/>
            <w:r>
              <w:rPr>
                <w:sz w:val="17"/>
              </w:rPr>
              <w:t>Every service exposes metrics.</w:t>
            </w:r>
          </w:p>
        </w:tc>
      </w:tr>
      <w:tr>
        <w:tc>
          <w:tcPr>
            <w:tcW w:type="dxa" w:w="2448"/>
            <w:vAlign w:val="center"/>
          </w:tcPr>
          <w:p>
            <w:pPr>
              <w:spacing w:after="0"/>
            </w:pPr>
            <w:r/>
            <w:r>
              <w:rPr>
                <w:sz w:val="17"/>
              </w:rPr>
              <w:t>Grafana OSS</w:t>
            </w:r>
          </w:p>
        </w:tc>
        <w:tc>
          <w:tcPr>
            <w:tcW w:type="dxa" w:w="3528"/>
            <w:vAlign w:val="center"/>
          </w:tcPr>
          <w:p>
            <w:pPr>
              <w:spacing w:after="0"/>
            </w:pPr>
            <w:r/>
            <w:r>
              <w:rPr>
                <w:sz w:val="17"/>
              </w:rPr>
              <w:t>Operational dashboards.</w:t>
            </w:r>
          </w:p>
        </w:tc>
        <w:tc>
          <w:tcPr>
            <w:tcW w:type="dxa" w:w="2880"/>
            <w:vAlign w:val="center"/>
          </w:tcPr>
          <w:p>
            <w:pPr>
              <w:spacing w:after="0"/>
            </w:pPr>
            <w:r/>
            <w:r>
              <w:rPr>
                <w:sz w:val="17"/>
              </w:rPr>
              <w:t>Open-source dashboards for prod support.</w:t>
            </w:r>
          </w:p>
        </w:tc>
        <w:tc>
          <w:tcPr>
            <w:tcW w:type="dxa" w:w="2808"/>
            <w:vAlign w:val="center"/>
          </w:tcPr>
          <w:p>
            <w:pPr>
              <w:spacing w:after="0"/>
            </w:pPr>
            <w:r/>
            <w:r>
              <w:rPr>
                <w:sz w:val="17"/>
              </w:rPr>
              <w:t>Do not modify Grafana source.</w:t>
            </w:r>
          </w:p>
        </w:tc>
      </w:tr>
      <w:tr>
        <w:tc>
          <w:tcPr>
            <w:tcW w:type="dxa" w:w="2448"/>
            <w:vAlign w:val="center"/>
          </w:tcPr>
          <w:p>
            <w:pPr>
              <w:spacing w:after="0"/>
            </w:pPr>
            <w:r/>
            <w:r>
              <w:rPr>
                <w:sz w:val="17"/>
              </w:rPr>
              <w:t>Loki</w:t>
            </w:r>
          </w:p>
        </w:tc>
        <w:tc>
          <w:tcPr>
            <w:tcW w:type="dxa" w:w="3528"/>
            <w:vAlign w:val="center"/>
          </w:tcPr>
          <w:p>
            <w:pPr>
              <w:spacing w:after="0"/>
            </w:pPr>
            <w:r/>
            <w:r>
              <w:rPr>
                <w:sz w:val="17"/>
              </w:rPr>
              <w:t>Centralized logs.</w:t>
            </w:r>
          </w:p>
        </w:tc>
        <w:tc>
          <w:tcPr>
            <w:tcW w:type="dxa" w:w="2880"/>
            <w:vAlign w:val="center"/>
          </w:tcPr>
          <w:p>
            <w:pPr>
              <w:spacing w:after="0"/>
            </w:pPr>
            <w:r/>
            <w:r>
              <w:rPr>
                <w:sz w:val="17"/>
              </w:rPr>
              <w:t>Works well with Grafana, self-hosted.</w:t>
            </w:r>
          </w:p>
        </w:tc>
        <w:tc>
          <w:tcPr>
            <w:tcW w:type="dxa" w:w="2808"/>
            <w:vAlign w:val="center"/>
          </w:tcPr>
          <w:p>
            <w:pPr>
              <w:spacing w:after="0"/>
            </w:pPr>
            <w:r/>
            <w:r>
              <w:rPr>
                <w:sz w:val="17"/>
              </w:rPr>
              <w:t>Never log secrets.</w:t>
            </w:r>
          </w:p>
        </w:tc>
      </w:tr>
      <w:tr>
        <w:tc>
          <w:tcPr>
            <w:tcW w:type="dxa" w:w="2448"/>
            <w:vAlign w:val="center"/>
          </w:tcPr>
          <w:p>
            <w:pPr>
              <w:spacing w:after="0"/>
            </w:pPr>
            <w:r/>
            <w:r>
              <w:rPr>
                <w:sz w:val="17"/>
              </w:rPr>
              <w:t>Jaeger</w:t>
            </w:r>
          </w:p>
        </w:tc>
        <w:tc>
          <w:tcPr>
            <w:tcW w:type="dxa" w:w="3528"/>
            <w:vAlign w:val="center"/>
          </w:tcPr>
          <w:p>
            <w:pPr>
              <w:spacing w:after="0"/>
            </w:pPr>
            <w:r/>
            <w:r>
              <w:rPr>
                <w:sz w:val="17"/>
              </w:rPr>
              <w:t>Distributed tracing.</w:t>
            </w:r>
          </w:p>
        </w:tc>
        <w:tc>
          <w:tcPr>
            <w:tcW w:type="dxa" w:w="2880"/>
            <w:vAlign w:val="center"/>
          </w:tcPr>
          <w:p>
            <w:pPr>
              <w:spacing w:after="0"/>
            </w:pPr>
            <w:r/>
            <w:r>
              <w:rPr>
                <w:sz w:val="17"/>
              </w:rPr>
              <w:t>Debug cross-service flows.</w:t>
            </w:r>
          </w:p>
        </w:tc>
        <w:tc>
          <w:tcPr>
            <w:tcW w:type="dxa" w:w="2808"/>
            <w:vAlign w:val="center"/>
          </w:tcPr>
          <w:p>
            <w:pPr>
              <w:spacing w:after="0"/>
            </w:pPr>
            <w:r/>
            <w:r>
              <w:rPr>
                <w:sz w:val="17"/>
              </w:rPr>
              <w:t>Trace major sync/analysis/report flows.</w:t>
            </w:r>
          </w:p>
        </w:tc>
      </w:tr>
      <w:tr>
        <w:tc>
          <w:tcPr>
            <w:tcW w:type="dxa" w:w="2448"/>
            <w:vAlign w:val="center"/>
          </w:tcPr>
          <w:p>
            <w:pPr>
              <w:spacing w:after="0"/>
            </w:pPr>
            <w:r/>
            <w:r>
              <w:rPr>
                <w:sz w:val="17"/>
              </w:rPr>
              <w:t>Semgrep CE</w:t>
            </w:r>
          </w:p>
        </w:tc>
        <w:tc>
          <w:tcPr>
            <w:tcW w:type="dxa" w:w="3528"/>
            <w:vAlign w:val="center"/>
          </w:tcPr>
          <w:p>
            <w:pPr>
              <w:spacing w:after="0"/>
            </w:pPr>
            <w:r/>
            <w:r>
              <w:rPr>
                <w:sz w:val="17"/>
              </w:rPr>
              <w:t>Static analysis and security rules.</w:t>
            </w:r>
          </w:p>
        </w:tc>
        <w:tc>
          <w:tcPr>
            <w:tcW w:type="dxa" w:w="2880"/>
            <w:vAlign w:val="center"/>
          </w:tcPr>
          <w:p>
            <w:pPr>
              <w:spacing w:after="0"/>
            </w:pPr>
            <w:r/>
            <w:r>
              <w:rPr>
                <w:sz w:val="17"/>
              </w:rPr>
              <w:t>Deterministic code findings.</w:t>
            </w:r>
          </w:p>
        </w:tc>
        <w:tc>
          <w:tcPr>
            <w:tcW w:type="dxa" w:w="2808"/>
            <w:vAlign w:val="center"/>
          </w:tcPr>
          <w:p>
            <w:pPr>
              <w:spacing w:after="0"/>
            </w:pPr>
            <w:r/>
            <w:r>
              <w:rPr>
                <w:sz w:val="17"/>
              </w:rPr>
              <w:t>LLM explains scanner evidence; it does not replace it.</w:t>
            </w:r>
          </w:p>
        </w:tc>
      </w:tr>
      <w:tr>
        <w:tc>
          <w:tcPr>
            <w:tcW w:type="dxa" w:w="2448"/>
            <w:vAlign w:val="center"/>
          </w:tcPr>
          <w:p>
            <w:pPr>
              <w:spacing w:after="0"/>
            </w:pPr>
            <w:r/>
            <w:r>
              <w:rPr>
                <w:sz w:val="17"/>
              </w:rPr>
              <w:t>tree-sitter</w:t>
            </w:r>
          </w:p>
        </w:tc>
        <w:tc>
          <w:tcPr>
            <w:tcW w:type="dxa" w:w="3528"/>
            <w:vAlign w:val="center"/>
          </w:tcPr>
          <w:p>
            <w:pPr>
              <w:spacing w:after="0"/>
            </w:pPr>
            <w:r/>
            <w:r>
              <w:rPr>
                <w:sz w:val="17"/>
              </w:rPr>
              <w:t>Parse code structure and symbols.</w:t>
            </w:r>
          </w:p>
        </w:tc>
        <w:tc>
          <w:tcPr>
            <w:tcW w:type="dxa" w:w="2880"/>
            <w:vAlign w:val="center"/>
          </w:tcPr>
          <w:p>
            <w:pPr>
              <w:spacing w:after="0"/>
            </w:pPr>
            <w:r/>
            <w:r>
              <w:rPr>
                <w:sz w:val="17"/>
              </w:rPr>
              <w:t>Language-aware code understanding.</w:t>
            </w:r>
          </w:p>
        </w:tc>
        <w:tc>
          <w:tcPr>
            <w:tcW w:type="dxa" w:w="2808"/>
            <w:vAlign w:val="center"/>
          </w:tcPr>
          <w:p>
            <w:pPr>
              <w:spacing w:after="0"/>
            </w:pPr>
            <w:r/>
            <w:r>
              <w:rPr>
                <w:sz w:val="17"/>
              </w:rPr>
              <w:t>Use parsing instead of regex for code structure.</w:t>
            </w:r>
          </w:p>
        </w:tc>
      </w:tr>
      <w:tr>
        <w:tc>
          <w:tcPr>
            <w:tcW w:type="dxa" w:w="2448"/>
            <w:vAlign w:val="center"/>
          </w:tcPr>
          <w:p>
            <w:pPr>
              <w:spacing w:after="0"/>
            </w:pPr>
            <w:r/>
            <w:r>
              <w:rPr>
                <w:sz w:val="17"/>
              </w:rPr>
              <w:t>Gitleaks</w:t>
            </w:r>
          </w:p>
        </w:tc>
        <w:tc>
          <w:tcPr>
            <w:tcW w:type="dxa" w:w="3528"/>
            <w:vAlign w:val="center"/>
          </w:tcPr>
          <w:p>
            <w:pPr>
              <w:spacing w:after="0"/>
            </w:pPr>
            <w:r/>
            <w:r>
              <w:rPr>
                <w:sz w:val="17"/>
              </w:rPr>
              <w:t>Detect committed secrets.</w:t>
            </w:r>
          </w:p>
        </w:tc>
        <w:tc>
          <w:tcPr>
            <w:tcW w:type="dxa" w:w="2880"/>
            <w:vAlign w:val="center"/>
          </w:tcPr>
          <w:p>
            <w:pPr>
              <w:spacing w:after="0"/>
            </w:pPr>
            <w:r/>
            <w:r>
              <w:rPr>
                <w:sz w:val="17"/>
              </w:rPr>
              <w:t>Essential security scanner.</w:t>
            </w:r>
          </w:p>
        </w:tc>
        <w:tc>
          <w:tcPr>
            <w:tcW w:type="dxa" w:w="2808"/>
            <w:vAlign w:val="center"/>
          </w:tcPr>
          <w:p>
            <w:pPr>
              <w:spacing w:after="0"/>
            </w:pPr>
            <w:r/>
            <w:r>
              <w:rPr>
                <w:sz w:val="17"/>
              </w:rPr>
              <w:t>Run against repo history/snapshots as configured.</w:t>
            </w:r>
          </w:p>
        </w:tc>
      </w:tr>
      <w:tr>
        <w:tc>
          <w:tcPr>
            <w:tcW w:type="dxa" w:w="2448"/>
            <w:vAlign w:val="center"/>
          </w:tcPr>
          <w:p>
            <w:pPr>
              <w:spacing w:after="0"/>
            </w:pPr>
            <w:r/>
            <w:r>
              <w:rPr>
                <w:sz w:val="17"/>
              </w:rPr>
              <w:t>Trivy</w:t>
            </w:r>
          </w:p>
        </w:tc>
        <w:tc>
          <w:tcPr>
            <w:tcW w:type="dxa" w:w="3528"/>
            <w:vAlign w:val="center"/>
          </w:tcPr>
          <w:p>
            <w:pPr>
              <w:spacing w:after="0"/>
            </w:pPr>
            <w:r/>
            <w:r>
              <w:rPr>
                <w:sz w:val="17"/>
              </w:rPr>
              <w:t>Scan dependencies, containers, IaC.</w:t>
            </w:r>
          </w:p>
        </w:tc>
        <w:tc>
          <w:tcPr>
            <w:tcW w:type="dxa" w:w="2880"/>
            <w:vAlign w:val="center"/>
          </w:tcPr>
          <w:p>
            <w:pPr>
              <w:spacing w:after="0"/>
            </w:pPr>
            <w:r/>
            <w:r>
              <w:rPr>
                <w:sz w:val="17"/>
              </w:rPr>
              <w:t>Open-source vulnerability scanner.</w:t>
            </w:r>
          </w:p>
        </w:tc>
        <w:tc>
          <w:tcPr>
            <w:tcW w:type="dxa" w:w="2808"/>
            <w:vAlign w:val="center"/>
          </w:tcPr>
          <w:p>
            <w:pPr>
              <w:spacing w:after="0"/>
            </w:pPr>
            <w:r/>
            <w:r>
              <w:rPr>
                <w:sz w:val="17"/>
              </w:rPr>
              <w:t>Use in code quality and release readiness.</w:t>
            </w:r>
          </w:p>
        </w:tc>
      </w:tr>
      <w:tr>
        <w:tc>
          <w:tcPr>
            <w:tcW w:type="dxa" w:w="2448"/>
            <w:vAlign w:val="center"/>
          </w:tcPr>
          <w:p>
            <w:pPr>
              <w:spacing w:after="0"/>
            </w:pPr>
            <w:r/>
            <w:r>
              <w:rPr>
                <w:sz w:val="17"/>
              </w:rPr>
              <w:t>OWASP Dependency-Check</w:t>
            </w:r>
          </w:p>
        </w:tc>
        <w:tc>
          <w:tcPr>
            <w:tcW w:type="dxa" w:w="3528"/>
            <w:vAlign w:val="center"/>
          </w:tcPr>
          <w:p>
            <w:pPr>
              <w:spacing w:after="0"/>
            </w:pPr>
            <w:r/>
            <w:r>
              <w:rPr>
                <w:sz w:val="17"/>
              </w:rPr>
              <w:t>Dependency vulnerability analysis.</w:t>
            </w:r>
          </w:p>
        </w:tc>
        <w:tc>
          <w:tcPr>
            <w:tcW w:type="dxa" w:w="2880"/>
            <w:vAlign w:val="center"/>
          </w:tcPr>
          <w:p>
            <w:pPr>
              <w:spacing w:after="0"/>
            </w:pPr>
            <w:r/>
            <w:r>
              <w:rPr>
                <w:sz w:val="17"/>
              </w:rPr>
              <w:t>Adds software composition evidence.</w:t>
            </w:r>
          </w:p>
        </w:tc>
        <w:tc>
          <w:tcPr>
            <w:tcW w:type="dxa" w:w="2808"/>
            <w:vAlign w:val="center"/>
          </w:tcPr>
          <w:p>
            <w:pPr>
              <w:spacing w:after="0"/>
            </w:pPr>
            <w:r/>
            <w:r>
              <w:rPr>
                <w:sz w:val="17"/>
              </w:rPr>
              <w:t>Use scan results as source evidence.</w:t>
            </w:r>
          </w:p>
        </w:tc>
      </w:tr>
    </w:tbl>
    <w:p/>
    <w:p>
      <w:r>
        <w:br w:type="page"/>
      </w:r>
    </w:p>
    <w:p>
      <w:pPr>
        <w:pStyle w:val="Heading1"/>
      </w:pPr>
      <w:r>
        <w:t>5. Component Deep Dive</w:t>
      </w:r>
    </w:p>
    <w:p>
      <w:r>
        <w:t>This section explains how every locked component should be used in APSO. Developers should treat these notes as implementation guidance, not optional background reading.</w:t>
      </w:r>
    </w:p>
    <w:p>
      <w:pPr>
        <w:pStyle w:val="Heading2"/>
      </w:pPr>
      <w:r>
        <w:t>5.1 Next.js, React, and TypeScript</w:t>
      </w:r>
    </w:p>
    <w:p>
      <w:r>
        <w:t>Next.js is the locked web application framework, React is the UI runtime, and TypeScript is the mandatory language for frontend code.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This layer owns APSO's user experience: login flow, tenant/project selection, integration setup, AI Findings Inbox, story quality review, code quality review, coverage traceability, executive dashboards, release readiness views, and report/export screens.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route-level organization by product area, typed API clients, reusable UI components, and clear loading/error/empty states. Keep business rules in backend services wherever possible; the frontend should present workflow state and call APIs rather than reimplementing scoring or AI logic.</w:t>
            </w:r>
          </w:p>
        </w:tc>
      </w:tr>
      <w:tr>
        <w:tc>
          <w:tcPr>
            <w:tcW w:type="dxa" w:w="2232"/>
            <w:vAlign w:val="center"/>
          </w:tcPr>
          <w:p>
            <w:pPr>
              <w:spacing w:after="0"/>
            </w:pPr>
            <w:r/>
            <w:r>
              <w:rPr>
                <w:sz w:val="17"/>
              </w:rPr>
              <w:t>Configuration</w:t>
            </w:r>
          </w:p>
        </w:tc>
        <w:tc>
          <w:tcPr>
            <w:tcW w:type="dxa" w:w="9432"/>
            <w:vAlign w:val="center"/>
          </w:tcPr>
          <w:p>
            <w:pPr>
              <w:spacing w:after="0"/>
            </w:pPr>
            <w:r/>
            <w:r>
              <w:rPr>
                <w:sz w:val="17"/>
              </w:rPr>
              <w:t>Read base URLs, feature flags, and environment identity from configuration. The frontend may use the Supabase publishable/anon configuration where appropriate, but it must never receive service role keys, database passwords, integration tokens, or AI provider credentials.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introduce another frontend framework, UI runtime, or untyped JavaScript application code. Do not place Jira, Bitbucket, Supabase service role, or AI model secrets in browser-accessible code.</w:t>
            </w:r>
          </w:p>
        </w:tc>
      </w:tr>
    </w:tbl>
    <w:p/>
    <w:p>
      <w:pPr>
        <w:pStyle w:val="Heading2"/>
      </w:pPr>
      <w:r>
        <w:t>5.2 Tailwind CSS and shadcn/ui</w:t>
      </w:r>
    </w:p>
    <w:p>
      <w:r>
        <w:t>Tailwind provides utility-first styling and shadcn/ui provides reusable component patterns built on accessible primitives.</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These tools give APSO a consistent enterprise product interface without buying a design system. They should be used for tables, buttons, dialogs, tabs, filters, forms, badges, alerts, side navigation, dashboards, and admin settings screens.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Create APSO-specific wrappers for common controls such as severity badges, finding status chips, integration health indicators, score cards, filter bars, and report actions. Keep the UI restrained and operational rather than marketing-heavy.</w:t>
            </w:r>
          </w:p>
        </w:tc>
      </w:tr>
      <w:tr>
        <w:tc>
          <w:tcPr>
            <w:tcW w:type="dxa" w:w="2232"/>
            <w:vAlign w:val="center"/>
          </w:tcPr>
          <w:p>
            <w:pPr>
              <w:spacing w:after="0"/>
            </w:pPr>
            <w:r/>
            <w:r>
              <w:rPr>
                <w:sz w:val="17"/>
              </w:rPr>
              <w:t>Configuration</w:t>
            </w:r>
          </w:p>
        </w:tc>
        <w:tc>
          <w:tcPr>
            <w:tcW w:type="dxa" w:w="9432"/>
            <w:vAlign w:val="center"/>
          </w:tcPr>
          <w:p>
            <w:pPr>
              <w:spacing w:after="0"/>
            </w:pPr>
            <w:r/>
            <w:r>
              <w:rPr>
                <w:sz w:val="17"/>
              </w:rPr>
              <w:t>Theme tokens, colors, spacing, and component variants should be centralized. Feature visibility should come from feature flags, not ad hoc conditionals scattered across components.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introduce Material UI, Ant Design, Bootstrap, Chakra, or another component library in MVP. Avoid one-off styling that bypasses the shared component approach.</w:t>
            </w:r>
          </w:p>
        </w:tc>
      </w:tr>
    </w:tbl>
    <w:p/>
    <w:p>
      <w:pPr>
        <w:pStyle w:val="Heading2"/>
      </w:pPr>
      <w:r>
        <w:t>5.3 FastAPI Backend</w:t>
      </w:r>
    </w:p>
    <w:p>
      <w:r>
        <w:t>FastAPI is the locked backend API framework for APSO product services.</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owns tenant-aware product APIs, authenticated access, integration configuration, findings retrieval, dashboard data, report generation requests, AI task submission, and administrative operations.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Organize APIs by domain such as auth context, tenants, integrations, sdlc data, findings, reports, and admin. Use dependency injection for tenant context, user context, database session, configuration, and authorization checks.</w:t>
            </w:r>
          </w:p>
        </w:tc>
      </w:tr>
      <w:tr>
        <w:tc>
          <w:tcPr>
            <w:tcW w:type="dxa" w:w="2232"/>
            <w:vAlign w:val="center"/>
          </w:tcPr>
          <w:p>
            <w:pPr>
              <w:spacing w:after="0"/>
            </w:pPr>
            <w:r/>
            <w:r>
              <w:rPr>
                <w:sz w:val="17"/>
              </w:rPr>
              <w:t>Configuration</w:t>
            </w:r>
          </w:p>
        </w:tc>
        <w:tc>
          <w:tcPr>
            <w:tcW w:type="dxa" w:w="9432"/>
            <w:vAlign w:val="center"/>
          </w:tcPr>
          <w:p>
            <w:pPr>
              <w:spacing w:after="0"/>
            </w:pPr>
            <w:r/>
            <w:r>
              <w:rPr>
                <w:sz w:val="17"/>
              </w:rPr>
              <w:t>Backend configuration must load from the approved dev/prod environment files and secret references. API behavior must be feature-flag aware and must not depend on hard-coded tenant/project values.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create sidecar API frameworks or direct database access from the frontend. Do not perform long-running sync/scan/AI jobs inside request threads; submit Temporal workflows instead.</w:t>
            </w:r>
          </w:p>
        </w:tc>
      </w:tr>
    </w:tbl>
    <w:p/>
    <w:p>
      <w:pPr>
        <w:pStyle w:val="Heading2"/>
      </w:pPr>
      <w:r>
        <w:t>5.4 Pydantic</w:t>
      </w:r>
    </w:p>
    <w:p>
      <w:r>
        <w:t>Pydantic is the locked schema validation layer for API contracts, internal DTOs, and AI outputs.</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protects APSO from malformed API payloads and unreliable model responses. Every AI engine output must be represented by a Pydantic model before it can become an APSO finding, score, report section, or recommendation.</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Define explicit schemas for requests, responses, AI task inputs, AI task outputs, connector payloads after normalization, and scoring results. Use strict enums for statuses, severities, evidence types, and lifecycle states.</w:t>
            </w:r>
          </w:p>
        </w:tc>
      </w:tr>
      <w:tr>
        <w:tc>
          <w:tcPr>
            <w:tcW w:type="dxa" w:w="2232"/>
            <w:vAlign w:val="center"/>
          </w:tcPr>
          <w:p>
            <w:pPr>
              <w:spacing w:after="0"/>
            </w:pPr>
            <w:r/>
            <w:r>
              <w:rPr>
                <w:sz w:val="17"/>
              </w:rPr>
              <w:t>Configuration</w:t>
            </w:r>
          </w:p>
        </w:tc>
        <w:tc>
          <w:tcPr>
            <w:tcW w:type="dxa" w:w="9432"/>
            <w:vAlign w:val="center"/>
          </w:tcPr>
          <w:p>
            <w:pPr>
              <w:spacing w:after="0"/>
            </w:pPr>
            <w:r/>
            <w:r>
              <w:rPr>
                <w:sz w:val="17"/>
              </w:rPr>
              <w:t>Validation rules should live near the domain schema. Prompt output schemas must be versioned with the prompt/task definition.</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store raw model output as trusted business data. Do not accept flexible untyped JSON for core entities like findings, scores, evidence, or report metrics.</w:t>
            </w:r>
          </w:p>
        </w:tc>
      </w:tr>
    </w:tbl>
    <w:p/>
    <w:p>
      <w:pPr>
        <w:pStyle w:val="Heading2"/>
      </w:pPr>
      <w:r>
        <w:t>5.5 SQLAlchemy and Alembic</w:t>
      </w:r>
    </w:p>
    <w:p>
      <w:r>
        <w:t>SQLAlchemy is the locked database access layer and Alembic is the locked migration tool.</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They manage APSO's relational model: tenants, users, projects, integrations, normalized SDLC artifacts, AI runs, AI findings, evidence, reports, and audit logs.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migrations for every schema change. Keep models tenant-aware. Use transactions around sync checkpoints, finding creation, and report snapshots. Prefer explicit relationships and indexes for high-volume tables such as commits, pull requests, test runs, and AI findings.</w:t>
            </w:r>
          </w:p>
        </w:tc>
      </w:tr>
      <w:tr>
        <w:tc>
          <w:tcPr>
            <w:tcW w:type="dxa" w:w="2232"/>
            <w:vAlign w:val="center"/>
          </w:tcPr>
          <w:p>
            <w:pPr>
              <w:spacing w:after="0"/>
            </w:pPr>
            <w:r/>
            <w:r>
              <w:rPr>
                <w:sz w:val="17"/>
              </w:rPr>
              <w:t>Configuration</w:t>
            </w:r>
          </w:p>
        </w:tc>
        <w:tc>
          <w:tcPr>
            <w:tcW w:type="dxa" w:w="9432"/>
            <w:vAlign w:val="center"/>
          </w:tcPr>
          <w:p>
            <w:pPr>
              <w:spacing w:after="0"/>
            </w:pPr>
            <w:r/>
            <w:r>
              <w:rPr>
                <w:sz w:val="17"/>
              </w:rPr>
              <w:t>Database URLs, pool settings, migration mode, and schema names must come from configuration. Migration execution must be controlled and repeatable for dev and prod.</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make schema changes manually in production. Do not bypass migrations. Do not create tables without tenant isolation design.</w:t>
            </w:r>
          </w:p>
        </w:tc>
      </w:tr>
    </w:tbl>
    <w:p/>
    <w:p>
      <w:pPr>
        <w:pStyle w:val="Heading2"/>
      </w:pPr>
      <w:r>
        <w:t>5.6 Self-Hosted Supabase Auth</w:t>
      </w:r>
    </w:p>
    <w:p>
      <w:r>
        <w:t>Supabase Auth is the locked authentication system for user management and session/JWT handling.</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provides sign-in, user identity, password/session lifecycle, and token issuance. APSO's backend validates tokens and maps users to tenants and roles before allowing access to data or actions.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Supabase Auth for identity, but keep APSO authorization decisions in APSO's own tenant/role tables. The frontend can use public auth configuration, while privileged admin operations must happen only through backend services.</w:t>
            </w:r>
          </w:p>
        </w:tc>
      </w:tr>
      <w:tr>
        <w:tc>
          <w:tcPr>
            <w:tcW w:type="dxa" w:w="2232"/>
            <w:vAlign w:val="center"/>
          </w:tcPr>
          <w:p>
            <w:pPr>
              <w:spacing w:after="0"/>
            </w:pPr>
            <w:r/>
            <w:r>
              <w:rPr>
                <w:sz w:val="17"/>
              </w:rPr>
              <w:t>Configuration</w:t>
            </w:r>
          </w:p>
        </w:tc>
        <w:tc>
          <w:tcPr>
            <w:tcW w:type="dxa" w:w="9432"/>
            <w:vAlign w:val="center"/>
          </w:tcPr>
          <w:p>
            <w:pPr>
              <w:spacing w:after="0"/>
            </w:pPr>
            <w:r/>
            <w:r>
              <w:rPr>
                <w:sz w:val="17"/>
              </w:rPr>
              <w:t>Auth URL, anon/publishable key, service role key reference, JWT secret reference, redirect URLs, and role mapping must be configured. Service role credentials must be backend-only.</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expose service role keys to the frontend. Do not rely on frontend-only authorization. Do not introduce another auth provider in MVP.</w:t>
            </w:r>
          </w:p>
        </w:tc>
      </w:tr>
    </w:tbl>
    <w:p/>
    <w:p>
      <w:pPr>
        <w:pStyle w:val="Heading2"/>
      </w:pPr>
      <w:r>
        <w:t>5.7 PostgreSQL</w:t>
      </w:r>
    </w:p>
    <w:p>
      <w:r>
        <w:t>PostgreSQL is the locked system-of-record database.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stores durable APSO data including tenants, users, roles, project mappings, integration metadata, normalized Jira/Bitbucket/AWS artifacts, findings, reports, scoring results, and audit history.</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Design tables around normalized evidence and traceability. Large files belong in MinIO, not Postgres. Use indexes for tenant_id, project_id, external IDs, timestamps, status fields, and lookup relationships.</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Connection strings, pool settings, backup policy, schema names, and migration user must be configured. Production must have backup and restore procedures.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use a second application database in MVP. Do not store raw secrets in database tables unless encrypted through approved secret handling.</w:t>
            </w:r>
          </w:p>
        </w:tc>
      </w:tr>
    </w:tbl>
    <w:p/>
    <w:p>
      <w:pPr>
        <w:pStyle w:val="Heading2"/>
      </w:pPr>
      <w:r>
        <w:t>5.8 pgvector</w:t>
      </w:r>
    </w:p>
    <w:p>
      <w:r>
        <w:t>pgvector is the locked vector storage extension inside PostgreSQL.</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stores embeddings for Jira stories, requirements, PR comments, code snippets, test summaries, release notes, and documents so APSO can perform semantic retrieval and alignment checks without a separate vector database.</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Create vector tables with tenant_id, source artifact reference, chunk metadata, embedding model version, and timestamps. Retrieval must always filter by tenant and project before similarity ranking.</w:t>
            </w:r>
          </w:p>
        </w:tc>
      </w:tr>
      <w:tr>
        <w:tc>
          <w:tcPr>
            <w:tcW w:type="dxa" w:w="2232"/>
            <w:vAlign w:val="center"/>
          </w:tcPr>
          <w:p>
            <w:pPr>
              <w:spacing w:after="0"/>
            </w:pPr>
            <w:r/>
            <w:r>
              <w:rPr>
                <w:sz w:val="17"/>
              </w:rPr>
              <w:t>Configuration</w:t>
            </w:r>
          </w:p>
        </w:tc>
        <w:tc>
          <w:tcPr>
            <w:tcW w:type="dxa" w:w="9432"/>
            <w:vAlign w:val="center"/>
          </w:tcPr>
          <w:p>
            <w:pPr>
              <w:spacing w:after="0"/>
            </w:pPr>
            <w:r/>
            <w:r>
              <w:rPr>
                <w:sz w:val="17"/>
              </w:rPr>
              <w:t>Embedding dimension and model name must match the configured embedding model. Re-embedding strategy must be documented when the embedding model changes.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add Pinecone, Weaviate, Milvus, or another vector database in MVP. Do not run cross-tenant vector searches.</w:t>
            </w:r>
          </w:p>
        </w:tc>
      </w:tr>
    </w:tbl>
    <w:p/>
    <w:p>
      <w:r>
        <w:br w:type="page"/>
      </w:r>
    </w:p>
    <w:p>
      <w:pPr>
        <w:pStyle w:val="Heading2"/>
      </w:pPr>
      <w:r>
        <w:t>5.9 MinIO</w:t>
      </w:r>
    </w:p>
    <w:p>
      <w:r>
        <w:t>MinIO is the locked self-hosted object storage service.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stores large and generated artifacts: scan outputs, coverage files, CI/CD logs, report exports, proof packs, temporary analysis bundles, and attachment-derived processing artifacts.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Store object metadata and tenant ownership in Postgres. Use deterministic bucket naming, tenant/project prefixes, retention policies, and signed/internal URLs through backend services.</w:t>
            </w:r>
          </w:p>
        </w:tc>
      </w:tr>
      <w:tr>
        <w:tc>
          <w:tcPr>
            <w:tcW w:type="dxa" w:w="2232"/>
            <w:vAlign w:val="center"/>
          </w:tcPr>
          <w:p>
            <w:pPr>
              <w:spacing w:after="0"/>
            </w:pPr>
            <w:r/>
            <w:r>
              <w:rPr>
                <w:sz w:val="17"/>
              </w:rPr>
              <w:t>Configuration</w:t>
            </w:r>
          </w:p>
        </w:tc>
        <w:tc>
          <w:tcPr>
            <w:tcW w:type="dxa" w:w="9432"/>
            <w:vAlign w:val="center"/>
          </w:tcPr>
          <w:p>
            <w:pPr>
              <w:spacing w:after="0"/>
            </w:pPr>
            <w:r/>
            <w:r>
              <w:rPr>
                <w:sz w:val="17"/>
              </w:rPr>
              <w:t>Endpoint, bucket names, access key reference, secret key reference, max file size, retention, and allowed file types must be configured.</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store large artifacts in Postgres. Do not expose MinIO credentials to the frontend. Do not modify MinIO source code without legal review because of AGPL obligations.</w:t>
            </w:r>
          </w:p>
        </w:tc>
      </w:tr>
    </w:tbl>
    <w:p/>
    <w:p>
      <w:pPr>
        <w:pStyle w:val="Heading2"/>
      </w:pPr>
      <w:r>
        <w:t>5.10 Ollama</w:t>
      </w:r>
    </w:p>
    <w:p>
      <w:r>
        <w:t>Ollama is the locked local AI runtime for development and default self-hosted inference.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lets APSO run local LLM and embedding models without paid API usage. In dev, every AI engine uses Ollama through the APSO AI Gateway.</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The AI Gateway should call Ollama for chat/generation and embeddings. Timeout, retry policy, model names, base URL, and task routing must be configured.</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Ollama base URL, chat model, embedding model, concurrency limits, timeout, and maximum input size. Keep external providers disabled in dev.</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call Ollama directly from product modules. Do not hard-code model names. Do not assume local model output is reliable without validation.</w:t>
            </w:r>
          </w:p>
        </w:tc>
      </w:tr>
    </w:tbl>
    <w:p/>
    <w:p>
      <w:pPr>
        <w:pStyle w:val="Heading2"/>
      </w:pPr>
      <w:r>
        <w:t>5.11 qwen2.5-coder:14b</w:t>
      </w:r>
    </w:p>
    <w:p>
      <w:r>
        <w:t>qwen2.5-coder:14b is the locked local LLM for APSO development.</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is used for story gap explanations, code quality explanations, semantic reasoning, release risk summaries, and report narrative generation during development and local demos.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deterministic scanner/retrieval evidence first, then ask the model to reason over that evidence. Keep prompts task-specific and output schemas strict. Prefer smaller bounded tasks over large vague prompts.</w:t>
            </w:r>
          </w:p>
        </w:tc>
      </w:tr>
      <w:tr>
        <w:tc>
          <w:tcPr>
            <w:tcW w:type="dxa" w:w="2232"/>
            <w:vAlign w:val="center"/>
          </w:tcPr>
          <w:p>
            <w:pPr>
              <w:spacing w:after="0"/>
            </w:pPr>
            <w:r/>
            <w:r>
              <w:rPr>
                <w:sz w:val="17"/>
              </w:rPr>
              <w:t>Configuration</w:t>
            </w:r>
          </w:p>
        </w:tc>
        <w:tc>
          <w:tcPr>
            <w:tcW w:type="dxa" w:w="9432"/>
            <w:vAlign w:val="center"/>
          </w:tcPr>
          <w:p>
            <w:pPr>
              <w:spacing w:after="0"/>
            </w:pPr>
            <w:r/>
            <w:r>
              <w:rPr>
                <w:sz w:val="17"/>
              </w:rPr>
              <w:t>The model name, temperature, max tokens, context limit, retry behavior, and prompt version must be configured per AI task.</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use the model as the source of truth for metrics. Do not let it invent defects, hours saved, productivity gains, or facts that are not supported by evidence.</w:t>
            </w:r>
          </w:p>
        </w:tc>
      </w:tr>
    </w:tbl>
    <w:p/>
    <w:p>
      <w:pPr>
        <w:pStyle w:val="Heading2"/>
      </w:pPr>
      <w:r>
        <w:t>5.12 qwen3-embedding:4b</w:t>
      </w:r>
    </w:p>
    <w:p>
      <w:r>
        <w:t>qwen3-embedding:4b is the locked local embedding model.</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converts text/code artifacts into vectors for semantic search, similarity matching, duplicate detection, and alignment analysis.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Embed curated chunks, not uncontrolled full repositories. Track source artifact, chunk boundaries, tenant, project, embedding model version, and source hash so embeddings can be refreshed when inputs change.</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embedding model name, dimension, chunk size, overlap, allowed artifact types, and re-indexing policy.</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mix embeddings from different models in the same index without model metadata. Do not embed secrets or excluded files.</w:t>
            </w:r>
          </w:p>
        </w:tc>
      </w:tr>
    </w:tbl>
    <w:p/>
    <w:p>
      <w:pPr>
        <w:pStyle w:val="Heading2"/>
      </w:pPr>
      <w:r>
        <w:t>5.13 LangGraph</w:t>
      </w:r>
    </w:p>
    <w:p>
      <w:r>
        <w:t>LangGraph is the locked framework for orchestrating multi-step AI workflows.</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APSO analysis requires repeatable steps: collect evidence, retrieve context, run scanners, call AI task, validate output, create findings, and update workflow state. LangGraph models these steps explicitly.</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LangGraph for AI engine workflows such as Definition Gap, Quality Benchmarking, Coverage Verification, and Release Readiness. Each node should have a clear input/output contract.</w:t>
            </w:r>
          </w:p>
        </w:tc>
      </w:tr>
      <w:tr>
        <w:tc>
          <w:tcPr>
            <w:tcW w:type="dxa" w:w="2232"/>
            <w:vAlign w:val="center"/>
          </w:tcPr>
          <w:p>
            <w:pPr>
              <w:spacing w:after="0"/>
            </w:pPr>
            <w:r/>
            <w:r>
              <w:rPr>
                <w:sz w:val="17"/>
              </w:rPr>
              <w:t>Configuration</w:t>
            </w:r>
          </w:p>
        </w:tc>
        <w:tc>
          <w:tcPr>
            <w:tcW w:type="dxa" w:w="9432"/>
            <w:vAlign w:val="center"/>
          </w:tcPr>
          <w:p>
            <w:pPr>
              <w:spacing w:after="0"/>
            </w:pPr>
            <w:r/>
            <w:r>
              <w:rPr>
                <w:sz w:val="17"/>
              </w:rPr>
              <w:t>Workflow/task names, prompts, model routing, retries, and feature flags must be configurable. Persist run IDs and correlate them with AI Gateway audits.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implement important AI engines as one-off scripts or untracked prompt chains. Do not bypass validation nodes.</w:t>
            </w:r>
          </w:p>
        </w:tc>
      </w:tr>
    </w:tbl>
    <w:p/>
    <w:p>
      <w:pPr>
        <w:pStyle w:val="Heading2"/>
      </w:pPr>
      <w:r>
        <w:t>5.14 LlamaIndex</w:t>
      </w:r>
    </w:p>
    <w:p>
      <w:r>
        <w:t>LlamaIndex is the locked retrieval and indexing layer.</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helps APSO find relevant Jira stories, prior defects, PR comments, code snippets, logs, coverage summaries, and documentation before the AI Gateway generates findings.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LlamaIndex to build tenant-scoped indexes over approved data. Retrieval should return source references so every AI answer can cite evidence.</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data sources, chunking rules, embedding provider, index refresh policy, tenant filters, and top-k retrieval limits.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retrieve cross-tenant data. Do not pass arbitrary unfiltered repository content to the model. Do not use retrieval results without source references.</w:t>
            </w:r>
          </w:p>
        </w:tc>
      </w:tr>
    </w:tbl>
    <w:p/>
    <w:p>
      <w:pPr>
        <w:pStyle w:val="Heading2"/>
      </w:pPr>
      <w:r>
        <w:t>5.15 Temporal OSS</w:t>
      </w:r>
    </w:p>
    <w:p>
      <w:r>
        <w:t>Temporal OSS is the locked durable workflow engine.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runs long jobs reliably: Jira sync, Bitbucket sync, AWS mock/live sync, repository analysis, scanner execution, AI analysis, embedding refresh, and report generation.</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Temporal workflows for operations that can fail, retry, resume, or take longer than an API request. Activities should be idempotent and checkpointed.</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namespace, task queues, retry policies, timeouts, worker concurrency, and dead-letter handling.</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run long sync/scan/AI operations in API request handlers. Do not create a second workflow engine in MVP.</w:t>
            </w:r>
          </w:p>
        </w:tc>
      </w:tr>
    </w:tbl>
    <w:p/>
    <w:p>
      <w:pPr>
        <w:pStyle w:val="Heading2"/>
      </w:pPr>
      <w:r>
        <w:t>5.16 Valkey</w:t>
      </w:r>
    </w:p>
    <w:p>
      <w:r>
        <w:t>Valkey is the locked Redis-compatible cache and coordination service.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supports short-lived caching, distributed locks, rate limiting, job coordination, and temporary state for API and worker operations.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Valkey for transient data only. Common uses include connector rate-limit state, lock keys for repository scans, cached dashboard fragments, and webhook/polling deduplication.</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endpoint, password/TLS, key prefixes, TTLs, lock timeouts, and rate-limit windows.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treat Valkey as durable storage. Do not store secrets or tenant data that must survive restarts only in Valkey.</w:t>
            </w:r>
          </w:p>
        </w:tc>
      </w:tr>
    </w:tbl>
    <w:p/>
    <w:p>
      <w:r>
        <w:br w:type="page"/>
      </w:r>
    </w:p>
    <w:p>
      <w:pPr>
        <w:pStyle w:val="Heading2"/>
      </w:pPr>
      <w:r>
        <w:t>5.17 Prometheus</w:t>
      </w:r>
    </w:p>
    <w:p>
      <w:r>
        <w:t>Prometheus is the locked metrics collector.</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collects operational and product-health metrics from APSO services, workers, AI Gateway, connectors, scanners, and infrastructure.</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Expose metrics for API latency, sync duration, AI run duration, validation failures, scanner failures, queue depth, database pool usage, and integration error rates.</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scrape targets, labels, retention, alert thresholds, and service names consistently across dev and prod.</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rely only on logs for production diagnosis. Do not expose sensitive labels or tokens in metrics.</w:t>
            </w:r>
          </w:p>
        </w:tc>
      </w:tr>
    </w:tbl>
    <w:p/>
    <w:p>
      <w:pPr>
        <w:pStyle w:val="Heading2"/>
      </w:pPr>
      <w:r>
        <w:t>5.18 Grafana OSS</w:t>
      </w:r>
    </w:p>
    <w:p>
      <w:r>
        <w:t>Grafana OSS is the locked dashboarding tool for observability.</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gives operators and tech leads visual dashboards for API health, worker health, integration sync, AI Gateway performance, scanner stability, and infrastructure usage.</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Create dashboards as versioned JSON/provisioned config where possible. Include panels for error rate, latency, queue backlog, sync failures, AI validation failures, and storage/database health.</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admin credentials, data sources, dashboards, folders, and access roles. Keep Grafana credentials outside Git.</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modify Grafana source. Do not use Grafana as the customer-facing product UI; it is operational tooling.</w:t>
            </w:r>
          </w:p>
        </w:tc>
      </w:tr>
    </w:tbl>
    <w:p/>
    <w:p>
      <w:pPr>
        <w:pStyle w:val="Heading2"/>
      </w:pPr>
      <w:r>
        <w:t>5.19 Loki</w:t>
      </w:r>
    </w:p>
    <w:p>
      <w:r>
        <w:t>Loki is the locked centralized log store.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collects logs from APIs, workers, AI Gateway, integrations, scanners, and supporting services so failures can be investigated across the system.</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structured logs with tenant-safe correlation IDs, workflow IDs, integration IDs, and request IDs. Mask secrets before logging.</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log labels, retention, ingestion endpoints, and service names. Keep logs useful but not overly verbose in prod.</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log API tokens, service role keys, database URLs with passwords, JWTs, or raw secret-bearing payloads.</w:t>
            </w:r>
          </w:p>
        </w:tc>
      </w:tr>
    </w:tbl>
    <w:p/>
    <w:p>
      <w:pPr>
        <w:pStyle w:val="Heading2"/>
      </w:pPr>
      <w:r>
        <w:t>5.20 Jaeger</w:t>
      </w:r>
    </w:p>
    <w:p>
      <w:r>
        <w:t>Jaeger is the locked distributed tracing tool.</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shows the full path of a request or workflow across frontend, API, Temporal, connectors, scanners, AI Gateway, database, and object storage.</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Instrument important paths such as project sync, repository scan, story analysis, release readiness computation, and report generation.</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OpenTelemetry exporters, trace sampling, service names, and correlation IDs.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include secrets or full sensitive payloads in trace attributes. Do not skip tracing for long-running workflows.</w:t>
            </w:r>
          </w:p>
        </w:tc>
      </w:tr>
    </w:tbl>
    <w:p/>
    <w:p>
      <w:pPr>
        <w:pStyle w:val="Heading2"/>
      </w:pPr>
      <w:r>
        <w:t>5.21 Semgrep CE</w:t>
      </w:r>
    </w:p>
    <w:p>
      <w:r>
        <w:t>Semgrep Community Edition is the locked static analysis scanner.</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detects code patterns related to security, correctness, framework misuse, and maintainability. APSO uses it as deterministic source evidence for quality findings.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Run Semgrep against configured repositories/branches and store normalized findings with file, line, rule, severity, and message. AI may summarize and prioritize the findings but cannot replace scanner output.</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rulesets, custom rules, severity thresholds, ignored paths, languages, and scan timeout.</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treat LLM opinions as scanner findings. Do not require Semgrep Cloud in MVP.</w:t>
            </w:r>
          </w:p>
        </w:tc>
      </w:tr>
    </w:tbl>
    <w:p/>
    <w:p>
      <w:pPr>
        <w:pStyle w:val="Heading2"/>
      </w:pPr>
      <w:r>
        <w:t>5.22 tree-sitter</w:t>
      </w:r>
    </w:p>
    <w:p>
      <w:r>
        <w:t>tree-sitter is the locked code parsing library.</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gives APSO language-aware structure such as functions, classes, imports, symbols, changed methods, and complexity candidates.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Use tree-sitter to extract symbol metadata, changed code regions, dependency relationships, and code chunks for embeddings/RAG.</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supported languages, parser versions, file include/exclude patterns, and maximum file size.</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parse code structure with fragile regex when tree-sitter supports the language. Do not index generated/vendor files.</w:t>
            </w:r>
          </w:p>
        </w:tc>
      </w:tr>
    </w:tbl>
    <w:p/>
    <w:p>
      <w:pPr>
        <w:pStyle w:val="Heading2"/>
      </w:pPr>
      <w:r>
        <w:t>5.23 Gitleaks</w:t>
      </w:r>
    </w:p>
    <w:p>
      <w:r>
        <w:t>Gitleaks is the locked secret detection scanner.</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detects committed secrets such as API keys, credentials, tokens, private keys, and sensitive connection strings.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Run it against configured repository snapshots/history based on policy. Store findings as security evidence with masked secret value, rule ID, file path, and commit/reference.</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allowlists, ignored paths, scan depth, redaction, and severity mapping.</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display full secrets in UI, logs, exports, or AI prompts. Do not send secret-like findings to external models.</w:t>
            </w:r>
          </w:p>
        </w:tc>
      </w:tr>
    </w:tbl>
    <w:p/>
    <w:p>
      <w:pPr>
        <w:pStyle w:val="Heading2"/>
      </w:pPr>
      <w:r>
        <w:t>5.24 Trivy</w:t>
      </w:r>
    </w:p>
    <w:p>
      <w:r>
        <w:t>Trivy is the locked vulnerability and configuration scanner.</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scans dependencies, containers, lockfiles, and infrastructure-as-code files for known vulnerabilities and misconfigurations.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Run Trivy as part of repository quality analysis and release readiness checks. Normalize CVEs, package names, severities, fixed versions, and artifact references.</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scan targets, vulnerability database cache, severity thresholds, ignored vulnerabilities, and timeout.</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fail APSO workflows solely because Trivy finds an issue; convert results into findings and release risk evidence based on policy.</w:t>
            </w:r>
          </w:p>
        </w:tc>
      </w:tr>
    </w:tbl>
    <w:p/>
    <w:p>
      <w:pPr>
        <w:pStyle w:val="Heading2"/>
      </w:pPr>
      <w:r>
        <w:t>5.25 OWASP Dependency-Check</w:t>
      </w:r>
    </w:p>
    <w:p>
      <w:r>
        <w:t>OWASP Dependency-Check is the locked software composition analysis tool.</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provides an additional dependency vulnerability view, especially useful for Java/JVM and common package ecosystems.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Run it where dependency manifests are present and store normalized dependency evidence. Use it together with Trivy rather than replacing one with the other.</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data cache, ecosystem support, suppression files, severity thresholds, and scan locations.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introduce paid SCA tooling in MVP. Do not expose raw dependency reports without tenant controls.</w:t>
            </w:r>
          </w:p>
        </w:tc>
      </w:tr>
    </w:tbl>
    <w:p/>
    <w:p>
      <w:pPr>
        <w:pStyle w:val="Heading2"/>
      </w:pPr>
      <w:r>
        <w:t>5.26 Docker Compose and k3s</w:t>
      </w:r>
    </w:p>
    <w:p>
      <w:r>
        <w:t>Docker Compose is locked for development orchestration and k3s is locked for production self-hosted Kubernetes deployment.</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Compose makes dev setup repeatable for APSO services and dependencies. k3s gives a lightweight production path without managed Kubernetes cost.</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Create service definitions for frontend, backend, AI Gateway, workers, Postgres/Supabase components as applicable, MinIO, Valkey, Temporal, Prometheus, Grafana, Loki, Jaeger, and Ollama integration.</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Configuration must come from dev/prod files and environment variables. Production manifests should reference secret stores rather than plain values.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introduce managed Kubernetes, Docker Swarm, or another deployment platform in MVP unless formally approved.</w:t>
            </w:r>
          </w:p>
        </w:tc>
      </w:tr>
    </w:tbl>
    <w:p/>
    <w:p>
      <w:pPr>
        <w:pStyle w:val="Heading2"/>
      </w:pPr>
      <w:r>
        <w:t>5.27 Jira Connector</w:t>
      </w:r>
    </w:p>
    <w:p>
      <w:r>
        <w:t>The Jira connector is the locked source for work item and requirement evidence.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extracts projects, epics, stories, tasks, bugs, statuses, comments, labels, custom fields, sprint/story-point fields where accessible, and status history for APSO analysis.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Implement scheduled read-only polling first. Normalize external IDs, timestamps, issue hierarchy, comments, status transitions, and field mappings into APSO tables.</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base URL, username, token reference, project keys, issue types, custom field mappings, polling interval, and sync start date.</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request or use Jira write scopes in MVP. Do not create issues, comments, labels, priority changes, or transitions.</w:t>
            </w:r>
          </w:p>
        </w:tc>
      </w:tr>
    </w:tbl>
    <w:p/>
    <w:p>
      <w:pPr>
        <w:pStyle w:val="Heading2"/>
      </w:pPr>
      <w:r>
        <w:t>5.28 Bitbucket Connector</w:t>
      </w:r>
    </w:p>
    <w:p>
      <w:r>
        <w:t>The Bitbucket connector is the locked source for repository, pull request, and pipeline evidence.</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It extracts workspaces, projects, repositories, branches, commits, pull requests, reviewers, pipeline runs, logs, artifacts, tests, and code insight evidence where readable.</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Implement read-only polling for the configured web/API repositories and develop branch first. Normalize commits, PRs, reviews, branch names, build statuses, and test evidence.</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workspace, username, token reference, repositories, branches, include/exclude paths, polling interval, and required read scopes.</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request or use write/admin/delete scopes in MVP. Do not create PR comments, trigger pipelines, manage webhooks, or change repository settings.</w:t>
            </w:r>
          </w:p>
        </w:tc>
      </w:tr>
    </w:tbl>
    <w:p/>
    <w:p>
      <w:pPr>
        <w:pStyle w:val="Heading2"/>
      </w:pPr>
      <w:r>
        <w:t>5.29 AWS Mock and Future AWS Connector</w:t>
      </w:r>
    </w:p>
    <w:p>
      <w:r>
        <w:t>AWS integration is deferred until the AWS user/role is supplied, so development must use a mock connector.</w:t>
      </w:r>
    </w:p>
    <w:tbl>
      <w:tblPr>
        <w:tblStyle w:val="TableGrid"/>
        <w:tblW w:type="auto" w:w="0"/>
        <w:jc w:val="center"/>
        <w:tblLook w:firstColumn="1" w:firstRow="1" w:lastColumn="0" w:lastRow="0" w:noHBand="0" w:noVBand="1" w:val="04A0"/>
      </w:tblPr>
      <w:tblGrid>
        <w:gridCol w:w="5184"/>
        <w:gridCol w:w="5184"/>
      </w:tblGrid>
      <w:tr>
        <w:tc>
          <w:tcPr>
            <w:tcW w:type="dxa" w:w="2232"/>
            <w:shd w:fill="EEF6E8"/>
            <w:vAlign w:val="center"/>
          </w:tcPr>
          <w:p>
            <w:pPr>
              <w:spacing w:after="0"/>
            </w:pPr>
            <w:r/>
            <w:r>
              <w:rPr>
                <w:b/>
                <w:sz w:val="17"/>
              </w:rPr>
              <w:t>Aspect</w:t>
            </w:r>
          </w:p>
        </w:tc>
        <w:tc>
          <w:tcPr>
            <w:tcW w:type="dxa" w:w="9432"/>
            <w:shd w:fill="EEF6E8"/>
            <w:vAlign w:val="center"/>
          </w:tcPr>
          <w:p>
            <w:pPr>
              <w:spacing w:after="0"/>
            </w:pPr>
            <w:r/>
            <w:r>
              <w:rPr>
                <w:b/>
                <w:sz w:val="17"/>
              </w:rPr>
              <w:t>Guidance</w:t>
            </w:r>
          </w:p>
        </w:tc>
      </w:tr>
      <w:tr>
        <w:tc>
          <w:tcPr>
            <w:tcW w:type="dxa" w:w="2232"/>
            <w:vAlign w:val="center"/>
          </w:tcPr>
          <w:p>
            <w:pPr>
              <w:spacing w:after="0"/>
            </w:pPr>
            <w:r/>
            <w:r>
              <w:rPr>
                <w:sz w:val="17"/>
              </w:rPr>
              <w:t>Purpose in APSO</w:t>
            </w:r>
          </w:p>
        </w:tc>
        <w:tc>
          <w:tcPr>
            <w:tcW w:type="dxa" w:w="9432"/>
            <w:vAlign w:val="center"/>
          </w:tcPr>
          <w:p>
            <w:pPr>
              <w:spacing w:after="0"/>
            </w:pPr>
            <w:r/>
            <w:r>
              <w:rPr>
                <w:sz w:val="17"/>
              </w:rPr>
              <w:t>The mock connector allows APSO to build the CodeCommit/CodeBuild/CodePipeline data model, UI, and workflows without paid AWS usage or live AWS credentials.</w:t>
            </w:r>
          </w:p>
        </w:tc>
      </w:tr>
      <w:tr>
        <w:tc>
          <w:tcPr>
            <w:tcW w:type="dxa" w:w="2232"/>
            <w:vAlign w:val="center"/>
          </w:tcPr>
          <w:p>
            <w:pPr>
              <w:spacing w:after="0"/>
            </w:pPr>
            <w:r/>
            <w:r>
              <w:rPr>
                <w:sz w:val="17"/>
              </w:rPr>
              <w:t>Implementation Guidance</w:t>
            </w:r>
          </w:p>
        </w:tc>
        <w:tc>
          <w:tcPr>
            <w:tcW w:type="dxa" w:w="9432"/>
            <w:vAlign w:val="center"/>
          </w:tcPr>
          <w:p>
            <w:pPr>
              <w:spacing w:after="0"/>
            </w:pPr>
            <w:r/>
            <w:r>
              <w:rPr>
                <w:sz w:val="17"/>
              </w:rPr>
              <w:t>Define the same internal normalized contract that the future live AWS connector will use: repositories, branches, commits, build runs, pipeline executions, artifacts, statuses, and timestamps.</w:t>
            </w:r>
          </w:p>
        </w:tc>
      </w:tr>
      <w:tr>
        <w:tc>
          <w:tcPr>
            <w:tcW w:type="dxa" w:w="2232"/>
            <w:vAlign w:val="center"/>
          </w:tcPr>
          <w:p>
            <w:pPr>
              <w:spacing w:after="0"/>
            </w:pPr>
            <w:r/>
            <w:r>
              <w:rPr>
                <w:sz w:val="17"/>
              </w:rPr>
              <w:t>Configuration</w:t>
            </w:r>
          </w:p>
        </w:tc>
        <w:tc>
          <w:tcPr>
            <w:tcW w:type="dxa" w:w="9432"/>
            <w:vAlign w:val="center"/>
          </w:tcPr>
          <w:p>
            <w:pPr>
              <w:spacing w:after="0"/>
            </w:pPr>
            <w:r/>
            <w:r>
              <w:rPr>
                <w:sz w:val="17"/>
              </w:rPr>
              <w:t>Configure AWS mode as mock in dev and mock_until_credentials_supplied in prod until approved credentials exist.</w:t>
            </w:r>
          </w:p>
        </w:tc>
      </w:tr>
      <w:tr>
        <w:tc>
          <w:tcPr>
            <w:tcW w:type="dxa" w:w="2232"/>
            <w:vAlign w:val="center"/>
          </w:tcPr>
          <w:p>
            <w:pPr>
              <w:spacing w:after="0"/>
            </w:pPr>
            <w:r/>
            <w:r>
              <w:rPr>
                <w:sz w:val="17"/>
              </w:rPr>
              <w:t>Non-Deviation Rules</w:t>
            </w:r>
          </w:p>
        </w:tc>
        <w:tc>
          <w:tcPr>
            <w:tcW w:type="dxa" w:w="9432"/>
            <w:vAlign w:val="center"/>
          </w:tcPr>
          <w:p>
            <w:pPr>
              <w:spacing w:after="0"/>
            </w:pPr>
            <w:r/>
            <w:r>
              <w:rPr>
                <w:sz w:val="17"/>
              </w:rPr>
              <w:t>Do not create AWS resources, IAM users, deployments, or write operations from APSO during MVP.</w:t>
            </w:r>
          </w:p>
        </w:tc>
      </w:tr>
    </w:tbl>
    <w:p/>
    <w:p>
      <w:r>
        <w:br w:type="page"/>
      </w:r>
    </w:p>
    <w:p>
      <w:pPr>
        <w:pStyle w:val="Heading1"/>
      </w:pPr>
      <w:r>
        <w:t>6. AI Gateway Architecture</w:t>
      </w:r>
    </w:p>
    <w:p>
      <w:r>
        <w:t>The AI Gateway is mandatory. It is the only component allowed to communicate with Ollama or any future model provider.</w:t>
      </w:r>
    </w:p>
    <w:tbl>
      <w:tblPr>
        <w:tblStyle w:val="TableGrid"/>
        <w:tblW w:type="auto" w:w="0"/>
        <w:jc w:val="center"/>
        <w:tblLook w:firstColumn="1" w:firstRow="1" w:lastColumn="0" w:lastRow="0" w:noHBand="0" w:noVBand="1" w:val="04A0"/>
      </w:tblPr>
      <w:tblGrid>
        <w:gridCol w:w="5184"/>
        <w:gridCol w:w="5184"/>
      </w:tblGrid>
      <w:tr>
        <w:tc>
          <w:tcPr>
            <w:tcW w:type="dxa" w:w="2448"/>
            <w:shd w:fill="D9EAF7"/>
            <w:vAlign w:val="center"/>
          </w:tcPr>
          <w:p>
            <w:pPr>
              <w:spacing w:after="0"/>
            </w:pPr>
            <w:r/>
            <w:r>
              <w:rPr>
                <w:b/>
                <w:sz w:val="17"/>
              </w:rPr>
              <w:t>Contract</w:t>
            </w:r>
          </w:p>
        </w:tc>
        <w:tc>
          <w:tcPr>
            <w:tcW w:type="dxa" w:w="9216"/>
            <w:shd w:fill="D9EAF7"/>
            <w:vAlign w:val="center"/>
          </w:tcPr>
          <w:p>
            <w:pPr>
              <w:spacing w:after="0"/>
            </w:pPr>
            <w:r/>
            <w:r>
              <w:rPr>
                <w:b/>
                <w:sz w:val="17"/>
              </w:rPr>
              <w:t>Description</w:t>
            </w:r>
          </w:p>
        </w:tc>
      </w:tr>
      <w:tr>
        <w:tc>
          <w:tcPr>
            <w:tcW w:type="dxa" w:w="2448"/>
            <w:vAlign w:val="center"/>
          </w:tcPr>
          <w:p>
            <w:pPr>
              <w:spacing w:after="0"/>
            </w:pPr>
            <w:r/>
            <w:r>
              <w:rPr>
                <w:sz w:val="17"/>
              </w:rPr>
              <w:t>Input schema</w:t>
            </w:r>
          </w:p>
        </w:tc>
        <w:tc>
          <w:tcPr>
            <w:tcW w:type="dxa" w:w="9216"/>
            <w:vAlign w:val="center"/>
          </w:tcPr>
          <w:p>
            <w:pPr>
              <w:spacing w:after="0"/>
            </w:pPr>
            <w:r/>
            <w:r>
              <w:rPr>
                <w:sz w:val="17"/>
              </w:rPr>
              <w:t>Defines exactly what data a task accepts, including tenant, project, artifact references, and evidence.</w:t>
            </w:r>
          </w:p>
        </w:tc>
      </w:tr>
      <w:tr>
        <w:tc>
          <w:tcPr>
            <w:tcW w:type="dxa" w:w="2448"/>
            <w:vAlign w:val="center"/>
          </w:tcPr>
          <w:p>
            <w:pPr>
              <w:spacing w:after="0"/>
            </w:pPr>
            <w:r/>
            <w:r>
              <w:rPr>
                <w:sz w:val="17"/>
              </w:rPr>
              <w:t>Output schema</w:t>
            </w:r>
          </w:p>
        </w:tc>
        <w:tc>
          <w:tcPr>
            <w:tcW w:type="dxa" w:w="9216"/>
            <w:vAlign w:val="center"/>
          </w:tcPr>
          <w:p>
            <w:pPr>
              <w:spacing w:after="0"/>
            </w:pPr>
            <w:r/>
            <w:r>
              <w:rPr>
                <w:sz w:val="17"/>
              </w:rPr>
              <w:t>Defines JSON result structure for findings, scores, summaries, confidence, evidence, and next actions.</w:t>
            </w:r>
          </w:p>
        </w:tc>
      </w:tr>
      <w:tr>
        <w:tc>
          <w:tcPr>
            <w:tcW w:type="dxa" w:w="2448"/>
            <w:vAlign w:val="center"/>
          </w:tcPr>
          <w:p>
            <w:pPr>
              <w:spacing w:after="0"/>
            </w:pPr>
            <w:r/>
            <w:r>
              <w:rPr>
                <w:sz w:val="17"/>
              </w:rPr>
              <w:t>Provider adapter</w:t>
            </w:r>
          </w:p>
        </w:tc>
        <w:tc>
          <w:tcPr>
            <w:tcW w:type="dxa" w:w="9216"/>
            <w:vAlign w:val="center"/>
          </w:tcPr>
          <w:p>
            <w:pPr>
              <w:spacing w:after="0"/>
            </w:pPr>
            <w:r/>
            <w:r>
              <w:rPr>
                <w:sz w:val="17"/>
              </w:rPr>
              <w:t>Contains provider-specific implementation for Ollama now and optional paid providers later.</w:t>
            </w:r>
          </w:p>
        </w:tc>
      </w:tr>
      <w:tr>
        <w:tc>
          <w:tcPr>
            <w:tcW w:type="dxa" w:w="2448"/>
            <w:vAlign w:val="center"/>
          </w:tcPr>
          <w:p>
            <w:pPr>
              <w:spacing w:after="0"/>
            </w:pPr>
            <w:r/>
            <w:r>
              <w:rPr>
                <w:sz w:val="17"/>
              </w:rPr>
              <w:t>Prompt registry</w:t>
            </w:r>
          </w:p>
        </w:tc>
        <w:tc>
          <w:tcPr>
            <w:tcW w:type="dxa" w:w="9216"/>
            <w:vAlign w:val="center"/>
          </w:tcPr>
          <w:p>
            <w:pPr>
              <w:spacing w:after="0"/>
            </w:pPr>
            <w:r/>
            <w:r>
              <w:rPr>
                <w:sz w:val="17"/>
              </w:rPr>
              <w:t>Stores prompt versions outside business code.</w:t>
            </w:r>
          </w:p>
        </w:tc>
      </w:tr>
      <w:tr>
        <w:tc>
          <w:tcPr>
            <w:tcW w:type="dxa" w:w="2448"/>
            <w:vAlign w:val="center"/>
          </w:tcPr>
          <w:p>
            <w:pPr>
              <w:spacing w:after="0"/>
            </w:pPr>
            <w:r/>
            <w:r>
              <w:rPr>
                <w:sz w:val="17"/>
              </w:rPr>
              <w:t>Validation</w:t>
            </w:r>
          </w:p>
        </w:tc>
        <w:tc>
          <w:tcPr>
            <w:tcW w:type="dxa" w:w="9216"/>
            <w:vAlign w:val="center"/>
          </w:tcPr>
          <w:p>
            <w:pPr>
              <w:spacing w:after="0"/>
            </w:pPr>
            <w:r/>
            <w:r>
              <w:rPr>
                <w:sz w:val="17"/>
              </w:rPr>
              <w:t>Pydantic validation runs before any model output is stored.</w:t>
            </w:r>
          </w:p>
        </w:tc>
      </w:tr>
      <w:tr>
        <w:tc>
          <w:tcPr>
            <w:tcW w:type="dxa" w:w="2448"/>
            <w:vAlign w:val="center"/>
          </w:tcPr>
          <w:p>
            <w:pPr>
              <w:spacing w:after="0"/>
            </w:pPr>
            <w:r/>
            <w:r>
              <w:rPr>
                <w:sz w:val="17"/>
              </w:rPr>
              <w:t>Audit</w:t>
            </w:r>
          </w:p>
        </w:tc>
        <w:tc>
          <w:tcPr>
            <w:tcW w:type="dxa" w:w="9216"/>
            <w:vAlign w:val="center"/>
          </w:tcPr>
          <w:p>
            <w:pPr>
              <w:spacing w:after="0"/>
            </w:pPr>
            <w:r/>
            <w:r>
              <w:rPr>
                <w:sz w:val="17"/>
              </w:rPr>
              <w:t>Every run records task, model, prompt version, latency, status, evidence references, and validation result.</w:t>
            </w:r>
          </w:p>
        </w:tc>
      </w:tr>
      <w:tr>
        <w:tc>
          <w:tcPr>
            <w:tcW w:type="dxa" w:w="2448"/>
            <w:vAlign w:val="center"/>
          </w:tcPr>
          <w:p>
            <w:pPr>
              <w:spacing w:after="0"/>
            </w:pPr>
            <w:r/>
            <w:r>
              <w:rPr>
                <w:sz w:val="17"/>
              </w:rPr>
              <w:t>Privacy</w:t>
            </w:r>
          </w:p>
        </w:tc>
        <w:tc>
          <w:tcPr>
            <w:tcW w:type="dxa" w:w="9216"/>
            <w:vAlign w:val="center"/>
          </w:tcPr>
          <w:p>
            <w:pPr>
              <w:spacing w:after="0"/>
            </w:pPr>
            <w:r/>
            <w:r>
              <w:rPr>
                <w:sz w:val="17"/>
              </w:rPr>
              <w:t>External providers are disabled in MVP; future external calls require tenant approval and redaction.</w:t>
            </w:r>
          </w:p>
        </w:tc>
      </w:tr>
    </w:tbl>
    <w:p/>
    <w:p>
      <w:pPr>
        <w:pStyle w:val="ListBullet"/>
      </w:pPr>
      <w:r>
        <w:t>Business modules call task contracts such as requirement_gap_analysis or release_risk_summary.</w:t>
      </w:r>
    </w:p>
    <w:p>
      <w:pPr>
        <w:pStyle w:val="ListBullet"/>
      </w:pPr>
      <w:r>
        <w:t>Business modules never call provider SDKs directly.</w:t>
      </w:r>
    </w:p>
    <w:p>
      <w:pPr>
        <w:pStyle w:val="ListBullet"/>
      </w:pPr>
      <w:r>
        <w:t>Model names live in configuration, not code.</w:t>
      </w:r>
    </w:p>
    <w:p>
      <w:pPr>
        <w:pStyle w:val="ListBullet"/>
      </w:pPr>
      <w:r>
        <w:t>Provider switching is done inside the gateway only.</w:t>
      </w:r>
    </w:p>
    <w:p>
      <w:r>
        <w:br w:type="page"/>
      </w:r>
    </w:p>
    <w:p>
      <w:pPr>
        <w:pStyle w:val="Heading1"/>
      </w:pPr>
      <w:r>
        <w:t>7. Data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D9EAF7"/>
            <w:vAlign w:val="center"/>
          </w:tcPr>
          <w:p>
            <w:pPr>
              <w:spacing w:after="0"/>
            </w:pPr>
            <w:r/>
            <w:r>
              <w:rPr>
                <w:b/>
                <w:sz w:val="17"/>
              </w:rPr>
              <w:t>Schema</w:t>
            </w:r>
          </w:p>
        </w:tc>
        <w:tc>
          <w:tcPr>
            <w:tcW w:type="dxa" w:w="4752"/>
            <w:shd w:fill="D9EAF7"/>
            <w:vAlign w:val="center"/>
          </w:tcPr>
          <w:p>
            <w:pPr>
              <w:spacing w:after="0"/>
            </w:pPr>
            <w:r/>
            <w:r>
              <w:rPr>
                <w:b/>
                <w:sz w:val="17"/>
              </w:rPr>
              <w:t>Primary Data</w:t>
            </w:r>
          </w:p>
        </w:tc>
        <w:tc>
          <w:tcPr>
            <w:tcW w:type="dxa" w:w="5184"/>
            <w:shd w:fill="D9EAF7"/>
            <w:vAlign w:val="center"/>
          </w:tcPr>
          <w:p>
            <w:pPr>
              <w:spacing w:after="0"/>
            </w:pPr>
            <w:r/>
            <w:r>
              <w:rPr>
                <w:b/>
                <w:sz w:val="17"/>
              </w:rPr>
              <w:t>Notes</w:t>
            </w:r>
          </w:p>
        </w:tc>
      </w:tr>
      <w:tr>
        <w:tc>
          <w:tcPr>
            <w:tcW w:type="dxa" w:w="1728"/>
            <w:vAlign w:val="center"/>
          </w:tcPr>
          <w:p>
            <w:pPr>
              <w:spacing w:after="0"/>
            </w:pPr>
            <w:r/>
            <w:r>
              <w:rPr>
                <w:sz w:val="17"/>
              </w:rPr>
              <w:t>core</w:t>
            </w:r>
          </w:p>
        </w:tc>
        <w:tc>
          <w:tcPr>
            <w:tcW w:type="dxa" w:w="4752"/>
            <w:vAlign w:val="center"/>
          </w:tcPr>
          <w:p>
            <w:pPr>
              <w:spacing w:after="0"/>
            </w:pPr>
            <w:r/>
            <w:r>
              <w:rPr>
                <w:sz w:val="17"/>
              </w:rPr>
              <w:t>tenants, users, roles, projects, feature flags</w:t>
            </w:r>
          </w:p>
        </w:tc>
        <w:tc>
          <w:tcPr>
            <w:tcW w:type="dxa" w:w="5184"/>
            <w:vAlign w:val="center"/>
          </w:tcPr>
          <w:p>
            <w:pPr>
              <w:spacing w:after="0"/>
            </w:pPr>
            <w:r/>
            <w:r>
              <w:rPr>
                <w:sz w:val="17"/>
              </w:rPr>
              <w:t>Tenant identity and product configuration.</w:t>
            </w:r>
          </w:p>
        </w:tc>
      </w:tr>
      <w:tr>
        <w:tc>
          <w:tcPr>
            <w:tcW w:type="dxa" w:w="1728"/>
            <w:vAlign w:val="center"/>
          </w:tcPr>
          <w:p>
            <w:pPr>
              <w:spacing w:after="0"/>
            </w:pPr>
            <w:r/>
            <w:r>
              <w:rPr>
                <w:sz w:val="17"/>
              </w:rPr>
              <w:t>integrations</w:t>
            </w:r>
          </w:p>
        </w:tc>
        <w:tc>
          <w:tcPr>
            <w:tcW w:type="dxa" w:w="4752"/>
            <w:vAlign w:val="center"/>
          </w:tcPr>
          <w:p>
            <w:pPr>
              <w:spacing w:after="0"/>
            </w:pPr>
            <w:r/>
            <w:r>
              <w:rPr>
                <w:sz w:val="17"/>
              </w:rPr>
              <w:t>connectors, credentials references, sync jobs, checkpoints</w:t>
            </w:r>
          </w:p>
        </w:tc>
        <w:tc>
          <w:tcPr>
            <w:tcW w:type="dxa" w:w="5184"/>
            <w:vAlign w:val="center"/>
          </w:tcPr>
          <w:p>
            <w:pPr>
              <w:spacing w:after="0"/>
            </w:pPr>
            <w:r/>
            <w:r>
              <w:rPr>
                <w:sz w:val="17"/>
              </w:rPr>
              <w:t>Never store plain-text secrets.</w:t>
            </w:r>
          </w:p>
        </w:tc>
      </w:tr>
      <w:tr>
        <w:tc>
          <w:tcPr>
            <w:tcW w:type="dxa" w:w="1728"/>
            <w:vAlign w:val="center"/>
          </w:tcPr>
          <w:p>
            <w:pPr>
              <w:spacing w:after="0"/>
            </w:pPr>
            <w:r/>
            <w:r>
              <w:rPr>
                <w:sz w:val="17"/>
              </w:rPr>
              <w:t>sdlc</w:t>
            </w:r>
          </w:p>
        </w:tc>
        <w:tc>
          <w:tcPr>
            <w:tcW w:type="dxa" w:w="4752"/>
            <w:vAlign w:val="center"/>
          </w:tcPr>
          <w:p>
            <w:pPr>
              <w:spacing w:after="0"/>
            </w:pPr>
            <w:r/>
            <w:r>
              <w:rPr>
                <w:sz w:val="17"/>
              </w:rPr>
              <w:t>work items, repositories, commits, PRs, builds, deployments, tests, coverage</w:t>
            </w:r>
          </w:p>
        </w:tc>
        <w:tc>
          <w:tcPr>
            <w:tcW w:type="dxa" w:w="5184"/>
            <w:vAlign w:val="center"/>
          </w:tcPr>
          <w:p>
            <w:pPr>
              <w:spacing w:after="0"/>
            </w:pPr>
            <w:r/>
            <w:r>
              <w:rPr>
                <w:sz w:val="17"/>
              </w:rPr>
              <w:t>Normalized Jira/Bitbucket/AWS data.</w:t>
            </w:r>
          </w:p>
        </w:tc>
      </w:tr>
      <w:tr>
        <w:tc>
          <w:tcPr>
            <w:tcW w:type="dxa" w:w="1728"/>
            <w:vAlign w:val="center"/>
          </w:tcPr>
          <w:p>
            <w:pPr>
              <w:spacing w:after="0"/>
            </w:pPr>
            <w:r/>
            <w:r>
              <w:rPr>
                <w:sz w:val="17"/>
              </w:rPr>
              <w:t>ai</w:t>
            </w:r>
          </w:p>
        </w:tc>
        <w:tc>
          <w:tcPr>
            <w:tcW w:type="dxa" w:w="4752"/>
            <w:vAlign w:val="center"/>
          </w:tcPr>
          <w:p>
            <w:pPr>
              <w:spacing w:after="0"/>
            </w:pPr>
            <w:r/>
            <w:r>
              <w:rPr>
                <w:sz w:val="17"/>
              </w:rPr>
              <w:t>ai runs, findings, evidence, scores, prompt versions, feedback</w:t>
            </w:r>
          </w:p>
        </w:tc>
        <w:tc>
          <w:tcPr>
            <w:tcW w:type="dxa" w:w="5184"/>
            <w:vAlign w:val="center"/>
          </w:tcPr>
          <w:p>
            <w:pPr>
              <w:spacing w:after="0"/>
            </w:pPr>
            <w:r/>
            <w:r>
              <w:rPr>
                <w:sz w:val="17"/>
              </w:rPr>
              <w:t>Every finding must be explainable.</w:t>
            </w:r>
          </w:p>
        </w:tc>
      </w:tr>
      <w:tr>
        <w:tc>
          <w:tcPr>
            <w:tcW w:type="dxa" w:w="1728"/>
            <w:vAlign w:val="center"/>
          </w:tcPr>
          <w:p>
            <w:pPr>
              <w:spacing w:after="0"/>
            </w:pPr>
            <w:r/>
            <w:r>
              <w:rPr>
                <w:sz w:val="17"/>
              </w:rPr>
              <w:t>reports</w:t>
            </w:r>
          </w:p>
        </w:tc>
        <w:tc>
          <w:tcPr>
            <w:tcW w:type="dxa" w:w="4752"/>
            <w:vAlign w:val="center"/>
          </w:tcPr>
          <w:p>
            <w:pPr>
              <w:spacing w:after="0"/>
            </w:pPr>
            <w:r/>
            <w:r>
              <w:rPr>
                <w:sz w:val="17"/>
              </w:rPr>
              <w:t>proof packs, exports, report snapshots</w:t>
            </w:r>
          </w:p>
        </w:tc>
        <w:tc>
          <w:tcPr>
            <w:tcW w:type="dxa" w:w="5184"/>
            <w:vAlign w:val="center"/>
          </w:tcPr>
          <w:p>
            <w:pPr>
              <w:spacing w:after="0"/>
            </w:pPr>
            <w:r/>
            <w:r>
              <w:rPr>
                <w:sz w:val="17"/>
              </w:rPr>
              <w:t>Large files stored in MinIO.</w:t>
            </w:r>
          </w:p>
        </w:tc>
      </w:tr>
      <w:tr>
        <w:tc>
          <w:tcPr>
            <w:tcW w:type="dxa" w:w="1728"/>
            <w:vAlign w:val="center"/>
          </w:tcPr>
          <w:p>
            <w:pPr>
              <w:spacing w:after="0"/>
            </w:pPr>
            <w:r/>
            <w:r>
              <w:rPr>
                <w:sz w:val="17"/>
              </w:rPr>
              <w:t>audit</w:t>
            </w:r>
          </w:p>
        </w:tc>
        <w:tc>
          <w:tcPr>
            <w:tcW w:type="dxa" w:w="4752"/>
            <w:vAlign w:val="center"/>
          </w:tcPr>
          <w:p>
            <w:pPr>
              <w:spacing w:after="0"/>
            </w:pPr>
            <w:r/>
            <w:r>
              <w:rPr>
                <w:sz w:val="17"/>
              </w:rPr>
              <w:t>audit events, access events, config changes</w:t>
            </w:r>
          </w:p>
        </w:tc>
        <w:tc>
          <w:tcPr>
            <w:tcW w:type="dxa" w:w="5184"/>
            <w:vAlign w:val="center"/>
          </w:tcPr>
          <w:p>
            <w:pPr>
              <w:spacing w:after="0"/>
            </w:pPr>
            <w:r/>
            <w:r>
              <w:rPr>
                <w:sz w:val="17"/>
              </w:rPr>
              <w:t>Used for governance and support.</w:t>
            </w:r>
          </w:p>
        </w:tc>
      </w:tr>
    </w:tbl>
    <w:p/>
    <w:tbl>
      <w:tblPr>
        <w:tblW w:type="auto" w:w="0"/>
        <w:jc w:val="center"/>
        <w:tblLook w:firstColumn="1" w:firstRow="1" w:lastColumn="0" w:lastRow="0" w:noHBand="0" w:noVBand="1" w:val="04A0"/>
      </w:tblPr>
      <w:tblGrid>
        <w:gridCol w:w="10368"/>
      </w:tblGrid>
      <w:tr>
        <w:tc>
          <w:tcPr>
            <w:tcW w:type="dxa" w:w="10368"/>
            <w:shd w:fill="FFF2CC"/>
          </w:tcPr>
          <w:p>
            <w:pPr>
              <w:spacing w:after="60"/>
            </w:pPr>
            <w:r>
              <w:rPr>
                <w:b/>
                <w:color w:val="255B2F"/>
                <w:sz w:val="20"/>
              </w:rPr>
              <w:t>Tenant Isolation Rule</w:t>
            </w:r>
          </w:p>
          <w:p>
            <w:pPr>
              <w:spacing w:after="0"/>
            </w:pPr>
            <w:r>
              <w:rPr>
                <w:sz w:val="18"/>
              </w:rPr>
              <w:t>Every business table must include tenant_id. API access, workers, exports, AI runs, and object storage references must enforce tenant isolation.</w:t>
            </w:r>
          </w:p>
        </w:tc>
      </w:tr>
    </w:tbl>
    <w:p/>
    <w:p>
      <w:r>
        <w:br w:type="page"/>
      </w:r>
    </w:p>
    <w:p>
      <w:pPr>
        <w:pStyle w:val="Heading1"/>
      </w:pPr>
      <w:r>
        <w:t>8. Integration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D9EAF7"/>
            <w:vAlign w:val="center"/>
          </w:tcPr>
          <w:p>
            <w:pPr>
              <w:spacing w:after="0"/>
            </w:pPr>
            <w:r/>
            <w:r>
              <w:rPr>
                <w:b/>
                <w:sz w:val="17"/>
              </w:rPr>
              <w:t>System</w:t>
            </w:r>
          </w:p>
        </w:tc>
        <w:tc>
          <w:tcPr>
            <w:tcW w:type="dxa" w:w="2160"/>
            <w:shd w:fill="D9EAF7"/>
            <w:vAlign w:val="center"/>
          </w:tcPr>
          <w:p>
            <w:pPr>
              <w:spacing w:after="0"/>
            </w:pPr>
            <w:r/>
            <w:r>
              <w:rPr>
                <w:b/>
                <w:sz w:val="17"/>
              </w:rPr>
              <w:t>MVP Mode</w:t>
            </w:r>
          </w:p>
        </w:tc>
        <w:tc>
          <w:tcPr>
            <w:tcW w:type="dxa" w:w="5184"/>
            <w:shd w:fill="D9EAF7"/>
            <w:vAlign w:val="center"/>
          </w:tcPr>
          <w:p>
            <w:pPr>
              <w:spacing w:after="0"/>
            </w:pPr>
            <w:r/>
            <w:r>
              <w:rPr>
                <w:b/>
                <w:sz w:val="17"/>
              </w:rPr>
              <w:t>Extracted Data</w:t>
            </w:r>
          </w:p>
        </w:tc>
        <w:tc>
          <w:tcPr>
            <w:tcW w:type="dxa" w:w="2880"/>
            <w:shd w:fill="D9EAF7"/>
            <w:vAlign w:val="center"/>
          </w:tcPr>
          <w:p>
            <w:pPr>
              <w:spacing w:after="0"/>
            </w:pPr>
            <w:r/>
            <w:r>
              <w:rPr>
                <w:b/>
                <w:sz w:val="17"/>
              </w:rPr>
              <w:t>Not Allowed in MVP</w:t>
            </w:r>
          </w:p>
        </w:tc>
      </w:tr>
      <w:tr>
        <w:tc>
          <w:tcPr>
            <w:tcW w:type="dxa" w:w="1440"/>
            <w:vAlign w:val="center"/>
          </w:tcPr>
          <w:p>
            <w:pPr>
              <w:spacing w:after="0"/>
            </w:pPr>
            <w:r/>
            <w:r>
              <w:rPr>
                <w:sz w:val="17"/>
              </w:rPr>
              <w:t>Jira</w:t>
            </w:r>
          </w:p>
        </w:tc>
        <w:tc>
          <w:tcPr>
            <w:tcW w:type="dxa" w:w="2160"/>
            <w:vAlign w:val="center"/>
          </w:tcPr>
          <w:p>
            <w:pPr>
              <w:spacing w:after="0"/>
            </w:pPr>
            <w:r/>
            <w:r>
              <w:rPr>
                <w:sz w:val="17"/>
              </w:rPr>
              <w:t>Live read-only polling</w:t>
            </w:r>
          </w:p>
        </w:tc>
        <w:tc>
          <w:tcPr>
            <w:tcW w:type="dxa" w:w="5184"/>
            <w:vAlign w:val="center"/>
          </w:tcPr>
          <w:p>
            <w:pPr>
              <w:spacing w:after="0"/>
            </w:pPr>
            <w:r/>
            <w:r>
              <w:rPr>
                <w:sz w:val="17"/>
              </w:rPr>
              <w:t>Projects, issues, issue types, comments, statuses, custom fields, sprints where accessible.</w:t>
            </w:r>
          </w:p>
        </w:tc>
        <w:tc>
          <w:tcPr>
            <w:tcW w:type="dxa" w:w="2880"/>
            <w:vAlign w:val="center"/>
          </w:tcPr>
          <w:p>
            <w:pPr>
              <w:spacing w:after="0"/>
            </w:pPr>
            <w:r/>
            <w:r>
              <w:rPr>
                <w:sz w:val="17"/>
              </w:rPr>
              <w:t>Creating issues, comments, labels, priority changes, status transitions.</w:t>
            </w:r>
          </w:p>
        </w:tc>
      </w:tr>
      <w:tr>
        <w:tc>
          <w:tcPr>
            <w:tcW w:type="dxa" w:w="1440"/>
            <w:vAlign w:val="center"/>
          </w:tcPr>
          <w:p>
            <w:pPr>
              <w:spacing w:after="0"/>
            </w:pPr>
            <w:r/>
            <w:r>
              <w:rPr>
                <w:sz w:val="17"/>
              </w:rPr>
              <w:t>Bitbucket</w:t>
            </w:r>
          </w:p>
        </w:tc>
        <w:tc>
          <w:tcPr>
            <w:tcW w:type="dxa" w:w="2160"/>
            <w:vAlign w:val="center"/>
          </w:tcPr>
          <w:p>
            <w:pPr>
              <w:spacing w:after="0"/>
            </w:pPr>
            <w:r/>
            <w:r>
              <w:rPr>
                <w:sz w:val="17"/>
              </w:rPr>
              <w:t>Live read-only polling</w:t>
            </w:r>
          </w:p>
        </w:tc>
        <w:tc>
          <w:tcPr>
            <w:tcW w:type="dxa" w:w="5184"/>
            <w:vAlign w:val="center"/>
          </w:tcPr>
          <w:p>
            <w:pPr>
              <w:spacing w:after="0"/>
            </w:pPr>
            <w:r/>
            <w:r>
              <w:rPr>
                <w:sz w:val="17"/>
              </w:rPr>
              <w:t>Workspaces, projects, repos, branches, commits, PRs, reviewers, pipelines, logs, tests, artifacts where accessible.</w:t>
            </w:r>
          </w:p>
        </w:tc>
        <w:tc>
          <w:tcPr>
            <w:tcW w:type="dxa" w:w="2880"/>
            <w:vAlign w:val="center"/>
          </w:tcPr>
          <w:p>
            <w:pPr>
              <w:spacing w:after="0"/>
            </w:pPr>
            <w:r/>
            <w:r>
              <w:rPr>
                <w:sz w:val="17"/>
              </w:rPr>
              <w:t>Creating PR comments, triggering pipelines, modifying repository settings.</w:t>
            </w:r>
          </w:p>
        </w:tc>
      </w:tr>
      <w:tr>
        <w:tc>
          <w:tcPr>
            <w:tcW w:type="dxa" w:w="1440"/>
            <w:vAlign w:val="center"/>
          </w:tcPr>
          <w:p>
            <w:pPr>
              <w:spacing w:after="0"/>
            </w:pPr>
            <w:r/>
            <w:r>
              <w:rPr>
                <w:sz w:val="17"/>
              </w:rPr>
              <w:t>AWS</w:t>
            </w:r>
          </w:p>
        </w:tc>
        <w:tc>
          <w:tcPr>
            <w:tcW w:type="dxa" w:w="2160"/>
            <w:vAlign w:val="center"/>
          </w:tcPr>
          <w:p>
            <w:pPr>
              <w:spacing w:after="0"/>
            </w:pPr>
            <w:r/>
            <w:r>
              <w:rPr>
                <w:sz w:val="17"/>
              </w:rPr>
              <w:t>Mock until user supplied</w:t>
            </w:r>
          </w:p>
        </w:tc>
        <w:tc>
          <w:tcPr>
            <w:tcW w:type="dxa" w:w="5184"/>
            <w:vAlign w:val="center"/>
          </w:tcPr>
          <w:p>
            <w:pPr>
              <w:spacing w:after="0"/>
            </w:pPr>
            <w:r/>
            <w:r>
              <w:rPr>
                <w:sz w:val="17"/>
              </w:rPr>
              <w:t>CodeCommit, CodeBuild, CodePipeline evidence once credentials exist.</w:t>
            </w:r>
          </w:p>
        </w:tc>
        <w:tc>
          <w:tcPr>
            <w:tcW w:type="dxa" w:w="2880"/>
            <w:vAlign w:val="center"/>
          </w:tcPr>
          <w:p>
            <w:pPr>
              <w:spacing w:after="0"/>
            </w:pPr>
            <w:r/>
            <w:r>
              <w:rPr>
                <w:sz w:val="17"/>
              </w:rPr>
              <w:t>AWS write operations, deployments, IAM changes.</w:t>
            </w:r>
          </w:p>
        </w:tc>
      </w:tr>
      <w:tr>
        <w:tc>
          <w:tcPr>
            <w:tcW w:type="dxa" w:w="1440"/>
            <w:vAlign w:val="center"/>
          </w:tcPr>
          <w:p>
            <w:pPr>
              <w:spacing w:after="0"/>
            </w:pPr>
            <w:r/>
            <w:r>
              <w:rPr>
                <w:sz w:val="17"/>
              </w:rPr>
              <w:t>GitHub</w:t>
            </w:r>
          </w:p>
        </w:tc>
        <w:tc>
          <w:tcPr>
            <w:tcW w:type="dxa" w:w="2160"/>
            <w:vAlign w:val="center"/>
          </w:tcPr>
          <w:p>
            <w:pPr>
              <w:spacing w:after="0"/>
            </w:pPr>
            <w:r/>
            <w:r>
              <w:rPr>
                <w:sz w:val="17"/>
              </w:rPr>
              <w:t>Code repository only</w:t>
            </w:r>
          </w:p>
        </w:tc>
        <w:tc>
          <w:tcPr>
            <w:tcW w:type="dxa" w:w="5184"/>
            <w:vAlign w:val="center"/>
          </w:tcPr>
          <w:p>
            <w:pPr>
              <w:spacing w:after="0"/>
            </w:pPr>
            <w:r/>
            <w:r>
              <w:rPr>
                <w:sz w:val="17"/>
              </w:rPr>
              <w:t>APSO source control and CI if configured.</w:t>
            </w:r>
          </w:p>
        </w:tc>
        <w:tc>
          <w:tcPr>
            <w:tcW w:type="dxa" w:w="2880"/>
            <w:vAlign w:val="center"/>
          </w:tcPr>
          <w:p>
            <w:pPr>
              <w:spacing w:after="0"/>
            </w:pPr>
            <w:r/>
            <w:r>
              <w:rPr>
                <w:sz w:val="17"/>
              </w:rPr>
              <w:t>Not a product data source unless later approved.</w:t>
            </w:r>
          </w:p>
        </w:tc>
      </w:tr>
    </w:tbl>
    <w:p/>
    <w:p>
      <w:r>
        <w:br w:type="page"/>
      </w:r>
    </w:p>
    <w:p>
      <w:pPr>
        <w:pStyle w:val="Heading1"/>
      </w:pPr>
      <w:r>
        <w:t>9. Core AI Engines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shd w:fill="D9EAF7"/>
            <w:vAlign w:val="center"/>
          </w:tcPr>
          <w:p>
            <w:pPr>
              <w:spacing w:after="0"/>
            </w:pPr>
            <w:r/>
            <w:r>
              <w:rPr>
                <w:b/>
                <w:sz w:val="17"/>
              </w:rPr>
              <w:t>Engine</w:t>
            </w:r>
          </w:p>
        </w:tc>
        <w:tc>
          <w:tcPr>
            <w:tcW w:type="dxa" w:w="3168"/>
            <w:shd w:fill="D9EAF7"/>
            <w:vAlign w:val="center"/>
          </w:tcPr>
          <w:p>
            <w:pPr>
              <w:spacing w:after="0"/>
            </w:pPr>
            <w:r/>
            <w:r>
              <w:rPr>
                <w:b/>
                <w:sz w:val="17"/>
              </w:rPr>
              <w:t>Inputs</w:t>
            </w:r>
          </w:p>
        </w:tc>
        <w:tc>
          <w:tcPr>
            <w:tcW w:type="dxa" w:w="4032"/>
            <w:shd w:fill="D9EAF7"/>
            <w:vAlign w:val="center"/>
          </w:tcPr>
          <w:p>
            <w:pPr>
              <w:spacing w:after="0"/>
            </w:pPr>
            <w:r/>
            <w:r>
              <w:rPr>
                <w:b/>
                <w:sz w:val="17"/>
              </w:rPr>
              <w:t>Processing</w:t>
            </w:r>
          </w:p>
        </w:tc>
        <w:tc>
          <w:tcPr>
            <w:tcW w:type="dxa" w:w="2232"/>
            <w:shd w:fill="D9EAF7"/>
            <w:vAlign w:val="center"/>
          </w:tcPr>
          <w:p>
            <w:pPr>
              <w:spacing w:after="0"/>
            </w:pPr>
            <w:r/>
            <w:r>
              <w:rPr>
                <w:b/>
                <w:sz w:val="17"/>
              </w:rPr>
              <w:t>Outputs</w:t>
            </w:r>
          </w:p>
        </w:tc>
      </w:tr>
      <w:tr>
        <w:tc>
          <w:tcPr>
            <w:tcW w:type="dxa" w:w="2232"/>
            <w:vAlign w:val="center"/>
          </w:tcPr>
          <w:p>
            <w:pPr>
              <w:spacing w:after="0"/>
            </w:pPr>
            <w:r/>
            <w:r>
              <w:rPr>
                <w:sz w:val="17"/>
              </w:rPr>
              <w:t>Definition Gap Engine</w:t>
            </w:r>
          </w:p>
        </w:tc>
        <w:tc>
          <w:tcPr>
            <w:tcW w:type="dxa" w:w="3168"/>
            <w:vAlign w:val="center"/>
          </w:tcPr>
          <w:p>
            <w:pPr>
              <w:spacing w:after="0"/>
            </w:pPr>
            <w:r/>
            <w:r>
              <w:rPr>
                <w:sz w:val="17"/>
              </w:rPr>
              <w:t>Jira stories, acceptance criteria, comments, custom fields.</w:t>
            </w:r>
          </w:p>
        </w:tc>
        <w:tc>
          <w:tcPr>
            <w:tcW w:type="dxa" w:w="4032"/>
            <w:vAlign w:val="center"/>
          </w:tcPr>
          <w:p>
            <w:pPr>
              <w:spacing w:after="0"/>
            </w:pPr>
            <w:r/>
            <w:r>
              <w:rPr>
                <w:sz w:val="17"/>
              </w:rPr>
              <w:t>Rule checks plus AI review for ambiguity, missing persona, missing NFR, weak testability.</w:t>
            </w:r>
          </w:p>
        </w:tc>
        <w:tc>
          <w:tcPr>
            <w:tcW w:type="dxa" w:w="2232"/>
            <w:vAlign w:val="center"/>
          </w:tcPr>
          <w:p>
            <w:pPr>
              <w:spacing w:after="0"/>
            </w:pPr>
            <w:r/>
            <w:r>
              <w:rPr>
                <w:sz w:val="17"/>
              </w:rPr>
              <w:t>Requirement quality score and gap findings.</w:t>
            </w:r>
          </w:p>
        </w:tc>
      </w:tr>
      <w:tr>
        <w:tc>
          <w:tcPr>
            <w:tcW w:type="dxa" w:w="2232"/>
            <w:vAlign w:val="center"/>
          </w:tcPr>
          <w:p>
            <w:pPr>
              <w:spacing w:after="0"/>
            </w:pPr>
            <w:r/>
            <w:r>
              <w:rPr>
                <w:sz w:val="17"/>
              </w:rPr>
              <w:t>Quality Benchmarking Engine</w:t>
            </w:r>
          </w:p>
        </w:tc>
        <w:tc>
          <w:tcPr>
            <w:tcW w:type="dxa" w:w="3168"/>
            <w:vAlign w:val="center"/>
          </w:tcPr>
          <w:p>
            <w:pPr>
              <w:spacing w:after="0"/>
            </w:pPr>
            <w:r/>
            <w:r>
              <w:rPr>
                <w:sz w:val="17"/>
              </w:rPr>
              <w:t>Repository snapshot, PRs, commits, scanner outputs.</w:t>
            </w:r>
          </w:p>
        </w:tc>
        <w:tc>
          <w:tcPr>
            <w:tcW w:type="dxa" w:w="4032"/>
            <w:vAlign w:val="center"/>
          </w:tcPr>
          <w:p>
            <w:pPr>
              <w:spacing w:after="0"/>
            </w:pPr>
            <w:r/>
            <w:r>
              <w:rPr>
                <w:sz w:val="17"/>
              </w:rPr>
              <w:t>Semgrep/tree-sitter/Gitleaks/Trivy/Dependency-Check plus AI explanation.</w:t>
            </w:r>
          </w:p>
        </w:tc>
        <w:tc>
          <w:tcPr>
            <w:tcW w:type="dxa" w:w="2232"/>
            <w:vAlign w:val="center"/>
          </w:tcPr>
          <w:p>
            <w:pPr>
              <w:spacing w:after="0"/>
            </w:pPr>
            <w:r/>
            <w:r>
              <w:rPr>
                <w:sz w:val="17"/>
              </w:rPr>
              <w:t>Code risk score and quality findings.</w:t>
            </w:r>
          </w:p>
        </w:tc>
      </w:tr>
      <w:tr>
        <w:tc>
          <w:tcPr>
            <w:tcW w:type="dxa" w:w="2232"/>
            <w:vAlign w:val="center"/>
          </w:tcPr>
          <w:p>
            <w:pPr>
              <w:spacing w:after="0"/>
            </w:pPr>
            <w:r/>
            <w:r>
              <w:rPr>
                <w:sz w:val="17"/>
              </w:rPr>
              <w:t>Coverage Verification Engine</w:t>
            </w:r>
          </w:p>
        </w:tc>
        <w:tc>
          <w:tcPr>
            <w:tcW w:type="dxa" w:w="3168"/>
            <w:vAlign w:val="center"/>
          </w:tcPr>
          <w:p>
            <w:pPr>
              <w:spacing w:after="0"/>
            </w:pPr>
            <w:r/>
            <w:r>
              <w:rPr>
                <w:sz w:val="17"/>
              </w:rPr>
              <w:t>Jira work items, commits, PRs, tests, coverage, CI/CD evidence.</w:t>
            </w:r>
          </w:p>
        </w:tc>
        <w:tc>
          <w:tcPr>
            <w:tcW w:type="dxa" w:w="4032"/>
            <w:vAlign w:val="center"/>
          </w:tcPr>
          <w:p>
            <w:pPr>
              <w:spacing w:after="0"/>
            </w:pPr>
            <w:r/>
            <w:r>
              <w:rPr>
                <w:sz w:val="17"/>
              </w:rPr>
              <w:t>Traceability matching and coverage confidence analysis.</w:t>
            </w:r>
          </w:p>
        </w:tc>
        <w:tc>
          <w:tcPr>
            <w:tcW w:type="dxa" w:w="2232"/>
            <w:vAlign w:val="center"/>
          </w:tcPr>
          <w:p>
            <w:pPr>
              <w:spacing w:after="0"/>
            </w:pPr>
            <w:r/>
            <w:r>
              <w:rPr>
                <w:sz w:val="17"/>
              </w:rPr>
              <w:t>Coverage gaps and release readiness evidence.</w:t>
            </w:r>
          </w:p>
        </w:tc>
      </w:tr>
      <w:tr>
        <w:tc>
          <w:tcPr>
            <w:tcW w:type="dxa" w:w="2232"/>
            <w:vAlign w:val="center"/>
          </w:tcPr>
          <w:p>
            <w:pPr>
              <w:spacing w:after="0"/>
            </w:pPr>
            <w:r/>
            <w:r>
              <w:rPr>
                <w:sz w:val="17"/>
              </w:rPr>
              <w:t>Release Readiness</w:t>
            </w:r>
          </w:p>
        </w:tc>
        <w:tc>
          <w:tcPr>
            <w:tcW w:type="dxa" w:w="3168"/>
            <w:vAlign w:val="center"/>
          </w:tcPr>
          <w:p>
            <w:pPr>
              <w:spacing w:after="0"/>
            </w:pPr>
            <w:r/>
            <w:r>
              <w:rPr>
                <w:sz w:val="17"/>
              </w:rPr>
              <w:t>Open findings, build/test results, story status, PR status.</w:t>
            </w:r>
          </w:p>
        </w:tc>
        <w:tc>
          <w:tcPr>
            <w:tcW w:type="dxa" w:w="4032"/>
            <w:vAlign w:val="center"/>
          </w:tcPr>
          <w:p>
            <w:pPr>
              <w:spacing w:after="0"/>
            </w:pPr>
            <w:r/>
            <w:r>
              <w:rPr>
                <w:sz w:val="17"/>
              </w:rPr>
              <w:t>Aggregate policy checks and risk summarization.</w:t>
            </w:r>
          </w:p>
        </w:tc>
        <w:tc>
          <w:tcPr>
            <w:tcW w:type="dxa" w:w="2232"/>
            <w:vAlign w:val="center"/>
          </w:tcPr>
          <w:p>
            <w:pPr>
              <w:spacing w:after="0"/>
            </w:pPr>
            <w:r/>
            <w:r>
              <w:rPr>
                <w:sz w:val="17"/>
              </w:rPr>
              <w:t>Release readiness score and executive summary.</w:t>
            </w:r>
          </w:p>
        </w:tc>
      </w:tr>
    </w:tbl>
    <w:p/>
    <w:p>
      <w:r>
        <w:br w:type="page"/>
      </w:r>
    </w:p>
    <w:p>
      <w:pPr>
        <w:pStyle w:val="Heading1"/>
      </w:pPr>
      <w:r>
        <w:t>10. Workflow Design</w:t>
      </w:r>
    </w:p>
    <w:p>
      <w:pPr>
        <w:pStyle w:val="ListNumber"/>
      </w:pPr>
      <w:r>
        <w:t>Tenant admin configures Jira, Bitbucket, Supabase, and project mapping.</w:t>
      </w:r>
    </w:p>
    <w:p>
      <w:pPr>
        <w:pStyle w:val="ListNumber"/>
      </w:pPr>
      <w:r>
        <w:t>Temporal starts scheduled read-only sync workflows.</w:t>
      </w:r>
    </w:p>
    <w:p>
      <w:pPr>
        <w:pStyle w:val="ListNumber"/>
      </w:pPr>
      <w:r>
        <w:t>Connectors extract source data and normalize it into Postgres.</w:t>
      </w:r>
    </w:p>
    <w:p>
      <w:pPr>
        <w:pStyle w:val="ListNumber"/>
      </w:pPr>
      <w:r>
        <w:t>Scanner workflows collect deterministic code/security/test evidence.</w:t>
      </w:r>
    </w:p>
    <w:p>
      <w:pPr>
        <w:pStyle w:val="ListNumber"/>
      </w:pPr>
      <w:r>
        <w:t>LlamaIndex retrieves relevant tenant-approved context.</w:t>
      </w:r>
    </w:p>
    <w:p>
      <w:pPr>
        <w:pStyle w:val="ListNumber"/>
      </w:pPr>
      <w:r>
        <w:t>LangGraph executes AI engine workflows through the AI Gateway.</w:t>
      </w:r>
    </w:p>
    <w:p>
      <w:pPr>
        <w:pStyle w:val="ListNumber"/>
      </w:pPr>
      <w:r>
        <w:t>Pydantic validates structured outputs.</w:t>
      </w:r>
    </w:p>
    <w:p>
      <w:pPr>
        <w:pStyle w:val="ListNumber"/>
      </w:pPr>
      <w:r>
        <w:t>Findings, evidence, and scores are stored with audit metadata.</w:t>
      </w:r>
    </w:p>
    <w:p>
      <w:pPr>
        <w:pStyle w:val="ListNumber"/>
      </w:pPr>
      <w:r>
        <w:t>Dashboards and reports present actionable insights to users.</w:t>
      </w:r>
    </w:p>
    <w:p>
      <w:pPr>
        <w:pStyle w:val="Heading1"/>
      </w:pPr>
      <w:r>
        <w:t>11. Security and Governance</w:t>
      </w:r>
    </w:p>
    <w:p>
      <w:pPr>
        <w:pStyle w:val="ListBullet"/>
      </w:pPr>
      <w:r>
        <w:t>Secrets must never be committed; use ignored env files or encrypted local secret storage.</w:t>
      </w:r>
    </w:p>
    <w:p>
      <w:pPr>
        <w:pStyle w:val="ListBullet"/>
      </w:pPr>
      <w:r>
        <w:t>Service role keys are backend-only and must never be exposed to the frontend.</w:t>
      </w:r>
    </w:p>
    <w:p>
      <w:pPr>
        <w:pStyle w:val="ListBullet"/>
      </w:pPr>
      <w:r>
        <w:t>No external AI provider is enabled in development.</w:t>
      </w:r>
    </w:p>
    <w:p>
      <w:pPr>
        <w:pStyle w:val="ListBullet"/>
      </w:pPr>
      <w:r>
        <w:t>Scanner results are evidence; LLMs may explain and prioritize but not invent facts.</w:t>
      </w:r>
    </w:p>
    <w:p>
      <w:pPr>
        <w:pStyle w:val="ListBullet"/>
      </w:pPr>
      <w:r>
        <w:t>All AI findings must include source references.</w:t>
      </w:r>
    </w:p>
    <w:p>
      <w:pPr>
        <w:pStyle w:val="ListBullet"/>
      </w:pPr>
      <w:r>
        <w:t>All write-back features remain backlog until separately approved.</w:t>
      </w:r>
    </w:p>
    <w:p>
      <w:pPr>
        <w:pStyle w:val="ListBullet"/>
      </w:pPr>
      <w:r>
        <w:t>Logs must mask tokens, database passwords, JWTs, and connection strings.</w:t>
      </w:r>
    </w:p>
    <w:p>
      <w:pPr>
        <w:pStyle w:val="ListBullet"/>
      </w:pPr>
      <w:r>
        <w:t>Object storage keys must be tenant scoped through metadata and access controls.</w:t>
      </w:r>
    </w:p>
    <w:p>
      <w:pPr>
        <w:pStyle w:val="Heading1"/>
      </w:pPr>
      <w:r>
        <w:t>12. Development Phases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D9EAF7"/>
            <w:vAlign w:val="center"/>
          </w:tcPr>
          <w:p>
            <w:pPr>
              <w:spacing w:after="0"/>
            </w:pPr>
            <w:r/>
            <w:r>
              <w:rPr>
                <w:b/>
                <w:sz w:val="17"/>
              </w:rPr>
              <w:t>Phase</w:t>
            </w:r>
          </w:p>
        </w:tc>
        <w:tc>
          <w:tcPr>
            <w:tcW w:type="dxa" w:w="5328"/>
            <w:shd w:fill="D9EAF7"/>
            <w:vAlign w:val="center"/>
          </w:tcPr>
          <w:p>
            <w:pPr>
              <w:spacing w:after="0"/>
            </w:pPr>
            <w:r/>
            <w:r>
              <w:rPr>
                <w:b/>
                <w:sz w:val="17"/>
              </w:rPr>
              <w:t>Build</w:t>
            </w:r>
          </w:p>
        </w:tc>
        <w:tc>
          <w:tcPr>
            <w:tcW w:type="dxa" w:w="4608"/>
            <w:shd w:fill="D9EAF7"/>
            <w:vAlign w:val="center"/>
          </w:tcPr>
          <w:p>
            <w:pPr>
              <w:spacing w:after="0"/>
            </w:pPr>
            <w:r/>
            <w:r>
              <w:rPr>
                <w:b/>
                <w:sz w:val="17"/>
              </w:rPr>
              <w:t>Exit Criteria</w:t>
            </w:r>
          </w:p>
        </w:tc>
      </w:tr>
      <w:tr>
        <w:tc>
          <w:tcPr>
            <w:tcW w:type="dxa" w:w="1728"/>
            <w:vAlign w:val="center"/>
          </w:tcPr>
          <w:p>
            <w:pPr>
              <w:spacing w:after="0"/>
            </w:pPr>
            <w:r/>
            <w:r>
              <w:rPr>
                <w:sz w:val="17"/>
              </w:rPr>
              <w:t>1 Foundation</w:t>
            </w:r>
          </w:p>
        </w:tc>
        <w:tc>
          <w:tcPr>
            <w:tcW w:type="dxa" w:w="5328"/>
            <w:vAlign w:val="center"/>
          </w:tcPr>
          <w:p>
            <w:pPr>
              <w:spacing w:after="0"/>
            </w:pPr>
            <w:r/>
            <w:r>
              <w:rPr>
                <w:sz w:val="17"/>
              </w:rPr>
              <w:t>Repo scaffold, config, auth, Postgres/pgvector, MinIO, Valkey, Temporal, AI Gateway, Ollama.</w:t>
            </w:r>
          </w:p>
        </w:tc>
        <w:tc>
          <w:tcPr>
            <w:tcW w:type="dxa" w:w="4608"/>
            <w:vAlign w:val="center"/>
          </w:tcPr>
          <w:p>
            <w:pPr>
              <w:spacing w:after="0"/>
            </w:pPr>
            <w:r/>
            <w:r>
              <w:rPr>
                <w:sz w:val="17"/>
              </w:rPr>
              <w:t>User logs in; AI Gateway calls Qwen; sample workflow runs.</w:t>
            </w:r>
          </w:p>
        </w:tc>
      </w:tr>
      <w:tr>
        <w:tc>
          <w:tcPr>
            <w:tcW w:type="dxa" w:w="1728"/>
            <w:vAlign w:val="center"/>
          </w:tcPr>
          <w:p>
            <w:pPr>
              <w:spacing w:after="0"/>
            </w:pPr>
            <w:r/>
            <w:r>
              <w:rPr>
                <w:sz w:val="17"/>
              </w:rPr>
              <w:t>2 Read-Only Integrations</w:t>
            </w:r>
          </w:p>
        </w:tc>
        <w:tc>
          <w:tcPr>
            <w:tcW w:type="dxa" w:w="5328"/>
            <w:vAlign w:val="center"/>
          </w:tcPr>
          <w:p>
            <w:pPr>
              <w:spacing w:after="0"/>
            </w:pPr>
            <w:r/>
            <w:r>
              <w:rPr>
                <w:sz w:val="17"/>
              </w:rPr>
              <w:t>Jira and Bitbucket connectors; AWS mock connector; sync dashboards.</w:t>
            </w:r>
          </w:p>
        </w:tc>
        <w:tc>
          <w:tcPr>
            <w:tcW w:type="dxa" w:w="4608"/>
            <w:vAlign w:val="center"/>
          </w:tcPr>
          <w:p>
            <w:pPr>
              <w:spacing w:after="0"/>
            </w:pPr>
            <w:r/>
            <w:r>
              <w:rPr>
                <w:sz w:val="17"/>
              </w:rPr>
              <w:t>Data extracted and normalized without writes.</w:t>
            </w:r>
          </w:p>
        </w:tc>
      </w:tr>
      <w:tr>
        <w:tc>
          <w:tcPr>
            <w:tcW w:type="dxa" w:w="1728"/>
            <w:vAlign w:val="center"/>
          </w:tcPr>
          <w:p>
            <w:pPr>
              <w:spacing w:after="0"/>
            </w:pPr>
            <w:r/>
            <w:r>
              <w:rPr>
                <w:sz w:val="17"/>
              </w:rPr>
              <w:t>3 MVP AI Engines</w:t>
            </w:r>
          </w:p>
        </w:tc>
        <w:tc>
          <w:tcPr>
            <w:tcW w:type="dxa" w:w="5328"/>
            <w:vAlign w:val="center"/>
          </w:tcPr>
          <w:p>
            <w:pPr>
              <w:spacing w:after="0"/>
            </w:pPr>
            <w:r/>
            <w:r>
              <w:rPr>
                <w:sz w:val="17"/>
              </w:rPr>
              <w:t>Definition Gap, Quality Benchmarking, Coverage Verification, Findings Inbox.</w:t>
            </w:r>
          </w:p>
        </w:tc>
        <w:tc>
          <w:tcPr>
            <w:tcW w:type="dxa" w:w="4608"/>
            <w:vAlign w:val="center"/>
          </w:tcPr>
          <w:p>
            <w:pPr>
              <w:spacing w:after="0"/>
            </w:pPr>
            <w:r/>
            <w:r>
              <w:rPr>
                <w:sz w:val="17"/>
              </w:rPr>
              <w:t>Explainable findings generated from real evidence.</w:t>
            </w:r>
          </w:p>
        </w:tc>
      </w:tr>
      <w:tr>
        <w:tc>
          <w:tcPr>
            <w:tcW w:type="dxa" w:w="1728"/>
            <w:vAlign w:val="center"/>
          </w:tcPr>
          <w:p>
            <w:pPr>
              <w:spacing w:after="0"/>
            </w:pPr>
            <w:r/>
            <w:r>
              <w:rPr>
                <w:sz w:val="17"/>
              </w:rPr>
              <w:t>4 Reporting</w:t>
            </w:r>
          </w:p>
        </w:tc>
        <w:tc>
          <w:tcPr>
            <w:tcW w:type="dxa" w:w="5328"/>
            <w:vAlign w:val="center"/>
          </w:tcPr>
          <w:p>
            <w:pPr>
              <w:spacing w:after="0"/>
            </w:pPr>
            <w:r/>
            <w:r>
              <w:rPr>
                <w:sz w:val="17"/>
              </w:rPr>
              <w:t>Dashboards, release readiness, proof pack export.</w:t>
            </w:r>
          </w:p>
        </w:tc>
        <w:tc>
          <w:tcPr>
            <w:tcW w:type="dxa" w:w="4608"/>
            <w:vAlign w:val="center"/>
          </w:tcPr>
          <w:p>
            <w:pPr>
              <w:spacing w:after="0"/>
            </w:pPr>
            <w:r/>
            <w:r>
              <w:rPr>
                <w:sz w:val="17"/>
              </w:rPr>
              <w:t>Business-friendly reports generated with no fabricated metrics.</w:t>
            </w:r>
          </w:p>
        </w:tc>
      </w:tr>
      <w:tr>
        <w:tc>
          <w:tcPr>
            <w:tcW w:type="dxa" w:w="1728"/>
            <w:vAlign w:val="center"/>
          </w:tcPr>
          <w:p>
            <w:pPr>
              <w:spacing w:after="0"/>
            </w:pPr>
            <w:r/>
            <w:r>
              <w:rPr>
                <w:sz w:val="17"/>
              </w:rPr>
              <w:t>5 Production Hardening</w:t>
            </w:r>
          </w:p>
        </w:tc>
        <w:tc>
          <w:tcPr>
            <w:tcW w:type="dxa" w:w="5328"/>
            <w:vAlign w:val="center"/>
          </w:tcPr>
          <w:p>
            <w:pPr>
              <w:spacing w:after="0"/>
            </w:pPr>
            <w:r/>
            <w:r>
              <w:rPr>
                <w:sz w:val="17"/>
              </w:rPr>
              <w:t>RLS tests, audits, backup, observability, rate limits, security tests.</w:t>
            </w:r>
          </w:p>
        </w:tc>
        <w:tc>
          <w:tcPr>
            <w:tcW w:type="dxa" w:w="4608"/>
            <w:vAlign w:val="center"/>
          </w:tcPr>
          <w:p>
            <w:pPr>
              <w:spacing w:after="0"/>
            </w:pPr>
            <w:r/>
            <w:r>
              <w:rPr>
                <w:sz w:val="17"/>
              </w:rPr>
              <w:t>Ready for controlled pilot.</w:t>
            </w:r>
          </w:p>
        </w:tc>
      </w:tr>
      <w:tr>
        <w:tc>
          <w:tcPr>
            <w:tcW w:type="dxa" w:w="1728"/>
            <w:vAlign w:val="center"/>
          </w:tcPr>
          <w:p>
            <w:pPr>
              <w:spacing w:after="0"/>
            </w:pPr>
            <w:r/>
            <w:r>
              <w:rPr>
                <w:sz w:val="17"/>
              </w:rPr>
              <w:t>6 Backlog</w:t>
            </w:r>
          </w:p>
        </w:tc>
        <w:tc>
          <w:tcPr>
            <w:tcW w:type="dxa" w:w="5328"/>
            <w:vAlign w:val="center"/>
          </w:tcPr>
          <w:p>
            <w:pPr>
              <w:spacing w:after="0"/>
            </w:pPr>
            <w:r/>
            <w:r>
              <w:rPr>
                <w:sz w:val="17"/>
              </w:rPr>
              <w:t>Write-back, webhooks, advanced engines, paid model adapters if approved.</w:t>
            </w:r>
          </w:p>
        </w:tc>
        <w:tc>
          <w:tcPr>
            <w:tcW w:type="dxa" w:w="4608"/>
            <w:vAlign w:val="center"/>
          </w:tcPr>
          <w:p>
            <w:pPr>
              <w:spacing w:after="0"/>
            </w:pPr>
            <w:r/>
            <w:r>
              <w:rPr>
                <w:sz w:val="17"/>
              </w:rPr>
              <w:t>Only after formal scope approval.</w:t>
            </w:r>
          </w:p>
        </w:tc>
      </w:tr>
    </w:tbl>
    <w:p/>
    <w:p>
      <w:pPr>
        <w:pStyle w:val="Heading1"/>
      </w:pPr>
      <w:r>
        <w:t>13. Developer Acceptance Rules</w:t>
      </w:r>
    </w:p>
    <w:p>
      <w:pPr>
        <w:pStyle w:val="ListBullet"/>
      </w:pPr>
      <w:r>
        <w:t>No component may bypass the AI Gateway.</w:t>
      </w:r>
    </w:p>
    <w:p>
      <w:pPr>
        <w:pStyle w:val="ListBullet"/>
      </w:pPr>
      <w:r>
        <w:t>No table may store tenant data without tenant_id.</w:t>
      </w:r>
    </w:p>
    <w:p>
      <w:pPr>
        <w:pStyle w:val="ListBullet"/>
      </w:pPr>
      <w:r>
        <w:t>No connector may require write permission in MVP.</w:t>
      </w:r>
    </w:p>
    <w:p>
      <w:pPr>
        <w:pStyle w:val="ListBullet"/>
      </w:pPr>
      <w:r>
        <w:t>No score may be generated without evidence or a documented placeholder state.</w:t>
      </w:r>
    </w:p>
    <w:p>
      <w:pPr>
        <w:pStyle w:val="ListBullet"/>
      </w:pPr>
      <w:r>
        <w:t>No secret may appear in source control or logs.</w:t>
      </w:r>
    </w:p>
    <w:p>
      <w:pPr>
        <w:pStyle w:val="ListBullet"/>
      </w:pPr>
      <w:r>
        <w:t>No paid dependency may be introduced into development.</w:t>
      </w:r>
    </w:p>
    <w:p>
      <w:pPr>
        <w:pStyle w:val="ListBullet"/>
      </w:pPr>
      <w:r>
        <w:t>No additional environment may be added.</w:t>
      </w:r>
    </w:p>
    <w:p>
      <w:pPr>
        <w:pStyle w:val="ListBullet"/>
      </w:pPr>
      <w:r>
        <w:t>No backlog feature may be pulled into MVP without approval.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APSO Technical Architecture and Tech Stack Guide | Locked freeware stack | Read-only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75E"/>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