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erReference w:type="first" r:id="rId10"/>
      <w:headerReference w:type="default" r:id="rId11"/>
      <w:headerReference w:type="first" r:id="rId12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b/>
        <w:color w:val="777777"/>
        <w:sz w:val="16"/>
      </w:rPr>
      <w:t>STANDARD OPERATING GUIDELINES — UNCONTROLLED WHEN PRINTED</w:t>
    </w:r>
    <w:r>
      <w:tab/>
      <w:tab/>
    </w:r>
    <w:r>
      <w:rPr>
        <w:color w:val="555555"/>
        <w:sz w:val="18"/>
      </w:rPr>
      <w:t xml:space="preserve">Page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of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b/>
        <w:color w:val="777777"/>
        <w:sz w:val="16"/>
      </w:rPr>
      <w:t>STANDARD OPERATING GUIDELINES — UNCONTROLLED WHEN PRINTED</w:t>
    </w:r>
    <w:r>
      <w:tab/>
      <w:tab/>
    </w:r>
    <w:r>
      <w:rPr>
        <w:color w:val="555555"/>
        <w:sz w:val="18"/>
      </w:rPr>
      <w:t xml:space="preserve">Page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of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41148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38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1148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color w:val="8B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8B0000"/>
      <w:sz w:val="4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8B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b/>
      <w:color w:val="8B0000"/>
      <w:sz w:val="2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b/>
      <w:i/>
      <w:iCs/>
      <w:color w:val="8B0000"/>
      <w:sz w:val="23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