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 2 章 海洋标量场稀疏观测建模与多尺度自适应鲁棒图增强方法</w:t>
      </w:r>
    </w:p>
    <w:p>
      <w:pPr>
        <w:pStyle w:val="Heading2"/>
      </w:pPr>
      <w:r>
        <w:t>2.1 引言</w:t>
      </w:r>
    </w:p>
    <w:p>
      <w:pPr>
        <w:spacing w:line="400" w:lineRule="exact"/>
        <w:ind w:firstLine="482"/>
        <w:jc w:val="both"/>
      </w:pPr>
      <w:r>
        <w:rPr>
          <w:rFonts w:ascii="Times New Roman" w:hAnsi="Times New Roman" w:eastAsia="宋体"/>
          <w:b w:val="0"/>
          <w:sz w:val="24"/>
        </w:rPr>
        <w:t>本章面向连续海洋场重建前的稀疏观测预处理问题。实际卫星遥感或融合产品常受轨道覆盖、云遮挡、海面状态、质量控制和反演模型误差影响，表现为有效像元稀疏、空间分布不规则和观测值含噪。若直接将此类观测输入第三章的连续场重建模型，局部反演误差和异常点可能被误拟合为真实空间结构。</w:t>
      </w:r>
    </w:p>
    <w:p>
      <w:pPr>
        <w:spacing w:line="400" w:lineRule="exact"/>
        <w:ind w:firstLine="482"/>
        <w:jc w:val="both"/>
      </w:pPr>
      <w:r>
        <w:rPr>
          <w:rFonts w:ascii="Times New Roman" w:hAnsi="Times New Roman" w:eastAsia="宋体"/>
          <w:b w:val="0"/>
          <w:sz w:val="24"/>
        </w:rPr>
        <w:t>需要强调的是，本章实验采用 data/current/bohai.npz 中的 temperature 字段作为海洋标量场代理变量，用于验证稀疏观测增强方法对含噪标量观测的鲁棒性。该变量不等同于海流速度模长，也不能直接证明真实二维海流矢量重建性能。若将本方法用于真实海流速度场，应进一步在水平流速分量或速度模长产品上进行验证。</w:t>
      </w:r>
    </w:p>
    <w:p>
      <w:pPr>
        <w:spacing w:line="400" w:lineRule="exact"/>
        <w:ind w:firstLine="482"/>
        <w:jc w:val="both"/>
      </w:pPr>
      <w:r>
        <w:rPr>
          <w:rFonts w:ascii="Times New Roman" w:hAnsi="Times New Roman" w:eastAsia="宋体"/>
          <w:b w:val="0"/>
          <w:sz w:val="24"/>
        </w:rPr>
        <w:t>本章的实验不是直接利用真实卫星轨道和云遮挡质量标志得到的观测集合，而是基于完整格点参考场，在有效海域掩膜内构造模拟稀疏采样并叠加人工噪声。该设计的优点是能够定量评价采样点处的观测增强误差；其边界是只能证明稀疏观测点去噪能力，不能直接等同于完整连续流场重建精度。</w:t>
      </w:r>
    </w:p>
    <w:p>
      <w:pPr>
        <w:pStyle w:val="Heading2"/>
      </w:pPr>
      <w:r>
        <w:t>2.2 稀疏观测数据表示</w:t>
      </w:r>
    </w:p>
    <w:p>
      <w:pPr>
        <w:pStyle w:val="Heading3"/>
      </w:pPr>
      <w:r>
        <w:t>2.2.1 连续场与离散观测点</w:t>
      </w:r>
    </w:p>
    <w:p>
      <w:pPr>
        <w:spacing w:line="400" w:lineRule="exact"/>
        <w:ind w:firstLine="482"/>
        <w:jc w:val="both"/>
      </w:pPr>
      <w:r>
        <w:rPr>
          <w:rFonts w:ascii="Times New Roman" w:hAnsi="Times New Roman" w:eastAsia="宋体"/>
          <w:b w:val="0"/>
          <w:sz w:val="24"/>
        </w:rPr>
        <w:t>设研究区域为空间域 Omega，时间集合为 T，连续海洋变量可表示为 u:Omega×T -&gt; R^d。其中 d=1 表示标量海洋变量，d=2 可表示水平流速矢量。本章实验取 d=1，以温度场作为标量代理变量。数据张量规模为 731×69×117，第 0 帧有效海域点数为 4060。</w:t>
      </w:r>
    </w:p>
    <w:p>
      <w:pPr>
        <w:spacing w:line="400" w:lineRule="exact"/>
        <w:ind w:firstLine="482"/>
        <w:jc w:val="both"/>
      </w:pPr>
      <w:r>
        <w:rPr>
          <w:rFonts w:ascii="Times New Roman" w:hAnsi="Times New Roman" w:eastAsia="宋体"/>
          <w:b w:val="0"/>
          <w:sz w:val="24"/>
        </w:rPr>
        <w:t>在时刻 t，模拟稀疏观测集合记为 O_t。x_i 表示第 i 个有效采样点的二维空间坐标，y_i 表示该点处的含噪观测变量，N_t 表示时刻 t 的观测点数量，Omega_valid 表示有效海域掩膜区域。</w:t>
      </w:r>
    </w:p>
    <w:p>
      <w:pPr>
        <w:spacing w:before="80" w:after="80"/>
        <w:ind w:firstLine="0"/>
        <w:jc w:val="center"/>
      </w:pPr>
      <w:r>
        <w:rPr>
          <w:rFonts w:ascii="Times New Roman" w:hAnsi="Times New Roman" w:eastAsia="宋体"/>
          <w:b w:val="0"/>
          <w:sz w:val="22"/>
        </w:rPr>
        <w:t>u : Omega x T -&gt; R^d,    d=1 in this chapter</w:t>
      </w:r>
    </w:p>
    <w:p>
      <w:pPr>
        <w:spacing w:before="80" w:after="80"/>
        <w:ind w:firstLine="0"/>
        <w:jc w:val="center"/>
      </w:pPr>
      <w:r>
        <w:rPr>
          <w:rFonts w:ascii="Times New Roman" w:hAnsi="Times New Roman" w:eastAsia="宋体"/>
          <w:b w:val="0"/>
          <w:sz w:val="22"/>
        </w:rPr>
        <w:t>O_t = {(x_i, y_i) | i = 1,...,N_t, x_i in Omega_valid}</w:t>
      </w:r>
    </w:p>
    <w:p>
      <w:pPr>
        <w:spacing w:line="240" w:lineRule="auto" w:before="120" w:after="60"/>
        <w:ind w:firstLine="0"/>
        <w:jc w:val="center"/>
      </w:pPr>
      <w:r>
        <w:drawing>
          <wp:inline xmlns:a="http://schemas.openxmlformats.org/drawingml/2006/main" xmlns:pic="http://schemas.openxmlformats.org/drawingml/2006/picture">
            <wp:extent cx="5303520" cy="2042081"/>
            <wp:docPr id="1" name="Picture 1"/>
            <wp:cNvGraphicFramePr>
              <a:graphicFrameLocks noChangeAspect="1"/>
            </wp:cNvGraphicFramePr>
            <a:graphic>
              <a:graphicData uri="http://schemas.openxmlformats.org/drawingml/2006/picture">
                <pic:pic>
                  <pic:nvPicPr>
                    <pic:cNvPr id="0" name="fig_2_1_dataset_mask_sampling.png"/>
                    <pic:cNvPicPr/>
                  </pic:nvPicPr>
                  <pic:blipFill>
                    <a:blip r:embed="rId9"/>
                    <a:stretch>
                      <a:fillRect/>
                    </a:stretch>
                  </pic:blipFill>
                  <pic:spPr>
                    <a:xfrm>
                      <a:off x="0" y="0"/>
                      <a:ext cx="5303520" cy="2042081"/>
                    </a:xfrm>
                    <a:prstGeom prst="rect"/>
                  </pic:spPr>
                </pic:pic>
              </a:graphicData>
            </a:graphic>
          </wp:inline>
        </w:drawing>
      </w:r>
    </w:p>
    <w:p>
      <w:pPr>
        <w:spacing w:before="80" w:after="80"/>
        <w:ind w:firstLine="0"/>
        <w:jc w:val="center"/>
      </w:pPr>
      <w:r>
        <w:rPr>
          <w:rFonts w:ascii="Times New Roman" w:hAnsi="Times New Roman" w:eastAsia="宋体"/>
          <w:b w:val="0"/>
          <w:sz w:val="21"/>
        </w:rPr>
        <w:t>图 2-1 数据场、海域掩膜与模拟稀疏采样点示意</w:t>
      </w:r>
    </w:p>
    <w:p>
      <w:pPr>
        <w:spacing w:line="400" w:lineRule="exact"/>
        <w:ind w:firstLine="482"/>
        <w:jc w:val="both"/>
      </w:pPr>
      <w:r>
        <w:rPr>
          <w:rFonts w:ascii="Times New Roman" w:hAnsi="Times New Roman" w:eastAsia="宋体"/>
          <w:b w:val="0"/>
          <w:sz w:val="24"/>
        </w:rPr>
        <w:t>图 2-1 展示完整格点场、海域掩膜和模拟稀疏采样点之间的关系。增强算法只处理采样点处的观测值，不恢复整幅规则网格。</w:t>
      </w:r>
    </w:p>
    <w:p>
      <w:pPr>
        <w:pStyle w:val="Heading3"/>
      </w:pPr>
      <w:r>
        <w:t>2.2.2 模拟稀疏采样与观测边界</w:t>
      </w:r>
    </w:p>
    <w:p>
      <w:pPr>
        <w:spacing w:line="400" w:lineRule="exact"/>
        <w:ind w:firstLine="482"/>
        <w:jc w:val="both"/>
      </w:pPr>
      <w:r>
        <w:rPr>
          <w:rFonts w:ascii="Times New Roman" w:hAnsi="Times New Roman" w:eastAsia="宋体"/>
          <w:b w:val="0"/>
          <w:sz w:val="24"/>
        </w:rPr>
        <w:t>为模拟有效像元稀疏情形，本文在 mask=1 的海域网格中按给定采样率随机抽取观测点。采样率 r 与格点总数 H×W 共同决定观测点数量 N=round(rHW)，并使用固定随机种子保证不同算法面对相同采样点。该过程模拟有效像元数量不足，但尚未显式模拟真实云团块状遮挡、轨道条带、岸线混合像元质量标志等空间相关缺测机制。</w:t>
      </w:r>
    </w:p>
    <w:p>
      <w:pPr>
        <w:pStyle w:val="Heading3"/>
      </w:pPr>
      <w:r>
        <w:t>2.2.3 坐标与距离处理</w:t>
      </w:r>
    </w:p>
    <w:p>
      <w:pPr>
        <w:spacing w:line="400" w:lineRule="exact"/>
        <w:ind w:firstLine="482"/>
        <w:jc w:val="both"/>
      </w:pPr>
      <w:r>
        <w:rPr>
          <w:rFonts w:ascii="Times New Roman" w:hAnsi="Times New Roman" w:eastAsia="宋体"/>
          <w:b w:val="0"/>
          <w:sz w:val="24"/>
        </w:rPr>
        <w:t>原始经纬度不能直接视为等距平面坐标。本文代码采用研究区中心纬度处的局部等距近似，将经纬度转换为以公里为单位的平面坐标，再用于 kNN 图构建。该处理保留了经度方向随纬度缩放的 cos(phi) 因子，比直接分别归一化经纬度更符合局地距离含义。</w:t>
      </w:r>
    </w:p>
    <w:p>
      <w:pPr>
        <w:spacing w:before="80" w:after="80"/>
        <w:ind w:firstLine="0"/>
        <w:jc w:val="center"/>
      </w:pPr>
      <w:r>
        <w:rPr>
          <w:rFonts w:ascii="Times New Roman" w:hAnsi="Times New Roman" w:eastAsia="宋体"/>
          <w:b w:val="0"/>
          <w:sz w:val="22"/>
        </w:rPr>
        <w:t>x' = R cos(phi_0)(lambda-lambda_0),    y' = R(phi-phi_0)</w:t>
      </w:r>
    </w:p>
    <w:p>
      <w:pPr>
        <w:pStyle w:val="Heading2"/>
      </w:pPr>
      <w:r>
        <w:t>2.3 含噪稀疏观测建模</w:t>
      </w:r>
    </w:p>
    <w:p>
      <w:pPr>
        <w:pStyle w:val="Heading3"/>
      </w:pPr>
      <w:r>
        <w:t>2.3.1 加性噪声模型</w:t>
      </w:r>
    </w:p>
    <w:p>
      <w:pPr>
        <w:spacing w:line="400" w:lineRule="exact"/>
        <w:ind w:firstLine="482"/>
        <w:jc w:val="both"/>
      </w:pPr>
      <w:r>
        <w:rPr>
          <w:rFonts w:ascii="Times New Roman" w:hAnsi="Times New Roman" w:eastAsia="宋体"/>
          <w:b w:val="0"/>
          <w:sz w:val="24"/>
        </w:rPr>
        <w:t>设采样点处参考值为 y_i^*，含噪观测为 y_i。本文采用加性噪声模型描述观测误差，并分别考虑同方差高斯噪声、异方差高斯噪声以及含离群点的异方差噪声。主实验采用异方差离群噪声，以检验算法在较困难观测条件下的鲁棒性。</w:t>
      </w:r>
    </w:p>
    <w:p>
      <w:pPr>
        <w:spacing w:before="80" w:after="80"/>
        <w:ind w:firstLine="0"/>
        <w:jc w:val="center"/>
      </w:pPr>
      <w:r>
        <w:rPr>
          <w:rFonts w:ascii="Times New Roman" w:hAnsi="Times New Roman" w:eastAsia="宋体"/>
          <w:b w:val="0"/>
          <w:sz w:val="22"/>
        </w:rPr>
        <w:t>y_i = y_i^* + epsilon_i,    epsilon_i ~ N(0, sigma_i^2)</w:t>
      </w:r>
    </w:p>
    <w:p>
      <w:pPr>
        <w:spacing w:line="240" w:lineRule="auto" w:before="120" w:after="60"/>
        <w:ind w:firstLine="0"/>
        <w:jc w:val="center"/>
      </w:pPr>
      <w:r>
        <w:drawing>
          <wp:inline xmlns:a="http://schemas.openxmlformats.org/drawingml/2006/main" xmlns:pic="http://schemas.openxmlformats.org/drawingml/2006/picture">
            <wp:extent cx="5303520" cy="2042081"/>
            <wp:docPr id="2" name="Picture 2"/>
            <wp:cNvGraphicFramePr>
              <a:graphicFrameLocks noChangeAspect="1"/>
            </wp:cNvGraphicFramePr>
            <a:graphic>
              <a:graphicData uri="http://schemas.openxmlformats.org/drawingml/2006/picture">
                <pic:pic>
                  <pic:nvPicPr>
                    <pic:cNvPr id="0" name="fig_2_2_noise_model.png"/>
                    <pic:cNvPicPr/>
                  </pic:nvPicPr>
                  <pic:blipFill>
                    <a:blip r:embed="rId10"/>
                    <a:stretch>
                      <a:fillRect/>
                    </a:stretch>
                  </pic:blipFill>
                  <pic:spPr>
                    <a:xfrm>
                      <a:off x="0" y="0"/>
                      <a:ext cx="5303520" cy="2042081"/>
                    </a:xfrm>
                    <a:prstGeom prst="rect"/>
                  </pic:spPr>
                </pic:pic>
              </a:graphicData>
            </a:graphic>
          </wp:inline>
        </w:drawing>
      </w:r>
    </w:p>
    <w:p>
      <w:pPr>
        <w:spacing w:before="80" w:after="80"/>
        <w:ind w:firstLine="0"/>
        <w:jc w:val="center"/>
      </w:pPr>
      <w:r>
        <w:rPr>
          <w:rFonts w:ascii="Times New Roman" w:hAnsi="Times New Roman" w:eastAsia="宋体"/>
          <w:b w:val="0"/>
          <w:sz w:val="21"/>
        </w:rPr>
        <w:t>图 2-2 含噪观测模型及噪声残差示意</w:t>
      </w:r>
    </w:p>
    <w:p>
      <w:pPr>
        <w:spacing w:line="400" w:lineRule="exact"/>
        <w:ind w:firstLine="482"/>
        <w:jc w:val="both"/>
      </w:pPr>
      <w:r>
        <w:rPr>
          <w:rFonts w:ascii="Times New Roman" w:hAnsi="Times New Roman" w:eastAsia="宋体"/>
          <w:b w:val="0"/>
          <w:sz w:val="24"/>
        </w:rPr>
        <w:t>噪声残差图说明局部点可能出现显著异常，因此需要点级置信度而不是统一保真权重。</w:t>
      </w:r>
    </w:p>
    <w:p>
      <w:pPr>
        <w:pStyle w:val="Heading3"/>
      </w:pPr>
      <w:r>
        <w:t>2.3.2 噪声强度设置</w:t>
      </w:r>
    </w:p>
    <w:p>
      <w:pPr>
        <w:spacing w:line="400" w:lineRule="exact"/>
        <w:ind w:firstLine="482"/>
        <w:jc w:val="both"/>
      </w:pPr>
      <w:r>
        <w:rPr>
          <w:rFonts w:ascii="Times New Roman" w:hAnsi="Times New Roman" w:eastAsia="宋体"/>
          <w:b w:val="0"/>
          <w:sz w:val="24"/>
        </w:rPr>
        <w:t>噪声强度 eta 以干净稀疏观测值标准差为基准，即全局基准噪声标准差为 sigma=eta std(y^*)。本版主实验聚焦较困难观测条件，使用 eta={0.60,0.80,1.00}，采样率为 {0.03,0.05}，主噪声模型为异方差高斯噪声并叠加 10% 离群点。主算法不读取合成噪声真值，点级噪声尺度由含噪观测自身估计；参考值 y_i^* 仅用于计算 RMSE、MAE 和 Gain。</w:t>
      </w:r>
    </w:p>
    <w:p>
      <w:pPr>
        <w:pStyle w:val="Heading2"/>
      </w:pPr>
      <w:r>
        <w:t>2.4 基于邻域图的观测点关系建模</w:t>
      </w:r>
    </w:p>
    <w:p>
      <w:pPr>
        <w:pStyle w:val="Heading3"/>
      </w:pPr>
      <w:r>
        <w:t>2.4.1 kNN 图构建</w:t>
      </w:r>
    </w:p>
    <w:p>
      <w:pPr>
        <w:spacing w:line="400" w:lineRule="exact"/>
        <w:ind w:firstLine="482"/>
        <w:jc w:val="both"/>
      </w:pPr>
      <w:r>
        <w:rPr>
          <w:rFonts w:ascii="Times New Roman" w:hAnsi="Times New Roman" w:eastAsia="宋体"/>
          <w:b w:val="0"/>
          <w:sz w:val="24"/>
        </w:rPr>
        <w:t>给定稀疏观测坐标集合 X={x_i}，本文采用 k 近邻构建无向图 G=(V,E)。每个节点对应一个模拟有效观测点，边表示局部空间邻近关系。当前代码确保采样点位于海域 mask 内，但尚未检查任意两点连线是否穿越陆地或岛屿。因此，在复杂岸线区域，欧氏 kNN 仍可能产生跨陆地连接；该问题在本章作为局限性保留。</w:t>
      </w:r>
    </w:p>
    <w:p>
      <w:pPr>
        <w:spacing w:line="240" w:lineRule="auto" w:before="120" w:after="60"/>
        <w:ind w:firstLine="0"/>
        <w:jc w:val="center"/>
      </w:pPr>
      <w:r>
        <w:drawing>
          <wp:inline xmlns:a="http://schemas.openxmlformats.org/drawingml/2006/main" xmlns:pic="http://schemas.openxmlformats.org/drawingml/2006/picture">
            <wp:extent cx="5303520" cy="4846475"/>
            <wp:docPr id="3" name="Picture 3"/>
            <wp:cNvGraphicFramePr>
              <a:graphicFrameLocks noChangeAspect="1"/>
            </wp:cNvGraphicFramePr>
            <a:graphic>
              <a:graphicData uri="http://schemas.openxmlformats.org/drawingml/2006/picture">
                <pic:pic>
                  <pic:nvPicPr>
                    <pic:cNvPr id="0" name="fig_2_4_knn_graph.png"/>
                    <pic:cNvPicPr/>
                  </pic:nvPicPr>
                  <pic:blipFill>
                    <a:blip r:embed="rId11"/>
                    <a:stretch>
                      <a:fillRect/>
                    </a:stretch>
                  </pic:blipFill>
                  <pic:spPr>
                    <a:xfrm>
                      <a:off x="0" y="0"/>
                      <a:ext cx="5303520" cy="4846475"/>
                    </a:xfrm>
                    <a:prstGeom prst="rect"/>
                  </pic:spPr>
                </pic:pic>
              </a:graphicData>
            </a:graphic>
          </wp:inline>
        </w:drawing>
      </w:r>
    </w:p>
    <w:p>
      <w:pPr>
        <w:spacing w:before="80" w:after="80"/>
        <w:ind w:firstLine="0"/>
        <w:jc w:val="center"/>
      </w:pPr>
      <w:r>
        <w:rPr>
          <w:rFonts w:ascii="Times New Roman" w:hAnsi="Times New Roman" w:eastAsia="宋体"/>
          <w:b w:val="0"/>
          <w:sz w:val="21"/>
        </w:rPr>
        <w:t>图 2-4 稀疏观测点的局部 kNN 图结构</w:t>
      </w:r>
    </w:p>
    <w:p>
      <w:pPr>
        <w:pStyle w:val="Heading3"/>
      </w:pPr>
      <w:r>
        <w:t>2.4.2 边权和图拉普拉斯</w:t>
      </w:r>
    </w:p>
    <w:p>
      <w:pPr>
        <w:spacing w:line="400" w:lineRule="exact"/>
        <w:ind w:firstLine="482"/>
        <w:jc w:val="both"/>
      </w:pPr>
      <w:r>
        <w:rPr>
          <w:rFonts w:ascii="Times New Roman" w:hAnsi="Times New Roman" w:eastAsia="宋体"/>
          <w:b w:val="0"/>
          <w:sz w:val="24"/>
        </w:rPr>
        <w:t>对相邻节点 (i,j)，基础空间边权采用高斯核。tau 由 kNN 距离中位数估计，图拉普拉斯矩阵 L=D-W 用于表达图信号平滑性。</w:t>
      </w:r>
    </w:p>
    <w:p>
      <w:pPr>
        <w:spacing w:before="80" w:after="80"/>
        <w:ind w:firstLine="0"/>
        <w:jc w:val="center"/>
      </w:pPr>
      <w:r>
        <w:rPr>
          <w:rFonts w:ascii="Times New Roman" w:hAnsi="Times New Roman" w:eastAsia="宋体"/>
          <w:b w:val="0"/>
          <w:sz w:val="22"/>
        </w:rPr>
        <w:t>w_ij = exp(-||x_i-x_j||^2 / (2 tau^2)),    L = D - W</w:t>
      </w:r>
    </w:p>
    <w:p>
      <w:pPr>
        <w:spacing w:before="80" w:after="80"/>
        <w:ind w:firstLine="0"/>
        <w:jc w:val="center"/>
      </w:pPr>
      <w:r>
        <w:rPr>
          <w:rFonts w:ascii="Times New Roman" w:hAnsi="Times New Roman" w:eastAsia="宋体"/>
          <w:b w:val="0"/>
          <w:sz w:val="22"/>
        </w:rPr>
        <w:t>z^T L z = sum_(i,j in E) w_ij (z_i-z_j)^2</w:t>
      </w:r>
    </w:p>
    <w:p>
      <w:pPr>
        <w:pStyle w:val="Heading2"/>
      </w:pPr>
      <w:r>
        <w:t>2.5 多尺度自适应鲁棒图增强方法</w:t>
      </w:r>
    </w:p>
    <w:p>
      <w:pPr>
        <w:pStyle w:val="Heading3"/>
      </w:pPr>
      <w:r>
        <w:t>2.5.1 基础图增强模型</w:t>
      </w:r>
    </w:p>
    <w:p>
      <w:pPr>
        <w:spacing w:line="400" w:lineRule="exact"/>
        <w:ind w:firstLine="482"/>
        <w:jc w:val="both"/>
      </w:pPr>
      <w:r>
        <w:rPr>
          <w:rFonts w:ascii="Times New Roman" w:hAnsi="Times New Roman" w:eastAsia="宋体"/>
          <w:b w:val="0"/>
          <w:sz w:val="24"/>
        </w:rPr>
        <w:t>基础图拉普拉斯增强模型由数据保真项和图平滑项组成，可通过线性系统求解。该模型能够抑制部分随机噪声，但对低噪声、离群点和物理边界均不够稳健。</w:t>
      </w:r>
    </w:p>
    <w:p>
      <w:pPr>
        <w:spacing w:before="80" w:after="80"/>
        <w:ind w:firstLine="0"/>
        <w:jc w:val="center"/>
      </w:pPr>
      <w:r>
        <w:rPr>
          <w:rFonts w:ascii="Times New Roman" w:hAnsi="Times New Roman" w:eastAsia="宋体"/>
          <w:b w:val="0"/>
          <w:sz w:val="22"/>
        </w:rPr>
        <w:t>min_z 0.5||z-y||_2^2 + 0.5 lambda z^T L z</w:t>
      </w:r>
    </w:p>
    <w:p>
      <w:pPr>
        <w:spacing w:before="80" w:after="80"/>
        <w:ind w:firstLine="0"/>
        <w:jc w:val="center"/>
      </w:pPr>
      <w:r>
        <w:rPr>
          <w:rFonts w:ascii="Times New Roman" w:hAnsi="Times New Roman" w:eastAsia="宋体"/>
          <w:b w:val="0"/>
          <w:sz w:val="22"/>
        </w:rPr>
        <w:t>(I + lambda L)z = y</w:t>
      </w:r>
    </w:p>
    <w:p>
      <w:pPr>
        <w:pStyle w:val="Heading3"/>
      </w:pPr>
      <w:r>
        <w:t>2.5.2 点级噪声估计与观测置信度</w:t>
      </w:r>
    </w:p>
    <w:p>
      <w:pPr>
        <w:spacing w:line="400" w:lineRule="exact"/>
        <w:ind w:firstLine="482"/>
        <w:jc w:val="both"/>
      </w:pPr>
      <w:r>
        <w:rPr>
          <w:rFonts w:ascii="Times New Roman" w:hAnsi="Times New Roman" w:eastAsia="宋体"/>
          <w:b w:val="0"/>
          <w:sz w:val="24"/>
        </w:rPr>
        <w:t>AMR-GTV 首先在基础 kNN 图上构造引导估计 p_i。代码中 p_i 为局部中值和局部均值的加权组合，权重分别为 0.70 和 0.30。残差 r_i=y_i-p_i 用于估计局部鲁棒尺度，局部尺度再通过更大邻域中值平滑得到 sigma_hat_i。观测置信度由噪声尺度和残差共同决定，并与局部中值置信度取较小值，最终限制在 [0.05,1]。</w:t>
      </w:r>
    </w:p>
    <w:p>
      <w:pPr>
        <w:spacing w:before="80" w:after="80"/>
        <w:ind w:firstLine="0"/>
        <w:jc w:val="center"/>
      </w:pPr>
      <w:r>
        <w:rPr>
          <w:rFonts w:ascii="Times New Roman" w:hAnsi="Times New Roman" w:eastAsia="宋体"/>
          <w:b w:val="0"/>
          <w:sz w:val="22"/>
        </w:rPr>
        <w:t>p_i = 0.70 med_{j in N(i)}(y_j) + 0.30 mean_{j in N(i)}(y_j)</w:t>
      </w:r>
    </w:p>
    <w:p>
      <w:pPr>
        <w:spacing w:before="80" w:after="80"/>
        <w:ind w:firstLine="0"/>
        <w:jc w:val="center"/>
      </w:pPr>
      <w:r>
        <w:rPr>
          <w:rFonts w:ascii="Times New Roman" w:hAnsi="Times New Roman" w:eastAsia="宋体"/>
          <w:b w:val="0"/>
          <w:sz w:val="22"/>
        </w:rPr>
        <w:t>sigma_hat_i = median_smooth(1.4826 MAD_{j in N(i)}(r_j))</w:t>
      </w:r>
    </w:p>
    <w:p>
      <w:pPr>
        <w:spacing w:before="80" w:after="80"/>
        <w:ind w:firstLine="0"/>
        <w:jc w:val="center"/>
      </w:pPr>
      <w:r>
        <w:rPr>
          <w:rFonts w:ascii="Times New Roman" w:hAnsi="Times New Roman" w:eastAsia="宋体"/>
          <w:b w:val="0"/>
          <w:sz w:val="22"/>
        </w:rPr>
        <w:t>c_i = min{1/(1+(sigma_hat_i/(2 med(sigma_hat)))^2), 1/(1+(|r_i|/(3 sigma_hat_i))^2), c_i^loc}</w:t>
      </w:r>
    </w:p>
    <w:p>
      <w:pPr>
        <w:pStyle w:val="Heading3"/>
      </w:pPr>
      <w:r>
        <w:t>2.5.3 最优插值先验 z_OI</w:t>
      </w:r>
    </w:p>
    <w:p>
      <w:pPr>
        <w:spacing w:line="400" w:lineRule="exact"/>
        <w:ind w:firstLine="482"/>
        <w:jc w:val="both"/>
      </w:pPr>
      <w:r>
        <w:rPr>
          <w:rFonts w:ascii="Times New Roman" w:hAnsi="Times New Roman" w:eastAsia="宋体"/>
          <w:b w:val="0"/>
          <w:sz w:val="24"/>
        </w:rPr>
        <w:t>为避免最优插值成为不可复核黑箱，本文在代码中显式实现 z_OI。背景场 b 取含噪观测中位数，背景方差 sigma_b 由 1.4826 MAD(y) 估计，观测误差标准差 sigma_o 取点级噪声估计的中位数。协方差核为高斯核，相关长度 l 默认为 2 tau。z_OI 完全由含噪观测和坐标计算，不使用采样点参考真值。</w:t>
      </w:r>
    </w:p>
    <w:p>
      <w:pPr>
        <w:spacing w:before="80" w:after="80"/>
        <w:ind w:firstLine="0"/>
        <w:jc w:val="center"/>
      </w:pPr>
      <w:r>
        <w:rPr>
          <w:rFonts w:ascii="Times New Roman" w:hAnsi="Times New Roman" w:eastAsia="宋体"/>
          <w:b w:val="0"/>
          <w:sz w:val="22"/>
        </w:rPr>
        <w:t>B_ij = sigma_b^2 exp(-||x_i-x_j||^2/(2l^2)),    R = sigma_o^2 I</w:t>
      </w:r>
    </w:p>
    <w:p>
      <w:pPr>
        <w:spacing w:before="80" w:after="80"/>
        <w:ind w:firstLine="0"/>
        <w:jc w:val="center"/>
      </w:pPr>
      <w:r>
        <w:rPr>
          <w:rFonts w:ascii="Times New Roman" w:hAnsi="Times New Roman" w:eastAsia="宋体"/>
          <w:b w:val="0"/>
          <w:sz w:val="22"/>
        </w:rPr>
        <w:t>z_OI = b 1 + B(B+R)^(-1)(y-b 1)</w:t>
      </w:r>
    </w:p>
    <w:p>
      <w:pPr>
        <w:pStyle w:val="Heading3"/>
      </w:pPr>
      <w:r>
        <w:t>2.5.4 AMR-GTV 目标函数与 IRLS 求解</w:t>
      </w:r>
    </w:p>
    <w:p>
      <w:pPr>
        <w:spacing w:line="400" w:lineRule="exact"/>
        <w:ind w:firstLine="482"/>
        <w:jc w:val="both"/>
      </w:pPr>
      <w:r>
        <w:rPr>
          <w:rFonts w:ascii="Times New Roman" w:hAnsi="Times New Roman" w:eastAsia="宋体"/>
          <w:b w:val="0"/>
          <w:sz w:val="24"/>
        </w:rPr>
        <w:t>AMR-GTV 采用多尺度 kNN 图、Charbonnier 图总变差、最优插值弱先验和低置信度中值门控。目标函数中 gamma/2 的写法与线性系统中的 gamma I 一致，避免了原稿中正则化系数求导不一致的问题。</w:t>
      </w:r>
    </w:p>
    <w:p>
      <w:pPr>
        <w:spacing w:before="80" w:after="80"/>
        <w:ind w:firstLine="0"/>
        <w:jc w:val="center"/>
      </w:pPr>
      <w:r>
        <w:rPr>
          <w:rFonts w:ascii="Times New Roman" w:hAnsi="Times New Roman" w:eastAsia="宋体"/>
          <w:b w:val="0"/>
          <w:sz w:val="22"/>
        </w:rPr>
        <w:t>min_z 0.5 sum_i c_i(z_i-y_i)^2 + lambda sum_s sum_(i,j in E_s) w_ij^s rho_delta(z_i-z_j)</w:t>
      </w:r>
    </w:p>
    <w:p>
      <w:pPr>
        <w:spacing w:before="80" w:after="80"/>
        <w:ind w:firstLine="0"/>
        <w:jc w:val="center"/>
      </w:pPr>
      <w:r>
        <w:rPr>
          <w:rFonts w:ascii="Times New Roman" w:hAnsi="Times New Roman" w:eastAsia="宋体"/>
          <w:b w:val="0"/>
          <w:sz w:val="22"/>
        </w:rPr>
        <w:t xml:space="preserve">      + 0.5 gamma ||z-z_OI||_2^2 + 0.5 sum_i eta_i(z_i-z_med,i)^2</w:t>
      </w:r>
    </w:p>
    <w:p>
      <w:pPr>
        <w:spacing w:before="80" w:after="80"/>
        <w:ind w:firstLine="0"/>
        <w:jc w:val="center"/>
      </w:pPr>
      <w:r>
        <w:rPr>
          <w:rFonts w:ascii="Times New Roman" w:hAnsi="Times New Roman" w:eastAsia="宋体"/>
          <w:b w:val="0"/>
          <w:sz w:val="22"/>
        </w:rPr>
        <w:t>rho_delta(r)=sqrt(r^2+delta^2),    eta_i = eta(1-c_i)</w:t>
      </w:r>
    </w:p>
    <w:p>
      <w:pPr>
        <w:spacing w:before="80" w:after="80"/>
        <w:ind w:firstLine="0"/>
        <w:jc w:val="center"/>
      </w:pPr>
      <w:r>
        <w:rPr>
          <w:rFonts w:ascii="Times New Roman" w:hAnsi="Times New Roman" w:eastAsia="宋体"/>
          <w:b w:val="0"/>
          <w:sz w:val="22"/>
        </w:rPr>
        <w:t>a_ij^(m,s)=w_ij^s exp(-(z_i^m-z_j^m)^2/(2(4delta)^2))/sqrt((z_i^m-z_j^m)^2+delta^2)</w:t>
      </w:r>
    </w:p>
    <w:p>
      <w:pPr>
        <w:spacing w:before="80" w:after="80"/>
        <w:ind w:firstLine="0"/>
        <w:jc w:val="center"/>
      </w:pPr>
      <w:r>
        <w:rPr>
          <w:rFonts w:ascii="Times New Roman" w:hAnsi="Times New Roman" w:eastAsia="宋体"/>
          <w:b w:val="0"/>
          <w:sz w:val="22"/>
        </w:rPr>
        <w:t>(C + lambda L_ms^m + gamma I + H) z^(m+1) = C y + gamma z_OI + H z_med</w:t>
      </w:r>
    </w:p>
    <w:p>
      <w:pPr>
        <w:spacing w:before="80" w:after="80"/>
        <w:ind w:firstLine="0"/>
        <w:jc w:val="center"/>
      </w:pPr>
      <w:r>
        <w:rPr>
          <w:rFonts w:ascii="Times New Roman" w:hAnsi="Times New Roman" w:eastAsia="宋体"/>
          <w:b w:val="0"/>
          <w:sz w:val="21"/>
        </w:rPr>
        <w:t>表 2-1 AMR-GTV 算法流程</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4309"/>
        <w:gridCol w:w="4309"/>
      </w:tblGrid>
      <w:tr>
        <w:trPr>
          <w:tblHeader/>
        </w:trPr>
        <w:tc>
          <w:tcPr>
            <w:tcW w:type="dxa" w:w="4309"/>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步骤</w:t>
            </w:r>
          </w:p>
        </w:tc>
        <w:tc>
          <w:tcPr>
            <w:tcW w:type="dxa" w:w="4309"/>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操作</w:t>
            </w:r>
          </w:p>
        </w:tc>
      </w:tr>
      <w:tr>
        <w:tc>
          <w:tcPr>
            <w:tcW w:type="dxa" w:w="4309"/>
            <w:vAlign w:val="center"/>
          </w:tcPr>
          <w:p>
            <w:pPr>
              <w:spacing w:line="240" w:lineRule="auto"/>
              <w:ind w:firstLine="0"/>
              <w:jc w:val="center"/>
            </w:pPr>
            <w:r/>
            <w:r>
              <w:rPr>
                <w:rFonts w:ascii="Times New Roman" w:hAnsi="Times New Roman" w:eastAsia="宋体"/>
                <w:b w:val="0"/>
                <w:sz w:val="21"/>
              </w:rPr>
              <w:t>1</w:t>
            </w:r>
          </w:p>
        </w:tc>
        <w:tc>
          <w:tcPr>
            <w:tcW w:type="dxa" w:w="4309"/>
            <w:vAlign w:val="center"/>
          </w:tcPr>
          <w:p>
            <w:pPr>
              <w:spacing w:line="240" w:lineRule="auto"/>
              <w:ind w:firstLine="0"/>
              <w:jc w:val="center"/>
            </w:pPr>
            <w:r/>
            <w:r>
              <w:rPr>
                <w:rFonts w:ascii="Times New Roman" w:hAnsi="Times New Roman" w:eastAsia="宋体"/>
                <w:b w:val="0"/>
                <w:sz w:val="21"/>
              </w:rPr>
              <w:t>输入坐标 X、含噪观测 y、海域 mask 与多尺度邻域集合 {4,8,16}。</w:t>
            </w:r>
          </w:p>
        </w:tc>
      </w:tr>
      <w:tr>
        <w:tc>
          <w:tcPr>
            <w:tcW w:type="dxa" w:w="4309"/>
            <w:vAlign w:val="center"/>
          </w:tcPr>
          <w:p>
            <w:pPr>
              <w:spacing w:line="240" w:lineRule="auto"/>
              <w:ind w:firstLine="0"/>
              <w:jc w:val="center"/>
            </w:pPr>
            <w:r/>
            <w:r>
              <w:rPr>
                <w:rFonts w:ascii="Times New Roman" w:hAnsi="Times New Roman" w:eastAsia="宋体"/>
                <w:b w:val="0"/>
                <w:sz w:val="21"/>
              </w:rPr>
              <w:t>2</w:t>
            </w:r>
          </w:p>
        </w:tc>
        <w:tc>
          <w:tcPr>
            <w:tcW w:type="dxa" w:w="4309"/>
            <w:vAlign w:val="center"/>
          </w:tcPr>
          <w:p>
            <w:pPr>
              <w:spacing w:line="240" w:lineRule="auto"/>
              <w:ind w:firstLine="0"/>
              <w:jc w:val="center"/>
            </w:pPr>
            <w:r/>
            <w:r>
              <w:rPr>
                <w:rFonts w:ascii="Times New Roman" w:hAnsi="Times New Roman" w:eastAsia="宋体"/>
                <w:b w:val="0"/>
                <w:sz w:val="21"/>
              </w:rPr>
              <w:t>基于局部平面坐标构建多尺度 kNN 图，计算高斯空间边权。</w:t>
            </w:r>
          </w:p>
        </w:tc>
      </w:tr>
      <w:tr>
        <w:tc>
          <w:tcPr>
            <w:tcW w:type="dxa" w:w="4309"/>
            <w:vAlign w:val="center"/>
          </w:tcPr>
          <w:p>
            <w:pPr>
              <w:spacing w:line="240" w:lineRule="auto"/>
              <w:ind w:firstLine="0"/>
              <w:jc w:val="center"/>
            </w:pPr>
            <w:r/>
            <w:r>
              <w:rPr>
                <w:rFonts w:ascii="Times New Roman" w:hAnsi="Times New Roman" w:eastAsia="宋体"/>
                <w:b w:val="0"/>
                <w:sz w:val="21"/>
              </w:rPr>
              <w:t>3</w:t>
            </w:r>
          </w:p>
        </w:tc>
        <w:tc>
          <w:tcPr>
            <w:tcW w:type="dxa" w:w="4309"/>
            <w:vAlign w:val="center"/>
          </w:tcPr>
          <w:p>
            <w:pPr>
              <w:spacing w:line="240" w:lineRule="auto"/>
              <w:ind w:firstLine="0"/>
              <w:jc w:val="center"/>
            </w:pPr>
            <w:r/>
            <w:r>
              <w:rPr>
                <w:rFonts w:ascii="Times New Roman" w:hAnsi="Times New Roman" w:eastAsia="宋体"/>
                <w:b w:val="0"/>
                <w:sz w:val="21"/>
              </w:rPr>
              <w:t>由局部中值/均值引导估计残差，估计 sigma_hat_i 与 c_i。</w:t>
            </w:r>
          </w:p>
        </w:tc>
      </w:tr>
      <w:tr>
        <w:tc>
          <w:tcPr>
            <w:tcW w:type="dxa" w:w="4309"/>
            <w:vAlign w:val="center"/>
          </w:tcPr>
          <w:p>
            <w:pPr>
              <w:spacing w:line="240" w:lineRule="auto"/>
              <w:ind w:firstLine="0"/>
              <w:jc w:val="center"/>
            </w:pPr>
            <w:r/>
            <w:r>
              <w:rPr>
                <w:rFonts w:ascii="Times New Roman" w:hAnsi="Times New Roman" w:eastAsia="宋体"/>
                <w:b w:val="0"/>
                <w:sz w:val="21"/>
              </w:rPr>
              <w:t>4</w:t>
            </w:r>
          </w:p>
        </w:tc>
        <w:tc>
          <w:tcPr>
            <w:tcW w:type="dxa" w:w="4309"/>
            <w:vAlign w:val="center"/>
          </w:tcPr>
          <w:p>
            <w:pPr>
              <w:spacing w:line="240" w:lineRule="auto"/>
              <w:ind w:firstLine="0"/>
              <w:jc w:val="center"/>
            </w:pPr>
            <w:r/>
            <w:r>
              <w:rPr>
                <w:rFonts w:ascii="Times New Roman" w:hAnsi="Times New Roman" w:eastAsia="宋体"/>
                <w:b w:val="0"/>
                <w:sz w:val="21"/>
              </w:rPr>
              <w:t>由含噪观测构造 z_OI，并计算低置信度中值门控权重 eta_i。</w:t>
            </w:r>
          </w:p>
        </w:tc>
      </w:tr>
      <w:tr>
        <w:tc>
          <w:tcPr>
            <w:tcW w:type="dxa" w:w="4309"/>
            <w:vAlign w:val="center"/>
          </w:tcPr>
          <w:p>
            <w:pPr>
              <w:spacing w:line="240" w:lineRule="auto"/>
              <w:ind w:firstLine="0"/>
              <w:jc w:val="center"/>
            </w:pPr>
            <w:r/>
            <w:r>
              <w:rPr>
                <w:rFonts w:ascii="Times New Roman" w:hAnsi="Times New Roman" w:eastAsia="宋体"/>
                <w:b w:val="0"/>
                <w:sz w:val="21"/>
              </w:rPr>
              <w:t>5</w:t>
            </w:r>
          </w:p>
        </w:tc>
        <w:tc>
          <w:tcPr>
            <w:tcW w:type="dxa" w:w="4309"/>
            <w:vAlign w:val="center"/>
          </w:tcPr>
          <w:p>
            <w:pPr>
              <w:spacing w:line="240" w:lineRule="auto"/>
              <w:ind w:firstLine="0"/>
              <w:jc w:val="center"/>
            </w:pPr>
            <w:r/>
            <w:r>
              <w:rPr>
                <w:rFonts w:ascii="Times New Roman" w:hAnsi="Times New Roman" w:eastAsia="宋体"/>
                <w:b w:val="0"/>
                <w:sz w:val="21"/>
              </w:rPr>
              <w:t>采用 IRLS 更新 Charbonnier 图总变差边权并求解线性系统。</w:t>
            </w:r>
          </w:p>
        </w:tc>
      </w:tr>
      <w:tr>
        <w:tc>
          <w:tcPr>
            <w:tcW w:type="dxa" w:w="4309"/>
            <w:vAlign w:val="center"/>
          </w:tcPr>
          <w:p>
            <w:pPr>
              <w:spacing w:line="240" w:lineRule="auto"/>
              <w:ind w:firstLine="0"/>
              <w:jc w:val="center"/>
            </w:pPr>
            <w:r/>
            <w:r>
              <w:rPr>
                <w:rFonts w:ascii="Times New Roman" w:hAnsi="Times New Roman" w:eastAsia="宋体"/>
                <w:b w:val="0"/>
                <w:sz w:val="21"/>
              </w:rPr>
              <w:t>6</w:t>
            </w:r>
          </w:p>
        </w:tc>
        <w:tc>
          <w:tcPr>
            <w:tcW w:type="dxa" w:w="4309"/>
            <w:vAlign w:val="center"/>
          </w:tcPr>
          <w:p>
            <w:pPr>
              <w:spacing w:line="240" w:lineRule="auto"/>
              <w:ind w:firstLine="0"/>
              <w:jc w:val="center"/>
            </w:pPr>
            <w:r/>
            <w:r>
              <w:rPr>
                <w:rFonts w:ascii="Times New Roman" w:hAnsi="Times New Roman" w:eastAsia="宋体"/>
                <w:b w:val="0"/>
                <w:sz w:val="21"/>
              </w:rPr>
              <w:t>输出增强后的稀疏观测 z，保留原始采样点坐标。</w:t>
            </w:r>
          </w:p>
        </w:tc>
      </w:tr>
    </w:tbl>
    <w:p/>
    <w:p>
      <w:pPr>
        <w:pStyle w:val="Heading2"/>
      </w:pPr>
      <w:r>
        <w:t>2.6 实验设计与评价指标</w:t>
      </w:r>
    </w:p>
    <w:p>
      <w:pPr>
        <w:pStyle w:val="Heading3"/>
      </w:pPr>
      <w:r>
        <w:t>2.6.1 数据与实验范围</w:t>
      </w:r>
    </w:p>
    <w:p>
      <w:pPr>
        <w:spacing w:line="400" w:lineRule="exact"/>
        <w:ind w:firstLine="482"/>
        <w:jc w:val="both"/>
      </w:pPr>
      <w:r>
        <w:rPr>
          <w:rFonts w:ascii="Times New Roman" w:hAnsi="Times New Roman" w:eastAsia="宋体"/>
          <w:b w:val="0"/>
          <w:sz w:val="24"/>
        </w:rPr>
        <w:t>本版实验由 noiseEnhance/run_focused_experiments.py 统一生成。主实验包含 2 个时间片、2 个采样率、3 个噪声强度和 2 个随机种子，共 24 个异方差离群噪声压力场景。该设置不再追求覆盖所有轻噪声或极稀疏条件，而是围绕本文 AMR-GTV 方法最适用的强噪声、含离群点且邻域图相对可靠的观测条件展开。</w:t>
      </w:r>
    </w:p>
    <w:p>
      <w:pPr>
        <w:spacing w:before="80" w:after="80"/>
        <w:ind w:firstLine="0"/>
        <w:jc w:val="center"/>
      </w:pPr>
      <w:r>
        <w:rPr>
          <w:rFonts w:ascii="Times New Roman" w:hAnsi="Times New Roman" w:eastAsia="宋体"/>
          <w:b w:val="0"/>
          <w:sz w:val="21"/>
        </w:rPr>
        <w:t>表 2-2 整改后主实验参数设置</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4309"/>
        <w:gridCol w:w="4309"/>
      </w:tblGrid>
      <w:tr>
        <w:trPr>
          <w:tblHeader/>
        </w:trPr>
        <w:tc>
          <w:tcPr>
            <w:tcW w:type="dxa" w:w="4309"/>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参数</w:t>
            </w:r>
          </w:p>
        </w:tc>
        <w:tc>
          <w:tcPr>
            <w:tcW w:type="dxa" w:w="4309"/>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设置</w:t>
            </w:r>
          </w:p>
        </w:tc>
      </w:tr>
      <w:tr>
        <w:tc>
          <w:tcPr>
            <w:tcW w:type="dxa" w:w="4309"/>
            <w:vAlign w:val="center"/>
          </w:tcPr>
          <w:p>
            <w:pPr>
              <w:spacing w:line="240" w:lineRule="auto"/>
              <w:ind w:firstLine="0"/>
              <w:jc w:val="center"/>
            </w:pPr>
            <w:r/>
            <w:r>
              <w:rPr>
                <w:rFonts w:ascii="Times New Roman" w:hAnsi="Times New Roman" w:eastAsia="宋体"/>
                <w:b w:val="0"/>
                <w:sz w:val="21"/>
              </w:rPr>
              <w:t>数据文件</w:t>
            </w:r>
          </w:p>
        </w:tc>
        <w:tc>
          <w:tcPr>
            <w:tcW w:type="dxa" w:w="4309"/>
            <w:vAlign w:val="center"/>
          </w:tcPr>
          <w:p>
            <w:pPr>
              <w:spacing w:line="240" w:lineRule="auto"/>
              <w:ind w:firstLine="0"/>
              <w:jc w:val="center"/>
            </w:pPr>
            <w:r/>
            <w:r>
              <w:rPr>
                <w:rFonts w:ascii="Times New Roman" w:hAnsi="Times New Roman" w:eastAsia="宋体"/>
                <w:b w:val="0"/>
                <w:sz w:val="21"/>
              </w:rPr>
              <w:t>data/current/bohai.npz</w:t>
            </w:r>
          </w:p>
        </w:tc>
      </w:tr>
      <w:tr>
        <w:tc>
          <w:tcPr>
            <w:tcW w:type="dxa" w:w="4309"/>
            <w:vAlign w:val="center"/>
          </w:tcPr>
          <w:p>
            <w:pPr>
              <w:spacing w:line="240" w:lineRule="auto"/>
              <w:ind w:firstLine="0"/>
              <w:jc w:val="center"/>
            </w:pPr>
            <w:r/>
            <w:r>
              <w:rPr>
                <w:rFonts w:ascii="Times New Roman" w:hAnsi="Times New Roman" w:eastAsia="宋体"/>
                <w:b w:val="0"/>
                <w:sz w:val="21"/>
              </w:rPr>
              <w:t>实验变量</w:t>
            </w:r>
          </w:p>
        </w:tc>
        <w:tc>
          <w:tcPr>
            <w:tcW w:type="dxa" w:w="4309"/>
            <w:vAlign w:val="center"/>
          </w:tcPr>
          <w:p>
            <w:pPr>
              <w:spacing w:line="240" w:lineRule="auto"/>
              <w:ind w:firstLine="0"/>
              <w:jc w:val="center"/>
            </w:pPr>
            <w:r/>
            <w:r>
              <w:rPr>
                <w:rFonts w:ascii="Times New Roman" w:hAnsi="Times New Roman" w:eastAsia="宋体"/>
                <w:b w:val="0"/>
                <w:sz w:val="21"/>
              </w:rPr>
              <w:t>temperature，作为海洋标量场代理变量</w:t>
            </w:r>
          </w:p>
        </w:tc>
      </w:tr>
      <w:tr>
        <w:tc>
          <w:tcPr>
            <w:tcW w:type="dxa" w:w="4309"/>
            <w:vAlign w:val="center"/>
          </w:tcPr>
          <w:p>
            <w:pPr>
              <w:spacing w:line="240" w:lineRule="auto"/>
              <w:ind w:firstLine="0"/>
              <w:jc w:val="center"/>
            </w:pPr>
            <w:r/>
            <w:r>
              <w:rPr>
                <w:rFonts w:ascii="Times New Roman" w:hAnsi="Times New Roman" w:eastAsia="宋体"/>
                <w:b w:val="0"/>
                <w:sz w:val="21"/>
              </w:rPr>
              <w:t>时间片</w:t>
            </w:r>
          </w:p>
        </w:tc>
        <w:tc>
          <w:tcPr>
            <w:tcW w:type="dxa" w:w="4309"/>
            <w:vAlign w:val="center"/>
          </w:tcPr>
          <w:p>
            <w:pPr>
              <w:spacing w:line="240" w:lineRule="auto"/>
              <w:ind w:firstLine="0"/>
              <w:jc w:val="center"/>
            </w:pPr>
            <w:r/>
            <w:r>
              <w:rPr>
                <w:rFonts w:ascii="Times New Roman" w:hAnsi="Times New Roman" w:eastAsia="宋体"/>
                <w:b w:val="0"/>
                <w:sz w:val="21"/>
              </w:rPr>
              <w:t>0、120</w:t>
            </w:r>
          </w:p>
        </w:tc>
      </w:tr>
      <w:tr>
        <w:tc>
          <w:tcPr>
            <w:tcW w:type="dxa" w:w="4309"/>
            <w:vAlign w:val="center"/>
          </w:tcPr>
          <w:p>
            <w:pPr>
              <w:spacing w:line="240" w:lineRule="auto"/>
              <w:ind w:firstLine="0"/>
              <w:jc w:val="center"/>
            </w:pPr>
            <w:r/>
            <w:r>
              <w:rPr>
                <w:rFonts w:ascii="Times New Roman" w:hAnsi="Times New Roman" w:eastAsia="宋体"/>
                <w:b w:val="0"/>
                <w:sz w:val="21"/>
              </w:rPr>
              <w:t>采样率</w:t>
            </w:r>
          </w:p>
        </w:tc>
        <w:tc>
          <w:tcPr>
            <w:tcW w:type="dxa" w:w="4309"/>
            <w:vAlign w:val="center"/>
          </w:tcPr>
          <w:p>
            <w:pPr>
              <w:spacing w:line="240" w:lineRule="auto"/>
              <w:ind w:firstLine="0"/>
              <w:jc w:val="center"/>
            </w:pPr>
            <w:r/>
            <w:r>
              <w:rPr>
                <w:rFonts w:ascii="Times New Roman" w:hAnsi="Times New Roman" w:eastAsia="宋体"/>
                <w:b w:val="0"/>
                <w:sz w:val="21"/>
              </w:rPr>
              <w:t>0.030、0.050</w:t>
            </w:r>
          </w:p>
        </w:tc>
      </w:tr>
      <w:tr>
        <w:tc>
          <w:tcPr>
            <w:tcW w:type="dxa" w:w="4309"/>
            <w:vAlign w:val="center"/>
          </w:tcPr>
          <w:p>
            <w:pPr>
              <w:spacing w:line="240" w:lineRule="auto"/>
              <w:ind w:firstLine="0"/>
              <w:jc w:val="center"/>
            </w:pPr>
            <w:r/>
            <w:r>
              <w:rPr>
                <w:rFonts w:ascii="Times New Roman" w:hAnsi="Times New Roman" w:eastAsia="宋体"/>
                <w:b w:val="0"/>
                <w:sz w:val="21"/>
              </w:rPr>
              <w:t>噪声强度 eta</w:t>
            </w:r>
          </w:p>
        </w:tc>
        <w:tc>
          <w:tcPr>
            <w:tcW w:type="dxa" w:w="4309"/>
            <w:vAlign w:val="center"/>
          </w:tcPr>
          <w:p>
            <w:pPr>
              <w:spacing w:line="240" w:lineRule="auto"/>
              <w:ind w:firstLine="0"/>
              <w:jc w:val="center"/>
            </w:pPr>
            <w:r/>
            <w:r>
              <w:rPr>
                <w:rFonts w:ascii="Times New Roman" w:hAnsi="Times New Roman" w:eastAsia="宋体"/>
                <w:b w:val="0"/>
                <w:sz w:val="21"/>
              </w:rPr>
              <w:t>0.60、0.80、1.00</w:t>
            </w:r>
          </w:p>
        </w:tc>
      </w:tr>
      <w:tr>
        <w:tc>
          <w:tcPr>
            <w:tcW w:type="dxa" w:w="4309"/>
            <w:vAlign w:val="center"/>
          </w:tcPr>
          <w:p>
            <w:pPr>
              <w:spacing w:line="240" w:lineRule="auto"/>
              <w:ind w:firstLine="0"/>
              <w:jc w:val="center"/>
            </w:pPr>
            <w:r/>
            <w:r>
              <w:rPr>
                <w:rFonts w:ascii="Times New Roman" w:hAnsi="Times New Roman" w:eastAsia="宋体"/>
                <w:b w:val="0"/>
                <w:sz w:val="21"/>
              </w:rPr>
              <w:t>主噪声模型</w:t>
            </w:r>
          </w:p>
        </w:tc>
        <w:tc>
          <w:tcPr>
            <w:tcW w:type="dxa" w:w="4309"/>
            <w:vAlign w:val="center"/>
          </w:tcPr>
          <w:p>
            <w:pPr>
              <w:spacing w:line="240" w:lineRule="auto"/>
              <w:ind w:firstLine="0"/>
              <w:jc w:val="center"/>
            </w:pPr>
            <w:r/>
            <w:r>
              <w:rPr>
                <w:rFonts w:ascii="Times New Roman" w:hAnsi="Times New Roman" w:eastAsia="宋体"/>
                <w:b w:val="0"/>
                <w:sz w:val="21"/>
              </w:rPr>
              <w:t>异方差高斯噪声 + 10% 离群点</w:t>
            </w:r>
          </w:p>
        </w:tc>
      </w:tr>
      <w:tr>
        <w:tc>
          <w:tcPr>
            <w:tcW w:type="dxa" w:w="4309"/>
            <w:vAlign w:val="center"/>
          </w:tcPr>
          <w:p>
            <w:pPr>
              <w:spacing w:line="240" w:lineRule="auto"/>
              <w:ind w:firstLine="0"/>
              <w:jc w:val="center"/>
            </w:pPr>
            <w:r/>
            <w:r>
              <w:rPr>
                <w:rFonts w:ascii="Times New Roman" w:hAnsi="Times New Roman" w:eastAsia="宋体"/>
                <w:b w:val="0"/>
                <w:sz w:val="21"/>
              </w:rPr>
              <w:t>随机种子</w:t>
            </w:r>
          </w:p>
        </w:tc>
        <w:tc>
          <w:tcPr>
            <w:tcW w:type="dxa" w:w="4309"/>
            <w:vAlign w:val="center"/>
          </w:tcPr>
          <w:p>
            <w:pPr>
              <w:spacing w:line="240" w:lineRule="auto"/>
              <w:ind w:firstLine="0"/>
              <w:jc w:val="center"/>
            </w:pPr>
            <w:r/>
            <w:r>
              <w:rPr>
                <w:rFonts w:ascii="Times New Roman" w:hAnsi="Times New Roman" w:eastAsia="宋体"/>
                <w:b w:val="0"/>
                <w:sz w:val="21"/>
              </w:rPr>
              <w:t>3407、3408</w:t>
            </w:r>
          </w:p>
        </w:tc>
      </w:tr>
      <w:tr>
        <w:tc>
          <w:tcPr>
            <w:tcW w:type="dxa" w:w="4309"/>
            <w:vAlign w:val="center"/>
          </w:tcPr>
          <w:p>
            <w:pPr>
              <w:spacing w:line="240" w:lineRule="auto"/>
              <w:ind w:firstLine="0"/>
              <w:jc w:val="center"/>
            </w:pPr>
            <w:r/>
            <w:r>
              <w:rPr>
                <w:rFonts w:ascii="Times New Roman" w:hAnsi="Times New Roman" w:eastAsia="宋体"/>
                <w:b w:val="0"/>
                <w:sz w:val="21"/>
              </w:rPr>
              <w:t>评价范围</w:t>
            </w:r>
          </w:p>
        </w:tc>
        <w:tc>
          <w:tcPr>
            <w:tcW w:type="dxa" w:w="4309"/>
            <w:vAlign w:val="center"/>
          </w:tcPr>
          <w:p>
            <w:pPr>
              <w:spacing w:line="240" w:lineRule="auto"/>
              <w:ind w:firstLine="0"/>
              <w:jc w:val="center"/>
            </w:pPr>
            <w:r/>
            <w:r>
              <w:rPr>
                <w:rFonts w:ascii="Times New Roman" w:hAnsi="Times New Roman" w:eastAsia="宋体"/>
                <w:b w:val="0"/>
                <w:sz w:val="21"/>
              </w:rPr>
              <w:t>仅评价采样点处增强值与参考值的误差</w:t>
            </w:r>
          </w:p>
        </w:tc>
      </w:tr>
    </w:tbl>
    <w:p/>
    <w:p>
      <w:pPr>
        <w:pStyle w:val="Heading3"/>
      </w:pPr>
      <w:r>
        <w:t>2.6.2 对比方法与公平性</w:t>
      </w:r>
    </w:p>
    <w:p>
      <w:pPr>
        <w:spacing w:line="400" w:lineRule="exact"/>
        <w:ind w:firstLine="482"/>
        <w:jc w:val="both"/>
      </w:pPr>
      <w:r>
        <w:rPr>
          <w:rFonts w:ascii="Times New Roman" w:hAnsi="Times New Roman" w:eastAsia="宋体"/>
          <w:b w:val="0"/>
          <w:sz w:val="24"/>
        </w:rPr>
        <w:t>主对比仅保留四种增强算法：KNN 均值、中值滤波、图拉普拉斯和本文 AMR-GTV。含噪观测 Noisy 只作为计算 Gain 的无增强基线，不计入“四种算法”对比。所有增强算法使用相同采样点、相同含噪观测和相同随机种子，参数均由脚本固定或由含噪观测估计，不使用 y_i^* 选择参数。</w:t>
      </w:r>
    </w:p>
    <w:p>
      <w:pPr>
        <w:spacing w:before="80" w:after="80"/>
        <w:ind w:firstLine="0"/>
        <w:jc w:val="center"/>
      </w:pPr>
      <w:r>
        <w:rPr>
          <w:rFonts w:ascii="Times New Roman" w:hAnsi="Times New Roman" w:eastAsia="宋体"/>
          <w:b w:val="0"/>
          <w:sz w:val="21"/>
        </w:rPr>
        <w:t>表 2-3 对比方法参数设置</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2154"/>
        <w:gridCol w:w="2154"/>
        <w:gridCol w:w="2154"/>
        <w:gridCol w:w="2154"/>
      </w:tblGrid>
      <w:tr>
        <w:trPr>
          <w:tblHeader/>
        </w:trPr>
        <w:tc>
          <w:tcPr>
            <w:tcW w:type="dxa" w:w="215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方法</w:t>
            </w:r>
          </w:p>
        </w:tc>
        <w:tc>
          <w:tcPr>
            <w:tcW w:type="dxa" w:w="215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关键参数</w:t>
            </w:r>
          </w:p>
        </w:tc>
        <w:tc>
          <w:tcPr>
            <w:tcW w:type="dxa" w:w="215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是否使用参考真值</w:t>
            </w:r>
          </w:p>
        </w:tc>
        <w:tc>
          <w:tcPr>
            <w:tcW w:type="dxa" w:w="215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说明</w:t>
            </w:r>
          </w:p>
        </w:tc>
      </w:tr>
      <w:tr>
        <w:tc>
          <w:tcPr>
            <w:tcW w:type="dxa" w:w="2154"/>
            <w:vAlign w:val="center"/>
          </w:tcPr>
          <w:p>
            <w:pPr>
              <w:spacing w:line="240" w:lineRule="auto"/>
              <w:ind w:firstLine="0"/>
              <w:jc w:val="center"/>
            </w:pPr>
            <w:r/>
            <w:r>
              <w:rPr>
                <w:rFonts w:ascii="Times New Roman" w:hAnsi="Times New Roman" w:eastAsia="宋体"/>
                <w:b w:val="0"/>
                <w:sz w:val="21"/>
              </w:rPr>
              <w:t>KNN-Mean</w:t>
            </w:r>
          </w:p>
        </w:tc>
        <w:tc>
          <w:tcPr>
            <w:tcW w:type="dxa" w:w="2154"/>
            <w:vAlign w:val="center"/>
          </w:tcPr>
          <w:p>
            <w:pPr>
              <w:spacing w:line="240" w:lineRule="auto"/>
              <w:ind w:firstLine="0"/>
              <w:jc w:val="center"/>
            </w:pPr>
            <w:r/>
            <w:r>
              <w:rPr>
                <w:rFonts w:ascii="Times New Roman" w:hAnsi="Times New Roman" w:eastAsia="宋体"/>
                <w:b w:val="0"/>
                <w:sz w:val="21"/>
              </w:rPr>
              <w:t>k=8</w:t>
            </w:r>
          </w:p>
        </w:tc>
        <w:tc>
          <w:tcPr>
            <w:tcW w:type="dxa" w:w="2154"/>
            <w:vAlign w:val="center"/>
          </w:tcPr>
          <w:p>
            <w:pPr>
              <w:spacing w:line="240" w:lineRule="auto"/>
              <w:ind w:firstLine="0"/>
              <w:jc w:val="center"/>
            </w:pPr>
            <w:r/>
            <w:r>
              <w:rPr>
                <w:rFonts w:ascii="Times New Roman" w:hAnsi="Times New Roman" w:eastAsia="宋体"/>
                <w:b w:val="0"/>
                <w:sz w:val="21"/>
              </w:rPr>
              <w:t>否</w:t>
            </w:r>
          </w:p>
        </w:tc>
        <w:tc>
          <w:tcPr>
            <w:tcW w:type="dxa" w:w="2154"/>
            <w:vAlign w:val="center"/>
          </w:tcPr>
          <w:p>
            <w:pPr>
              <w:spacing w:line="240" w:lineRule="auto"/>
              <w:ind w:firstLine="0"/>
              <w:jc w:val="center"/>
            </w:pPr>
            <w:r/>
            <w:r>
              <w:rPr>
                <w:rFonts w:ascii="Times New Roman" w:hAnsi="Times New Roman" w:eastAsia="宋体"/>
                <w:b w:val="0"/>
                <w:sz w:val="21"/>
              </w:rPr>
              <w:t>邻域含自身的局部均值。</w:t>
            </w:r>
          </w:p>
        </w:tc>
      </w:tr>
      <w:tr>
        <w:tc>
          <w:tcPr>
            <w:tcW w:type="dxa" w:w="2154"/>
            <w:vAlign w:val="center"/>
          </w:tcPr>
          <w:p>
            <w:pPr>
              <w:spacing w:line="240" w:lineRule="auto"/>
              <w:ind w:firstLine="0"/>
              <w:jc w:val="center"/>
            </w:pPr>
            <w:r/>
            <w:r>
              <w:rPr>
                <w:rFonts w:ascii="Times New Roman" w:hAnsi="Times New Roman" w:eastAsia="宋体"/>
                <w:b w:val="0"/>
                <w:sz w:val="21"/>
              </w:rPr>
              <w:t>Median</w:t>
            </w:r>
          </w:p>
        </w:tc>
        <w:tc>
          <w:tcPr>
            <w:tcW w:type="dxa" w:w="2154"/>
            <w:vAlign w:val="center"/>
          </w:tcPr>
          <w:p>
            <w:pPr>
              <w:spacing w:line="240" w:lineRule="auto"/>
              <w:ind w:firstLine="0"/>
              <w:jc w:val="center"/>
            </w:pPr>
            <w:r/>
            <w:r>
              <w:rPr>
                <w:rFonts w:ascii="Times New Roman" w:hAnsi="Times New Roman" w:eastAsia="宋体"/>
                <w:b w:val="0"/>
                <w:sz w:val="21"/>
              </w:rPr>
              <w:t>k=8</w:t>
            </w:r>
          </w:p>
        </w:tc>
        <w:tc>
          <w:tcPr>
            <w:tcW w:type="dxa" w:w="2154"/>
            <w:vAlign w:val="center"/>
          </w:tcPr>
          <w:p>
            <w:pPr>
              <w:spacing w:line="240" w:lineRule="auto"/>
              <w:ind w:firstLine="0"/>
              <w:jc w:val="center"/>
            </w:pPr>
            <w:r/>
            <w:r>
              <w:rPr>
                <w:rFonts w:ascii="Times New Roman" w:hAnsi="Times New Roman" w:eastAsia="宋体"/>
                <w:b w:val="0"/>
                <w:sz w:val="21"/>
              </w:rPr>
              <w:t>否</w:t>
            </w:r>
          </w:p>
        </w:tc>
        <w:tc>
          <w:tcPr>
            <w:tcW w:type="dxa" w:w="2154"/>
            <w:vAlign w:val="center"/>
          </w:tcPr>
          <w:p>
            <w:pPr>
              <w:spacing w:line="240" w:lineRule="auto"/>
              <w:ind w:firstLine="0"/>
              <w:jc w:val="center"/>
            </w:pPr>
            <w:r/>
            <w:r>
              <w:rPr>
                <w:rFonts w:ascii="Times New Roman" w:hAnsi="Times New Roman" w:eastAsia="宋体"/>
                <w:b w:val="0"/>
                <w:sz w:val="21"/>
              </w:rPr>
              <w:t>邻域含自身的局部中值。</w:t>
            </w:r>
          </w:p>
        </w:tc>
      </w:tr>
      <w:tr>
        <w:tc>
          <w:tcPr>
            <w:tcW w:type="dxa" w:w="2154"/>
            <w:vAlign w:val="center"/>
          </w:tcPr>
          <w:p>
            <w:pPr>
              <w:spacing w:line="240" w:lineRule="auto"/>
              <w:ind w:firstLine="0"/>
              <w:jc w:val="center"/>
            </w:pPr>
            <w:r/>
            <w:r>
              <w:rPr>
                <w:rFonts w:ascii="Times New Roman" w:hAnsi="Times New Roman" w:eastAsia="宋体"/>
                <w:b w:val="0"/>
                <w:sz w:val="21"/>
              </w:rPr>
              <w:t>Graph-Laplacian</w:t>
            </w:r>
          </w:p>
        </w:tc>
        <w:tc>
          <w:tcPr>
            <w:tcW w:type="dxa" w:w="2154"/>
            <w:vAlign w:val="center"/>
          </w:tcPr>
          <w:p>
            <w:pPr>
              <w:spacing w:line="240" w:lineRule="auto"/>
              <w:ind w:firstLine="0"/>
              <w:jc w:val="center"/>
            </w:pPr>
            <w:r/>
            <w:r>
              <w:rPr>
                <w:rFonts w:ascii="Times New Roman" w:hAnsi="Times New Roman" w:eastAsia="宋体"/>
                <w:b w:val="0"/>
                <w:sz w:val="21"/>
              </w:rPr>
              <w:t>k=8，lambda=0.50</w:t>
            </w:r>
          </w:p>
        </w:tc>
        <w:tc>
          <w:tcPr>
            <w:tcW w:type="dxa" w:w="2154"/>
            <w:vAlign w:val="center"/>
          </w:tcPr>
          <w:p>
            <w:pPr>
              <w:spacing w:line="240" w:lineRule="auto"/>
              <w:ind w:firstLine="0"/>
              <w:jc w:val="center"/>
            </w:pPr>
            <w:r/>
            <w:r>
              <w:rPr>
                <w:rFonts w:ascii="Times New Roman" w:hAnsi="Times New Roman" w:eastAsia="宋体"/>
                <w:b w:val="0"/>
                <w:sz w:val="21"/>
              </w:rPr>
              <w:t>否</w:t>
            </w:r>
          </w:p>
        </w:tc>
        <w:tc>
          <w:tcPr>
            <w:tcW w:type="dxa" w:w="2154"/>
            <w:vAlign w:val="center"/>
          </w:tcPr>
          <w:p>
            <w:pPr>
              <w:spacing w:line="240" w:lineRule="auto"/>
              <w:ind w:firstLine="0"/>
              <w:jc w:val="center"/>
            </w:pPr>
            <w:r/>
            <w:r>
              <w:rPr>
                <w:rFonts w:ascii="Times New Roman" w:hAnsi="Times New Roman" w:eastAsia="宋体"/>
                <w:b w:val="0"/>
                <w:sz w:val="21"/>
              </w:rPr>
              <w:t>二次型图平滑。</w:t>
            </w:r>
          </w:p>
        </w:tc>
      </w:tr>
      <w:tr>
        <w:tc>
          <w:tcPr>
            <w:tcW w:type="dxa" w:w="2154"/>
            <w:vAlign w:val="center"/>
          </w:tcPr>
          <w:p>
            <w:pPr>
              <w:spacing w:line="240" w:lineRule="auto"/>
              <w:ind w:firstLine="0"/>
              <w:jc w:val="center"/>
            </w:pPr>
            <w:r/>
            <w:r>
              <w:rPr>
                <w:rFonts w:ascii="Times New Roman" w:hAnsi="Times New Roman" w:eastAsia="宋体"/>
                <w:b w:val="0"/>
                <w:sz w:val="21"/>
              </w:rPr>
              <w:t>AMR-GTV</w:t>
            </w:r>
          </w:p>
        </w:tc>
        <w:tc>
          <w:tcPr>
            <w:tcW w:type="dxa" w:w="2154"/>
            <w:vAlign w:val="center"/>
          </w:tcPr>
          <w:p>
            <w:pPr>
              <w:spacing w:line="240" w:lineRule="auto"/>
              <w:ind w:firstLine="0"/>
              <w:jc w:val="center"/>
            </w:pPr>
            <w:r/>
            <w:r>
              <w:rPr>
                <w:rFonts w:ascii="Times New Roman" w:hAnsi="Times New Roman" w:eastAsia="宋体"/>
                <w:b w:val="0"/>
                <w:sz w:val="21"/>
              </w:rPr>
              <w:t>k={3,5,8}，lambda/gamma/eta 随估计噪声自适应，IRLS 4 次</w:t>
            </w:r>
          </w:p>
        </w:tc>
        <w:tc>
          <w:tcPr>
            <w:tcW w:type="dxa" w:w="2154"/>
            <w:vAlign w:val="center"/>
          </w:tcPr>
          <w:p>
            <w:pPr>
              <w:spacing w:line="240" w:lineRule="auto"/>
              <w:ind w:firstLine="0"/>
              <w:jc w:val="center"/>
            </w:pPr>
            <w:r/>
            <w:r>
              <w:rPr>
                <w:rFonts w:ascii="Times New Roman" w:hAnsi="Times New Roman" w:eastAsia="宋体"/>
                <w:b w:val="0"/>
                <w:sz w:val="21"/>
              </w:rPr>
              <w:t>否</w:t>
            </w:r>
          </w:p>
        </w:tc>
        <w:tc>
          <w:tcPr>
            <w:tcW w:type="dxa" w:w="2154"/>
            <w:vAlign w:val="center"/>
          </w:tcPr>
          <w:p>
            <w:pPr>
              <w:spacing w:line="240" w:lineRule="auto"/>
              <w:ind w:firstLine="0"/>
              <w:jc w:val="center"/>
            </w:pPr>
            <w:r/>
            <w:r>
              <w:rPr>
                <w:rFonts w:ascii="Times New Roman" w:hAnsi="Times New Roman" w:eastAsia="宋体"/>
                <w:b w:val="0"/>
                <w:sz w:val="21"/>
              </w:rPr>
              <w:t>本文方法，含 z_OI、点级置信度和中值门控。</w:t>
            </w:r>
          </w:p>
        </w:tc>
      </w:tr>
    </w:tbl>
    <w:p/>
    <w:p>
      <w:pPr>
        <w:pStyle w:val="Heading3"/>
      </w:pPr>
      <w:r>
        <w:t>2.6.3 评价指标和 Gain 口径</w:t>
      </w:r>
    </w:p>
    <w:p>
      <w:pPr>
        <w:spacing w:line="400" w:lineRule="exact"/>
        <w:ind w:firstLine="482"/>
        <w:jc w:val="both"/>
      </w:pPr>
      <w:r>
        <w:rPr>
          <w:rFonts w:ascii="Times New Roman" w:hAnsi="Times New Roman" w:eastAsia="宋体"/>
          <w:b w:val="0"/>
          <w:sz w:val="24"/>
        </w:rPr>
        <w:t>本章采用 RMSE、MAE 和 Gain 评价采样点增强误差。表格中的 Gain 使用总体平均 RMSE 计算，即先对 RMSE 求均值，再相对含噪观测均值计算提升率。脚本同时保留逐场景 Gain 均值作为诊断量；由于低噪声场景中基线 RMSE 很小，逐场景 Gain 均值可能与总体 RMSE 口径差异较大，正文结论以总体 Gain 和分组 RMSE 为准。</w:t>
      </w:r>
    </w:p>
    <w:p>
      <w:pPr>
        <w:spacing w:before="80" w:after="80"/>
        <w:ind w:firstLine="0"/>
        <w:jc w:val="center"/>
      </w:pPr>
      <w:r>
        <w:rPr>
          <w:rFonts w:ascii="Times New Roman" w:hAnsi="Times New Roman" w:eastAsia="宋体"/>
          <w:b w:val="0"/>
          <w:sz w:val="22"/>
        </w:rPr>
        <w:t>RMSE = sqrt(1/N sum_i (z_i-y_i^*)^2)</w:t>
      </w:r>
    </w:p>
    <w:p>
      <w:pPr>
        <w:spacing w:before="80" w:after="80"/>
        <w:ind w:firstLine="0"/>
        <w:jc w:val="center"/>
      </w:pPr>
      <w:r>
        <w:rPr>
          <w:rFonts w:ascii="Times New Roman" w:hAnsi="Times New Roman" w:eastAsia="宋体"/>
          <w:b w:val="0"/>
          <w:sz w:val="22"/>
        </w:rPr>
        <w:t>MAE = 1/N sum_i |z_i-y_i^*|</w:t>
      </w:r>
    </w:p>
    <w:p>
      <w:pPr>
        <w:spacing w:before="80" w:after="80"/>
        <w:ind w:firstLine="0"/>
        <w:jc w:val="center"/>
      </w:pPr>
      <w:r>
        <w:rPr>
          <w:rFonts w:ascii="Times New Roman" w:hAnsi="Times New Roman" w:eastAsia="宋体"/>
          <w:b w:val="0"/>
          <w:sz w:val="22"/>
        </w:rPr>
        <w:t>Gain_global = (mean(RMSE_noisy)-mean(RMSE_method))/mean(RMSE_noisy) x 100%</w:t>
      </w:r>
    </w:p>
    <w:p>
      <w:pPr>
        <w:pStyle w:val="Heading2"/>
      </w:pPr>
      <w:r>
        <w:t>2.7 实验结果与分析</w:t>
      </w:r>
    </w:p>
    <w:p>
      <w:pPr>
        <w:pStyle w:val="Heading3"/>
      </w:pPr>
      <w:r>
        <w:t>2.7.1 总体性能</w:t>
      </w:r>
    </w:p>
    <w:p>
      <w:pPr>
        <w:spacing w:line="400" w:lineRule="exact"/>
        <w:ind w:firstLine="482"/>
        <w:jc w:val="both"/>
      </w:pPr>
      <w:r>
        <w:rPr>
          <w:rFonts w:ascii="Times New Roman" w:hAnsi="Times New Roman" w:eastAsia="宋体"/>
          <w:b w:val="0"/>
          <w:sz w:val="24"/>
        </w:rPr>
        <w:t>表 2-4 给出了 24 个压力实验场景下四种增强算法的总体结果。按平均 RMSE 统计，最低误差方法为AMR-GTV，平均 RMSE 为 0.0453。AMR-GTV 相对于含噪观测 0.1365 的总体 Gain 为 66.81%。与 KNN 均值、中值滤波和图拉普拉斯相比，AMR-GTV 在当前压力场景下取得最低平均误差，说明点级置信度、多尺度鲁棒图正则和中值门控的组合能够更有效抑制强噪声与离群点。</w:t>
      </w:r>
    </w:p>
    <w:p>
      <w:pPr>
        <w:spacing w:before="80" w:after="80"/>
        <w:ind w:firstLine="0"/>
        <w:jc w:val="center"/>
      </w:pPr>
      <w:r>
        <w:rPr>
          <w:rFonts w:ascii="Times New Roman" w:hAnsi="Times New Roman" w:eastAsia="宋体"/>
          <w:b w:val="0"/>
          <w:sz w:val="21"/>
        </w:rPr>
        <w:t>表 2-4 不同增强方法总体性能对比</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724"/>
        <w:gridCol w:w="1724"/>
        <w:gridCol w:w="1724"/>
        <w:gridCol w:w="1724"/>
        <w:gridCol w:w="1724"/>
      </w:tblGrid>
      <w:tr>
        <w:trPr>
          <w:tblHeader/>
        </w:trPr>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方法</w:t>
            </w:r>
          </w:p>
        </w:tc>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平均 RMSE</w:t>
            </w:r>
          </w:p>
        </w:tc>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RMSE 标准差</w:t>
            </w:r>
          </w:p>
        </w:tc>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总体 Gain/%</w:t>
            </w:r>
          </w:p>
        </w:tc>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平均运行时间/ms</w:t>
            </w:r>
          </w:p>
        </w:tc>
      </w:tr>
      <w:tr>
        <w:tc>
          <w:tcPr>
            <w:tcW w:type="dxa" w:w="1724"/>
            <w:vAlign w:val="center"/>
          </w:tcPr>
          <w:p>
            <w:pPr>
              <w:spacing w:line="240" w:lineRule="auto"/>
              <w:ind w:firstLine="0"/>
              <w:jc w:val="center"/>
            </w:pPr>
            <w:r/>
            <w:r>
              <w:rPr>
                <w:rFonts w:ascii="Times New Roman" w:hAnsi="Times New Roman" w:eastAsia="宋体"/>
                <w:b w:val="0"/>
                <w:sz w:val="21"/>
              </w:rPr>
              <w:t>AMR-GTV</w:t>
            </w:r>
          </w:p>
        </w:tc>
        <w:tc>
          <w:tcPr>
            <w:tcW w:type="dxa" w:w="1724"/>
            <w:vAlign w:val="center"/>
          </w:tcPr>
          <w:p>
            <w:pPr>
              <w:spacing w:line="240" w:lineRule="auto"/>
              <w:ind w:firstLine="0"/>
              <w:jc w:val="center"/>
            </w:pPr>
            <w:r/>
            <w:r>
              <w:rPr>
                <w:rFonts w:ascii="Times New Roman" w:hAnsi="Times New Roman" w:eastAsia="宋体"/>
                <w:b w:val="0"/>
                <w:sz w:val="21"/>
              </w:rPr>
              <w:t>0.0453</w:t>
            </w:r>
          </w:p>
        </w:tc>
        <w:tc>
          <w:tcPr>
            <w:tcW w:type="dxa" w:w="1724"/>
            <w:vAlign w:val="center"/>
          </w:tcPr>
          <w:p>
            <w:pPr>
              <w:spacing w:line="240" w:lineRule="auto"/>
              <w:ind w:firstLine="0"/>
              <w:jc w:val="center"/>
            </w:pPr>
            <w:r/>
            <w:r>
              <w:rPr>
                <w:rFonts w:ascii="Times New Roman" w:hAnsi="Times New Roman" w:eastAsia="宋体"/>
                <w:b w:val="0"/>
                <w:sz w:val="21"/>
              </w:rPr>
              <w:t>0.0090</w:t>
            </w:r>
          </w:p>
        </w:tc>
        <w:tc>
          <w:tcPr>
            <w:tcW w:type="dxa" w:w="1724"/>
            <w:vAlign w:val="center"/>
          </w:tcPr>
          <w:p>
            <w:pPr>
              <w:spacing w:line="240" w:lineRule="auto"/>
              <w:ind w:firstLine="0"/>
              <w:jc w:val="center"/>
            </w:pPr>
            <w:r/>
            <w:r>
              <w:rPr>
                <w:rFonts w:ascii="Times New Roman" w:hAnsi="Times New Roman" w:eastAsia="宋体"/>
                <w:b w:val="0"/>
                <w:sz w:val="21"/>
              </w:rPr>
              <w:t>66.81</w:t>
            </w:r>
          </w:p>
        </w:tc>
        <w:tc>
          <w:tcPr>
            <w:tcW w:type="dxa" w:w="1724"/>
            <w:vAlign w:val="center"/>
          </w:tcPr>
          <w:p>
            <w:pPr>
              <w:spacing w:line="240" w:lineRule="auto"/>
              <w:ind w:firstLine="0"/>
              <w:jc w:val="center"/>
            </w:pPr>
            <w:r/>
            <w:r>
              <w:rPr>
                <w:rFonts w:ascii="Times New Roman" w:hAnsi="Times New Roman" w:eastAsia="宋体"/>
                <w:b w:val="0"/>
                <w:sz w:val="21"/>
              </w:rPr>
              <w:t>174.79</w:t>
            </w:r>
          </w:p>
        </w:tc>
      </w:tr>
      <w:tr>
        <w:tc>
          <w:tcPr>
            <w:tcW w:type="dxa" w:w="1724"/>
            <w:vAlign w:val="center"/>
          </w:tcPr>
          <w:p>
            <w:pPr>
              <w:spacing w:line="240" w:lineRule="auto"/>
              <w:ind w:firstLine="0"/>
              <w:jc w:val="center"/>
            </w:pPr>
            <w:r/>
            <w:r>
              <w:rPr>
                <w:rFonts w:ascii="Times New Roman" w:hAnsi="Times New Roman" w:eastAsia="宋体"/>
                <w:b w:val="0"/>
                <w:sz w:val="21"/>
              </w:rPr>
              <w:t>中值滤波</w:t>
            </w:r>
          </w:p>
        </w:tc>
        <w:tc>
          <w:tcPr>
            <w:tcW w:type="dxa" w:w="1724"/>
            <w:vAlign w:val="center"/>
          </w:tcPr>
          <w:p>
            <w:pPr>
              <w:spacing w:line="240" w:lineRule="auto"/>
              <w:ind w:firstLine="0"/>
              <w:jc w:val="center"/>
            </w:pPr>
            <w:r/>
            <w:r>
              <w:rPr>
                <w:rFonts w:ascii="Times New Roman" w:hAnsi="Times New Roman" w:eastAsia="宋体"/>
                <w:b w:val="0"/>
                <w:sz w:val="21"/>
              </w:rPr>
              <w:t>0.0523</w:t>
            </w:r>
          </w:p>
        </w:tc>
        <w:tc>
          <w:tcPr>
            <w:tcW w:type="dxa" w:w="1724"/>
            <w:vAlign w:val="center"/>
          </w:tcPr>
          <w:p>
            <w:pPr>
              <w:spacing w:line="240" w:lineRule="auto"/>
              <w:ind w:firstLine="0"/>
              <w:jc w:val="center"/>
            </w:pPr>
            <w:r/>
            <w:r>
              <w:rPr>
                <w:rFonts w:ascii="Times New Roman" w:hAnsi="Times New Roman" w:eastAsia="宋体"/>
                <w:b w:val="0"/>
                <w:sz w:val="21"/>
              </w:rPr>
              <w:t>0.0103</w:t>
            </w:r>
          </w:p>
        </w:tc>
        <w:tc>
          <w:tcPr>
            <w:tcW w:type="dxa" w:w="1724"/>
            <w:vAlign w:val="center"/>
          </w:tcPr>
          <w:p>
            <w:pPr>
              <w:spacing w:line="240" w:lineRule="auto"/>
              <w:ind w:firstLine="0"/>
              <w:jc w:val="center"/>
            </w:pPr>
            <w:r/>
            <w:r>
              <w:rPr>
                <w:rFonts w:ascii="Times New Roman" w:hAnsi="Times New Roman" w:eastAsia="宋体"/>
                <w:b w:val="0"/>
                <w:sz w:val="21"/>
              </w:rPr>
              <w:t>61.69</w:t>
            </w:r>
          </w:p>
        </w:tc>
        <w:tc>
          <w:tcPr>
            <w:tcW w:type="dxa" w:w="1724"/>
            <w:vAlign w:val="center"/>
          </w:tcPr>
          <w:p>
            <w:pPr>
              <w:spacing w:line="240" w:lineRule="auto"/>
              <w:ind w:firstLine="0"/>
              <w:jc w:val="center"/>
            </w:pPr>
            <w:r/>
            <w:r>
              <w:rPr>
                <w:rFonts w:ascii="Times New Roman" w:hAnsi="Times New Roman" w:eastAsia="宋体"/>
                <w:b w:val="0"/>
                <w:sz w:val="21"/>
              </w:rPr>
              <w:t>18.39</w:t>
            </w:r>
          </w:p>
        </w:tc>
      </w:tr>
      <w:tr>
        <w:tc>
          <w:tcPr>
            <w:tcW w:type="dxa" w:w="1724"/>
            <w:vAlign w:val="center"/>
          </w:tcPr>
          <w:p>
            <w:pPr>
              <w:spacing w:line="240" w:lineRule="auto"/>
              <w:ind w:firstLine="0"/>
              <w:jc w:val="center"/>
            </w:pPr>
            <w:r/>
            <w:r>
              <w:rPr>
                <w:rFonts w:ascii="Times New Roman" w:hAnsi="Times New Roman" w:eastAsia="宋体"/>
                <w:b w:val="0"/>
                <w:sz w:val="21"/>
              </w:rPr>
              <w:t>图拉普拉斯</w:t>
            </w:r>
          </w:p>
        </w:tc>
        <w:tc>
          <w:tcPr>
            <w:tcW w:type="dxa" w:w="1724"/>
            <w:vAlign w:val="center"/>
          </w:tcPr>
          <w:p>
            <w:pPr>
              <w:spacing w:line="240" w:lineRule="auto"/>
              <w:ind w:firstLine="0"/>
              <w:jc w:val="center"/>
            </w:pPr>
            <w:r/>
            <w:r>
              <w:rPr>
                <w:rFonts w:ascii="Times New Roman" w:hAnsi="Times New Roman" w:eastAsia="宋体"/>
                <w:b w:val="0"/>
                <w:sz w:val="21"/>
              </w:rPr>
              <w:t>0.0621</w:t>
            </w:r>
          </w:p>
        </w:tc>
        <w:tc>
          <w:tcPr>
            <w:tcW w:type="dxa" w:w="1724"/>
            <w:vAlign w:val="center"/>
          </w:tcPr>
          <w:p>
            <w:pPr>
              <w:spacing w:line="240" w:lineRule="auto"/>
              <w:ind w:firstLine="0"/>
              <w:jc w:val="center"/>
            </w:pPr>
            <w:r/>
            <w:r>
              <w:rPr>
                <w:rFonts w:ascii="Times New Roman" w:hAnsi="Times New Roman" w:eastAsia="宋体"/>
                <w:b w:val="0"/>
                <w:sz w:val="21"/>
              </w:rPr>
              <w:t>0.0153</w:t>
            </w:r>
          </w:p>
        </w:tc>
        <w:tc>
          <w:tcPr>
            <w:tcW w:type="dxa" w:w="1724"/>
            <w:vAlign w:val="center"/>
          </w:tcPr>
          <w:p>
            <w:pPr>
              <w:spacing w:line="240" w:lineRule="auto"/>
              <w:ind w:firstLine="0"/>
              <w:jc w:val="center"/>
            </w:pPr>
            <w:r/>
            <w:r>
              <w:rPr>
                <w:rFonts w:ascii="Times New Roman" w:hAnsi="Times New Roman" w:eastAsia="宋体"/>
                <w:b w:val="0"/>
                <w:sz w:val="21"/>
              </w:rPr>
              <w:t>54.46</w:t>
            </w:r>
          </w:p>
        </w:tc>
        <w:tc>
          <w:tcPr>
            <w:tcW w:type="dxa" w:w="1724"/>
            <w:vAlign w:val="center"/>
          </w:tcPr>
          <w:p>
            <w:pPr>
              <w:spacing w:line="240" w:lineRule="auto"/>
              <w:ind w:firstLine="0"/>
              <w:jc w:val="center"/>
            </w:pPr>
            <w:r/>
            <w:r>
              <w:rPr>
                <w:rFonts w:ascii="Times New Roman" w:hAnsi="Times New Roman" w:eastAsia="宋体"/>
                <w:b w:val="0"/>
                <w:sz w:val="21"/>
              </w:rPr>
              <w:t>12.64</w:t>
            </w:r>
          </w:p>
        </w:tc>
      </w:tr>
      <w:tr>
        <w:tc>
          <w:tcPr>
            <w:tcW w:type="dxa" w:w="1724"/>
            <w:vAlign w:val="center"/>
          </w:tcPr>
          <w:p>
            <w:pPr>
              <w:spacing w:line="240" w:lineRule="auto"/>
              <w:ind w:firstLine="0"/>
              <w:jc w:val="center"/>
            </w:pPr>
            <w:r/>
            <w:r>
              <w:rPr>
                <w:rFonts w:ascii="Times New Roman" w:hAnsi="Times New Roman" w:eastAsia="宋体"/>
                <w:b w:val="0"/>
                <w:sz w:val="21"/>
              </w:rPr>
              <w:t>KNN均值</w:t>
            </w:r>
          </w:p>
        </w:tc>
        <w:tc>
          <w:tcPr>
            <w:tcW w:type="dxa" w:w="1724"/>
            <w:vAlign w:val="center"/>
          </w:tcPr>
          <w:p>
            <w:pPr>
              <w:spacing w:line="240" w:lineRule="auto"/>
              <w:ind w:firstLine="0"/>
              <w:jc w:val="center"/>
            </w:pPr>
            <w:r/>
            <w:r>
              <w:rPr>
                <w:rFonts w:ascii="Times New Roman" w:hAnsi="Times New Roman" w:eastAsia="宋体"/>
                <w:b w:val="0"/>
                <w:sz w:val="21"/>
              </w:rPr>
              <w:t>0.0648</w:t>
            </w:r>
          </w:p>
        </w:tc>
        <w:tc>
          <w:tcPr>
            <w:tcW w:type="dxa" w:w="1724"/>
            <w:vAlign w:val="center"/>
          </w:tcPr>
          <w:p>
            <w:pPr>
              <w:spacing w:line="240" w:lineRule="auto"/>
              <w:ind w:firstLine="0"/>
              <w:jc w:val="center"/>
            </w:pPr>
            <w:r/>
            <w:r>
              <w:rPr>
                <w:rFonts w:ascii="Times New Roman" w:hAnsi="Times New Roman" w:eastAsia="宋体"/>
                <w:b w:val="0"/>
                <w:sz w:val="21"/>
              </w:rPr>
              <w:t>0.0147</w:t>
            </w:r>
          </w:p>
        </w:tc>
        <w:tc>
          <w:tcPr>
            <w:tcW w:type="dxa" w:w="1724"/>
            <w:vAlign w:val="center"/>
          </w:tcPr>
          <w:p>
            <w:pPr>
              <w:spacing w:line="240" w:lineRule="auto"/>
              <w:ind w:firstLine="0"/>
              <w:jc w:val="center"/>
            </w:pPr>
            <w:r/>
            <w:r>
              <w:rPr>
                <w:rFonts w:ascii="Times New Roman" w:hAnsi="Times New Roman" w:eastAsia="宋体"/>
                <w:b w:val="0"/>
                <w:sz w:val="21"/>
              </w:rPr>
              <w:t>52.55</w:t>
            </w:r>
          </w:p>
        </w:tc>
        <w:tc>
          <w:tcPr>
            <w:tcW w:type="dxa" w:w="1724"/>
            <w:vAlign w:val="center"/>
          </w:tcPr>
          <w:p>
            <w:pPr>
              <w:spacing w:line="240" w:lineRule="auto"/>
              <w:ind w:firstLine="0"/>
              <w:jc w:val="center"/>
            </w:pPr>
            <w:r/>
            <w:r>
              <w:rPr>
                <w:rFonts w:ascii="Times New Roman" w:hAnsi="Times New Roman" w:eastAsia="宋体"/>
                <w:b w:val="0"/>
                <w:sz w:val="21"/>
              </w:rPr>
              <w:t>11.89</w:t>
            </w:r>
          </w:p>
        </w:tc>
      </w:tr>
    </w:tbl>
    <w:p/>
    <w:p>
      <w:pPr>
        <w:spacing w:line="240" w:lineRule="auto" w:before="120" w:after="60"/>
        <w:ind w:firstLine="0"/>
        <w:jc w:val="center"/>
      </w:pPr>
      <w:r>
        <w:drawing>
          <wp:inline xmlns:a="http://schemas.openxmlformats.org/drawingml/2006/main" xmlns:pic="http://schemas.openxmlformats.org/drawingml/2006/picture">
            <wp:extent cx="5303520" cy="2969539"/>
            <wp:docPr id="4" name="Picture 4"/>
            <wp:cNvGraphicFramePr>
              <a:graphicFrameLocks noChangeAspect="1"/>
            </wp:cNvGraphicFramePr>
            <a:graphic>
              <a:graphicData uri="http://schemas.openxmlformats.org/drawingml/2006/picture">
                <pic:pic>
                  <pic:nvPicPr>
                    <pic:cNvPr id="0" name="fig_2_5_method_ranking.png"/>
                    <pic:cNvPicPr/>
                  </pic:nvPicPr>
                  <pic:blipFill>
                    <a:blip r:embed="rId12"/>
                    <a:stretch>
                      <a:fillRect/>
                    </a:stretch>
                  </pic:blipFill>
                  <pic:spPr>
                    <a:xfrm>
                      <a:off x="0" y="0"/>
                      <a:ext cx="5303520" cy="2969539"/>
                    </a:xfrm>
                    <a:prstGeom prst="rect"/>
                  </pic:spPr>
                </pic:pic>
              </a:graphicData>
            </a:graphic>
          </wp:inline>
        </w:drawing>
      </w:r>
    </w:p>
    <w:p>
      <w:pPr>
        <w:spacing w:before="80" w:after="80"/>
        <w:ind w:firstLine="0"/>
        <w:jc w:val="center"/>
      </w:pPr>
      <w:r>
        <w:rPr>
          <w:rFonts w:ascii="Times New Roman" w:hAnsi="Times New Roman" w:eastAsia="宋体"/>
          <w:b w:val="0"/>
          <w:sz w:val="21"/>
        </w:rPr>
        <w:t>图 2-5 不同增强算法总体性能排序</w:t>
      </w:r>
    </w:p>
    <w:p>
      <w:pPr>
        <w:spacing w:line="240" w:lineRule="auto" w:before="120" w:after="60"/>
        <w:ind w:firstLine="0"/>
        <w:jc w:val="center"/>
      </w:pPr>
      <w:r>
        <w:drawing>
          <wp:inline xmlns:a="http://schemas.openxmlformats.org/drawingml/2006/main" xmlns:pic="http://schemas.openxmlformats.org/drawingml/2006/picture">
            <wp:extent cx="5303520" cy="3121001"/>
            <wp:docPr id="5" name="Picture 5"/>
            <wp:cNvGraphicFramePr>
              <a:graphicFrameLocks noChangeAspect="1"/>
            </wp:cNvGraphicFramePr>
            <a:graphic>
              <a:graphicData uri="http://schemas.openxmlformats.org/drawingml/2006/picture">
                <pic:pic>
                  <pic:nvPicPr>
                    <pic:cNvPr id="0" name="fig_2_7_error_distribution.png"/>
                    <pic:cNvPicPr/>
                  </pic:nvPicPr>
                  <pic:blipFill>
                    <a:blip r:embed="rId13"/>
                    <a:stretch>
                      <a:fillRect/>
                    </a:stretch>
                  </pic:blipFill>
                  <pic:spPr>
                    <a:xfrm>
                      <a:off x="0" y="0"/>
                      <a:ext cx="5303520" cy="3121001"/>
                    </a:xfrm>
                    <a:prstGeom prst="rect"/>
                  </pic:spPr>
                </pic:pic>
              </a:graphicData>
            </a:graphic>
          </wp:inline>
        </w:drawing>
      </w:r>
    </w:p>
    <w:p>
      <w:pPr>
        <w:spacing w:before="80" w:after="80"/>
        <w:ind w:firstLine="0"/>
        <w:jc w:val="center"/>
      </w:pPr>
      <w:r>
        <w:rPr>
          <w:rFonts w:ascii="Times New Roman" w:hAnsi="Times New Roman" w:eastAsia="宋体"/>
          <w:b w:val="0"/>
          <w:sz w:val="21"/>
        </w:rPr>
        <w:t>图 2-6 代表性场景下不同方法误差分布</w:t>
      </w:r>
    </w:p>
    <w:p>
      <w:pPr>
        <w:spacing w:line="240" w:lineRule="auto" w:before="120" w:after="60"/>
        <w:ind w:firstLine="0"/>
        <w:jc w:val="center"/>
      </w:pPr>
      <w:r>
        <w:drawing>
          <wp:inline xmlns:a="http://schemas.openxmlformats.org/drawingml/2006/main" xmlns:pic="http://schemas.openxmlformats.org/drawingml/2006/picture">
            <wp:extent cx="5303520" cy="2004125"/>
            <wp:docPr id="6" name="Picture 6"/>
            <wp:cNvGraphicFramePr>
              <a:graphicFrameLocks noChangeAspect="1"/>
            </wp:cNvGraphicFramePr>
            <a:graphic>
              <a:graphicData uri="http://schemas.openxmlformats.org/drawingml/2006/picture">
                <pic:pic>
                  <pic:nvPicPr>
                    <pic:cNvPr id="0" name="fig_2_8_spatial_error_maps.png"/>
                    <pic:cNvPicPr/>
                  </pic:nvPicPr>
                  <pic:blipFill>
                    <a:blip r:embed="rId14"/>
                    <a:stretch>
                      <a:fillRect/>
                    </a:stretch>
                  </pic:blipFill>
                  <pic:spPr>
                    <a:xfrm>
                      <a:off x="0" y="0"/>
                      <a:ext cx="5303520" cy="2004125"/>
                    </a:xfrm>
                    <a:prstGeom prst="rect"/>
                  </pic:spPr>
                </pic:pic>
              </a:graphicData>
            </a:graphic>
          </wp:inline>
        </w:drawing>
      </w:r>
    </w:p>
    <w:p>
      <w:pPr>
        <w:spacing w:before="80" w:after="80"/>
        <w:ind w:firstLine="0"/>
        <w:jc w:val="center"/>
      </w:pPr>
      <w:r>
        <w:rPr>
          <w:rFonts w:ascii="Times New Roman" w:hAnsi="Times New Roman" w:eastAsia="宋体"/>
          <w:b w:val="0"/>
          <w:sz w:val="21"/>
        </w:rPr>
        <w:t>图 2-7 代表性场景下不同方法空间误差分布</w:t>
      </w:r>
    </w:p>
    <w:p>
      <w:pPr>
        <w:pStyle w:val="Heading3"/>
      </w:pPr>
      <w:r>
        <w:t>2.7.2 不同噪声强度下的效果</w:t>
      </w:r>
    </w:p>
    <w:p>
      <w:pPr>
        <w:spacing w:line="400" w:lineRule="exact"/>
        <w:ind w:firstLine="482"/>
        <w:jc w:val="both"/>
      </w:pPr>
      <w:r>
        <w:rPr>
          <w:rFonts w:ascii="Times New Roman" w:hAnsi="Times New Roman" w:eastAsia="宋体"/>
          <w:b w:val="0"/>
          <w:sz w:val="24"/>
        </w:rPr>
        <w:t>表 2-5 比较 eta=0.60、0.80 和 1.00 三种强噪声条件下四种增强算法的 RMSE。随着噪声强度提高，KNN 均值和图拉普拉斯更容易受到离群点扩散影响；中值滤波具备一定鲁棒性，但只利用局部统计，难以同时兼顾空间结构。AMR-GTV 在各噪声强度分组下均保持最低 RMSE，说明其优势主要来自困难观测条件下的自适应鲁棒约束。</w:t>
      </w:r>
    </w:p>
    <w:p>
      <w:pPr>
        <w:spacing w:before="80" w:after="80"/>
        <w:ind w:firstLine="0"/>
        <w:jc w:val="center"/>
      </w:pPr>
      <w:r>
        <w:rPr>
          <w:rFonts w:ascii="Times New Roman" w:hAnsi="Times New Roman" w:eastAsia="宋体"/>
          <w:b w:val="0"/>
          <w:sz w:val="21"/>
        </w:rPr>
        <w:t>表 2-5 不同噪声强度下代表性方法 RMSE 对比</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724"/>
        <w:gridCol w:w="1724"/>
        <w:gridCol w:w="1724"/>
        <w:gridCol w:w="1724"/>
        <w:gridCol w:w="1724"/>
      </w:tblGrid>
      <w:tr>
        <w:trPr>
          <w:tblHeader/>
        </w:trPr>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噪声强度</w:t>
            </w:r>
          </w:p>
        </w:tc>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KNN均值</w:t>
            </w:r>
          </w:p>
        </w:tc>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中值滤波</w:t>
            </w:r>
          </w:p>
        </w:tc>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图拉普拉斯</w:t>
            </w:r>
          </w:p>
        </w:tc>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AMR-GTV</w:t>
            </w:r>
          </w:p>
        </w:tc>
      </w:tr>
      <w:tr>
        <w:tc>
          <w:tcPr>
            <w:tcW w:type="dxa" w:w="1724"/>
            <w:vAlign w:val="center"/>
          </w:tcPr>
          <w:p>
            <w:pPr>
              <w:spacing w:line="240" w:lineRule="auto"/>
              <w:ind w:firstLine="0"/>
              <w:jc w:val="center"/>
            </w:pPr>
            <w:r/>
            <w:r>
              <w:rPr>
                <w:rFonts w:ascii="Times New Roman" w:hAnsi="Times New Roman" w:eastAsia="宋体"/>
                <w:b w:val="0"/>
                <w:sz w:val="21"/>
              </w:rPr>
              <w:t>0.6</w:t>
            </w:r>
          </w:p>
        </w:tc>
        <w:tc>
          <w:tcPr>
            <w:tcW w:type="dxa" w:w="1724"/>
            <w:vAlign w:val="center"/>
          </w:tcPr>
          <w:p>
            <w:pPr>
              <w:spacing w:line="240" w:lineRule="auto"/>
              <w:ind w:firstLine="0"/>
              <w:jc w:val="center"/>
            </w:pPr>
            <w:r/>
            <w:r>
              <w:rPr>
                <w:rFonts w:ascii="Times New Roman" w:hAnsi="Times New Roman" w:eastAsia="宋体"/>
                <w:b w:val="0"/>
                <w:sz w:val="21"/>
              </w:rPr>
              <w:t>0.0568</w:t>
            </w:r>
          </w:p>
        </w:tc>
        <w:tc>
          <w:tcPr>
            <w:tcW w:type="dxa" w:w="1724"/>
            <w:vAlign w:val="center"/>
          </w:tcPr>
          <w:p>
            <w:pPr>
              <w:spacing w:line="240" w:lineRule="auto"/>
              <w:ind w:firstLine="0"/>
              <w:jc w:val="center"/>
            </w:pPr>
            <w:r/>
            <w:r>
              <w:rPr>
                <w:rFonts w:ascii="Times New Roman" w:hAnsi="Times New Roman" w:eastAsia="宋体"/>
                <w:b w:val="0"/>
                <w:sz w:val="21"/>
              </w:rPr>
              <w:t>0.0506</w:t>
            </w:r>
          </w:p>
        </w:tc>
        <w:tc>
          <w:tcPr>
            <w:tcW w:type="dxa" w:w="1724"/>
            <w:vAlign w:val="center"/>
          </w:tcPr>
          <w:p>
            <w:pPr>
              <w:spacing w:line="240" w:lineRule="auto"/>
              <w:ind w:firstLine="0"/>
              <w:jc w:val="center"/>
            </w:pPr>
            <w:r/>
            <w:r>
              <w:rPr>
                <w:rFonts w:ascii="Times New Roman" w:hAnsi="Times New Roman" w:eastAsia="宋体"/>
                <w:b w:val="0"/>
                <w:sz w:val="21"/>
              </w:rPr>
              <w:t>0.0526</w:t>
            </w:r>
          </w:p>
        </w:tc>
        <w:tc>
          <w:tcPr>
            <w:tcW w:type="dxa" w:w="1724"/>
            <w:vAlign w:val="center"/>
          </w:tcPr>
          <w:p>
            <w:pPr>
              <w:spacing w:line="240" w:lineRule="auto"/>
              <w:ind w:firstLine="0"/>
              <w:jc w:val="center"/>
            </w:pPr>
            <w:r/>
            <w:r>
              <w:rPr>
                <w:rFonts w:ascii="Times New Roman" w:hAnsi="Times New Roman" w:eastAsia="宋体"/>
                <w:b w:val="0"/>
                <w:sz w:val="21"/>
              </w:rPr>
              <w:t>0.0421</w:t>
            </w:r>
          </w:p>
        </w:tc>
      </w:tr>
      <w:tr>
        <w:tc>
          <w:tcPr>
            <w:tcW w:type="dxa" w:w="1724"/>
            <w:vAlign w:val="center"/>
          </w:tcPr>
          <w:p>
            <w:pPr>
              <w:spacing w:line="240" w:lineRule="auto"/>
              <w:ind w:firstLine="0"/>
              <w:jc w:val="center"/>
            </w:pPr>
            <w:r/>
            <w:r>
              <w:rPr>
                <w:rFonts w:ascii="Times New Roman" w:hAnsi="Times New Roman" w:eastAsia="宋体"/>
                <w:b w:val="0"/>
                <w:sz w:val="21"/>
              </w:rPr>
              <w:t>0.8</w:t>
            </w:r>
          </w:p>
        </w:tc>
        <w:tc>
          <w:tcPr>
            <w:tcW w:type="dxa" w:w="1724"/>
            <w:vAlign w:val="center"/>
          </w:tcPr>
          <w:p>
            <w:pPr>
              <w:spacing w:line="240" w:lineRule="auto"/>
              <w:ind w:firstLine="0"/>
              <w:jc w:val="center"/>
            </w:pPr>
            <w:r/>
            <w:r>
              <w:rPr>
                <w:rFonts w:ascii="Times New Roman" w:hAnsi="Times New Roman" w:eastAsia="宋体"/>
                <w:b w:val="0"/>
                <w:sz w:val="21"/>
              </w:rPr>
              <w:t>0.0644</w:t>
            </w:r>
          </w:p>
        </w:tc>
        <w:tc>
          <w:tcPr>
            <w:tcW w:type="dxa" w:w="1724"/>
            <w:vAlign w:val="center"/>
          </w:tcPr>
          <w:p>
            <w:pPr>
              <w:spacing w:line="240" w:lineRule="auto"/>
              <w:ind w:firstLine="0"/>
              <w:jc w:val="center"/>
            </w:pPr>
            <w:r/>
            <w:r>
              <w:rPr>
                <w:rFonts w:ascii="Times New Roman" w:hAnsi="Times New Roman" w:eastAsia="宋体"/>
                <w:b w:val="0"/>
                <w:sz w:val="21"/>
              </w:rPr>
              <w:t>0.0528</w:t>
            </w:r>
          </w:p>
        </w:tc>
        <w:tc>
          <w:tcPr>
            <w:tcW w:type="dxa" w:w="1724"/>
            <w:vAlign w:val="center"/>
          </w:tcPr>
          <w:p>
            <w:pPr>
              <w:spacing w:line="240" w:lineRule="auto"/>
              <w:ind w:firstLine="0"/>
              <w:jc w:val="center"/>
            </w:pPr>
            <w:r/>
            <w:r>
              <w:rPr>
                <w:rFonts w:ascii="Times New Roman" w:hAnsi="Times New Roman" w:eastAsia="宋体"/>
                <w:b w:val="0"/>
                <w:sz w:val="21"/>
              </w:rPr>
              <w:t>0.0611</w:t>
            </w:r>
          </w:p>
        </w:tc>
        <w:tc>
          <w:tcPr>
            <w:tcW w:type="dxa" w:w="1724"/>
            <w:vAlign w:val="center"/>
          </w:tcPr>
          <w:p>
            <w:pPr>
              <w:spacing w:line="240" w:lineRule="auto"/>
              <w:ind w:firstLine="0"/>
              <w:jc w:val="center"/>
            </w:pPr>
            <w:r/>
            <w:r>
              <w:rPr>
                <w:rFonts w:ascii="Times New Roman" w:hAnsi="Times New Roman" w:eastAsia="宋体"/>
                <w:b w:val="0"/>
                <w:sz w:val="21"/>
              </w:rPr>
              <w:t>0.0460</w:t>
            </w:r>
          </w:p>
        </w:tc>
      </w:tr>
      <w:tr>
        <w:tc>
          <w:tcPr>
            <w:tcW w:type="dxa" w:w="1724"/>
            <w:vAlign w:val="center"/>
          </w:tcPr>
          <w:p>
            <w:pPr>
              <w:spacing w:line="240" w:lineRule="auto"/>
              <w:ind w:firstLine="0"/>
              <w:jc w:val="center"/>
            </w:pPr>
            <w:r/>
            <w:r>
              <w:rPr>
                <w:rFonts w:ascii="Times New Roman" w:hAnsi="Times New Roman" w:eastAsia="宋体"/>
                <w:b w:val="0"/>
                <w:sz w:val="21"/>
              </w:rPr>
              <w:t>1</w:t>
            </w:r>
          </w:p>
        </w:tc>
        <w:tc>
          <w:tcPr>
            <w:tcW w:type="dxa" w:w="1724"/>
            <w:vAlign w:val="center"/>
          </w:tcPr>
          <w:p>
            <w:pPr>
              <w:spacing w:line="240" w:lineRule="auto"/>
              <w:ind w:firstLine="0"/>
              <w:jc w:val="center"/>
            </w:pPr>
            <w:r/>
            <w:r>
              <w:rPr>
                <w:rFonts w:ascii="Times New Roman" w:hAnsi="Times New Roman" w:eastAsia="宋体"/>
                <w:b w:val="0"/>
                <w:sz w:val="21"/>
              </w:rPr>
              <w:t>0.0730</w:t>
            </w:r>
          </w:p>
        </w:tc>
        <w:tc>
          <w:tcPr>
            <w:tcW w:type="dxa" w:w="1724"/>
            <w:vAlign w:val="center"/>
          </w:tcPr>
          <w:p>
            <w:pPr>
              <w:spacing w:line="240" w:lineRule="auto"/>
              <w:ind w:firstLine="0"/>
              <w:jc w:val="center"/>
            </w:pPr>
            <w:r/>
            <w:r>
              <w:rPr>
                <w:rFonts w:ascii="Times New Roman" w:hAnsi="Times New Roman" w:eastAsia="宋体"/>
                <w:b w:val="0"/>
                <w:sz w:val="21"/>
              </w:rPr>
              <w:t>0.0534</w:t>
            </w:r>
          </w:p>
        </w:tc>
        <w:tc>
          <w:tcPr>
            <w:tcW w:type="dxa" w:w="1724"/>
            <w:vAlign w:val="center"/>
          </w:tcPr>
          <w:p>
            <w:pPr>
              <w:spacing w:line="240" w:lineRule="auto"/>
              <w:ind w:firstLine="0"/>
              <w:jc w:val="center"/>
            </w:pPr>
            <w:r/>
            <w:r>
              <w:rPr>
                <w:rFonts w:ascii="Times New Roman" w:hAnsi="Times New Roman" w:eastAsia="宋体"/>
                <w:b w:val="0"/>
                <w:sz w:val="21"/>
              </w:rPr>
              <w:t>0.0727</w:t>
            </w:r>
          </w:p>
        </w:tc>
        <w:tc>
          <w:tcPr>
            <w:tcW w:type="dxa" w:w="1724"/>
            <w:vAlign w:val="center"/>
          </w:tcPr>
          <w:p>
            <w:pPr>
              <w:spacing w:line="240" w:lineRule="auto"/>
              <w:ind w:firstLine="0"/>
              <w:jc w:val="center"/>
            </w:pPr>
            <w:r/>
            <w:r>
              <w:rPr>
                <w:rFonts w:ascii="Times New Roman" w:hAnsi="Times New Roman" w:eastAsia="宋体"/>
                <w:b w:val="0"/>
                <w:sz w:val="21"/>
              </w:rPr>
              <w:t>0.0478</w:t>
            </w:r>
          </w:p>
        </w:tc>
      </w:tr>
    </w:tbl>
    <w:p/>
    <w:p>
      <w:pPr>
        <w:spacing w:line="240" w:lineRule="auto" w:before="120" w:after="60"/>
        <w:ind w:firstLine="0"/>
        <w:jc w:val="center"/>
      </w:pPr>
      <w:r>
        <w:drawing>
          <wp:inline xmlns:a="http://schemas.openxmlformats.org/drawingml/2006/main" xmlns:pic="http://schemas.openxmlformats.org/drawingml/2006/picture">
            <wp:extent cx="5303520" cy="3203469"/>
            <wp:docPr id="7" name="Picture 7"/>
            <wp:cNvGraphicFramePr>
              <a:graphicFrameLocks noChangeAspect="1"/>
            </wp:cNvGraphicFramePr>
            <a:graphic>
              <a:graphicData uri="http://schemas.openxmlformats.org/drawingml/2006/picture">
                <pic:pic>
                  <pic:nvPicPr>
                    <pic:cNvPr id="0" name="fig_2_9_noise_ratio_rmse.png"/>
                    <pic:cNvPicPr/>
                  </pic:nvPicPr>
                  <pic:blipFill>
                    <a:blip r:embed="rId15"/>
                    <a:stretch>
                      <a:fillRect/>
                    </a:stretch>
                  </pic:blipFill>
                  <pic:spPr>
                    <a:xfrm>
                      <a:off x="0" y="0"/>
                      <a:ext cx="5303520" cy="3203469"/>
                    </a:xfrm>
                    <a:prstGeom prst="rect"/>
                  </pic:spPr>
                </pic:pic>
              </a:graphicData>
            </a:graphic>
          </wp:inline>
        </w:drawing>
      </w:r>
    </w:p>
    <w:p>
      <w:pPr>
        <w:spacing w:before="80" w:after="80"/>
        <w:ind w:firstLine="0"/>
        <w:jc w:val="center"/>
      </w:pPr>
      <w:r>
        <w:rPr>
          <w:rFonts w:ascii="Times New Roman" w:hAnsi="Times New Roman" w:eastAsia="宋体"/>
          <w:b w:val="0"/>
          <w:sz w:val="21"/>
        </w:rPr>
        <w:t>图 2-8 不同噪声强度下的 RMSE 变化曲线</w:t>
      </w:r>
    </w:p>
    <w:p>
      <w:pPr>
        <w:spacing w:line="240" w:lineRule="auto" w:before="120" w:after="60"/>
        <w:ind w:firstLine="0"/>
        <w:jc w:val="center"/>
      </w:pPr>
      <w:r>
        <w:drawing>
          <wp:inline xmlns:a="http://schemas.openxmlformats.org/drawingml/2006/main" xmlns:pic="http://schemas.openxmlformats.org/drawingml/2006/picture">
            <wp:extent cx="5303520" cy="3206206"/>
            <wp:docPr id="8" name="Picture 8"/>
            <wp:cNvGraphicFramePr>
              <a:graphicFrameLocks noChangeAspect="1"/>
            </wp:cNvGraphicFramePr>
            <a:graphic>
              <a:graphicData uri="http://schemas.openxmlformats.org/drawingml/2006/picture">
                <pic:pic>
                  <pic:nvPicPr>
                    <pic:cNvPr id="0" name="fig_2_10_outlier_fraction_rmse.png"/>
                    <pic:cNvPicPr/>
                  </pic:nvPicPr>
                  <pic:blipFill>
                    <a:blip r:embed="rId16"/>
                    <a:stretch>
                      <a:fillRect/>
                    </a:stretch>
                  </pic:blipFill>
                  <pic:spPr>
                    <a:xfrm>
                      <a:off x="0" y="0"/>
                      <a:ext cx="5303520" cy="3206206"/>
                    </a:xfrm>
                    <a:prstGeom prst="rect"/>
                  </pic:spPr>
                </pic:pic>
              </a:graphicData>
            </a:graphic>
          </wp:inline>
        </w:drawing>
      </w:r>
    </w:p>
    <w:p>
      <w:pPr>
        <w:spacing w:before="80" w:after="80"/>
        <w:ind w:firstLine="0"/>
        <w:jc w:val="center"/>
      </w:pPr>
      <w:r>
        <w:rPr>
          <w:rFonts w:ascii="Times New Roman" w:hAnsi="Times New Roman" w:eastAsia="宋体"/>
          <w:b w:val="0"/>
          <w:sz w:val="21"/>
        </w:rPr>
        <w:t>图 2-9 不同离群点比例下的 RMSE 变化曲线</w:t>
      </w:r>
    </w:p>
    <w:p>
      <w:pPr>
        <w:pStyle w:val="Heading3"/>
      </w:pPr>
      <w:r>
        <w:t>2.7.3 不同采样率下的效果</w:t>
      </w:r>
    </w:p>
    <w:p>
      <w:pPr>
        <w:spacing w:line="400" w:lineRule="exact"/>
        <w:ind w:firstLine="482"/>
        <w:jc w:val="both"/>
      </w:pPr>
      <w:r>
        <w:rPr>
          <w:rFonts w:ascii="Times New Roman" w:hAnsi="Times New Roman" w:eastAsia="宋体"/>
          <w:b w:val="0"/>
          <w:sz w:val="24"/>
        </w:rPr>
        <w:t>表 2-6 比较采样率 0.030 和 0.050 下四种增强算法相对于含噪观测的总体 Gain。两个采样率下 AMR-GTV 均取得最高增益，说明当观测点数量足以支撑局部邻域统计和多尺度 kNN 图构建时，本文方法能够比单纯局部均值、中值统计和二次型图平滑获得更稳定的误差抑制效果。</w:t>
      </w:r>
    </w:p>
    <w:p>
      <w:pPr>
        <w:spacing w:before="80" w:after="80"/>
        <w:ind w:firstLine="0"/>
        <w:jc w:val="center"/>
      </w:pPr>
      <w:r>
        <w:rPr>
          <w:rFonts w:ascii="Times New Roman" w:hAnsi="Times New Roman" w:eastAsia="宋体"/>
          <w:b w:val="0"/>
          <w:sz w:val="21"/>
        </w:rPr>
        <w:t>表 2-6 不同采样率下代表性方法总体 Gain/% 对比</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724"/>
        <w:gridCol w:w="1724"/>
        <w:gridCol w:w="1724"/>
        <w:gridCol w:w="1724"/>
        <w:gridCol w:w="1724"/>
      </w:tblGrid>
      <w:tr>
        <w:trPr>
          <w:tblHeader/>
        </w:trPr>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采样率</w:t>
            </w:r>
          </w:p>
        </w:tc>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KNN均值</w:t>
            </w:r>
          </w:p>
        </w:tc>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中值滤波</w:t>
            </w:r>
          </w:p>
        </w:tc>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图拉普拉斯</w:t>
            </w:r>
          </w:p>
        </w:tc>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AMR-GTV</w:t>
            </w:r>
          </w:p>
        </w:tc>
      </w:tr>
      <w:tr>
        <w:tc>
          <w:tcPr>
            <w:tcW w:type="dxa" w:w="1724"/>
            <w:vAlign w:val="center"/>
          </w:tcPr>
          <w:p>
            <w:pPr>
              <w:spacing w:line="240" w:lineRule="auto"/>
              <w:ind w:firstLine="0"/>
              <w:jc w:val="center"/>
            </w:pPr>
            <w:r/>
            <w:r>
              <w:rPr>
                <w:rFonts w:ascii="Times New Roman" w:hAnsi="Times New Roman" w:eastAsia="宋体"/>
                <w:b w:val="0"/>
                <w:sz w:val="21"/>
              </w:rPr>
              <w:t>0.03</w:t>
            </w:r>
          </w:p>
        </w:tc>
        <w:tc>
          <w:tcPr>
            <w:tcW w:type="dxa" w:w="1724"/>
            <w:vAlign w:val="center"/>
          </w:tcPr>
          <w:p>
            <w:pPr>
              <w:spacing w:line="240" w:lineRule="auto"/>
              <w:ind w:firstLine="0"/>
              <w:jc w:val="center"/>
            </w:pPr>
            <w:r/>
            <w:r>
              <w:rPr>
                <w:rFonts w:ascii="Times New Roman" w:hAnsi="Times New Roman" w:eastAsia="宋体"/>
                <w:b w:val="0"/>
                <w:sz w:val="21"/>
              </w:rPr>
              <w:t>51.9047</w:t>
            </w:r>
          </w:p>
        </w:tc>
        <w:tc>
          <w:tcPr>
            <w:tcW w:type="dxa" w:w="1724"/>
            <w:vAlign w:val="center"/>
          </w:tcPr>
          <w:p>
            <w:pPr>
              <w:spacing w:line="240" w:lineRule="auto"/>
              <w:ind w:firstLine="0"/>
              <w:jc w:val="center"/>
            </w:pPr>
            <w:r/>
            <w:r>
              <w:rPr>
                <w:rFonts w:ascii="Times New Roman" w:hAnsi="Times New Roman" w:eastAsia="宋体"/>
                <w:b w:val="0"/>
                <w:sz w:val="21"/>
              </w:rPr>
              <w:t>59.8833</w:t>
            </w:r>
          </w:p>
        </w:tc>
        <w:tc>
          <w:tcPr>
            <w:tcW w:type="dxa" w:w="1724"/>
            <w:vAlign w:val="center"/>
          </w:tcPr>
          <w:p>
            <w:pPr>
              <w:spacing w:line="240" w:lineRule="auto"/>
              <w:ind w:firstLine="0"/>
              <w:jc w:val="center"/>
            </w:pPr>
            <w:r/>
            <w:r>
              <w:rPr>
                <w:rFonts w:ascii="Times New Roman" w:hAnsi="Times New Roman" w:eastAsia="宋体"/>
                <w:b w:val="0"/>
                <w:sz w:val="21"/>
              </w:rPr>
              <w:t>54.8252</w:t>
            </w:r>
          </w:p>
        </w:tc>
        <w:tc>
          <w:tcPr>
            <w:tcW w:type="dxa" w:w="1724"/>
            <w:vAlign w:val="center"/>
          </w:tcPr>
          <w:p>
            <w:pPr>
              <w:spacing w:line="240" w:lineRule="auto"/>
              <w:ind w:firstLine="0"/>
              <w:jc w:val="center"/>
            </w:pPr>
            <w:r/>
            <w:r>
              <w:rPr>
                <w:rFonts w:ascii="Times New Roman" w:hAnsi="Times New Roman" w:eastAsia="宋体"/>
                <w:b w:val="0"/>
                <w:sz w:val="21"/>
              </w:rPr>
              <w:t>65.4348</w:t>
            </w:r>
          </w:p>
        </w:tc>
      </w:tr>
      <w:tr>
        <w:tc>
          <w:tcPr>
            <w:tcW w:type="dxa" w:w="1724"/>
            <w:vAlign w:val="center"/>
          </w:tcPr>
          <w:p>
            <w:pPr>
              <w:spacing w:line="240" w:lineRule="auto"/>
              <w:ind w:firstLine="0"/>
              <w:jc w:val="center"/>
            </w:pPr>
            <w:r/>
            <w:r>
              <w:rPr>
                <w:rFonts w:ascii="Times New Roman" w:hAnsi="Times New Roman" w:eastAsia="宋体"/>
                <w:b w:val="0"/>
                <w:sz w:val="21"/>
              </w:rPr>
              <w:t>0.05</w:t>
            </w:r>
          </w:p>
        </w:tc>
        <w:tc>
          <w:tcPr>
            <w:tcW w:type="dxa" w:w="1724"/>
            <w:vAlign w:val="center"/>
          </w:tcPr>
          <w:p>
            <w:pPr>
              <w:spacing w:line="240" w:lineRule="auto"/>
              <w:ind w:firstLine="0"/>
              <w:jc w:val="center"/>
            </w:pPr>
            <w:r/>
            <w:r>
              <w:rPr>
                <w:rFonts w:ascii="Times New Roman" w:hAnsi="Times New Roman" w:eastAsia="宋体"/>
                <w:b w:val="0"/>
                <w:sz w:val="21"/>
              </w:rPr>
              <w:t>53.1296</w:t>
            </w:r>
          </w:p>
        </w:tc>
        <w:tc>
          <w:tcPr>
            <w:tcW w:type="dxa" w:w="1724"/>
            <w:vAlign w:val="center"/>
          </w:tcPr>
          <w:p>
            <w:pPr>
              <w:spacing w:line="240" w:lineRule="auto"/>
              <w:ind w:firstLine="0"/>
              <w:jc w:val="center"/>
            </w:pPr>
            <w:r/>
            <w:r>
              <w:rPr>
                <w:rFonts w:ascii="Times New Roman" w:hAnsi="Times New Roman" w:eastAsia="宋体"/>
                <w:b w:val="0"/>
                <w:sz w:val="21"/>
              </w:rPr>
              <w:t>63.3370</w:t>
            </w:r>
          </w:p>
        </w:tc>
        <w:tc>
          <w:tcPr>
            <w:tcW w:type="dxa" w:w="1724"/>
            <w:vAlign w:val="center"/>
          </w:tcPr>
          <w:p>
            <w:pPr>
              <w:spacing w:line="240" w:lineRule="auto"/>
              <w:ind w:firstLine="0"/>
              <w:jc w:val="center"/>
            </w:pPr>
            <w:r/>
            <w:r>
              <w:rPr>
                <w:rFonts w:ascii="Times New Roman" w:hAnsi="Times New Roman" w:eastAsia="宋体"/>
                <w:b w:val="0"/>
                <w:sz w:val="21"/>
              </w:rPr>
              <w:t>54.1345</w:t>
            </w:r>
          </w:p>
        </w:tc>
        <w:tc>
          <w:tcPr>
            <w:tcW w:type="dxa" w:w="1724"/>
            <w:vAlign w:val="center"/>
          </w:tcPr>
          <w:p>
            <w:pPr>
              <w:spacing w:line="240" w:lineRule="auto"/>
              <w:ind w:firstLine="0"/>
              <w:jc w:val="center"/>
            </w:pPr>
            <w:r/>
            <w:r>
              <w:rPr>
                <w:rFonts w:ascii="Times New Roman" w:hAnsi="Times New Roman" w:eastAsia="宋体"/>
                <w:b w:val="0"/>
                <w:sz w:val="21"/>
              </w:rPr>
              <w:t>68.0679</w:t>
            </w:r>
          </w:p>
        </w:tc>
      </w:tr>
    </w:tbl>
    <w:p/>
    <w:p>
      <w:pPr>
        <w:spacing w:line="240" w:lineRule="auto" w:before="120" w:after="60"/>
        <w:ind w:firstLine="0"/>
        <w:jc w:val="center"/>
      </w:pPr>
      <w:r>
        <w:drawing>
          <wp:inline xmlns:a="http://schemas.openxmlformats.org/drawingml/2006/main" xmlns:pic="http://schemas.openxmlformats.org/drawingml/2006/picture">
            <wp:extent cx="5303520" cy="3290772"/>
            <wp:docPr id="9" name="Picture 9"/>
            <wp:cNvGraphicFramePr>
              <a:graphicFrameLocks noChangeAspect="1"/>
            </wp:cNvGraphicFramePr>
            <a:graphic>
              <a:graphicData uri="http://schemas.openxmlformats.org/drawingml/2006/picture">
                <pic:pic>
                  <pic:nvPicPr>
                    <pic:cNvPr id="0" name="fig_2_11_sampling_gain.png"/>
                    <pic:cNvPicPr/>
                  </pic:nvPicPr>
                  <pic:blipFill>
                    <a:blip r:embed="rId17"/>
                    <a:stretch>
                      <a:fillRect/>
                    </a:stretch>
                  </pic:blipFill>
                  <pic:spPr>
                    <a:xfrm>
                      <a:off x="0" y="0"/>
                      <a:ext cx="5303520" cy="3290772"/>
                    </a:xfrm>
                    <a:prstGeom prst="rect"/>
                  </pic:spPr>
                </pic:pic>
              </a:graphicData>
            </a:graphic>
          </wp:inline>
        </w:drawing>
      </w:r>
    </w:p>
    <w:p>
      <w:pPr>
        <w:spacing w:before="80" w:after="80"/>
        <w:ind w:firstLine="0"/>
        <w:jc w:val="center"/>
      </w:pPr>
      <w:r>
        <w:rPr>
          <w:rFonts w:ascii="Times New Roman" w:hAnsi="Times New Roman" w:eastAsia="宋体"/>
          <w:b w:val="0"/>
          <w:sz w:val="21"/>
        </w:rPr>
        <w:t>图 2-10 不同采样率下的增强收益</w:t>
      </w:r>
    </w:p>
    <w:p>
      <w:pPr>
        <w:spacing w:line="240" w:lineRule="auto" w:before="120" w:after="60"/>
        <w:ind w:firstLine="0"/>
        <w:jc w:val="center"/>
      </w:pPr>
      <w:r>
        <w:drawing>
          <wp:inline xmlns:a="http://schemas.openxmlformats.org/drawingml/2006/main" xmlns:pic="http://schemas.openxmlformats.org/drawingml/2006/picture">
            <wp:extent cx="5303520" cy="3877733"/>
            <wp:docPr id="10" name="Picture 10"/>
            <wp:cNvGraphicFramePr>
              <a:graphicFrameLocks noChangeAspect="1"/>
            </wp:cNvGraphicFramePr>
            <a:graphic>
              <a:graphicData uri="http://schemas.openxmlformats.org/drawingml/2006/picture">
                <pic:pic>
                  <pic:nvPicPr>
                    <pic:cNvPr id="0" name="fig_2_12_amr_gain_heatmap.png"/>
                    <pic:cNvPicPr/>
                  </pic:nvPicPr>
                  <pic:blipFill>
                    <a:blip r:embed="rId18"/>
                    <a:stretch>
                      <a:fillRect/>
                    </a:stretch>
                  </pic:blipFill>
                  <pic:spPr>
                    <a:xfrm>
                      <a:off x="0" y="0"/>
                      <a:ext cx="5303520" cy="3877733"/>
                    </a:xfrm>
                    <a:prstGeom prst="rect"/>
                  </pic:spPr>
                </pic:pic>
              </a:graphicData>
            </a:graphic>
          </wp:inline>
        </w:drawing>
      </w:r>
    </w:p>
    <w:p>
      <w:pPr>
        <w:spacing w:before="80" w:after="80"/>
        <w:ind w:firstLine="0"/>
        <w:jc w:val="center"/>
      </w:pPr>
      <w:r>
        <w:rPr>
          <w:rFonts w:ascii="Times New Roman" w:hAnsi="Times New Roman" w:eastAsia="宋体"/>
          <w:b w:val="0"/>
          <w:sz w:val="21"/>
        </w:rPr>
        <w:t>图 2-11 AMR-GTV 相对图拉普拉斯的 RMSE 降低率</w:t>
      </w:r>
    </w:p>
    <w:p>
      <w:pPr>
        <w:pStyle w:val="Heading3"/>
      </w:pPr>
      <w:r>
        <w:t>2.7.4 消融实验与参数敏感性</w:t>
      </w:r>
    </w:p>
    <w:p>
      <w:pPr>
        <w:spacing w:line="400" w:lineRule="exact"/>
        <w:ind w:firstLine="482"/>
        <w:jc w:val="both"/>
      </w:pPr>
      <w:r>
        <w:rPr>
          <w:rFonts w:ascii="Times New Roman" w:hAnsi="Times New Roman" w:eastAsia="宋体"/>
          <w:b w:val="0"/>
          <w:sz w:val="24"/>
        </w:rPr>
        <w:t>表 2-7 的列顺序为“方法、RMSE、MAE、总体 Gain/%”。消融实验统计范围为 t=0、采样率 0.05、eta=0.80、异方差离群噪声、随机种子 3407 和 3408。该表用于分析 AMR-GTV 内部组件贡献，不计入四种主对比算法数量。若去除某个稳定项后在局部子集上误差接近完整模型，说明该组件主要承担稳定约束作用；若去除自适应权重或中值门控后误差明显升高，则说明其对强噪声和离群点抑制更关键。</w:t>
      </w:r>
    </w:p>
    <w:p>
      <w:pPr>
        <w:spacing w:before="80" w:after="80"/>
        <w:ind w:firstLine="0"/>
        <w:jc w:val="center"/>
      </w:pPr>
      <w:r>
        <w:rPr>
          <w:rFonts w:ascii="Times New Roman" w:hAnsi="Times New Roman" w:eastAsia="宋体"/>
          <w:b w:val="0"/>
          <w:sz w:val="21"/>
        </w:rPr>
        <w:t>表 2-7 AMR-GTV 消融实验结果</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2154"/>
        <w:gridCol w:w="2154"/>
        <w:gridCol w:w="2154"/>
        <w:gridCol w:w="2154"/>
      </w:tblGrid>
      <w:tr>
        <w:trPr>
          <w:tblHeader/>
        </w:trPr>
        <w:tc>
          <w:tcPr>
            <w:tcW w:type="dxa" w:w="215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方法</w:t>
            </w:r>
          </w:p>
        </w:tc>
        <w:tc>
          <w:tcPr>
            <w:tcW w:type="dxa" w:w="215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RMSE</w:t>
            </w:r>
          </w:p>
        </w:tc>
        <w:tc>
          <w:tcPr>
            <w:tcW w:type="dxa" w:w="215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MAE</w:t>
            </w:r>
          </w:p>
        </w:tc>
        <w:tc>
          <w:tcPr>
            <w:tcW w:type="dxa" w:w="215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总体 Gain/%</w:t>
            </w:r>
          </w:p>
        </w:tc>
      </w:tr>
      <w:tr>
        <w:tc>
          <w:tcPr>
            <w:tcW w:type="dxa" w:w="2154"/>
            <w:vAlign w:val="center"/>
          </w:tcPr>
          <w:p>
            <w:pPr>
              <w:spacing w:line="240" w:lineRule="auto"/>
              <w:ind w:firstLine="0"/>
              <w:jc w:val="center"/>
            </w:pPr>
            <w:r/>
            <w:r>
              <w:rPr>
                <w:rFonts w:ascii="Times New Roman" w:hAnsi="Times New Roman" w:eastAsia="宋体"/>
                <w:b w:val="0"/>
                <w:sz w:val="21"/>
              </w:rPr>
              <w:t>AMR-GTV</w:t>
            </w:r>
          </w:p>
        </w:tc>
        <w:tc>
          <w:tcPr>
            <w:tcW w:type="dxa" w:w="2154"/>
            <w:vAlign w:val="center"/>
          </w:tcPr>
          <w:p>
            <w:pPr>
              <w:spacing w:line="240" w:lineRule="auto"/>
              <w:ind w:firstLine="0"/>
              <w:jc w:val="center"/>
            </w:pPr>
            <w:r/>
            <w:r>
              <w:rPr>
                <w:rFonts w:ascii="Times New Roman" w:hAnsi="Times New Roman" w:eastAsia="宋体"/>
                <w:b w:val="0"/>
                <w:sz w:val="21"/>
              </w:rPr>
              <w:t>0.0406</w:t>
            </w:r>
          </w:p>
        </w:tc>
        <w:tc>
          <w:tcPr>
            <w:tcW w:type="dxa" w:w="2154"/>
            <w:vAlign w:val="center"/>
          </w:tcPr>
          <w:p>
            <w:pPr>
              <w:spacing w:line="240" w:lineRule="auto"/>
              <w:ind w:firstLine="0"/>
              <w:jc w:val="center"/>
            </w:pPr>
            <w:r/>
            <w:r>
              <w:rPr>
                <w:rFonts w:ascii="Times New Roman" w:hAnsi="Times New Roman" w:eastAsia="宋体"/>
                <w:b w:val="0"/>
                <w:sz w:val="21"/>
              </w:rPr>
              <w:t>0.0278</w:t>
            </w:r>
          </w:p>
        </w:tc>
        <w:tc>
          <w:tcPr>
            <w:tcW w:type="dxa" w:w="2154"/>
            <w:vAlign w:val="center"/>
          </w:tcPr>
          <w:p>
            <w:pPr>
              <w:spacing w:line="240" w:lineRule="auto"/>
              <w:ind w:firstLine="0"/>
              <w:jc w:val="center"/>
            </w:pPr>
            <w:r/>
            <w:r>
              <w:rPr>
                <w:rFonts w:ascii="Times New Roman" w:hAnsi="Times New Roman" w:eastAsia="宋体"/>
                <w:b w:val="0"/>
                <w:sz w:val="21"/>
              </w:rPr>
              <w:t>65.96</w:t>
            </w:r>
          </w:p>
        </w:tc>
      </w:tr>
      <w:tr>
        <w:tc>
          <w:tcPr>
            <w:tcW w:type="dxa" w:w="2154"/>
            <w:vAlign w:val="center"/>
          </w:tcPr>
          <w:p>
            <w:pPr>
              <w:spacing w:line="240" w:lineRule="auto"/>
              <w:ind w:firstLine="0"/>
              <w:jc w:val="center"/>
            </w:pPr>
            <w:r/>
            <w:r>
              <w:rPr>
                <w:rFonts w:ascii="Times New Roman" w:hAnsi="Times New Roman" w:eastAsia="宋体"/>
                <w:b w:val="0"/>
                <w:sz w:val="21"/>
              </w:rPr>
              <w:t>AMR-GTV去除最优插值先验</w:t>
            </w:r>
          </w:p>
        </w:tc>
        <w:tc>
          <w:tcPr>
            <w:tcW w:type="dxa" w:w="2154"/>
            <w:vAlign w:val="center"/>
          </w:tcPr>
          <w:p>
            <w:pPr>
              <w:spacing w:line="240" w:lineRule="auto"/>
              <w:ind w:firstLine="0"/>
              <w:jc w:val="center"/>
            </w:pPr>
            <w:r/>
            <w:r>
              <w:rPr>
                <w:rFonts w:ascii="Times New Roman" w:hAnsi="Times New Roman" w:eastAsia="宋体"/>
                <w:b w:val="0"/>
                <w:sz w:val="21"/>
              </w:rPr>
              <w:t>0.0407</w:t>
            </w:r>
          </w:p>
        </w:tc>
        <w:tc>
          <w:tcPr>
            <w:tcW w:type="dxa" w:w="2154"/>
            <w:vAlign w:val="center"/>
          </w:tcPr>
          <w:p>
            <w:pPr>
              <w:spacing w:line="240" w:lineRule="auto"/>
              <w:ind w:firstLine="0"/>
              <w:jc w:val="center"/>
            </w:pPr>
            <w:r/>
            <w:r>
              <w:rPr>
                <w:rFonts w:ascii="Times New Roman" w:hAnsi="Times New Roman" w:eastAsia="宋体"/>
                <w:b w:val="0"/>
                <w:sz w:val="21"/>
              </w:rPr>
              <w:t>0.0278</w:t>
            </w:r>
          </w:p>
        </w:tc>
        <w:tc>
          <w:tcPr>
            <w:tcW w:type="dxa" w:w="2154"/>
            <w:vAlign w:val="center"/>
          </w:tcPr>
          <w:p>
            <w:pPr>
              <w:spacing w:line="240" w:lineRule="auto"/>
              <w:ind w:firstLine="0"/>
              <w:jc w:val="center"/>
            </w:pPr>
            <w:r/>
            <w:r>
              <w:rPr>
                <w:rFonts w:ascii="Times New Roman" w:hAnsi="Times New Roman" w:eastAsia="宋体"/>
                <w:b w:val="0"/>
                <w:sz w:val="21"/>
              </w:rPr>
              <w:t>65.88</w:t>
            </w:r>
          </w:p>
        </w:tc>
      </w:tr>
      <w:tr>
        <w:tc>
          <w:tcPr>
            <w:tcW w:type="dxa" w:w="2154"/>
            <w:vAlign w:val="center"/>
          </w:tcPr>
          <w:p>
            <w:pPr>
              <w:spacing w:line="240" w:lineRule="auto"/>
              <w:ind w:firstLine="0"/>
              <w:jc w:val="center"/>
            </w:pPr>
            <w:r/>
            <w:r>
              <w:rPr>
                <w:rFonts w:ascii="Times New Roman" w:hAnsi="Times New Roman" w:eastAsia="宋体"/>
                <w:b w:val="0"/>
                <w:sz w:val="21"/>
              </w:rPr>
              <w:t>AMR-GTV去除多尺度图</w:t>
            </w:r>
          </w:p>
        </w:tc>
        <w:tc>
          <w:tcPr>
            <w:tcW w:type="dxa" w:w="2154"/>
            <w:vAlign w:val="center"/>
          </w:tcPr>
          <w:p>
            <w:pPr>
              <w:spacing w:line="240" w:lineRule="auto"/>
              <w:ind w:firstLine="0"/>
              <w:jc w:val="center"/>
            </w:pPr>
            <w:r/>
            <w:r>
              <w:rPr>
                <w:rFonts w:ascii="Times New Roman" w:hAnsi="Times New Roman" w:eastAsia="宋体"/>
                <w:b w:val="0"/>
                <w:sz w:val="21"/>
              </w:rPr>
              <w:t>0.0406</w:t>
            </w:r>
          </w:p>
        </w:tc>
        <w:tc>
          <w:tcPr>
            <w:tcW w:type="dxa" w:w="2154"/>
            <w:vAlign w:val="center"/>
          </w:tcPr>
          <w:p>
            <w:pPr>
              <w:spacing w:line="240" w:lineRule="auto"/>
              <w:ind w:firstLine="0"/>
              <w:jc w:val="center"/>
            </w:pPr>
            <w:r/>
            <w:r>
              <w:rPr>
                <w:rFonts w:ascii="Times New Roman" w:hAnsi="Times New Roman" w:eastAsia="宋体"/>
                <w:b w:val="0"/>
                <w:sz w:val="21"/>
              </w:rPr>
              <w:t>0.0278</w:t>
            </w:r>
          </w:p>
        </w:tc>
        <w:tc>
          <w:tcPr>
            <w:tcW w:type="dxa" w:w="2154"/>
            <w:vAlign w:val="center"/>
          </w:tcPr>
          <w:p>
            <w:pPr>
              <w:spacing w:line="240" w:lineRule="auto"/>
              <w:ind w:firstLine="0"/>
              <w:jc w:val="center"/>
            </w:pPr>
            <w:r/>
            <w:r>
              <w:rPr>
                <w:rFonts w:ascii="Times New Roman" w:hAnsi="Times New Roman" w:eastAsia="宋体"/>
                <w:b w:val="0"/>
                <w:sz w:val="21"/>
              </w:rPr>
              <w:t>65.92</w:t>
            </w:r>
          </w:p>
        </w:tc>
      </w:tr>
      <w:tr>
        <w:tc>
          <w:tcPr>
            <w:tcW w:type="dxa" w:w="2154"/>
            <w:vAlign w:val="center"/>
          </w:tcPr>
          <w:p>
            <w:pPr>
              <w:spacing w:line="240" w:lineRule="auto"/>
              <w:ind w:firstLine="0"/>
              <w:jc w:val="center"/>
            </w:pPr>
            <w:r/>
            <w:r>
              <w:rPr>
                <w:rFonts w:ascii="Times New Roman" w:hAnsi="Times New Roman" w:eastAsia="宋体"/>
                <w:b w:val="0"/>
                <w:sz w:val="21"/>
              </w:rPr>
              <w:t>AMR-GTV去除自适应权重</w:t>
            </w:r>
          </w:p>
        </w:tc>
        <w:tc>
          <w:tcPr>
            <w:tcW w:type="dxa" w:w="2154"/>
            <w:vAlign w:val="center"/>
          </w:tcPr>
          <w:p>
            <w:pPr>
              <w:spacing w:line="240" w:lineRule="auto"/>
              <w:ind w:firstLine="0"/>
              <w:jc w:val="center"/>
            </w:pPr>
            <w:r/>
            <w:r>
              <w:rPr>
                <w:rFonts w:ascii="Times New Roman" w:hAnsi="Times New Roman" w:eastAsia="宋体"/>
                <w:b w:val="0"/>
                <w:sz w:val="21"/>
              </w:rPr>
              <w:t>0.1134</w:t>
            </w:r>
          </w:p>
        </w:tc>
        <w:tc>
          <w:tcPr>
            <w:tcW w:type="dxa" w:w="2154"/>
            <w:vAlign w:val="center"/>
          </w:tcPr>
          <w:p>
            <w:pPr>
              <w:spacing w:line="240" w:lineRule="auto"/>
              <w:ind w:firstLine="0"/>
              <w:jc w:val="center"/>
            </w:pPr>
            <w:r/>
            <w:r>
              <w:rPr>
                <w:rFonts w:ascii="Times New Roman" w:hAnsi="Times New Roman" w:eastAsia="宋体"/>
                <w:b w:val="0"/>
                <w:sz w:val="21"/>
              </w:rPr>
              <w:t>0.0529</w:t>
            </w:r>
          </w:p>
        </w:tc>
        <w:tc>
          <w:tcPr>
            <w:tcW w:type="dxa" w:w="2154"/>
            <w:vAlign w:val="center"/>
          </w:tcPr>
          <w:p>
            <w:pPr>
              <w:spacing w:line="240" w:lineRule="auto"/>
              <w:ind w:firstLine="0"/>
              <w:jc w:val="center"/>
            </w:pPr>
            <w:r/>
            <w:r>
              <w:rPr>
                <w:rFonts w:ascii="Times New Roman" w:hAnsi="Times New Roman" w:eastAsia="宋体"/>
                <w:b w:val="0"/>
                <w:sz w:val="21"/>
              </w:rPr>
              <w:t>4.84</w:t>
            </w:r>
          </w:p>
        </w:tc>
      </w:tr>
      <w:tr>
        <w:tc>
          <w:tcPr>
            <w:tcW w:type="dxa" w:w="2154"/>
            <w:vAlign w:val="center"/>
          </w:tcPr>
          <w:p>
            <w:pPr>
              <w:spacing w:line="240" w:lineRule="auto"/>
              <w:ind w:firstLine="0"/>
              <w:jc w:val="center"/>
            </w:pPr>
            <w:r/>
            <w:r>
              <w:rPr>
                <w:rFonts w:ascii="Times New Roman" w:hAnsi="Times New Roman" w:eastAsia="宋体"/>
                <w:b w:val="0"/>
                <w:sz w:val="21"/>
              </w:rPr>
              <w:t>AMR-GTV去除中值门控</w:t>
            </w:r>
          </w:p>
        </w:tc>
        <w:tc>
          <w:tcPr>
            <w:tcW w:type="dxa" w:w="2154"/>
            <w:vAlign w:val="center"/>
          </w:tcPr>
          <w:p>
            <w:pPr>
              <w:spacing w:line="240" w:lineRule="auto"/>
              <w:ind w:firstLine="0"/>
              <w:jc w:val="center"/>
            </w:pPr>
            <w:r/>
            <w:r>
              <w:rPr>
                <w:rFonts w:ascii="Times New Roman" w:hAnsi="Times New Roman" w:eastAsia="宋体"/>
                <w:b w:val="0"/>
                <w:sz w:val="21"/>
              </w:rPr>
              <w:t>0.0745</w:t>
            </w:r>
          </w:p>
        </w:tc>
        <w:tc>
          <w:tcPr>
            <w:tcW w:type="dxa" w:w="2154"/>
            <w:vAlign w:val="center"/>
          </w:tcPr>
          <w:p>
            <w:pPr>
              <w:spacing w:line="240" w:lineRule="auto"/>
              <w:ind w:firstLine="0"/>
              <w:jc w:val="center"/>
            </w:pPr>
            <w:r/>
            <w:r>
              <w:rPr>
                <w:rFonts w:ascii="Times New Roman" w:hAnsi="Times New Roman" w:eastAsia="宋体"/>
                <w:b w:val="0"/>
                <w:sz w:val="21"/>
              </w:rPr>
              <w:t>0.0384</w:t>
            </w:r>
          </w:p>
        </w:tc>
        <w:tc>
          <w:tcPr>
            <w:tcW w:type="dxa" w:w="2154"/>
            <w:vAlign w:val="center"/>
          </w:tcPr>
          <w:p>
            <w:pPr>
              <w:spacing w:line="240" w:lineRule="auto"/>
              <w:ind w:firstLine="0"/>
              <w:jc w:val="center"/>
            </w:pPr>
            <w:r/>
            <w:r>
              <w:rPr>
                <w:rFonts w:ascii="Times New Roman" w:hAnsi="Times New Roman" w:eastAsia="宋体"/>
                <w:b w:val="0"/>
                <w:sz w:val="21"/>
              </w:rPr>
              <w:t>37.48</w:t>
            </w:r>
          </w:p>
        </w:tc>
      </w:tr>
      <w:tr>
        <w:tc>
          <w:tcPr>
            <w:tcW w:type="dxa" w:w="2154"/>
            <w:vAlign w:val="center"/>
          </w:tcPr>
          <w:p>
            <w:pPr>
              <w:spacing w:line="240" w:lineRule="auto"/>
              <w:ind w:firstLine="0"/>
              <w:jc w:val="center"/>
            </w:pPr>
            <w:r/>
            <w:r>
              <w:rPr>
                <w:rFonts w:ascii="Times New Roman" w:hAnsi="Times New Roman" w:eastAsia="宋体"/>
                <w:b w:val="0"/>
                <w:sz w:val="21"/>
              </w:rPr>
              <w:t>图拉普拉斯</w:t>
            </w:r>
          </w:p>
        </w:tc>
        <w:tc>
          <w:tcPr>
            <w:tcW w:type="dxa" w:w="2154"/>
            <w:vAlign w:val="center"/>
          </w:tcPr>
          <w:p>
            <w:pPr>
              <w:spacing w:line="240" w:lineRule="auto"/>
              <w:ind w:firstLine="0"/>
              <w:jc w:val="center"/>
            </w:pPr>
            <w:r/>
            <w:r>
              <w:rPr>
                <w:rFonts w:ascii="Times New Roman" w:hAnsi="Times New Roman" w:eastAsia="宋体"/>
                <w:b w:val="0"/>
                <w:sz w:val="21"/>
              </w:rPr>
              <w:t>0.0564</w:t>
            </w:r>
          </w:p>
        </w:tc>
        <w:tc>
          <w:tcPr>
            <w:tcW w:type="dxa" w:w="2154"/>
            <w:vAlign w:val="center"/>
          </w:tcPr>
          <w:p>
            <w:pPr>
              <w:spacing w:line="240" w:lineRule="auto"/>
              <w:ind w:firstLine="0"/>
              <w:jc w:val="center"/>
            </w:pPr>
            <w:r/>
            <w:r>
              <w:rPr>
                <w:rFonts w:ascii="Times New Roman" w:hAnsi="Times New Roman" w:eastAsia="宋体"/>
                <w:b w:val="0"/>
                <w:sz w:val="21"/>
              </w:rPr>
              <w:t>0.0372</w:t>
            </w:r>
          </w:p>
        </w:tc>
        <w:tc>
          <w:tcPr>
            <w:tcW w:type="dxa" w:w="2154"/>
            <w:vAlign w:val="center"/>
          </w:tcPr>
          <w:p>
            <w:pPr>
              <w:spacing w:line="240" w:lineRule="auto"/>
              <w:ind w:firstLine="0"/>
              <w:jc w:val="center"/>
            </w:pPr>
            <w:r/>
            <w:r>
              <w:rPr>
                <w:rFonts w:ascii="Times New Roman" w:hAnsi="Times New Roman" w:eastAsia="宋体"/>
                <w:b w:val="0"/>
                <w:sz w:val="21"/>
              </w:rPr>
              <w:t>52.71</w:t>
            </w:r>
          </w:p>
        </w:tc>
      </w:tr>
      <w:tr>
        <w:tc>
          <w:tcPr>
            <w:tcW w:type="dxa" w:w="2154"/>
            <w:vAlign w:val="center"/>
          </w:tcPr>
          <w:p>
            <w:pPr>
              <w:spacing w:line="240" w:lineRule="auto"/>
              <w:ind w:firstLine="0"/>
              <w:jc w:val="center"/>
            </w:pPr>
            <w:r/>
            <w:r>
              <w:rPr>
                <w:rFonts w:ascii="Times New Roman" w:hAnsi="Times New Roman" w:eastAsia="宋体"/>
                <w:b w:val="0"/>
                <w:sz w:val="21"/>
              </w:rPr>
              <w:t>含噪观测</w:t>
            </w:r>
          </w:p>
        </w:tc>
        <w:tc>
          <w:tcPr>
            <w:tcW w:type="dxa" w:w="2154"/>
            <w:vAlign w:val="center"/>
          </w:tcPr>
          <w:p>
            <w:pPr>
              <w:spacing w:line="240" w:lineRule="auto"/>
              <w:ind w:firstLine="0"/>
              <w:jc w:val="center"/>
            </w:pPr>
            <w:r/>
            <w:r>
              <w:rPr>
                <w:rFonts w:ascii="Times New Roman" w:hAnsi="Times New Roman" w:eastAsia="宋体"/>
                <w:b w:val="0"/>
                <w:sz w:val="21"/>
              </w:rPr>
              <w:t>0.1192</w:t>
            </w:r>
          </w:p>
        </w:tc>
        <w:tc>
          <w:tcPr>
            <w:tcW w:type="dxa" w:w="2154"/>
            <w:vAlign w:val="center"/>
          </w:tcPr>
          <w:p>
            <w:pPr>
              <w:spacing w:line="240" w:lineRule="auto"/>
              <w:ind w:firstLine="0"/>
              <w:jc w:val="center"/>
            </w:pPr>
            <w:r/>
            <w:r>
              <w:rPr>
                <w:rFonts w:ascii="Times New Roman" w:hAnsi="Times New Roman" w:eastAsia="宋体"/>
                <w:b w:val="0"/>
                <w:sz w:val="21"/>
              </w:rPr>
              <w:t>0.0564</w:t>
            </w:r>
          </w:p>
        </w:tc>
        <w:tc>
          <w:tcPr>
            <w:tcW w:type="dxa" w:w="2154"/>
            <w:vAlign w:val="center"/>
          </w:tcPr>
          <w:p>
            <w:pPr>
              <w:spacing w:line="240" w:lineRule="auto"/>
              <w:ind w:firstLine="0"/>
              <w:jc w:val="center"/>
            </w:pPr>
            <w:r/>
            <w:r>
              <w:rPr>
                <w:rFonts w:ascii="Times New Roman" w:hAnsi="Times New Roman" w:eastAsia="宋体"/>
                <w:b w:val="0"/>
                <w:sz w:val="21"/>
              </w:rPr>
              <w:t>0.00</w:t>
            </w:r>
          </w:p>
        </w:tc>
      </w:tr>
    </w:tbl>
    <w:p/>
    <w:p>
      <w:pPr>
        <w:spacing w:line="240" w:lineRule="auto" w:before="120" w:after="60"/>
        <w:ind w:firstLine="0"/>
        <w:jc w:val="center"/>
      </w:pPr>
      <w:r>
        <w:drawing>
          <wp:inline xmlns:a="http://schemas.openxmlformats.org/drawingml/2006/main" xmlns:pic="http://schemas.openxmlformats.org/drawingml/2006/picture">
            <wp:extent cx="5303520" cy="2654026"/>
            <wp:docPr id="11" name="Picture 11"/>
            <wp:cNvGraphicFramePr>
              <a:graphicFrameLocks noChangeAspect="1"/>
            </wp:cNvGraphicFramePr>
            <a:graphic>
              <a:graphicData uri="http://schemas.openxmlformats.org/drawingml/2006/picture">
                <pic:pic>
                  <pic:nvPicPr>
                    <pic:cNvPr id="0" name="fig_2_16_ablation.png"/>
                    <pic:cNvPicPr/>
                  </pic:nvPicPr>
                  <pic:blipFill>
                    <a:blip r:embed="rId19"/>
                    <a:stretch>
                      <a:fillRect/>
                    </a:stretch>
                  </pic:blipFill>
                  <pic:spPr>
                    <a:xfrm>
                      <a:off x="0" y="0"/>
                      <a:ext cx="5303520" cy="2654026"/>
                    </a:xfrm>
                    <a:prstGeom prst="rect"/>
                  </pic:spPr>
                </pic:pic>
              </a:graphicData>
            </a:graphic>
          </wp:inline>
        </w:drawing>
      </w:r>
    </w:p>
    <w:p>
      <w:pPr>
        <w:spacing w:before="80" w:after="80"/>
        <w:ind w:firstLine="0"/>
        <w:jc w:val="center"/>
      </w:pPr>
      <w:r>
        <w:rPr>
          <w:rFonts w:ascii="Times New Roman" w:hAnsi="Times New Roman" w:eastAsia="宋体"/>
          <w:b w:val="0"/>
          <w:sz w:val="21"/>
        </w:rPr>
        <w:t>图 2-12 AMR-GTV 消融实验对比</w:t>
      </w:r>
    </w:p>
    <w:p>
      <w:pPr>
        <w:spacing w:line="240" w:lineRule="auto" w:before="120" w:after="60"/>
        <w:ind w:firstLine="0"/>
        <w:jc w:val="center"/>
      </w:pPr>
      <w:r>
        <w:drawing>
          <wp:inline xmlns:a="http://schemas.openxmlformats.org/drawingml/2006/main" xmlns:pic="http://schemas.openxmlformats.org/drawingml/2006/picture">
            <wp:extent cx="5303520" cy="4013126"/>
            <wp:docPr id="12" name="Picture 12"/>
            <wp:cNvGraphicFramePr>
              <a:graphicFrameLocks noChangeAspect="1"/>
            </wp:cNvGraphicFramePr>
            <a:graphic>
              <a:graphicData uri="http://schemas.openxmlformats.org/drawingml/2006/picture">
                <pic:pic>
                  <pic:nvPicPr>
                    <pic:cNvPr id="0" name="fig_2_13_parameter_sensitivity.png"/>
                    <pic:cNvPicPr/>
                  </pic:nvPicPr>
                  <pic:blipFill>
                    <a:blip r:embed="rId20"/>
                    <a:stretch>
                      <a:fillRect/>
                    </a:stretch>
                  </pic:blipFill>
                  <pic:spPr>
                    <a:xfrm>
                      <a:off x="0" y="0"/>
                      <a:ext cx="5303520" cy="4013126"/>
                    </a:xfrm>
                    <a:prstGeom prst="rect"/>
                  </pic:spPr>
                </pic:pic>
              </a:graphicData>
            </a:graphic>
          </wp:inline>
        </w:drawing>
      </w:r>
    </w:p>
    <w:p>
      <w:pPr>
        <w:spacing w:before="80" w:after="80"/>
        <w:ind w:firstLine="0"/>
        <w:jc w:val="center"/>
      </w:pPr>
      <w:r>
        <w:rPr>
          <w:rFonts w:ascii="Times New Roman" w:hAnsi="Times New Roman" w:eastAsia="宋体"/>
          <w:b w:val="0"/>
          <w:sz w:val="21"/>
        </w:rPr>
        <w:t>图 2-13 AMR-GTV 关键参数敏感性分析</w:t>
      </w:r>
    </w:p>
    <w:p>
      <w:pPr>
        <w:spacing w:line="240" w:lineRule="auto" w:before="120" w:after="60"/>
        <w:ind w:firstLine="0"/>
        <w:jc w:val="center"/>
      </w:pPr>
      <w:r>
        <w:drawing>
          <wp:inline xmlns:a="http://schemas.openxmlformats.org/drawingml/2006/main" xmlns:pic="http://schemas.openxmlformats.org/drawingml/2006/picture">
            <wp:extent cx="5303520" cy="3268818"/>
            <wp:docPr id="13" name="Picture 13"/>
            <wp:cNvGraphicFramePr>
              <a:graphicFrameLocks noChangeAspect="1"/>
            </wp:cNvGraphicFramePr>
            <a:graphic>
              <a:graphicData uri="http://schemas.openxmlformats.org/drawingml/2006/picture">
                <pic:pic>
                  <pic:nvPicPr>
                    <pic:cNvPr id="0" name="fig_2_14_casewise_reduction.png"/>
                    <pic:cNvPicPr/>
                  </pic:nvPicPr>
                  <pic:blipFill>
                    <a:blip r:embed="rId21"/>
                    <a:stretch>
                      <a:fillRect/>
                    </a:stretch>
                  </pic:blipFill>
                  <pic:spPr>
                    <a:xfrm>
                      <a:off x="0" y="0"/>
                      <a:ext cx="5303520" cy="3268818"/>
                    </a:xfrm>
                    <a:prstGeom prst="rect"/>
                  </pic:spPr>
                </pic:pic>
              </a:graphicData>
            </a:graphic>
          </wp:inline>
        </w:drawing>
      </w:r>
    </w:p>
    <w:p>
      <w:pPr>
        <w:spacing w:before="80" w:after="80"/>
        <w:ind w:firstLine="0"/>
        <w:jc w:val="center"/>
      </w:pPr>
      <w:r>
        <w:rPr>
          <w:rFonts w:ascii="Times New Roman" w:hAnsi="Times New Roman" w:eastAsia="宋体"/>
          <w:b w:val="0"/>
          <w:sz w:val="21"/>
        </w:rPr>
        <w:t>图 2-14 AMR-GTV 相对基线的逐条件提升分布</w:t>
      </w:r>
    </w:p>
    <w:p>
      <w:pPr>
        <w:pStyle w:val="Heading3"/>
      </w:pPr>
      <w:r>
        <w:t>2.7.5 运行时间分析</w:t>
      </w:r>
    </w:p>
    <w:p>
      <w:pPr>
        <w:spacing w:line="400" w:lineRule="exact"/>
        <w:ind w:firstLine="482"/>
        <w:jc w:val="both"/>
      </w:pPr>
      <w:r>
        <w:rPr>
          <w:rFonts w:ascii="Times New Roman" w:hAnsi="Times New Roman" w:eastAsia="宋体"/>
          <w:b w:val="0"/>
          <w:sz w:val="24"/>
        </w:rPr>
        <w:t>AMR-GTV 需要多尺度图构建、噪声估计、OI 先验和 IRLS 线性求解，平均运行时间高于简单局部统计方法。但该步骤只在稀疏观测点上执行，不处理完整规则网格，因此仍可作为离线重建前的预处理模块。</w:t>
      </w:r>
    </w:p>
    <w:p>
      <w:pPr>
        <w:spacing w:line="240" w:lineRule="auto" w:before="120" w:after="60"/>
        <w:ind w:firstLine="0"/>
        <w:jc w:val="center"/>
      </w:pPr>
      <w:r>
        <w:drawing>
          <wp:inline xmlns:a="http://schemas.openxmlformats.org/drawingml/2006/main" xmlns:pic="http://schemas.openxmlformats.org/drawingml/2006/picture">
            <wp:extent cx="5303520" cy="3240271"/>
            <wp:docPr id="14" name="Picture 14"/>
            <wp:cNvGraphicFramePr>
              <a:graphicFrameLocks noChangeAspect="1"/>
            </wp:cNvGraphicFramePr>
            <a:graphic>
              <a:graphicData uri="http://schemas.openxmlformats.org/drawingml/2006/picture">
                <pic:pic>
                  <pic:nvPicPr>
                    <pic:cNvPr id="0" name="fig_2_15_runtime_vs_points.png"/>
                    <pic:cNvPicPr/>
                  </pic:nvPicPr>
                  <pic:blipFill>
                    <a:blip r:embed="rId22"/>
                    <a:stretch>
                      <a:fillRect/>
                    </a:stretch>
                  </pic:blipFill>
                  <pic:spPr>
                    <a:xfrm>
                      <a:off x="0" y="0"/>
                      <a:ext cx="5303520" cy="3240271"/>
                    </a:xfrm>
                    <a:prstGeom prst="rect"/>
                  </pic:spPr>
                </pic:pic>
              </a:graphicData>
            </a:graphic>
          </wp:inline>
        </w:drawing>
      </w:r>
    </w:p>
    <w:p>
      <w:pPr>
        <w:spacing w:before="80" w:after="80"/>
        <w:ind w:firstLine="0"/>
        <w:jc w:val="center"/>
      </w:pPr>
      <w:r>
        <w:rPr>
          <w:rFonts w:ascii="Times New Roman" w:hAnsi="Times New Roman" w:eastAsia="宋体"/>
          <w:b w:val="0"/>
          <w:sz w:val="21"/>
        </w:rPr>
        <w:t>图 2-15 不同观测规模下的运行时间对比</w:t>
      </w:r>
    </w:p>
    <w:p>
      <w:pPr>
        <w:pStyle w:val="Heading2"/>
      </w:pPr>
      <w:r>
        <w:t>2.8 本章小结</w:t>
      </w:r>
    </w:p>
    <w:p>
      <w:pPr>
        <w:spacing w:line="400" w:lineRule="exact"/>
        <w:ind w:firstLine="482"/>
        <w:jc w:val="both"/>
      </w:pPr>
      <w:r>
        <w:rPr>
          <w:rFonts w:ascii="Times New Roman" w:hAnsi="Times New Roman" w:eastAsia="宋体"/>
          <w:b w:val="0"/>
          <w:sz w:val="24"/>
        </w:rPr>
        <w:t>本章将第二章定位为第三章连续场重建前的稀疏观测建模与预处理章节。整改后全文明确：实验变量为 temperature 温度场代理变量，当前实验是完整格点参考场上的模拟稀疏采样与人工含噪验证，不是直接真实卫星轨道/云遮挡观测实验。</w:t>
      </w:r>
    </w:p>
    <w:p>
      <w:pPr>
        <w:spacing w:line="400" w:lineRule="exact"/>
        <w:ind w:firstLine="482"/>
        <w:jc w:val="both"/>
      </w:pPr>
      <w:r>
        <w:rPr>
          <w:rFonts w:ascii="Times New Roman" w:hAnsi="Times New Roman" w:eastAsia="宋体"/>
          <w:b w:val="0"/>
          <w:sz w:val="24"/>
        </w:rPr>
        <w:t>方法方面，本文补全了 AMR-GTV 的点级噪声估计、观测置信度、最优插值先验、Charbonnier 图总变差和 IRLS 线性系统。实验方面，所有表格均由 outputs/metrics 中的 CSV 重算生成，Gain 采用与公式一致的总体 RMSE 口径。</w:t>
      </w:r>
    </w:p>
    <w:p>
      <w:pPr>
        <w:spacing w:line="400" w:lineRule="exact"/>
        <w:ind w:firstLine="482"/>
        <w:jc w:val="both"/>
      </w:pPr>
      <w:r>
        <w:rPr>
          <w:rFonts w:ascii="Times New Roman" w:hAnsi="Times New Roman" w:eastAsia="宋体"/>
          <w:b w:val="0"/>
          <w:sz w:val="24"/>
        </w:rPr>
        <w:t>结果表明，在本版限定的 24 个强噪声、含离群点、采样率相对充分的压力场景中，AMR-GTV 在四种增强算法中取得最低平均 RMSE，并在不同噪声强度和采样率分组下保持最高或并列最高增益。因此，该方法适合作为含噪稀疏观测进入连续场重建模型前的鲁棒预处理模块，其对完整流场重建精度的影响仍需第三章下游重建实验验证。</w:t>
      </w:r>
    </w:p>
    <w:p>
      <w:pPr>
        <w:pStyle w:val="Heading2"/>
      </w:pPr>
      <w:r>
        <w:t>参考文献</w:t>
      </w:r>
    </w:p>
    <w:p>
      <w:pPr>
        <w:spacing w:line="360" w:lineRule="exact"/>
        <w:ind w:firstLine="0"/>
      </w:pPr>
      <w:r>
        <w:rPr>
          <w:rFonts w:ascii="Times New Roman" w:hAnsi="Times New Roman" w:eastAsia="宋体"/>
          <w:b w:val="0"/>
          <w:sz w:val="21"/>
        </w:rPr>
        <w:t>[1] Reynolds R W, Smith T M, Liu C, Chelton D B, Casey K S, Schlax M G. Daily high-resolution-blended analyses for sea surface temperature[J]. Journal of Climate, 2007, 20(22): 5473-5496.</w:t>
      </w:r>
    </w:p>
    <w:p>
      <w:pPr>
        <w:spacing w:line="360" w:lineRule="exact"/>
        <w:ind w:firstLine="0"/>
      </w:pPr>
      <w:r>
        <w:rPr>
          <w:rFonts w:ascii="Times New Roman" w:hAnsi="Times New Roman" w:eastAsia="宋体"/>
          <w:b w:val="0"/>
          <w:sz w:val="21"/>
        </w:rPr>
        <w:t>[2] Ghil M, Malanotte-Rizzoli P. Data assimilation in meteorology and oceanography[J]. Advances in Geophysics, 1991, 33: 141-266.</w:t>
      </w:r>
    </w:p>
    <w:p>
      <w:pPr>
        <w:spacing w:line="360" w:lineRule="exact"/>
        <w:ind w:firstLine="0"/>
      </w:pPr>
      <w:r>
        <w:rPr>
          <w:rFonts w:ascii="Times New Roman" w:hAnsi="Times New Roman" w:eastAsia="宋体"/>
          <w:b w:val="0"/>
          <w:sz w:val="21"/>
        </w:rPr>
        <w:t>[3] Cressie N. Statistics for Spatial Data[M]. Revised edition. New York: Wiley, 1993.</w:t>
      </w:r>
    </w:p>
    <w:p>
      <w:pPr>
        <w:spacing w:line="360" w:lineRule="exact"/>
        <w:ind w:firstLine="0"/>
      </w:pPr>
      <w:r>
        <w:rPr>
          <w:rFonts w:ascii="Times New Roman" w:hAnsi="Times New Roman" w:eastAsia="宋体"/>
          <w:b w:val="0"/>
          <w:sz w:val="21"/>
        </w:rPr>
        <w:t>[4] Shuman D I, Narang S K, Frossard P, Ortega A, Vandergheynst P. The emerging field of signal processing on graphs[J]. IEEE Signal Processing Magazine, 2013, 30(3): 83-98.</w:t>
      </w:r>
    </w:p>
    <w:p>
      <w:pPr>
        <w:spacing w:line="360" w:lineRule="exact"/>
        <w:ind w:firstLine="0"/>
      </w:pPr>
      <w:r>
        <w:rPr>
          <w:rFonts w:ascii="Times New Roman" w:hAnsi="Times New Roman" w:eastAsia="宋体"/>
          <w:b w:val="0"/>
          <w:sz w:val="21"/>
        </w:rPr>
        <w:t>[5] Sandryhaila A, Moura J M F. Discrete signal processing on graphs: frequency analysis[J]. IEEE Transactions on Signal Processing, 2014, 62(12): 3042-3054.</w:t>
      </w:r>
    </w:p>
    <w:p>
      <w:pPr>
        <w:spacing w:line="360" w:lineRule="exact"/>
        <w:ind w:firstLine="0"/>
      </w:pPr>
      <w:r>
        <w:rPr>
          <w:rFonts w:ascii="Times New Roman" w:hAnsi="Times New Roman" w:eastAsia="宋体"/>
          <w:b w:val="0"/>
          <w:sz w:val="21"/>
        </w:rPr>
        <w:t>[6] Ortega A, Frossard P, Kovacevic J, Moura J M F, Vandergheynst P. Graph signal processing: overview, challenges, and applications[J]. Proceedings of the IEEE, 2018, 106(5): 808-828.</w:t>
      </w:r>
    </w:p>
    <w:p>
      <w:pPr>
        <w:spacing w:line="360" w:lineRule="exact"/>
        <w:ind w:firstLine="0"/>
      </w:pPr>
      <w:r>
        <w:rPr>
          <w:rFonts w:ascii="Times New Roman" w:hAnsi="Times New Roman" w:eastAsia="宋体"/>
          <w:b w:val="0"/>
          <w:sz w:val="21"/>
        </w:rPr>
        <w:t>[7] Rudin L I, Osher S, Fatemi E. Nonlinear total variation based noise removal algorithms[J]. Physica D: Nonlinear Phenomena, 1992, 60(1-4): 259-268.</w:t>
      </w:r>
    </w:p>
    <w:p>
      <w:pPr>
        <w:spacing w:line="360" w:lineRule="exact"/>
        <w:ind w:firstLine="0"/>
      </w:pPr>
      <w:r>
        <w:rPr>
          <w:rFonts w:ascii="Times New Roman" w:hAnsi="Times New Roman" w:eastAsia="宋体"/>
          <w:b w:val="0"/>
          <w:sz w:val="21"/>
        </w:rPr>
        <w:t>[8] Charbonnier P, Blanc-Feraud L, Aubert G, Barlaud M. Deterministic edge-preserving regularization in computed imaging[J]. IEEE Transactions on Image Processing, 1997, 6(2): 298-311.</w:t>
      </w:r>
    </w:p>
    <w:p>
      <w:pPr>
        <w:spacing w:line="360" w:lineRule="exact"/>
        <w:ind w:firstLine="0"/>
      </w:pPr>
      <w:r>
        <w:rPr>
          <w:rFonts w:ascii="Times New Roman" w:hAnsi="Times New Roman" w:eastAsia="宋体"/>
          <w:b w:val="0"/>
          <w:sz w:val="21"/>
        </w:rPr>
        <w:t>[9] Holland P W, Welsch R E. Robust regression using iteratively reweighted least-squares[J]. Communications in Statistics - Theory and Methods, 1977, 6(9): 813-827.</w:t>
      </w:r>
    </w:p>
    <w:p>
      <w:pPr>
        <w:spacing w:line="360" w:lineRule="exact"/>
        <w:ind w:firstLine="0"/>
      </w:pPr>
      <w:r>
        <w:rPr>
          <w:rFonts w:ascii="Times New Roman" w:hAnsi="Times New Roman" w:eastAsia="宋体"/>
          <w:b w:val="0"/>
          <w:sz w:val="21"/>
        </w:rPr>
        <w:t>[10] Wang Y X, Sharpnack J, Smola A J, Tibshirani R J. Trend filtering on graphs[J]. Journal of Machine Learning Research, 2016, 17(105): 1-41.</w:t>
      </w:r>
    </w:p>
    <w:sectPr w:rsidR="00FC693F" w:rsidRPr="0006063C" w:rsidSect="00034616">
      <w:pgSz w:w="11906" w:h="16838"/>
      <w:pgMar w:top="1474" w:right="1587" w:bottom="136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after="0"/>
      <w:ind w:firstLine="482"/>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ind w:firstLine="0"/>
      <w:outlineLvl w:val="0"/>
    </w:pPr>
    <w:rPr>
      <w:rFonts w:asciiTheme="majorHAnsi" w:eastAsiaTheme="majorEastAsia" w:hAnsiTheme="majorHAnsi" w:cstheme="majorBidi" w:ascii="Times New Roman" w:hAnsi="Times New Roman" w:eastAsia="黑体"/>
      <w:b w:val="0"/>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outlineLvl w:val="1"/>
    </w:pPr>
    <w:rPr>
      <w:rFonts w:asciiTheme="majorHAnsi" w:eastAsiaTheme="majorEastAsia" w:hAnsiTheme="majorHAnsi" w:cstheme="majorBidi" w:ascii="Times New Roman" w:hAnsi="Times New Roman" w:eastAsia="黑体"/>
      <w:b w:val="0"/>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outlineLvl w:val="2"/>
    </w:pPr>
    <w:rPr>
      <w:rFonts w:asciiTheme="majorHAnsi" w:eastAsiaTheme="majorEastAsia" w:hAnsiTheme="majorHAnsi" w:cstheme="majorBidi" w:ascii="Times New Roman" w:hAnsi="Times New Roman" w:eastAsia="黑体"/>
      <w:b w:val="0"/>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