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left"/>
      </w:pPr>
      <w:r>
        <w:rPr>
          <w:rFonts w:ascii="Arial" w:cs="Arial" w:eastAsia="Arial" w:hAnsi="Arial"/>
          <w:color w:val="808080"/>
          <w:sz w:val="20"/>
          <w:szCs w:val="20"/>
        </w:rPr>
        <w:t xml:space="preserve">Shags VST</w:t>
      </w:r>
    </w:p>
    <w:p>
      <w:pPr>
        <w:spacing w:after="120"/>
        <w:jc w:val="left"/>
      </w:pPr>
      <w:r>
        <w:rPr>
          <w:rFonts w:ascii="Arial" w:cs="Arial" w:eastAsia="Arial" w:hAnsi="Arial"/>
          <w:b/>
          <w:bCs/>
          <w:color w:val="1F3A5F"/>
          <w:sz w:val="56"/>
          <w:szCs w:val="56"/>
        </w:rPr>
        <w:t xml:space="preserve">QC Rack Audit</w:t>
      </w:r>
    </w:p>
    <w:p>
      <w:pPr>
        <w:spacing w:after="400"/>
        <w:jc w:val="left"/>
      </w:pPr>
      <w:r>
        <w:rPr>
          <w:rFonts w:ascii="Arial" w:cs="Arial" w:eastAsia="Arial" w:hAnsi="Arial"/>
          <w:color w:val="2E4A73"/>
          <w:sz w:val="28"/>
          <w:szCs w:val="28"/>
        </w:rPr>
        <w:t xml:space="preserve">Stage-3 codegen bring-up &amp; T6 gate extension</w:t>
      </w:r>
    </w:p>
    <w:p>
      <w:pPr>
        <w:spacing w:after="40"/>
      </w:pPr>
      <w:r>
        <w:rPr>
          <w:rFonts w:ascii="Arial" w:cs="Arial" w:eastAsia="Arial" w:hAnsi="Arial"/>
          <w:b/>
          <w:bCs/>
          <w:sz w:val="22"/>
          <w:szCs w:val="22"/>
        </w:rPr>
        <w:t xml:space="preserve">Session date: </w:t>
      </w:r>
      <w:r>
        <w:rPr>
          <w:rFonts w:ascii="Arial" w:cs="Arial" w:eastAsia="Arial" w:hAnsi="Arial"/>
          <w:sz w:val="22"/>
          <w:szCs w:val="22"/>
        </w:rPr>
        <w:t xml:space="preserve">2026-04-23</w:t>
      </w:r>
    </w:p>
    <w:p>
      <w:pPr>
        <w:spacing w:after="40"/>
      </w:pPr>
      <w:r>
        <w:rPr>
          <w:rFonts w:ascii="Arial" w:cs="Arial" w:eastAsia="Arial" w:hAnsi="Arial"/>
          <w:b/>
          <w:bCs/>
          <w:sz w:val="22"/>
          <w:szCs w:val="22"/>
        </w:rPr>
        <w:t xml:space="preserve">Author: </w:t>
      </w:r>
      <w:r>
        <w:rPr>
          <w:rFonts w:ascii="Arial" w:cs="Arial" w:eastAsia="Arial" w:hAnsi="Arial"/>
          <w:sz w:val="22"/>
          <w:szCs w:val="22"/>
        </w:rPr>
        <w:t xml:space="preserve">Claude (working session audit)</w:t>
      </w:r>
    </w:p>
    <w:p>
      <w:pPr>
        <w:spacing w:after="40"/>
      </w:pPr>
      <w:r>
        <w:rPr>
          <w:rFonts w:ascii="Arial" w:cs="Arial" w:eastAsia="Arial" w:hAnsi="Arial"/>
          <w:b/>
          <w:bCs/>
          <w:sz w:val="22"/>
          <w:szCs w:val="22"/>
        </w:rPr>
        <w:t xml:space="preserve">Scope: </w:t>
      </w:r>
      <w:r>
        <w:rPr>
          <w:rFonts w:ascii="Arial" w:cs="Arial" w:eastAsia="Arial" w:hAnsi="Arial"/>
          <w:sz w:val="22"/>
          <w:szCs w:val="22"/>
        </w:rPr>
        <w:t xml:space="preserve">Sandbox-core QC rack: validator tiers, golden-vector harness, op sidecar scaffold, pre-commit gate.</w:t>
      </w:r>
    </w:p>
    <w:p>
      <w:pPr>
        <w:spacing w:after="40"/>
      </w:pPr>
      <w:r>
        <w:rPr>
          <w:rFonts w:ascii="Arial" w:cs="Arial" w:eastAsia="Arial" w:hAnsi="Arial"/>
          <w:b/>
          <w:bCs/>
          <w:sz w:val="22"/>
          <w:szCs w:val="22"/>
        </w:rPr>
        <w:t xml:space="preserve">Status: </w:t>
      </w:r>
      <w:r>
        <w:rPr>
          <w:rFonts w:ascii="Arial" w:cs="Arial" w:eastAsia="Arial" w:hAnsi="Arial"/>
          <w:sz w:val="22"/>
          <w:szCs w:val="22"/>
        </w:rPr>
        <w:t xml:space="preserve">Stage 3-a step 1 landed; step 2 (first op port: gain) in workflow test.</w:t>
      </w:r>
    </w:p>
    <w:p>
      <w:pPr>
        <w:pStyle w:val="Heading1"/>
        <w:spacing w:after="160" w:before="320"/>
      </w:pPr>
      <w:r>
        <w:rPr>
          <w:rFonts w:ascii="Arial" w:cs="Arial" w:eastAsia="Arial" w:hAnsi="Arial"/>
          <w:b/>
          <w:bCs/>
          <w:sz w:val="32"/>
          <w:szCs w:val="32"/>
        </w:rPr>
        <w:t xml:space="preserve">1. Executive summary</w:t>
      </w:r>
    </w:p>
    <w:p>
      <w:pPr>
        <w:spacing w:after="120"/>
      </w:pPr>
      <w:r>
        <w:rPr>
          <w:rFonts w:ascii="Arial" w:cs="Arial" w:eastAsia="Arial" w:hAnsi="Arial"/>
        </w:rPr>
        <w:t xml:space="preserve">This session closed two of the remaining T6 rule gaps, extended the pre-commit gate from three checks to four, and stood up the scaffolding required for Stage-3 codegen: per-op sidecar modules, C++ emission templates, and a SHA-256 golden-vector harness that locks each op’s numerical behaviour against an explicit baseline.</w:t>
      </w:r>
    </w:p>
    <w:p>
      <w:pPr>
        <w:spacing w:after="120"/>
      </w:pPr>
      <w:r>
        <w:rPr>
          <w:rFonts w:ascii="Arial" w:cs="Arial" w:eastAsia="Arial" w:hAnsi="Arial"/>
        </w:rPr>
        <w:t xml:space="preserve">The architectural decision captured in memory/codegen_design.md commits the project to a single pipeline: authoring graph → portable-chain object file → either a master AudioWorklet (in-app runtime) or a JUCE-VST3/AU native bundle. Both targets must null-test against the sandbox chain-of-worklets within −10⁻²⁰ of the reference output; that cross-target check is reserved as QC tier T8.</w:t>
      </w:r>
    </w:p>
    <w:p>
      <w:pPr>
        <w:spacing w:after="120"/>
      </w:pPr>
      <w:r>
        <w:rPr>
          <w:rFonts w:ascii="Arial" w:cs="Arial" w:eastAsia="Arial" w:hAnsi="Arial"/>
        </w:rPr>
        <w:t xml:space="preserve">At session close, five of the six op sidecars remain empty stubs emitting all-zero output; the gain op has been ported to its real math. The next action is to run the golden harness against the ported gain op, observe the deliberate hash divergence, bless the new golden, and confirm all four gates stay green. No publish-gated plugin regressed.</w:t>
      </w:r>
    </w:p>
    <w:p>
      <w:pPr>
        <w:pStyle w:val="Heading1"/>
        <w:spacing w:after="160" w:before="320"/>
      </w:pPr>
      <w:r>
        <w:rPr>
          <w:rFonts w:ascii="Arial" w:cs="Arial" w:eastAsia="Arial" w:hAnsi="Arial"/>
          <w:b/>
          <w:bCs/>
          <w:sz w:val="32"/>
          <w:szCs w:val="32"/>
        </w:rPr>
        <w:t xml:space="preserve">2. Pre-commit gate — four-step fail-fast order</w:t>
      </w:r>
    </w:p>
    <w:p>
      <w:pPr>
        <w:spacing w:after="120"/>
      </w:pPr>
      <w:r>
        <w:rPr>
          <w:rFonts w:ascii="Arial" w:cs="Arial" w:eastAsia="Arial" w:hAnsi="Arial"/>
        </w:rPr>
        <w:t xml:space="preserve">Hooks live in .githooks/ and are enabled per-clone via npm run install-hooks. The gate is equivalent to npm run qc:all. The T6 tier is structural / pre-compile only — the T1–T4 browser-bound signal-processing sweep still runs in the in-app QC rack before publish (see memory/ship_blockers.md).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1800"/>
        <w:gridCol w:w="2520"/>
        <w:gridCol w:w="4320"/>
      </w:tblGrid>
      <w:tr>
        <w:trPr>
          <w:tblHeader/>
        </w:trPr>
        <w:tc>
          <w:tcPr>
            <w:tcW w:type="dxa" w:w="720"/>
            <w:tcBorders>
              <w:top w:val="single" w:color="BFBFBF" w:sz="4"/>
              <w:left w:val="single" w:color="BFBFBF" w:sz="4"/>
              <w:bottom w:val="single" w:color="BFBFBF" w:sz="4"/>
              <w:right w:val="single" w:color="BFBFBF" w:sz="4"/>
            </w:tcBorders>
            <w:shd w:fill="E7EEF7" w:val="clear"/>
            <w:tcMar>
              <w:top w:type="dxa" w:w="80"/>
              <w:left w:type="dxa" w:w="120"/>
              <w:bottom w:type="dxa" w:w="80"/>
              <w:right w:type="dxa" w:w="120"/>
            </w:tcMar>
          </w:tcPr>
          <w:p>
            <w:r>
              <w:rPr>
                <w:rFonts w:ascii="Arial" w:cs="Arial" w:eastAsia="Arial" w:hAnsi="Arial"/>
                <w:b/>
                <w:bCs/>
                <w:sz w:val="20"/>
                <w:szCs w:val="20"/>
              </w:rPr>
              <w:t xml:space="preserve">#</w:t>
            </w:r>
          </w:p>
        </w:tc>
        <w:tc>
          <w:tcPr>
            <w:tcW w:type="dxa" w:w="1800"/>
            <w:tcBorders>
              <w:top w:val="single" w:color="BFBFBF" w:sz="4"/>
              <w:left w:val="single" w:color="BFBFBF" w:sz="4"/>
              <w:bottom w:val="single" w:color="BFBFBF" w:sz="4"/>
              <w:right w:val="single" w:color="BFBFBF" w:sz="4"/>
            </w:tcBorders>
            <w:shd w:fill="E7EEF7" w:val="clear"/>
            <w:tcMar>
              <w:top w:type="dxa" w:w="80"/>
              <w:left w:type="dxa" w:w="120"/>
              <w:bottom w:type="dxa" w:w="80"/>
              <w:right w:type="dxa" w:w="120"/>
            </w:tcMar>
          </w:tcPr>
          <w:p>
            <w:r>
              <w:rPr>
                <w:rFonts w:ascii="Arial" w:cs="Arial" w:eastAsia="Arial" w:hAnsi="Arial"/>
                <w:b/>
                <w:bCs/>
                <w:sz w:val="20"/>
                <w:szCs w:val="20"/>
              </w:rPr>
              <w:t xml:space="preserve">Harness</w:t>
            </w:r>
          </w:p>
        </w:tc>
        <w:tc>
          <w:tcPr>
            <w:tcW w:type="dxa" w:w="2520"/>
            <w:tcBorders>
              <w:top w:val="single" w:color="BFBFBF" w:sz="4"/>
              <w:left w:val="single" w:color="BFBFBF" w:sz="4"/>
              <w:bottom w:val="single" w:color="BFBFBF" w:sz="4"/>
              <w:right w:val="single" w:color="BFBFBF" w:sz="4"/>
            </w:tcBorders>
            <w:shd w:fill="E7EEF7" w:val="clear"/>
            <w:tcMar>
              <w:top w:type="dxa" w:w="80"/>
              <w:left w:type="dxa" w:w="120"/>
              <w:bottom w:type="dxa" w:w="80"/>
              <w:right w:type="dxa" w:w="120"/>
            </w:tcMar>
          </w:tcPr>
          <w:p>
            <w:r>
              <w:rPr>
                <w:rFonts w:ascii="Arial" w:cs="Arial" w:eastAsia="Arial" w:hAnsi="Arial"/>
                <w:b/>
                <w:bCs/>
                <w:sz w:val="20"/>
                <w:szCs w:val="20"/>
              </w:rPr>
              <w:t xml:space="preserve">Script</w:t>
            </w:r>
          </w:p>
        </w:tc>
        <w:tc>
          <w:tcPr>
            <w:tcW w:type="dxa" w:w="4320"/>
            <w:tcBorders>
              <w:top w:val="single" w:color="BFBFBF" w:sz="4"/>
              <w:left w:val="single" w:color="BFBFBF" w:sz="4"/>
              <w:bottom w:val="single" w:color="BFBFBF" w:sz="4"/>
              <w:right w:val="single" w:color="BFBFBF" w:sz="4"/>
            </w:tcBorders>
            <w:shd w:fill="E7EEF7" w:val="clear"/>
            <w:tcMar>
              <w:top w:type="dxa" w:w="80"/>
              <w:left w:type="dxa" w:w="120"/>
              <w:bottom w:type="dxa" w:w="80"/>
              <w:right w:type="dxa" w:w="120"/>
            </w:tcMar>
          </w:tcPr>
          <w:p>
            <w:r>
              <w:rPr>
                <w:rFonts w:ascii="Arial" w:cs="Arial" w:eastAsia="Arial" w:hAnsi="Arial"/>
                <w:b/>
                <w:bCs/>
                <w:sz w:val="20"/>
                <w:szCs w:val="20"/>
              </w:rPr>
              <w:t xml:space="preserve">What it enforces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1</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qc:schema</w:t>
            </w:r>
          </w:p>
        </w:tc>
        <w:tc>
          <w:tcPr>
            <w:tcW w:type="dxa" w:w="25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check_schema_v1.mjs</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Static IR v1.0 conformance against graph.schema.json (≈50 ms).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2</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qc:t6</w:t>
            </w:r>
          </w:p>
        </w:tc>
        <w:tc>
          <w:tcPr>
            <w:tcW w:type="dxa" w:w="25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check_t6_rules.mjs</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T6 rule negative-tests incl. GAINCOMP_MONOTONIC + ENVELOPE_DENORMAL_GUARD (≈200 ms).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3</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qc:graphs</w:t>
            </w:r>
          </w:p>
        </w:tc>
        <w:tc>
          <w:tcPr>
            <w:tcW w:type="dxa" w:w="25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check_all_graphs_deep.mjs</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Deep T6 validation across all eight real sandbox graphs (≈200 ms).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4</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qc:goldens</w:t>
            </w:r>
          </w:p>
        </w:tc>
        <w:tc>
          <w:tcPr>
            <w:tcW w:type="dxa" w:w="25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check_op_goldens.mjs</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Op sidecar shape conformance + SHA-256 golden-vector hash per op (≈300 ms).</w:t>
            </w:r>
          </w:p>
        </w:tc>
      </w:tr>
    </w:tbl>
    <w:p>
      <w:pPr>
        <w:spacing w:after="120"/>
      </w:pPr>
      <w:r>
        <w:rPr>
          <w:rFonts w:ascii="Arial" w:cs="Arial" w:eastAsia="Arial" w:hAnsi="Arial"/>
        </w:rPr>
        <w:t xml:space="preserve">A green pre-commit means: the IR is structurally valid, every T6 rule passes on every real graph, every op sidecar still matches the registry, and every op produces its frozen golden hash. It does not mean shippable; T1–T4 and ship-blocker rules (dry/wet-mix, bypass contract, denormal tail, DC rejection under FB, FB runaway guard) are still runtime-gated.</w:t>
      </w:r>
    </w:p>
    <w:p>
      <w:pPr>
        <w:pStyle w:val="Heading1"/>
        <w:spacing w:after="160" w:before="320"/>
      </w:pPr>
      <w:r>
        <w:rPr>
          <w:rFonts w:ascii="Arial" w:cs="Arial" w:eastAsia="Arial" w:hAnsi="Arial"/>
          <w:b/>
          <w:bCs/>
          <w:sz w:val="32"/>
          <w:szCs w:val="32"/>
        </w:rPr>
        <w:t xml:space="preserve">3. Artifacts landed this session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800"/>
        <w:gridCol w:w="3360"/>
      </w:tblGrid>
      <w:tr>
        <w:trPr>
          <w:tblHeader/>
        </w:trPr>
        <w:tc>
          <w:tcPr>
            <w:tcW w:type="dxa" w:w="4200"/>
            <w:tcBorders>
              <w:top w:val="single" w:color="BFBFBF" w:sz="4"/>
              <w:left w:val="single" w:color="BFBFBF" w:sz="4"/>
              <w:bottom w:val="single" w:color="BFBFBF" w:sz="4"/>
              <w:right w:val="single" w:color="BFBFBF" w:sz="4"/>
            </w:tcBorders>
            <w:shd w:fill="E7EEF7" w:val="clear"/>
            <w:tcMar>
              <w:top w:type="dxa" w:w="80"/>
              <w:left w:type="dxa" w:w="120"/>
              <w:bottom w:type="dxa" w:w="80"/>
              <w:right w:type="dxa" w:w="120"/>
            </w:tcMar>
          </w:tcPr>
          <w:p>
            <w:r>
              <w:rPr>
                <w:rFonts w:ascii="Arial" w:cs="Arial" w:eastAsia="Arial" w:hAnsi="Arial"/>
                <w:b/>
                <w:bCs/>
                <w:sz w:val="20"/>
                <w:szCs w:val="20"/>
              </w:rPr>
              <w:t xml:space="preserve">Artifact</w:t>
            </w:r>
          </w:p>
        </w:tc>
        <w:tc>
          <w:tcPr>
            <w:tcW w:type="dxa" w:w="1800"/>
            <w:tcBorders>
              <w:top w:val="single" w:color="BFBFBF" w:sz="4"/>
              <w:left w:val="single" w:color="BFBFBF" w:sz="4"/>
              <w:bottom w:val="single" w:color="BFBFBF" w:sz="4"/>
              <w:right w:val="single" w:color="BFBFBF" w:sz="4"/>
            </w:tcBorders>
            <w:shd w:fill="E7EEF7" w:val="clear"/>
            <w:tcMar>
              <w:top w:type="dxa" w:w="80"/>
              <w:left w:type="dxa" w:w="120"/>
              <w:bottom w:type="dxa" w:w="80"/>
              <w:right w:type="dxa" w:w="120"/>
            </w:tcMar>
          </w:tcPr>
          <w:p>
            <w:r>
              <w:rPr>
                <w:rFonts w:ascii="Arial" w:cs="Arial" w:eastAsia="Arial" w:hAnsi="Arial"/>
                <w:b/>
                <w:bCs/>
                <w:sz w:val="20"/>
                <w:szCs w:val="20"/>
              </w:rPr>
              <w:t xml:space="preserve">Layer</w:t>
            </w:r>
          </w:p>
        </w:tc>
        <w:tc>
          <w:tcPr>
            <w:tcW w:type="dxa" w:w="3360"/>
            <w:tcBorders>
              <w:top w:val="single" w:color="BFBFBF" w:sz="4"/>
              <w:left w:val="single" w:color="BFBFBF" w:sz="4"/>
              <w:bottom w:val="single" w:color="BFBFBF" w:sz="4"/>
              <w:right w:val="single" w:color="BFBFBF" w:sz="4"/>
            </w:tcBorders>
            <w:shd w:fill="E7EEF7" w:val="clear"/>
            <w:tcMar>
              <w:top w:type="dxa" w:w="80"/>
              <w:left w:type="dxa" w:w="120"/>
              <w:bottom w:type="dxa" w:w="80"/>
              <w:right w:type="dxa" w:w="120"/>
            </w:tcMar>
          </w:tcPr>
          <w:p>
            <w:r>
              <w:rPr>
                <w:rFonts w:ascii="Arial" w:cs="Arial" w:eastAsia="Arial" w:hAnsi="Arial"/>
                <w:b/>
                <w:bCs/>
                <w:sz w:val="20"/>
                <w:szCs w:val="20"/>
              </w:rPr>
              <w:t xml:space="preserve">State</w:t>
            </w:r>
          </w:p>
        </w:tc>
      </w:tr>
      <w:t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src/sandbox/validateGraph.js</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T6 validator</w:t>
            </w:r>
          </w:p>
        </w:tc>
        <w:tc>
          <w:tcPr>
            <w:tcW w:type="dxa" w:w="3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GAINCOMP_MONOTONIC rule body landed; curve sweep N=64, −60..+6 dBFS.</w:t>
            </w:r>
          </w:p>
        </w:tc>
      </w:tr>
      <w:t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scripts/check_t6_rules.mjs</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T6 harness</w:t>
            </w:r>
          </w:p>
        </w:tc>
        <w:tc>
          <w:tcPr>
            <w:tcW w:type="dxa" w:w="3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GAINCOMP_MONOTONIC positive + ENVELOPE_DENORMAL_GUARD source-level, 10 PASS.</w:t>
            </w:r>
          </w:p>
        </w:tc>
      </w:tr>
      <w:t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src/sandbox/nullTestHarness.js</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T5 (runtime)</w:t>
            </w:r>
          </w:p>
        </w:tc>
        <w:tc>
          <w:tcPr>
            <w:tcW w:type="dxa" w:w="3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TOY_COMP reference vs sandbox, OfflineAudioContext 48k / 0.5 s / mono.</w:t>
            </w:r>
          </w:p>
        </w:tc>
      </w:tr>
      <w:t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src/sandbox/ToyCompOrb.jsx</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Dev UI</w:t>
            </w:r>
          </w:p>
        </w:tc>
        <w:tc>
          <w:tcPr>
            <w:tcW w:type="dxa" w:w="3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NULL dev-button wired to runToyCompSanityTest.</w:t>
            </w:r>
          </w:p>
        </w:tc>
      </w:tr>
      <w:t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memory/codegen_design.md</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Doctrine</w:t>
            </w:r>
          </w:p>
        </w:tc>
        <w:tc>
          <w:tcPr>
            <w:tcW w:type="dxa" w:w="3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Stage-3 architecture lock — seven locks, PCOF pipeline, T8 tier reserved.</w:t>
            </w:r>
          </w:p>
        </w:tc>
      </w:tr>
      <w:t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memory/MEMORY.md</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Index</w:t>
            </w:r>
          </w:p>
        </w:tc>
        <w:tc>
          <w:tcPr>
            <w:tcW w:type="dxa" w:w="3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One-line index entry for codegen_design.md added.</w:t>
            </w:r>
          </w:p>
        </w:tc>
      </w:tr>
      <w:t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src/sandbox/ops/op_*.worklet.js (6)</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Op sidecars</w:t>
            </w:r>
          </w:p>
        </w:tc>
        <w:tc>
          <w:tcPr>
            <w:tcW w:type="dxa" w:w="3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Stub scaffolds for gain, filter, detector, envelope, gainComputer, mix. Gain ported to real math.</w:t>
            </w:r>
          </w:p>
        </w:tc>
      </w:tr>
      <w:t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src/sandbox/ops/op_*.cpp.jinja (6)</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Native templates</w:t>
            </w:r>
          </w:p>
        </w:tc>
        <w:tc>
          <w:tcPr>
            <w:tcW w:type="dxa" w:w="3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Stage 3-b placeholders; struct skeletons, Jinja2 {{ node_id }} fillers.</w:t>
            </w:r>
          </w:p>
        </w:tc>
      </w:tr>
      <w:t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scripts/check_op_goldens.mjs</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T6.5 harness</w:t>
            </w:r>
          </w:p>
        </w:tc>
        <w:tc>
          <w:tcPr>
            <w:tcW w:type="dxa" w:w="3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Shape conformance (A) + SHA-256 golden hash (B) per op.</w:t>
            </w:r>
          </w:p>
        </w:tc>
      </w:tr>
      <w:t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scripts/goldens/*.golden.json (6)</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Frozen contract</w:t>
            </w:r>
          </w:p>
        </w:tc>
        <w:tc>
          <w:tcPr>
            <w:tcW w:type="dxa" w:w="3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Baseline hashes captured for all six ops; gain diverges after port.</w:t>
            </w:r>
          </w:p>
        </w:tc>
      </w:tr>
      <w:t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package.json</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Scripts</w:t>
            </w:r>
          </w:p>
        </w:tc>
        <w:tc>
          <w:tcPr>
            <w:tcW w:type="dxa" w:w="3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qc:goldens, qc:goldens:bless, qc:all chains all four harnesses.</w:t>
            </w:r>
          </w:p>
        </w:tc>
      </w:tr>
      <w:t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.githooks/pre-commit + README.md</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Gate</w:t>
            </w:r>
          </w:p>
        </w:tc>
        <w:tc>
          <w:tcPr>
            <w:tcW w:type="dxa" w:w="3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Four-step fail-fast gate; bless instructions documented.</w:t>
            </w:r>
          </w:p>
        </w:tc>
      </w:tr>
    </w:tbl>
    <w:p>
      <w:pPr>
        <w:pStyle w:val="Heading1"/>
        <w:spacing w:after="160" w:before="320"/>
      </w:pPr>
      <w:r>
        <w:rPr>
          <w:rFonts w:ascii="Arial" w:cs="Arial" w:eastAsia="Arial" w:hAnsi="Arial"/>
          <w:b/>
          <w:bCs/>
          <w:sz w:val="32"/>
          <w:szCs w:val="32"/>
        </w:rPr>
        <w:t xml:space="preserve">4. T6 rules added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5760"/>
      </w:tblGrid>
      <w:tr>
        <w:trPr>
          <w:tblHeader/>
        </w:trPr>
        <w:tc>
          <w:tcPr>
            <w:tcW w:type="dxa" w:w="2400"/>
            <w:tcBorders>
              <w:top w:val="single" w:color="BFBFBF" w:sz="4"/>
              <w:left w:val="single" w:color="BFBFBF" w:sz="4"/>
              <w:bottom w:val="single" w:color="BFBFBF" w:sz="4"/>
              <w:right w:val="single" w:color="BFBFBF" w:sz="4"/>
            </w:tcBorders>
            <w:shd w:fill="E7EEF7" w:val="clear"/>
            <w:tcMar>
              <w:top w:type="dxa" w:w="80"/>
              <w:left w:type="dxa" w:w="120"/>
              <w:bottom w:type="dxa" w:w="80"/>
              <w:right w:type="dxa" w:w="120"/>
            </w:tcMar>
          </w:tcPr>
          <w:p>
            <w:r>
              <w:rPr>
                <w:rFonts w:ascii="Arial" w:cs="Arial" w:eastAsia="Arial" w:hAnsi="Arial"/>
                <w:b/>
                <w:bCs/>
                <w:sz w:val="20"/>
                <w:szCs w:val="20"/>
              </w:rPr>
              <w:t xml:space="preserve">Rule</w:t>
            </w:r>
          </w:p>
        </w:tc>
        <w:tc>
          <w:tcPr>
            <w:tcW w:type="dxa" w:w="1200"/>
            <w:tcBorders>
              <w:top w:val="single" w:color="BFBFBF" w:sz="4"/>
              <w:left w:val="single" w:color="BFBFBF" w:sz="4"/>
              <w:bottom w:val="single" w:color="BFBFBF" w:sz="4"/>
              <w:right w:val="single" w:color="BFBFBF" w:sz="4"/>
            </w:tcBorders>
            <w:shd w:fill="E7EEF7" w:val="clear"/>
            <w:tcMar>
              <w:top w:type="dxa" w:w="80"/>
              <w:left w:type="dxa" w:w="120"/>
              <w:bottom w:type="dxa" w:w="80"/>
              <w:right w:type="dxa" w:w="120"/>
            </w:tcMar>
          </w:tcPr>
          <w:p>
            <w:r>
              <w:rPr>
                <w:rFonts w:ascii="Arial" w:cs="Arial" w:eastAsia="Arial" w:hAnsi="Arial"/>
                <w:b/>
                <w:bCs/>
                <w:sz w:val="20"/>
                <w:szCs w:val="20"/>
              </w:rPr>
              <w:t xml:space="preserve">Severity</w:t>
            </w:r>
          </w:p>
        </w:tc>
        <w:tc>
          <w:tcPr>
            <w:tcW w:type="dxa" w:w="5760"/>
            <w:tcBorders>
              <w:top w:val="single" w:color="BFBFBF" w:sz="4"/>
              <w:left w:val="single" w:color="BFBFBF" w:sz="4"/>
              <w:bottom w:val="single" w:color="BFBFBF" w:sz="4"/>
              <w:right w:val="single" w:color="BFBFBF" w:sz="4"/>
            </w:tcBorders>
            <w:shd w:fill="E7EEF7" w:val="clear"/>
            <w:tcMar>
              <w:top w:type="dxa" w:w="80"/>
              <w:left w:type="dxa" w:w="120"/>
              <w:bottom w:type="dxa" w:w="80"/>
              <w:right w:type="dxa" w:w="120"/>
            </w:tcMar>
          </w:tcPr>
          <w:p>
            <w:r>
              <w:rPr>
                <w:rFonts w:ascii="Arial" w:cs="Arial" w:eastAsia="Arial" w:hAnsi="Arial"/>
                <w:b/>
                <w:bCs/>
                <w:sz w:val="20"/>
                <w:szCs w:val="20"/>
              </w:rPr>
              <w:t xml:space="preserve">Meaning</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GAINCOMP_MONOTONIC</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error</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Every gainComputer node’s static curve is sampled at 64 points across −60..+6 dBFS; output must be non-decreasing. Math is a no-op for Zölzer soft-knee with ratio≥1, knee≥0; serves as forward-compat gate for Stage-B Bézier curve primitive.</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ENVELOPE_DENORMAL_GUARD</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error (harness)</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Source-level check on workletSources.js: (a) a DENORM constant of a tiny positive value is declared; (b) the sandbox envelope follower body references DENORM at least twice. Ties the Jon Watte denormal bias (canon Utilities §1) to ship-gate denormal_tail enforcement.</w:t>
            </w:r>
          </w:p>
        </w:tc>
      </w:tr>
    </w:tbl>
    <w:p>
      <w:pPr>
        <w:pStyle w:val="Heading3"/>
        <w:spacing w:after="80" w:before="160"/>
      </w:pPr>
      <w:r>
        <w:rPr>
          <w:rFonts w:ascii="Arial" w:cs="Arial" w:eastAsia="Arial" w:hAnsi="Arial"/>
          <w:b/>
          <w:bCs/>
          <w:sz w:val="22"/>
          <w:szCs w:val="22"/>
        </w:rPr>
        <w:t xml:space="preserve">4.1  GAINCOMP_MONOTONIC — why it exists now</w:t>
      </w:r>
    </w:p>
    <w:p>
      <w:pPr>
        <w:spacing w:after="120"/>
      </w:pPr>
      <w:r>
        <w:rPr>
          <w:rFonts w:ascii="Arial" w:cs="Arial" w:eastAsia="Arial" w:hAnsi="Arial"/>
        </w:rPr>
        <w:t xml:space="preserve">The rule is a no-op for any Zölzer soft-knee with ratio ≥ 1 and knee ≥ 0; the curve is always non-decreasing. It is paid for in validator cycles to seal the shape of the gain-computer contract before Stage-B introduces the Bézier curve primitive (see sandbox_modulation_roadmap.md). Once curves become user-editable, this rule becomes load-bearing: any non-monotonic curve is gate-blocked before codegen.</w:t>
      </w:r>
    </w:p>
    <w:p>
      <w:pPr>
        <w:pStyle w:val="Heading3"/>
        <w:spacing w:after="80" w:before="160"/>
      </w:pPr>
      <w:r>
        <w:rPr>
          <w:rFonts w:ascii="Arial" w:cs="Arial" w:eastAsia="Arial" w:hAnsi="Arial"/>
          <w:b/>
          <w:bCs/>
          <w:sz w:val="22"/>
          <w:szCs w:val="22"/>
        </w:rPr>
        <w:t xml:space="preserve">4.2  ENVELOPE_DENORMAL_GUARD — why it is source-level</w:t>
      </w:r>
    </w:p>
    <w:p>
      <w:pPr>
        <w:spacing w:after="120"/>
      </w:pPr>
      <w:r>
        <w:rPr>
          <w:rFonts w:ascii="Arial" w:cs="Arial" w:eastAsia="Arial" w:hAnsi="Arial"/>
        </w:rPr>
        <w:t xml:space="preserve">Denormal floats stall AR smoothers below ~10⁻³⁸ and are the classic cause of stuck envelope tails on idle channels. The canonical fix (dsp_code_canon_utilities.md §1, Jon Watte) is to inject a tiny positive DENORM bias inside the envelope loop. This rule greps the worklet source to ensure the DENORM constant is declared and the envelope body references it in ≥ 2 places. It is source-level because the defect is invisible to black-box numerical tests until it happens in production.</w:t>
      </w:r>
    </w:p>
    <w:p>
      <w:pPr>
        <w:pStyle w:val="Heading1"/>
        <w:spacing w:after="160" w:before="320"/>
      </w:pPr>
      <w:r>
        <w:rPr>
          <w:rFonts w:ascii="Arial" w:cs="Arial" w:eastAsia="Arial" w:hAnsi="Arial"/>
          <w:b/>
          <w:bCs/>
          <w:sz w:val="32"/>
          <w:szCs w:val="32"/>
        </w:rPr>
        <w:t xml:space="preserve">5. Stage-3 op sidecar scaffold</w:t>
      </w:r>
    </w:p>
    <w:p>
      <w:pPr>
        <w:spacing w:after="120"/>
      </w:pPr>
      <w:r>
        <w:rPr>
          <w:rFonts w:ascii="Arial" w:cs="Arial" w:eastAsia="Arial" w:hAnsi="Arial"/>
        </w:rPr>
        <w:t xml:space="preserve">Six op sidecars cover the MVP op registry required to decompose the Toy Compressor and, once filled in, the ManChild / Lofi Loofy / FJM / Panther Buss dogfood corpus.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120"/>
        <w:gridCol w:w="2520"/>
        <w:gridCol w:w="1920"/>
      </w:tblGrid>
      <w:tr>
        <w:trPr>
          <w:tblHeader/>
        </w:trPr>
        <w:tc>
          <w:tcPr>
            <w:tcW w:type="dxa" w:w="1800"/>
            <w:tcBorders>
              <w:top w:val="single" w:color="BFBFBF" w:sz="4"/>
              <w:left w:val="single" w:color="BFBFBF" w:sz="4"/>
              <w:bottom w:val="single" w:color="BFBFBF" w:sz="4"/>
              <w:right w:val="single" w:color="BFBFBF" w:sz="4"/>
            </w:tcBorders>
            <w:shd w:fill="E7EEF7" w:val="clear"/>
            <w:tcMar>
              <w:top w:type="dxa" w:w="80"/>
              <w:left w:type="dxa" w:w="120"/>
              <w:bottom w:type="dxa" w:w="80"/>
              <w:right w:type="dxa" w:w="120"/>
            </w:tcMar>
          </w:tcPr>
          <w:p>
            <w:r>
              <w:rPr>
                <w:rFonts w:ascii="Arial" w:cs="Arial" w:eastAsia="Arial" w:hAnsi="Arial"/>
                <w:b/>
                <w:bCs/>
                <w:sz w:val="20"/>
                <w:szCs w:val="20"/>
              </w:rPr>
              <w:t xml:space="preserve">Op</w:t>
            </w:r>
          </w:p>
        </w:tc>
        <w:tc>
          <w:tcPr>
            <w:tcW w:type="dxa" w:w="3120"/>
            <w:tcBorders>
              <w:top w:val="single" w:color="BFBFBF" w:sz="4"/>
              <w:left w:val="single" w:color="BFBFBF" w:sz="4"/>
              <w:bottom w:val="single" w:color="BFBFBF" w:sz="4"/>
              <w:right w:val="single" w:color="BFBFBF" w:sz="4"/>
            </w:tcBorders>
            <w:shd w:fill="E7EEF7" w:val="clear"/>
            <w:tcMar>
              <w:top w:type="dxa" w:w="80"/>
              <w:left w:type="dxa" w:w="120"/>
              <w:bottom w:type="dxa" w:w="80"/>
              <w:right w:type="dxa" w:w="120"/>
            </w:tcMar>
          </w:tcPr>
          <w:p>
            <w:r>
              <w:rPr>
                <w:rFonts w:ascii="Arial" w:cs="Arial" w:eastAsia="Arial" w:hAnsi="Arial"/>
                <w:b/>
                <w:bCs/>
                <w:sz w:val="20"/>
                <w:szCs w:val="20"/>
              </w:rPr>
              <w:t xml:space="preserve">Inputs / Outputs</w:t>
            </w:r>
          </w:p>
        </w:tc>
        <w:tc>
          <w:tcPr>
            <w:tcW w:type="dxa" w:w="2520"/>
            <w:tcBorders>
              <w:top w:val="single" w:color="BFBFBF" w:sz="4"/>
              <w:left w:val="single" w:color="BFBFBF" w:sz="4"/>
              <w:bottom w:val="single" w:color="BFBFBF" w:sz="4"/>
              <w:right w:val="single" w:color="BFBFBF" w:sz="4"/>
            </w:tcBorders>
            <w:shd w:fill="E7EEF7" w:val="clear"/>
            <w:tcMar>
              <w:top w:type="dxa" w:w="80"/>
              <w:left w:type="dxa" w:w="120"/>
              <w:bottom w:type="dxa" w:w="80"/>
              <w:right w:type="dxa" w:w="120"/>
            </w:tcMar>
          </w:tcPr>
          <w:p>
            <w:r>
              <w:rPr>
                <w:rFonts w:ascii="Arial" w:cs="Arial" w:eastAsia="Arial" w:hAnsi="Arial"/>
                <w:b/>
                <w:bCs/>
                <w:sz w:val="20"/>
                <w:szCs w:val="20"/>
              </w:rPr>
              <w:t xml:space="preserve">Params (default)</w:t>
            </w:r>
          </w:p>
        </w:tc>
        <w:tc>
          <w:tcPr>
            <w:tcW w:type="dxa" w:w="1920"/>
            <w:tcBorders>
              <w:top w:val="single" w:color="BFBFBF" w:sz="4"/>
              <w:left w:val="single" w:color="BFBFBF" w:sz="4"/>
              <w:bottom w:val="single" w:color="BFBFBF" w:sz="4"/>
              <w:right w:val="single" w:color="BFBFBF" w:sz="4"/>
            </w:tcBorders>
            <w:shd w:fill="E7EEF7" w:val="clear"/>
            <w:tcMar>
              <w:top w:type="dxa" w:w="80"/>
              <w:left w:type="dxa" w:w="120"/>
              <w:bottom w:type="dxa" w:w="80"/>
              <w:right w:type="dxa" w:w="120"/>
            </w:tcMar>
          </w:tcPr>
          <w:p>
            <w:r>
              <w:rPr>
                <w:rFonts w:ascii="Arial" w:cs="Arial" w:eastAsia="Arial" w:hAnsi="Arial"/>
                <w:b/>
                <w:bCs/>
                <w:sz w:val="20"/>
                <w:szCs w:val="20"/>
              </w:rPr>
              <w:t xml:space="preserve">Math state</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gain</w:t>
            </w:r>
          </w:p>
        </w:tc>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in (audio), gainMod? (control) → out (audio)</w:t>
            </w:r>
          </w:p>
        </w:tc>
        <w:tc>
          <w:tcPr>
            <w:tcW w:type="dxa" w:w="25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gainDb (0)</w:t>
            </w:r>
          </w:p>
        </w:tc>
        <w:tc>
          <w:tcPr>
            <w:tcW w:type="dxa" w:w="19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Ported — dB→linear + additive mod.</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filter</w:t>
            </w:r>
          </w:p>
        </w:tc>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in → out</w:t>
            </w:r>
          </w:p>
        </w:tc>
        <w:tc>
          <w:tcPr>
            <w:tcW w:type="dxa" w:w="25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mode, cutoff, q</w:t>
            </w:r>
          </w:p>
        </w:tc>
        <w:tc>
          <w:tcPr>
            <w:tcW w:type="dxa" w:w="19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Stub — RBJ cookbook pending.</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detector</w:t>
            </w:r>
          </w:p>
        </w:tc>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in → level (control)</w:t>
            </w:r>
          </w:p>
        </w:tc>
        <w:tc>
          <w:tcPr>
            <w:tcW w:type="dxa" w:w="25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mode (peak/rms)</w:t>
            </w:r>
          </w:p>
        </w:tc>
        <w:tc>
          <w:tcPr>
            <w:tcW w:type="dxa" w:w="19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Stub — full-wave rectifier.</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envelope</w:t>
            </w:r>
          </w:p>
        </w:tc>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level (control) → env (control)</w:t>
            </w:r>
          </w:p>
        </w:tc>
        <w:tc>
          <w:tcPr>
            <w:tcW w:type="dxa" w:w="25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attack, release (ms)</w:t>
            </w:r>
          </w:p>
        </w:tc>
        <w:tc>
          <w:tcPr>
            <w:tcW w:type="dxa" w:w="19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Stub — AR smoother, must preserve DENORM.</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gainComputer</w:t>
            </w:r>
          </w:p>
        </w:tc>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env (control) → gr (control)</w:t>
            </w:r>
          </w:p>
        </w:tc>
        <w:tc>
          <w:tcPr>
            <w:tcW w:type="dxa" w:w="25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thresholdDb (-18), ratio (4), kneeDb (6)</w:t>
            </w:r>
          </w:p>
        </w:tc>
        <w:tc>
          <w:tcPr>
            <w:tcW w:type="dxa" w:w="19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Stub — Zölzer soft-knee pending.</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mix</w:t>
            </w:r>
          </w:p>
        </w:tc>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dry, wet → out</w:t>
            </w:r>
          </w:p>
        </w:tc>
        <w:tc>
          <w:tcPr>
            <w:tcW w:type="dxa" w:w="25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amount (0..1)</w:t>
            </w:r>
          </w:p>
        </w:tc>
        <w:tc>
          <w:tcPr>
            <w:tcW w:type="dxa" w:w="19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Stub — equal-power cos/sin.</w:t>
            </w:r>
          </w:p>
        </w:tc>
      </w:tr>
    </w:tbl>
    <w:p>
      <w:pPr>
        <w:spacing w:after="120"/>
      </w:pPr>
      <w:r>
        <w:rPr>
          <w:rFonts w:ascii="Arial" w:cs="Arial" w:eastAsia="Arial" w:hAnsi="Arial"/>
        </w:rPr>
        <w:t xml:space="preserve">Each op ships as three files:</w:t>
      </w:r>
    </w:p>
    <w:p>
      <w:pPr>
        <w:pStyle w:val="ListParagraph"/>
        <w:numPr>
          <w:ilvl w:val="0"/>
          <w:numId w:val="2"/>
        </w:numPr>
        <w:spacing w:after="60"/>
      </w:pPr>
      <w:r>
        <w:rPr>
          <w:rFonts w:ascii="Arial" w:cs="Arial" w:eastAsia="Arial" w:hAnsi="Arial"/>
          <w:sz w:val="22"/>
          <w:szCs w:val="22"/>
        </w:rPr>
        <w:t xml:space="preserve">op_&lt;id&gt;.worklet.js — the JS sidecar class stitched by the master-worklet emitter (runtime target: in-app sandbox, iPlug2 WAM preview).</w:t>
      </w:r>
    </w:p>
    <w:p>
      <w:pPr>
        <w:pStyle w:val="ListParagraph"/>
        <w:numPr>
          <w:ilvl w:val="0"/>
          <w:numId w:val="2"/>
        </w:numPr>
        <w:spacing w:after="60"/>
      </w:pPr>
      <w:r>
        <w:rPr>
          <w:rFonts w:ascii="Arial" w:cs="Arial" w:eastAsia="Arial" w:hAnsi="Arial"/>
          <w:sz w:val="22"/>
          <w:szCs w:val="22"/>
        </w:rPr>
        <w:t xml:space="preserve">op_&lt;id&gt;.cpp.jinja — the C++ struct template rendered by the native emitter (runtime target: JUCE-VST3 + AU bundle).</w:t>
      </w:r>
    </w:p>
    <w:p>
      <w:pPr>
        <w:pStyle w:val="ListParagraph"/>
        <w:numPr>
          <w:ilvl w:val="0"/>
          <w:numId w:val="2"/>
        </w:numPr>
        <w:spacing w:after="60"/>
      </w:pPr>
      <w:r>
        <w:rPr>
          <w:rFonts w:ascii="Arial" w:cs="Arial" w:eastAsia="Arial" w:hAnsi="Arial"/>
          <w:sz w:val="22"/>
          <w:szCs w:val="22"/>
        </w:rPr>
        <w:t xml:space="preserve">scripts/goldens/&lt;opId&gt;.golden.json — the SHA-256 hash of the op’s output under a fixed drive buffer at default params.</w:t>
      </w:r>
    </w:p>
    <w:p>
      <w:pPr>
        <w:spacing w:after="120"/>
      </w:pPr>
      <w:r>
        <w:rPr>
          <w:rFonts w:ascii="Arial" w:cs="Arial" w:eastAsia="Arial" w:hAnsi="Arial"/>
        </w:rPr>
        <w:t xml:space="preserve">The three-file per-op contract is what makes the AI agent layer tractable: one op, one canonical registry entry, two rendered emitters, one golden hash. Every subsequent agent edit is a delta on known shape.</w:t>
      </w:r>
    </w:p>
    <w:p>
      <w:pPr>
        <w:pStyle w:val="Heading1"/>
        <w:spacing w:after="160" w:before="320"/>
      </w:pPr>
      <w:r>
        <w:rPr>
          <w:rFonts w:ascii="Arial" w:cs="Arial" w:eastAsia="Arial" w:hAnsi="Arial"/>
          <w:b/>
          <w:bCs/>
          <w:sz w:val="32"/>
          <w:szCs w:val="32"/>
        </w:rPr>
        <w:t xml:space="preserve">6. Golden-vector harness (scripts/check_op_goldens.mjs)</w:t>
      </w:r>
    </w:p>
    <w:p>
      <w:pPr>
        <w:spacing w:after="120"/>
      </w:pPr>
      <w:r>
        <w:rPr>
          <w:rFonts w:ascii="Arial" w:cs="Arial" w:eastAsia="Arial" w:hAnsi="Arial"/>
        </w:rPr>
        <w:t xml:space="preserve">The harness enforces two orthogonal contracts:</w:t>
      </w:r>
    </w:p>
    <w:p>
      <w:pPr>
        <w:pStyle w:val="Heading3"/>
        <w:spacing w:after="80" w:before="160"/>
      </w:pPr>
      <w:r>
        <w:rPr>
          <w:rFonts w:ascii="Arial" w:cs="Arial" w:eastAsia="Arial" w:hAnsi="Arial"/>
          <w:b/>
          <w:bCs/>
          <w:sz w:val="22"/>
          <w:szCs w:val="22"/>
        </w:rPr>
        <w:t xml:space="preserve">A. Shape conformance</w:t>
      </w:r>
    </w:p>
    <w:p>
      <w:pPr>
        <w:spacing w:after="120"/>
      </w:pPr>
      <w:r>
        <w:rPr>
          <w:rFonts w:ascii="Arial" w:cs="Arial" w:eastAsia="Arial" w:hAnsi="Arial"/>
        </w:rPr>
        <w:t xml:space="preserve">Every op_&lt;id&gt;.worklet.js exports exactly one class whose static opId, inputs, outputs, and params match the corresponding opRegistry.js entry — port ids compared order-insensitively. Adding an op without updating the registry (or vice versa) trips this check at pre-commit.</w:t>
      </w:r>
    </w:p>
    <w:p>
      <w:pPr>
        <w:pStyle w:val="Heading3"/>
        <w:spacing w:after="80" w:before="160"/>
      </w:pPr>
      <w:r>
        <w:rPr>
          <w:rFonts w:ascii="Arial" w:cs="Arial" w:eastAsia="Arial" w:hAnsi="Arial"/>
          <w:b/>
          <w:bCs/>
          <w:sz w:val="22"/>
          <w:szCs w:val="22"/>
        </w:rPr>
        <w:t xml:space="preserve">B. Numerical contract</w:t>
      </w:r>
    </w:p>
    <w:p>
      <w:pPr>
        <w:spacing w:after="120"/>
      </w:pPr>
      <w:r>
        <w:rPr>
          <w:rFonts w:ascii="Arial" w:cs="Arial" w:eastAsia="Arial" w:hAnsi="Arial"/>
        </w:rPr>
        <w:t xml:space="preserve">The op is driven with a deterministic 128-sample buffer (chirp 0..96 + impulse at sample 100, sr=48000) at default params; all declared outputs are concatenated in declared order and hashed with SHA-256. The hash is compared against scripts/goldens/&lt;opId&gt;.golden.json.</w:t>
      </w:r>
    </w:p>
    <w:p>
      <w:pPr>
        <w:shd w:fill="F4F4F4" w:val="clear"/>
        <w:spacing w:after="80"/>
      </w:pPr>
      <w:r>
        <w:rPr>
          <w:rFonts w:ascii="Consolas" w:cs="Consolas" w:eastAsia="Consolas" w:hAnsi="Consolas"/>
          <w:sz w:val="20"/>
          <w:szCs w:val="20"/>
        </w:rPr>
        <w:t xml:space="preserve">Bless flow:  node scripts/check_op_goldens.mjs --bless</w:t>
      </w:r>
    </w:p>
    <w:p>
      <w:pPr>
        <w:spacing w:after="120"/>
      </w:pPr>
      <w:r>
        <w:rPr>
          <w:rFonts w:ascii="Arial" w:cs="Arial" w:eastAsia="Arial" w:hAnsi="Arial"/>
        </w:rPr>
        <w:t xml:space="preserve">A golden update is a deliberate act, not a reflex. The author reads the diff in scripts/goldens/&lt;opId&gt;.golden.json and commits it with the math change. Any accidental math drift — including drift introduced by a codegen template change downstream — trips the harness at the next commit.</w:t>
      </w:r>
    </w:p>
    <w:p>
      <w:pPr>
        <w:spacing w:after="120"/>
      </w:pPr>
      <w:r>
        <w:rPr>
          <w:rFonts w:ascii="Arial" w:cs="Arial" w:eastAsia="Arial" w:hAnsi="Arial"/>
        </w:rPr>
        <w:t xml:space="preserve">Runtime note: the sidecars are pure JS classes with no AudioWorkletGlobalScope dependency, by design, so master-worklet codegen can stitch them flat. That lets the harness run them under Node without a browser. The .worklet.js extension is kept so grep patterns still match “everything that emits into the master worklet.”</w:t>
      </w:r>
    </w:p>
    <w:p>
      <w:pPr>
        <w:pStyle w:val="Heading1"/>
        <w:spacing w:after="160" w:before="320"/>
      </w:pPr>
      <w:r>
        <w:rPr>
          <w:rFonts w:ascii="Arial" w:cs="Arial" w:eastAsia="Arial" w:hAnsi="Arial"/>
          <w:b/>
          <w:bCs/>
          <w:sz w:val="32"/>
          <w:szCs w:val="32"/>
        </w:rPr>
        <w:t xml:space="preserve">7. Codegen design lock (memory/codegen_design.md)</w:t>
      </w:r>
    </w:p>
    <w:p>
      <w:pPr>
        <w:spacing w:after="120"/>
      </w:pPr>
      <w:r>
        <w:rPr>
          <w:rFonts w:ascii="Arial" w:cs="Arial" w:eastAsia="Arial" w:hAnsi="Arial"/>
        </w:rPr>
        <w:t xml:space="preserve">Seven architectural locks were committed in the Stage-3 design doc:</w:t>
      </w:r>
    </w:p>
    <w:p>
      <w:pPr>
        <w:pStyle w:val="ListParagraph"/>
        <w:numPr>
          <w:ilvl w:val="0"/>
          <w:numId w:val="2"/>
        </w:numPr>
        <w:spacing w:after="60"/>
      </w:pPr>
      <w:r>
        <w:rPr>
          <w:rFonts w:ascii="Arial" w:cs="Arial" w:eastAsia="Arial" w:hAnsi="Arial"/>
          <w:sz w:val="22"/>
          <w:szCs w:val="22"/>
        </w:rPr>
        <w:t xml:space="preserve">One IR (graph.json v1.0) drives both runtime targets; no side-channel formats.</w:t>
      </w:r>
    </w:p>
    <w:p>
      <w:pPr>
        <w:pStyle w:val="ListParagraph"/>
        <w:numPr>
          <w:ilvl w:val="0"/>
          <w:numId w:val="2"/>
        </w:numPr>
        <w:spacing w:after="60"/>
      </w:pPr>
      <w:r>
        <w:rPr>
          <w:rFonts w:ascii="Arial" w:cs="Arial" w:eastAsia="Arial" w:hAnsi="Arial"/>
          <w:sz w:val="22"/>
          <w:szCs w:val="22"/>
        </w:rPr>
        <w:t xml:space="preserve">Master AudioWorklet replaces chain-of-worklets at runtime — no per-op AudioWorkletNode boundary latency, sample-locked sidechaining works by construction.</w:t>
      </w:r>
    </w:p>
    <w:p>
      <w:pPr>
        <w:pStyle w:val="ListParagraph"/>
        <w:numPr>
          <w:ilvl w:val="0"/>
          <w:numId w:val="2"/>
        </w:numPr>
        <w:spacing w:after="60"/>
      </w:pPr>
      <w:r>
        <w:rPr>
          <w:rFonts w:ascii="Arial" w:cs="Arial" w:eastAsia="Arial" w:hAnsi="Arial"/>
          <w:sz w:val="22"/>
          <w:szCs w:val="22"/>
        </w:rPr>
        <w:t xml:space="preserve">Native target is JUCE 8 + CMake, rendering VST3 + AU. CLAP / WCLAP deferred to v2/v3.</w:t>
      </w:r>
    </w:p>
    <w:p>
      <w:pPr>
        <w:pStyle w:val="ListParagraph"/>
        <w:numPr>
          <w:ilvl w:val="0"/>
          <w:numId w:val="2"/>
        </w:numPr>
        <w:spacing w:after="60"/>
      </w:pPr>
      <w:r>
        <w:rPr>
          <w:rFonts w:ascii="Arial" w:cs="Arial" w:eastAsia="Arial" w:hAnsi="Arial"/>
          <w:sz w:val="22"/>
          <w:szCs w:val="22"/>
        </w:rPr>
        <w:t xml:space="preserve">iPlug2 WAM confined to in-app preview; not shipped to DAWs.</w:t>
      </w:r>
    </w:p>
    <w:p>
      <w:pPr>
        <w:pStyle w:val="ListParagraph"/>
        <w:numPr>
          <w:ilvl w:val="0"/>
          <w:numId w:val="2"/>
        </w:numPr>
        <w:spacing w:after="60"/>
      </w:pPr>
      <w:r>
        <w:rPr>
          <w:rFonts w:ascii="Arial" w:cs="Arial" w:eastAsia="Arial" w:hAnsi="Arial"/>
          <w:sz w:val="22"/>
          <w:szCs w:val="22"/>
        </w:rPr>
        <w:t xml:space="preserve">Per-op tri-file contract (.worklet.js + .cpp.jinja + golden).</w:t>
      </w:r>
    </w:p>
    <w:p>
      <w:pPr>
        <w:pStyle w:val="ListParagraph"/>
        <w:numPr>
          <w:ilvl w:val="0"/>
          <w:numId w:val="2"/>
        </w:numPr>
        <w:spacing w:after="60"/>
      </w:pPr>
      <w:r>
        <w:rPr>
          <w:rFonts w:ascii="Arial" w:cs="Arial" w:eastAsia="Arial" w:hAnsi="Arial"/>
          <w:sz w:val="22"/>
          <w:szCs w:val="22"/>
        </w:rPr>
        <w:t xml:space="preserve">Plugin on disk is a directory bundle: &lt;name&gt;.shagsplug/ with graph.json + preset.json + meta.json + cover.svg + codegen/ + optional build/.</w:t>
      </w:r>
    </w:p>
    <w:p>
      <w:pPr>
        <w:pStyle w:val="ListParagraph"/>
        <w:numPr>
          <w:ilvl w:val="0"/>
          <w:numId w:val="2"/>
        </w:numPr>
        <w:spacing w:after="60"/>
      </w:pPr>
      <w:r>
        <w:rPr>
          <w:rFonts w:ascii="Arial" w:cs="Arial" w:eastAsia="Arial" w:hAnsi="Arial"/>
          <w:sz w:val="22"/>
          <w:szCs w:val="22"/>
        </w:rPr>
        <w:t xml:space="preserve">T8 cross-target conformance tier reserved: max|Δ| &lt; −10⁻²⁰ across 6 sample-rates × 6 buffer sizes.</w:t>
      </w:r>
    </w:p>
    <w:p>
      <w:pPr>
        <w:spacing w:after="120"/>
      </w:pPr>
      <w:r>
        <w:rPr>
          <w:rFonts w:ascii="Arial" w:cs="Arial" w:eastAsia="Arial" w:hAnsi="Arial"/>
        </w:rPr>
        <w:t xml:space="preserve">The full decision rationale, including what was rejected (text DSL as authoring surface, GPL engine, cloud-compile-only, sandbox-only runtime), lives in memory/authoring_runtime_precedent.md.</w:t>
      </w:r>
    </w:p>
    <w:p>
      <w:pPr>
        <w:pStyle w:val="Heading1"/>
        <w:spacing w:after="160" w:before="320"/>
      </w:pPr>
      <w:r>
        <w:rPr>
          <w:rFonts w:ascii="Arial" w:cs="Arial" w:eastAsia="Arial" w:hAnsi="Arial"/>
          <w:b/>
          <w:bCs/>
          <w:sz w:val="32"/>
          <w:szCs w:val="32"/>
        </w:rPr>
        <w:t xml:space="preserve">8. Open work — explicit punch list</w:t>
      </w:r>
    </w:p>
    <w:p>
      <w:pPr>
        <w:pStyle w:val="Heading3"/>
        <w:spacing w:after="80" w:before="160"/>
      </w:pPr>
      <w:r>
        <w:rPr>
          <w:rFonts w:ascii="Arial" w:cs="Arial" w:eastAsia="Arial" w:hAnsi="Arial"/>
          <w:b/>
          <w:bCs/>
          <w:sz w:val="22"/>
          <w:szCs w:val="22"/>
        </w:rPr>
        <w:t xml:space="preserve">8.1  Immediate (this loop)</w:t>
      </w:r>
    </w:p>
    <w:p>
      <w:pPr>
        <w:pStyle w:val="ListParagraph"/>
        <w:numPr>
          <w:ilvl w:val="0"/>
          <w:numId w:val="2"/>
        </w:numPr>
        <w:spacing w:after="60"/>
      </w:pPr>
      <w:r>
        <w:rPr>
          <w:rFonts w:ascii="Arial" w:cs="Arial" w:eastAsia="Arial" w:hAnsi="Arial"/>
          <w:sz w:val="22"/>
          <w:szCs w:val="22"/>
        </w:rPr>
        <w:t xml:space="preserve">Run check_op_goldens.mjs against the ported gain op; confirm its hash diverges from the 076a27c79e5ace2a… all-zero baseline.</w:t>
      </w:r>
    </w:p>
    <w:p>
      <w:pPr>
        <w:pStyle w:val="ListParagraph"/>
        <w:numPr>
          <w:ilvl w:val="0"/>
          <w:numId w:val="2"/>
        </w:numPr>
        <w:spacing w:after="60"/>
      </w:pPr>
      <w:r>
        <w:rPr>
          <w:rFonts w:ascii="Arial" w:cs="Arial" w:eastAsia="Arial" w:hAnsi="Arial"/>
          <w:sz w:val="22"/>
          <w:szCs w:val="22"/>
        </w:rPr>
        <w:t xml:space="preserve">npm run qc:goldens:bless — capture the new gain golden.</w:t>
      </w:r>
    </w:p>
    <w:p>
      <w:pPr>
        <w:pStyle w:val="ListParagraph"/>
        <w:numPr>
          <w:ilvl w:val="0"/>
          <w:numId w:val="2"/>
        </w:numPr>
        <w:spacing w:after="60"/>
      </w:pPr>
      <w:r>
        <w:rPr>
          <w:rFonts w:ascii="Arial" w:cs="Arial" w:eastAsia="Arial" w:hAnsi="Arial"/>
          <w:sz w:val="22"/>
          <w:szCs w:val="22"/>
        </w:rPr>
        <w:t xml:space="preserve">npm run qc:all — confirm all four gates green.</w:t>
      </w:r>
    </w:p>
    <w:p>
      <w:pPr>
        <w:pStyle w:val="ListParagraph"/>
        <w:numPr>
          <w:ilvl w:val="0"/>
          <w:numId w:val="2"/>
        </w:numPr>
        <w:spacing w:after="60"/>
      </w:pPr>
      <w:r>
        <w:rPr>
          <w:rFonts w:ascii="Arial" w:cs="Arial" w:eastAsia="Arial" w:hAnsi="Arial"/>
          <w:sz w:val="22"/>
          <w:szCs w:val="22"/>
        </w:rPr>
        <w:t xml:space="preserve">Commit gain port + gain.golden.json as one deliberate unit.</w:t>
      </w:r>
    </w:p>
    <w:p>
      <w:pPr>
        <w:pStyle w:val="Heading3"/>
        <w:spacing w:after="80" w:before="160"/>
      </w:pPr>
      <w:r>
        <w:rPr>
          <w:rFonts w:ascii="Arial" w:cs="Arial" w:eastAsia="Arial" w:hAnsi="Arial"/>
          <w:b/>
          <w:bCs/>
          <w:sz w:val="22"/>
          <w:szCs w:val="22"/>
        </w:rPr>
        <w:t xml:space="preserve">8.2  Stage 3-a remainder</w:t>
      </w:r>
    </w:p>
    <w:p>
      <w:pPr>
        <w:pStyle w:val="ListParagraph"/>
        <w:numPr>
          <w:ilvl w:val="0"/>
          <w:numId w:val="2"/>
        </w:numPr>
        <w:spacing w:after="60"/>
      </w:pPr>
      <w:r>
        <w:rPr>
          <w:rFonts w:ascii="Arial" w:cs="Arial" w:eastAsia="Arial" w:hAnsi="Arial"/>
          <w:sz w:val="22"/>
          <w:szCs w:val="22"/>
        </w:rPr>
        <w:t xml:space="preserve">Port the remaining five sidecars: filter (RBJ cookbook), detector (peak/rms rectifier), envelope (AR + DENORM), gainComputer (Zölzer soft-knee), mix (equal-power cos/sin).</w:t>
      </w:r>
    </w:p>
    <w:p>
      <w:pPr>
        <w:pStyle w:val="ListParagraph"/>
        <w:numPr>
          <w:ilvl w:val="0"/>
          <w:numId w:val="2"/>
        </w:numPr>
        <w:spacing w:after="60"/>
      </w:pPr>
      <w:r>
        <w:rPr>
          <w:rFonts w:ascii="Arial" w:cs="Arial" w:eastAsia="Arial" w:hAnsi="Arial"/>
          <w:sz w:val="22"/>
          <w:szCs w:val="22"/>
        </w:rPr>
        <w:t xml:space="preserve">PCOF builder + T6.5 validator pass.</w:t>
      </w:r>
    </w:p>
    <w:p>
      <w:pPr>
        <w:pStyle w:val="ListParagraph"/>
        <w:numPr>
          <w:ilvl w:val="0"/>
          <w:numId w:val="2"/>
        </w:numPr>
        <w:spacing w:after="60"/>
      </w:pPr>
      <w:r>
        <w:rPr>
          <w:rFonts w:ascii="Arial" w:cs="Arial" w:eastAsia="Arial" w:hAnsi="Arial"/>
          <w:sz w:val="22"/>
          <w:szCs w:val="22"/>
        </w:rPr>
        <w:t xml:space="preserve">Master-worklet emitter stitching the six ops for TOY_COMP.</w:t>
      </w:r>
    </w:p>
    <w:p>
      <w:pPr>
        <w:pStyle w:val="ListParagraph"/>
        <w:numPr>
          <w:ilvl w:val="0"/>
          <w:numId w:val="2"/>
        </w:numPr>
        <w:spacing w:after="60"/>
      </w:pPr>
      <w:r>
        <w:rPr>
          <w:rFonts w:ascii="Arial" w:cs="Arial" w:eastAsia="Arial" w:hAnsi="Arial"/>
          <w:sz w:val="22"/>
          <w:szCs w:val="22"/>
        </w:rPr>
        <w:t xml:space="preserve">Null-test TOY_COMP master-worklet vs chain-of-worklets (Stage 3-a exit gate).</w:t>
      </w:r>
    </w:p>
    <w:p>
      <w:pPr>
        <w:pStyle w:val="Heading3"/>
        <w:spacing w:after="80" w:before="160"/>
      </w:pPr>
      <w:r>
        <w:rPr>
          <w:rFonts w:ascii="Arial" w:cs="Arial" w:eastAsia="Arial" w:hAnsi="Arial"/>
          <w:b/>
          <w:bCs/>
          <w:sz w:val="22"/>
          <w:szCs w:val="22"/>
        </w:rPr>
        <w:t xml:space="preserve">8.3  Stage 3-b / 3-c</w:t>
      </w:r>
    </w:p>
    <w:p>
      <w:pPr>
        <w:pStyle w:val="ListParagraph"/>
        <w:numPr>
          <w:ilvl w:val="0"/>
          <w:numId w:val="2"/>
        </w:numPr>
        <w:spacing w:after="60"/>
      </w:pPr>
      <w:r>
        <w:rPr>
          <w:rFonts w:ascii="Arial" w:cs="Arial" w:eastAsia="Arial" w:hAnsi="Arial"/>
          <w:sz w:val="22"/>
          <w:szCs w:val="22"/>
        </w:rPr>
        <w:t xml:space="preserve">JUCE-VST3 emitter renders TOY_COMP from the same graph.</w:t>
      </w:r>
    </w:p>
    <w:p>
      <w:pPr>
        <w:pStyle w:val="ListParagraph"/>
        <w:numPr>
          <w:ilvl w:val="0"/>
          <w:numId w:val="2"/>
        </w:numPr>
        <w:spacing w:after="60"/>
      </w:pPr>
      <w:r>
        <w:rPr>
          <w:rFonts w:ascii="Arial" w:cs="Arial" w:eastAsia="Arial" w:hAnsi="Arial"/>
          <w:sz w:val="22"/>
          <w:szCs w:val="22"/>
        </w:rPr>
        <w:t xml:space="preserve">First T8 conformance run across 6 rates × 6 buffers.</w:t>
      </w:r>
    </w:p>
    <w:p>
      <w:pPr>
        <w:pStyle w:val="ListParagraph"/>
        <w:numPr>
          <w:ilvl w:val="0"/>
          <w:numId w:val="2"/>
        </w:numPr>
        <w:spacing w:after="60"/>
      </w:pPr>
      <w:r>
        <w:rPr>
          <w:rFonts w:ascii="Arial" w:cs="Arial" w:eastAsia="Arial" w:hAnsi="Arial"/>
          <w:sz w:val="22"/>
          <w:szCs w:val="22"/>
        </w:rPr>
        <w:t xml:space="preserve">Dogfood corpus (ManChild → Lofi Loofy → FJM → Panther Buss) rebuilt as sandbox graphs, then as .shagsplug bundles.</w:t>
      </w:r>
    </w:p>
    <w:p>
      <w:pPr>
        <w:pStyle w:val="Heading3"/>
        <w:spacing w:after="80" w:before="160"/>
      </w:pPr>
      <w:r>
        <w:rPr>
          <w:rFonts w:ascii="Arial" w:cs="Arial" w:eastAsia="Arial" w:hAnsi="Arial"/>
          <w:b/>
          <w:bCs/>
          <w:sz w:val="22"/>
          <w:szCs w:val="22"/>
        </w:rPr>
        <w:t xml:space="preserve">8.4  Documentation debt</w:t>
      </w:r>
    </w:p>
    <w:p>
      <w:pPr>
        <w:pStyle w:val="ListParagraph"/>
        <w:numPr>
          <w:ilvl w:val="0"/>
          <w:numId w:val="2"/>
        </w:numPr>
        <w:spacing w:after="60"/>
      </w:pPr>
      <w:r>
        <w:rPr>
          <w:rFonts w:ascii="Arial" w:cs="Arial" w:eastAsia="Arial" w:hAnsi="Arial"/>
          <w:sz w:val="22"/>
          <w:szCs w:val="22"/>
        </w:rPr>
        <w:t xml:space="preserve">MEMORY.md is 24.7KB vs 24.4KB soft limit — verify-then-trim the longest index entries (sandbox_modulation_roadmap, dsp_code_canon_loudness) in a dedicated chore.</w:t>
      </w:r>
    </w:p>
    <w:p>
      <w:pPr>
        <w:pStyle w:val="ListParagraph"/>
        <w:numPr>
          <w:ilvl w:val="0"/>
          <w:numId w:val="2"/>
        </w:numPr>
        <w:spacing w:after="60"/>
      </w:pPr>
      <w:r>
        <w:rPr>
          <w:rFonts w:ascii="Arial" w:cs="Arial" w:eastAsia="Arial" w:hAnsi="Arial"/>
          <w:sz w:val="22"/>
          <w:szCs w:val="22"/>
        </w:rPr>
        <w:t xml:space="preserve">qc_family_map.md to reflect that T6 now counts two additional rule bodies and that the goldens harness occupies the T6.5 slot the roadmap anticipated.</w:t>
      </w:r>
    </w:p>
    <w:p>
      <w:pPr>
        <w:pStyle w:val="ListParagraph"/>
        <w:numPr>
          <w:ilvl w:val="0"/>
          <w:numId w:val="2"/>
        </w:numPr>
        <w:spacing w:after="60"/>
      </w:pPr>
      <w:r>
        <w:rPr>
          <w:rFonts w:ascii="Arial" w:cs="Arial" w:eastAsia="Arial" w:hAnsi="Arial"/>
          <w:sz w:val="22"/>
          <w:szCs w:val="22"/>
        </w:rPr>
        <w:t xml:space="preserve">ship_blockers.md — mark denormal_tail as “source-level gated” since ENVELOPE_DENORMAL_GUARD is now enforcing it at the envelope follower level.</w:t>
      </w:r>
    </w:p>
    <w:p>
      <w:pPr>
        <w:pStyle w:val="Heading1"/>
        <w:spacing w:after="160" w:before="320"/>
      </w:pPr>
      <w:r>
        <w:rPr>
          <w:rFonts w:ascii="Arial" w:cs="Arial" w:eastAsia="Arial" w:hAnsi="Arial"/>
          <w:b/>
          <w:bCs/>
          <w:sz w:val="32"/>
          <w:szCs w:val="32"/>
        </w:rPr>
        <w:t xml:space="preserve">Appendix A — Reproducing the gate locally</w:t>
      </w:r>
    </w:p>
    <w:p>
      <w:pPr>
        <w:shd w:fill="F4F4F4" w:val="clear"/>
        <w:spacing w:after="80"/>
      </w:pPr>
      <w:r>
        <w:rPr>
          <w:rFonts w:ascii="Consolas" w:cs="Consolas" w:eastAsia="Consolas" w:hAnsi="Consolas"/>
          <w:sz w:val="20"/>
          <w:szCs w:val="20"/>
        </w:rPr>
        <w:t xml:space="preserve">npm install</w:t>
      </w:r>
    </w:p>
    <w:p>
      <w:pPr>
        <w:shd w:fill="F4F4F4" w:val="clear"/>
        <w:spacing w:after="80"/>
      </w:pPr>
      <w:r>
        <w:rPr>
          <w:rFonts w:ascii="Consolas" w:cs="Consolas" w:eastAsia="Consolas" w:hAnsi="Consolas"/>
          <w:sz w:val="20"/>
          <w:szCs w:val="20"/>
        </w:rPr>
        <w:t xml:space="preserve">npm run install-hooks</w:t>
      </w:r>
    </w:p>
    <w:p>
      <w:pPr>
        <w:shd w:fill="F4F4F4" w:val="clear"/>
        <w:spacing w:after="80"/>
      </w:pPr>
      <w:r>
        <w:rPr>
          <w:rFonts w:ascii="Consolas" w:cs="Consolas" w:eastAsia="Consolas" w:hAnsi="Consolas"/>
          <w:sz w:val="20"/>
          <w:szCs w:val="20"/>
        </w:rPr>
        <w:t xml:space="preserve">npm run qc:all</w:t>
      </w:r>
    </w:p>
    <w:p>
      <w:pPr>
        <w:spacing w:after="120"/>
      </w:pPr>
      <w:r>
        <w:rPr>
          <w:rFonts w:ascii="Arial" w:cs="Arial" w:eastAsia="Arial" w:hAnsi="Arial"/>
        </w:rPr>
        <w:t xml:space="preserve">If qc:goldens reports “hash mismatch” after a deliberate math change, read the diff against scripts/goldens/&lt;opId&gt;.golden.json, confirm the new math is intended, then:</w:t>
      </w:r>
    </w:p>
    <w:p>
      <w:pPr>
        <w:shd w:fill="F4F4F4" w:val="clear"/>
        <w:spacing w:after="80"/>
      </w:pPr>
      <w:r>
        <w:rPr>
          <w:rFonts w:ascii="Consolas" w:cs="Consolas" w:eastAsia="Consolas" w:hAnsi="Consolas"/>
          <w:sz w:val="20"/>
          <w:szCs w:val="20"/>
        </w:rPr>
        <w:t xml:space="preserve">npm run qc:goldens:bless</w:t>
      </w:r>
    </w:p>
    <w:p>
      <w:pPr>
        <w:spacing w:after="120"/>
      </w:pPr>
      <w:r>
        <w:rPr>
          <w:rFonts w:ascii="Arial" w:cs="Arial" w:eastAsia="Arial" w:hAnsi="Arial"/>
        </w:rPr>
        <w:t xml:space="preserve">and commit the updated golden alongside the code change. Never bless a golden whose diff you have not read.</w:t>
      </w:r>
    </w:p>
    <w:p>
      <w:pPr>
        <w:pStyle w:val="Heading1"/>
        <w:spacing w:after="160" w:before="320"/>
      </w:pPr>
      <w:r>
        <w:rPr>
          <w:rFonts w:ascii="Arial" w:cs="Arial" w:eastAsia="Arial" w:hAnsi="Arial"/>
          <w:b/>
          <w:bCs/>
          <w:sz w:val="32"/>
          <w:szCs w:val="32"/>
        </w:rPr>
        <w:t xml:space="preserve">Appendix B — Cross-references</w:t>
      </w:r>
    </w:p>
    <w:p>
      <w:pPr>
        <w:pStyle w:val="ListParagraph"/>
        <w:numPr>
          <w:ilvl w:val="0"/>
          <w:numId w:val="2"/>
        </w:numPr>
        <w:spacing w:after="60"/>
      </w:pPr>
      <w:r>
        <w:rPr>
          <w:rFonts w:ascii="Arial" w:cs="Arial" w:eastAsia="Arial" w:hAnsi="Arial"/>
          <w:sz w:val="22"/>
          <w:szCs w:val="22"/>
        </w:rPr>
        <w:t xml:space="preserve">memory/codegen_design.md — Stage-3 architecture lock.</w:t>
      </w:r>
    </w:p>
    <w:p>
      <w:pPr>
        <w:pStyle w:val="ListParagraph"/>
        <w:numPr>
          <w:ilvl w:val="0"/>
          <w:numId w:val="2"/>
        </w:numPr>
        <w:spacing w:after="60"/>
      </w:pPr>
      <w:r>
        <w:rPr>
          <w:rFonts w:ascii="Arial" w:cs="Arial" w:eastAsia="Arial" w:hAnsi="Arial"/>
          <w:sz w:val="22"/>
          <w:szCs w:val="22"/>
        </w:rPr>
        <w:t xml:space="preserve">memory/authoring_runtime_precedent.md — runtime target decision study.</w:t>
      </w:r>
    </w:p>
    <w:p>
      <w:pPr>
        <w:pStyle w:val="ListParagraph"/>
        <w:numPr>
          <w:ilvl w:val="0"/>
          <w:numId w:val="2"/>
        </w:numPr>
        <w:spacing w:after="60"/>
      </w:pPr>
      <w:r>
        <w:rPr>
          <w:rFonts w:ascii="Arial" w:cs="Arial" w:eastAsia="Arial" w:hAnsi="Arial"/>
          <w:sz w:val="22"/>
          <w:szCs w:val="22"/>
        </w:rPr>
        <w:t xml:space="preserve">memory/sandbox_modulation_roadmap.md — five coupling types, Stage-A..D unlock plan.</w:t>
      </w:r>
    </w:p>
    <w:p>
      <w:pPr>
        <w:pStyle w:val="ListParagraph"/>
        <w:numPr>
          <w:ilvl w:val="0"/>
          <w:numId w:val="2"/>
        </w:numPr>
        <w:spacing w:after="60"/>
      </w:pPr>
      <w:r>
        <w:rPr>
          <w:rFonts w:ascii="Arial" w:cs="Arial" w:eastAsia="Arial" w:hAnsi="Arial"/>
          <w:sz w:val="22"/>
          <w:szCs w:val="22"/>
        </w:rPr>
        <w:t xml:space="preserve">memory/sandbox_core_scope.md — Brick/Op/Primitive build framing.</w:t>
      </w:r>
    </w:p>
    <w:p>
      <w:pPr>
        <w:pStyle w:val="ListParagraph"/>
        <w:numPr>
          <w:ilvl w:val="0"/>
          <w:numId w:val="2"/>
        </w:numPr>
        <w:spacing w:after="60"/>
      </w:pPr>
      <w:r>
        <w:rPr>
          <w:rFonts w:ascii="Arial" w:cs="Arial" w:eastAsia="Arial" w:hAnsi="Arial"/>
          <w:sz w:val="22"/>
          <w:szCs w:val="22"/>
        </w:rPr>
        <w:t xml:space="preserve">memory/ship_blockers.md — runtime gates (T1–T4 + ship-blocker rules).</w:t>
      </w:r>
    </w:p>
    <w:p>
      <w:pPr>
        <w:pStyle w:val="ListParagraph"/>
        <w:numPr>
          <w:ilvl w:val="0"/>
          <w:numId w:val="2"/>
        </w:numPr>
        <w:spacing w:after="60"/>
      </w:pPr>
      <w:r>
        <w:rPr>
          <w:rFonts w:ascii="Arial" w:cs="Arial" w:eastAsia="Arial" w:hAnsi="Arial"/>
          <w:sz w:val="22"/>
          <w:szCs w:val="22"/>
        </w:rPr>
        <w:t xml:space="preserve">memory/qc_family_map.md — tier model (T1–T8).</w:t>
      </w:r>
    </w:p>
    <w:p>
      <w:pPr>
        <w:pStyle w:val="ListParagraph"/>
        <w:numPr>
          <w:ilvl w:val="0"/>
          <w:numId w:val="2"/>
        </w:numPr>
        <w:spacing w:after="60"/>
      </w:pPr>
      <w:r>
        <w:rPr>
          <w:rFonts w:ascii="Arial" w:cs="Arial" w:eastAsia="Arial" w:hAnsi="Arial"/>
          <w:sz w:val="22"/>
          <w:szCs w:val="22"/>
        </w:rPr>
        <w:t xml:space="preserve">memory/dsp_code_canon_utilities.md §1 — Jon Watte DENORM macro.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F3A5F"/>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F3A5F"/>
      <w:sz w:val="26"/>
      <w:szCs w:val="26"/>
    </w:rPr>
  </w:style>
  <w:style w:type="paragraph" w:styleId="Heading3">
    <w:name w:val="Heading 3"/>
    <w:basedOn w:val="Normal"/>
    <w:next w:val="Normal"/>
    <w:qFormat/>
    <w:pPr>
      <w:spacing w:after="80" w:before="160"/>
      <w:outlineLvl w:val="2"/>
    </w:pPr>
    <w:rPr>
      <w:rFonts w:ascii="Arial" w:cs="Arial" w:eastAsia="Arial" w:hAnsi="Arial"/>
      <w:b/>
      <w:bCs/>
      <w:color w:val="2E4A7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QC Rack Audit — Stage-3 Bring-up</dc:title>
  <dc:creator>Claude</dc:creator>
  <cp:lastModifiedBy>Un-named</cp:lastModifiedBy>
  <cp:revision>1</cp:revision>
  <dcterms:created xsi:type="dcterms:W3CDTF">2026-04-23T23:00:34.378Z</dcterms:created>
  <dcterms:modified xsi:type="dcterms:W3CDTF">2026-04-23T23:00:34.378Z</dcterms:modified>
</cp:coreProperties>
</file>

<file path=docProps/custom.xml><?xml version="1.0" encoding="utf-8"?>
<Properties xmlns="http://schemas.openxmlformats.org/officeDocument/2006/custom-properties" xmlns:vt="http://schemas.openxmlformats.org/officeDocument/2006/docPropsVTypes"/>
</file>