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3C3489"/>
          <w:sz w:val="52"/>
          <w:szCs w:val="52"/>
        </w:rPr>
        <w:t xml:space="preserve">CACEIS</w:t>
      </w:r>
    </w:p>
    <w:p>
      <w:pPr>
        <w:spacing w:after="80" w:before="0"/>
      </w:pPr>
      <w:r>
        <w:rPr>
          <w:rFonts w:ascii="Arial" w:cs="Arial" w:eastAsia="Arial" w:hAnsi="Arial"/>
          <w:b/>
          <w:bCs/>
          <w:color w:val="2C2C2A"/>
          <w:sz w:val="36"/>
          <w:szCs w:val="36"/>
        </w:rPr>
        <w:t xml:space="preserve">Valorisation du Capital Humain par l'Intelligence Artificielle</w:t>
      </w:r>
    </w:p>
    <w:p>
      <w:pPr>
        <w:spacing w:after="400" w:before="80"/>
      </w:pPr>
      <w:r>
        <w:rPr>
          <w:rFonts w:ascii="Arial" w:cs="Arial" w:eastAsia="Arial" w:hAnsi="Arial"/>
          <w:color w:val="444441"/>
          <w:sz w:val="24"/>
          <w:szCs w:val="24"/>
        </w:rPr>
        <w:t xml:space="preserve">Architecture, faisabilité opérationnelle et roadmap de déploiement</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FA9EC" w:sz="4"/>
              <w:left w:val="single" w:color="AFA9EC" w:sz="4"/>
              <w:bottom w:val="single" w:color="AFA9EC" w:sz="4"/>
              <w:right w:val="single" w:color="AFA9EC" w:sz="4"/>
            </w:tcBorders>
            <w:shd w:fill="EEEDFE" w:val="clear"/>
            <w:tcMar>
              <w:top w:type="dxa" w:w="120"/>
              <w:left w:type="dxa" w:w="140"/>
              <w:bottom w:type="dxa" w:w="120"/>
              <w:right w:type="dxa" w:w="140"/>
            </w:tcMar>
            <w:vAlign w:val="center"/>
          </w:tcPr>
          <w:p>
            <w:pPr>
              <w:spacing w:after="40" w:before="0"/>
              <w:jc w:val="center"/>
            </w:pPr>
            <w:r>
              <w:rPr>
                <w:rFonts w:ascii="Arial" w:cs="Arial" w:eastAsia="Arial" w:hAnsi="Arial"/>
                <w:b/>
                <w:bCs/>
                <w:color w:val="3C3489"/>
                <w:sz w:val="20"/>
                <w:szCs w:val="20"/>
              </w:rPr>
              <w:t xml:space="preserve">Couche 1</w:t>
            </w:r>
          </w:p>
          <w:p>
            <w:pPr>
              <w:spacing w:after="0" w:before="0"/>
              <w:jc w:val="center"/>
            </w:pPr>
            <w:r>
              <w:rPr>
                <w:rFonts w:ascii="Arial" w:cs="Arial" w:eastAsia="Arial" w:hAnsi="Arial"/>
                <w:color w:val="3C3489"/>
                <w:sz w:val="18"/>
                <w:szCs w:val="18"/>
              </w:rPr>
              <w:t xml:space="preserve">Capture des données</w:t>
            </w:r>
          </w:p>
        </w:tc>
        <w:tc>
          <w:tcPr>
            <w:tcW w:type="dxa" w:w="2340"/>
            <w:tcBorders>
              <w:top w:val="single" w:color="5DCAA5" w:sz="4"/>
              <w:left w:val="single" w:color="5DCAA5" w:sz="4"/>
              <w:bottom w:val="single" w:color="5DCAA5" w:sz="4"/>
              <w:right w:val="single" w:color="5DCAA5" w:sz="4"/>
            </w:tcBorders>
            <w:shd w:fill="E1F5EE" w:val="clear"/>
            <w:tcMar>
              <w:top w:type="dxa" w:w="120"/>
              <w:left w:type="dxa" w:w="140"/>
              <w:bottom w:type="dxa" w:w="120"/>
              <w:right w:type="dxa" w:w="140"/>
            </w:tcMar>
            <w:vAlign w:val="center"/>
          </w:tcPr>
          <w:p>
            <w:pPr>
              <w:spacing w:after="40" w:before="0"/>
              <w:jc w:val="center"/>
            </w:pPr>
            <w:r>
              <w:rPr>
                <w:rFonts w:ascii="Arial" w:cs="Arial" w:eastAsia="Arial" w:hAnsi="Arial"/>
                <w:b/>
                <w:bCs/>
                <w:color w:val="085041"/>
                <w:sz w:val="20"/>
                <w:szCs w:val="20"/>
              </w:rPr>
              <w:t xml:space="preserve">Couche 2</w:t>
            </w:r>
          </w:p>
          <w:p>
            <w:pPr>
              <w:spacing w:after="0" w:before="0"/>
              <w:jc w:val="center"/>
            </w:pPr>
            <w:r>
              <w:rPr>
                <w:rFonts w:ascii="Arial" w:cs="Arial" w:eastAsia="Arial" w:hAnsi="Arial"/>
                <w:color w:val="085041"/>
                <w:sz w:val="18"/>
                <w:szCs w:val="18"/>
              </w:rPr>
              <w:t xml:space="preserve">Data Platform</w:t>
            </w:r>
          </w:p>
        </w:tc>
        <w:tc>
          <w:tcPr>
            <w:tcW w:type="dxa" w:w="2340"/>
            <w:tcBorders>
              <w:top w:val="single" w:color="F0997B" w:sz="4"/>
              <w:left w:val="single" w:color="F0997B" w:sz="4"/>
              <w:bottom w:val="single" w:color="F0997B" w:sz="4"/>
              <w:right w:val="single" w:color="F0997B" w:sz="4"/>
            </w:tcBorders>
            <w:shd w:fill="FAECE7" w:val="clear"/>
            <w:tcMar>
              <w:top w:type="dxa" w:w="120"/>
              <w:left w:type="dxa" w:w="140"/>
              <w:bottom w:type="dxa" w:w="120"/>
              <w:right w:type="dxa" w:w="140"/>
            </w:tcMar>
            <w:vAlign w:val="center"/>
          </w:tcPr>
          <w:p>
            <w:pPr>
              <w:spacing w:after="40" w:before="0"/>
              <w:jc w:val="center"/>
            </w:pPr>
            <w:r>
              <w:rPr>
                <w:rFonts w:ascii="Arial" w:cs="Arial" w:eastAsia="Arial" w:hAnsi="Arial"/>
                <w:b/>
                <w:bCs/>
                <w:color w:val="993C1D"/>
                <w:sz w:val="20"/>
                <w:szCs w:val="20"/>
              </w:rPr>
              <w:t xml:space="preserve">Couche 3</w:t>
            </w:r>
          </w:p>
          <w:p>
            <w:pPr>
              <w:spacing w:after="0" w:before="0"/>
              <w:jc w:val="center"/>
            </w:pPr>
            <w:r>
              <w:rPr>
                <w:rFonts w:ascii="Arial" w:cs="Arial" w:eastAsia="Arial" w:hAnsi="Arial"/>
                <w:color w:val="993C1D"/>
                <w:sz w:val="18"/>
                <w:szCs w:val="18"/>
              </w:rPr>
              <w:t xml:space="preserve">Valorisation</w:t>
            </w:r>
          </w:p>
        </w:tc>
        <w:tc>
          <w:tcPr>
            <w:tcW w:type="dxa" w:w="2340"/>
            <w:tcBorders>
              <w:top w:val="single" w:color="85B7EB" w:sz="4"/>
              <w:left w:val="single" w:color="85B7EB" w:sz="4"/>
              <w:bottom w:val="single" w:color="85B7EB" w:sz="4"/>
              <w:right w:val="single" w:color="85B7EB" w:sz="4"/>
            </w:tcBorders>
            <w:shd w:fill="E6F1FB" w:val="clear"/>
            <w:tcMar>
              <w:top w:type="dxa" w:w="120"/>
              <w:left w:type="dxa" w:w="140"/>
              <w:bottom w:type="dxa" w:w="120"/>
              <w:right w:type="dxa" w:w="140"/>
            </w:tcMar>
            <w:vAlign w:val="center"/>
          </w:tcPr>
          <w:p>
            <w:pPr>
              <w:spacing w:after="40" w:before="0"/>
              <w:jc w:val="center"/>
            </w:pPr>
            <w:r>
              <w:rPr>
                <w:rFonts w:ascii="Arial" w:cs="Arial" w:eastAsia="Arial" w:hAnsi="Arial"/>
                <w:b/>
                <w:bCs/>
                <w:color w:val="0C447C"/>
                <w:sz w:val="20"/>
                <w:szCs w:val="20"/>
              </w:rPr>
              <w:t xml:space="preserve">Couche 4</w:t>
            </w:r>
          </w:p>
          <w:p>
            <w:pPr>
              <w:spacing w:after="0" w:before="0"/>
              <w:jc w:val="center"/>
            </w:pPr>
            <w:r>
              <w:rPr>
                <w:rFonts w:ascii="Arial" w:cs="Arial" w:eastAsia="Arial" w:hAnsi="Arial"/>
                <w:color w:val="0C447C"/>
                <w:sz w:val="18"/>
                <w:szCs w:val="18"/>
              </w:rPr>
              <w:t xml:space="preserve">Activation terrain</w:t>
            </w:r>
          </w:p>
        </w:tc>
      </w:tr>
    </w:tbl>
    <w:p>
      <w:pPr>
        <w:spacing w:after="0" w:before="200"/>
      </w:pPr>
      <w:r>
        <w:t xml:space="preserve"/>
      </w:r>
    </w:p>
    <w:p>
      <w:pPr>
        <w:spacing w:after="80" w:before="0"/>
      </w:pPr>
      <w:r>
        <w:rPr>
          <w:rFonts w:ascii="Arial" w:cs="Arial" w:eastAsia="Arial" w:hAnsi="Arial"/>
          <w:i/>
          <w:iCs/>
          <w:color w:val="444441"/>
          <w:sz w:val="20"/>
          <w:szCs w:val="20"/>
        </w:rPr>
        <w:t xml:space="preserve">Document de travail — Projet RH &amp; IA stratégique</w:t>
      </w:r>
    </w:p>
    <w:p>
      <w:r>
        <w:br w:type="page"/>
      </w:r>
    </w:p>
    <w:p>
      <w:pPr>
        <w:pStyle w:val="Heading1"/>
        <w:spacing w:after="160" w:before="400"/>
      </w:pPr>
      <w:r>
        <w:rPr>
          <w:rFonts w:ascii="Arial" w:cs="Arial" w:eastAsia="Arial" w:hAnsi="Arial"/>
          <w:b/>
          <w:bCs/>
          <w:color w:val="3C3489"/>
          <w:sz w:val="36"/>
          <w:szCs w:val="36"/>
        </w:rPr>
        <w:t xml:space="preserve">Contexte &amp; enjeux stratégiques</w:t>
      </w:r>
    </w:p>
    <w:p>
      <w:pPr>
        <w:spacing w:after="80" w:before="80"/>
      </w:pPr>
      <w:r>
        <w:rPr>
          <w:rFonts w:ascii="Arial" w:cs="Arial" w:eastAsia="Arial" w:hAnsi="Arial"/>
          <w:color w:val="2C2C2A"/>
          <w:sz w:val="22"/>
          <w:szCs w:val="22"/>
        </w:rPr>
        <w:t xml:space="preserve">Dans un environnement de services financiers soumis à une pression réglementaire croissante (DORA, EMIR, T+1) et à une transformation digitale permanente, CACEIS fait face à un paradoxe : le capital humain est le principal levier de performance opérationnelle, mais il reste géré comme un centre de coût plutôt que comme un actif stratégique mesurable.</w:t>
      </w:r>
    </w:p>
    <w:p>
      <w:pPr>
        <w:spacing w:after="0" w:before="80"/>
      </w:pPr>
      <w:r>
        <w:t xml:space="preserve"/>
      </w:r>
    </w:p>
    <w:p>
      <w:pPr>
        <w:spacing w:after="80" w:before="80"/>
      </w:pPr>
      <w:r>
        <w:rPr>
          <w:rFonts w:ascii="Arial" w:cs="Arial" w:eastAsia="Arial" w:hAnsi="Arial"/>
          <w:color w:val="2C2C2A"/>
          <w:sz w:val="22"/>
          <w:szCs w:val="22"/>
        </w:rPr>
        <w:t xml:space="preserve">Le World Economic Forum Future of Jobs Report 2023 établit que la demi-vie des compétences techniques est inférieure à 5 ans, et moins de 2 ans pour les compétences digitales. Cette accélération crée un impératif de montée en compétences continue — non plus comme initiative RH périodique, mais comme condition structurelle de compétitivité.</w:t>
      </w:r>
    </w:p>
    <w:p>
      <w:pPr>
        <w:spacing w:after="0" w:before="80"/>
      </w:pPr>
      <w:r>
        <w:t xml:space="preserve"/>
      </w:r>
    </w:p>
    <w:p>
      <w:pPr>
        <w:pStyle w:val="Heading2"/>
        <w:spacing w:after="120" w:before="320"/>
      </w:pPr>
      <w:r>
        <w:rPr>
          <w:rFonts w:ascii="Arial" w:cs="Arial" w:eastAsia="Arial" w:hAnsi="Arial"/>
          <w:b/>
          <w:bCs/>
          <w:color w:val="2C2C2A"/>
          <w:sz w:val="28"/>
          <w:szCs w:val="28"/>
        </w:rPr>
        <w:t xml:space="preserve">Trois constats fondateurs</w:t>
      </w:r>
    </w:p>
    <w:p>
      <w:pPr>
        <w:spacing w:after="80" w:before="80"/>
      </w:pPr>
      <w:r>
        <w:rPr>
          <w:rFonts w:ascii="Arial" w:cs="Arial" w:eastAsia="Arial" w:hAnsi="Arial"/>
          <w:b/>
          <w:bCs/>
          <w:color w:val="2C2C2A"/>
          <w:sz w:val="22"/>
          <w:szCs w:val="22"/>
        </w:rPr>
        <w:t xml:space="preserve">1. L'invisibilité financière du capital humain. </w:t>
      </w:r>
      <w:r>
        <w:rPr>
          <w:rFonts w:ascii="Arial" w:cs="Arial" w:eastAsia="Arial" w:hAnsi="Arial"/>
          <w:color w:val="2C2C2A"/>
          <w:sz w:val="22"/>
          <w:szCs w:val="22"/>
        </w:rPr>
        <w:t xml:space="preserve">Les bilans ne reflètent pas la valeur des compétences, des pratiques et des connaissances accumulées. Pourtant, une B.U mieux formée produit moins d'erreurs, traite plus vite, fidélise mieux — des effets directement mesurables.</w:t>
      </w:r>
    </w:p>
    <w:p>
      <w:pPr>
        <w:spacing w:after="0" w:before="60"/>
      </w:pPr>
      <w:r>
        <w:t xml:space="preserve"/>
      </w:r>
    </w:p>
    <w:p>
      <w:pPr>
        <w:spacing w:after="80" w:before="80"/>
      </w:pPr>
      <w:r>
        <w:rPr>
          <w:rFonts w:ascii="Arial" w:cs="Arial" w:eastAsia="Arial" w:hAnsi="Arial"/>
          <w:b/>
          <w:bCs/>
          <w:color w:val="2C2C2A"/>
          <w:sz w:val="22"/>
          <w:szCs w:val="22"/>
        </w:rPr>
        <w:t xml:space="preserve">2. L'apprentissage informel reste non capturé. </w:t>
      </w:r>
      <w:r>
        <w:rPr>
          <w:rFonts w:ascii="Arial" w:cs="Arial" w:eastAsia="Arial" w:hAnsi="Arial"/>
          <w:color w:val="2C2C2A"/>
          <w:sz w:val="22"/>
          <w:szCs w:val="22"/>
        </w:rPr>
        <w:t xml:space="preserve">70 % de l'apprentissage professionnel se fait de manière informelle (Marsick &amp; Watkins). Quand un expert trouve une façon plus efficace de réaliser une tâche, cette pratique reste dans sa tête — et disparaît avec lui.</w:t>
      </w:r>
    </w:p>
    <w:p>
      <w:pPr>
        <w:spacing w:after="0" w:before="60"/>
      </w:pPr>
      <w:r>
        <w:t xml:space="preserve"/>
      </w:r>
    </w:p>
    <w:p>
      <w:pPr>
        <w:spacing w:after="80" w:before="80"/>
      </w:pPr>
      <w:r>
        <w:rPr>
          <w:rFonts w:ascii="Arial" w:cs="Arial" w:eastAsia="Arial" w:hAnsi="Arial"/>
          <w:b/>
          <w:bCs/>
          <w:color w:val="2C2C2A"/>
          <w:sz w:val="22"/>
          <w:szCs w:val="22"/>
        </w:rPr>
        <w:t xml:space="preserve">3. L'adoption des nouveautés est le vrai goulot d'étranglement. </w:t>
      </w:r>
      <w:r>
        <w:rPr>
          <w:rFonts w:ascii="Arial" w:cs="Arial" w:eastAsia="Arial" w:hAnsi="Arial"/>
          <w:color w:val="2C2C2A"/>
          <w:sz w:val="22"/>
          <w:szCs w:val="22"/>
        </w:rPr>
        <w:t xml:space="preserve">Les équipes ne manquent pas de formation — elles manquent de temps pour intégrer, de contexte pour appliquer, et de modèles pour imiter. L'IA peut résoudre les trois simultanément.</w:t>
      </w:r>
    </w:p>
    <w:p>
      <w:pPr>
        <w:spacing w:after="0" w:before="120"/>
      </w:pPr>
      <w:r>
        <w:t xml:space="preserve"/>
      </w:r>
    </w:p>
    <w:p>
      <w:pPr>
        <w:pStyle w:val="Heading2"/>
        <w:spacing w:after="120" w:before="320"/>
      </w:pPr>
      <w:r>
        <w:rPr>
          <w:rFonts w:ascii="Arial" w:cs="Arial" w:eastAsia="Arial" w:hAnsi="Arial"/>
          <w:b/>
          <w:bCs/>
          <w:color w:val="2C2C2A"/>
          <w:sz w:val="28"/>
          <w:szCs w:val="28"/>
        </w:rPr>
        <w:t xml:space="preserve">La réponse : une plateforme de valorisation en 4 couches</w:t>
      </w:r>
    </w:p>
    <w:p>
      <w:pPr>
        <w:spacing w:after="80" w:before="80"/>
      </w:pPr>
      <w:r>
        <w:rPr>
          <w:rFonts w:ascii="Arial" w:cs="Arial" w:eastAsia="Arial" w:hAnsi="Arial"/>
          <w:color w:val="2C2C2A"/>
          <w:sz w:val="22"/>
          <w:szCs w:val="22"/>
        </w:rPr>
        <w:t xml:space="preserve">Le projet propose une architecture intégrée qui transforme les données comportementales et RH en valeur démontrable : un référentiel de pratiques vivant, un modèle de scoring du capital humain, et un assistant IA contextuel — le tout gouverné par un cadre RGPD et éthique rigoureux.</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40" w:before="0"/>
            </w:pPr>
            <w:r>
              <w:rPr>
                <w:rFonts w:ascii="Arial" w:cs="Arial" w:eastAsia="Arial" w:hAnsi="Arial"/>
                <w:b/>
                <w:bCs/>
                <w:color w:val="3C3489"/>
                <w:sz w:val="32"/>
                <w:szCs w:val="32"/>
              </w:rPr>
              <w:t xml:space="preserve">Couche 1 — Capture des données</w:t>
            </w:r>
          </w:p>
          <w:p>
            <w:pPr>
              <w:spacing w:after="0" w:before="0"/>
            </w:pPr>
            <w:r>
              <w:rPr>
                <w:rFonts w:ascii="Arial" w:cs="Arial" w:eastAsia="Arial" w:hAnsi="Arial"/>
                <w:color w:val="3C3489"/>
                <w:sz w:val="22"/>
                <w:szCs w:val="22"/>
              </w:rPr>
              <w:t xml:space="preserve">Traçage comportemental et métadonnées au niveau agrégé B.U</w:t>
            </w:r>
          </w:p>
        </w:tc>
      </w:tr>
    </w:tbl>
    <w:p>
      <w:pPr>
        <w:spacing w:after="0" w:before="120"/>
      </w:pPr>
      <w:r>
        <w:t xml:space="preserve"/>
      </w:r>
    </w:p>
    <w:p>
      <w:pPr>
        <w:pStyle w:val="Heading2"/>
        <w:spacing w:after="120" w:before="320"/>
      </w:pPr>
      <w:r>
        <w:rPr>
          <w:rFonts w:ascii="Arial" w:cs="Arial" w:eastAsia="Arial" w:hAnsi="Arial"/>
          <w:b/>
          <w:bCs/>
          <w:color w:val="2C2C2A"/>
          <w:sz w:val="28"/>
          <w:szCs w:val="28"/>
        </w:rPr>
        <w:t xml:space="preserve">Faisabilité technique</w:t>
      </w:r>
    </w:p>
    <w:p>
      <w:pPr>
        <w:spacing w:after="80" w:before="240"/>
      </w:pPr>
      <w:r>
        <w:rPr>
          <w:rFonts w:ascii="Arial" w:cs="Arial" w:eastAsia="Arial" w:hAnsi="Arial"/>
          <w:b/>
          <w:bCs/>
          <w:color w:val="2C2C2A"/>
          <w:sz w:val="24"/>
          <w:szCs w:val="24"/>
        </w:rPr>
        <w:t xml:space="preserve">Source A — Digital Adoption Platforms (DAP)</w:t>
      </w:r>
    </w:p>
    <w:p>
      <w:pPr>
        <w:spacing w:after="80" w:before="80"/>
      </w:pPr>
      <w:r>
        <w:rPr>
          <w:rFonts w:ascii="Arial" w:cs="Arial" w:eastAsia="Arial" w:hAnsi="Arial"/>
          <w:color w:val="2C2C2A"/>
          <w:sz w:val="22"/>
          <w:szCs w:val="22"/>
        </w:rPr>
        <w:t xml:space="preserve">Des outils comme WalkMe, Pendo ou Whatfix s'installent en overlay par-dessus les applications métier web et desktop. Ils tracent nativement : séquences de clics, temps par étape de workflow, points d'abandon, erreurs de formulaire, chemins non-optimaux. Dans le contexte CACEIS, cette couche couvre tous les outils métier web (portails de gestion, interfaces de réconciliation, outils de reporting réglementaire).</w:t>
      </w:r>
    </w:p>
    <w:p>
      <w:pPr>
        <w:spacing w:after="0" w:before="80"/>
      </w:pPr>
      <w:r>
        <w:t xml:space="preserve"/>
      </w:r>
    </w:p>
    <w:p>
      <w:pPr>
        <w:spacing w:after="80" w:before="80"/>
      </w:pPr>
      <w:r>
        <w:rPr>
          <w:rFonts w:ascii="Arial" w:cs="Arial" w:eastAsia="Arial" w:hAnsi="Arial"/>
          <w:color w:val="2C2C2A"/>
          <w:sz w:val="22"/>
          <w:szCs w:val="22"/>
        </w:rPr>
        <w:t xml:space="preserve">L'implémentation est légère côté IT (snippet JavaScript ou agent desktop). WalkMe est déjà déployé dans plusieurs grandes banques européennes. Le travail principal est en amont : cartographier les workflows critiques, définir les événements à capturer, et configurer les règles d'agrégation pour ne jamais descendre au niveau individuel.</w:t>
      </w:r>
    </w:p>
    <w:p>
      <w:pPr>
        <w:spacing w:after="0" w:before="120"/>
      </w:pPr>
      <w:r>
        <w:t xml:space="preserve"/>
      </w:r>
    </w:p>
    <w:p>
      <w:pPr>
        <w:spacing w:after="80" w:before="240"/>
      </w:pPr>
      <w:r>
        <w:rPr>
          <w:rFonts w:ascii="Arial" w:cs="Arial" w:eastAsia="Arial" w:hAnsi="Arial"/>
          <w:b/>
          <w:bCs/>
          <w:color w:val="2C2C2A"/>
          <w:sz w:val="24"/>
          <w:szCs w:val="24"/>
        </w:rPr>
        <w:t xml:space="preserve">Source B — Logs applicatifs existants</w:t>
      </w:r>
    </w:p>
    <w:p>
      <w:pPr>
        <w:spacing w:after="80" w:before="80"/>
      </w:pPr>
      <w:r>
        <w:rPr>
          <w:rFonts w:ascii="Arial" w:cs="Arial" w:eastAsia="Arial" w:hAnsi="Arial"/>
          <w:color w:val="2C2C2A"/>
          <w:sz w:val="22"/>
          <w:szCs w:val="22"/>
        </w:rPr>
        <w:t xml:space="preserve">CACEIS dispose déjà de logs : SIRH (connexions, modules consultés, formations suivies), outils de workflow interne (validations, rejets, délais), plateformes collaboratives. Ces données existent — elles sont juste éparpillées et inexploitées pour cet usage. La faisabilité technique est élevée : c'est un travail d'agrégation et de pipeline, pas de création from scratch.</w:t>
      </w:r>
    </w:p>
    <w:p>
      <w:pPr>
        <w:spacing w:after="0" w:before="120"/>
      </w:pPr>
      <w:r>
        <w:t xml:space="preserve"/>
      </w:r>
    </w:p>
    <w:p>
      <w:pPr>
        <w:spacing w:after="80" w:before="240"/>
      </w:pPr>
      <w:r>
        <w:rPr>
          <w:rFonts w:ascii="Arial" w:cs="Arial" w:eastAsia="Arial" w:hAnsi="Arial"/>
          <w:b/>
          <w:bCs/>
          <w:color w:val="2C2C2A"/>
          <w:sz w:val="24"/>
          <w:szCs w:val="24"/>
        </w:rPr>
        <w:t xml:space="preserve">Source C — KPIs business opérationnels</w:t>
      </w:r>
    </w:p>
    <w:p>
      <w:pPr>
        <w:spacing w:after="80" w:before="80"/>
      </w:pPr>
      <w:r>
        <w:rPr>
          <w:rFonts w:ascii="Arial" w:cs="Arial" w:eastAsia="Arial" w:hAnsi="Arial"/>
          <w:color w:val="2C2C2A"/>
          <w:sz w:val="22"/>
          <w:szCs w:val="22"/>
        </w:rPr>
        <w:t xml:space="preserve">Taux d'erreur, SLA, incidents, NPS client interne — ces métriques sont dans les systèmes BI existants (PowerBI, Tableau). La connexion est un travail d'API ou d'export structuré. C'est la couche la moins technique mais la plus politique : aligner les équipes opérationnelles sur le fait que leurs KPIs alimentent un modèle de valorisation RH.</w:t>
      </w:r>
    </w:p>
    <w:p>
      <w:pPr>
        <w:spacing w:after="0" w:before="120"/>
      </w:pPr>
      <w:r>
        <w:t xml:space="preserve"/>
      </w:r>
    </w:p>
    <w:p>
      <w:pPr>
        <w:spacing w:after="80" w:before="240"/>
      </w:pPr>
      <w:r>
        <w:rPr>
          <w:rFonts w:ascii="Arial" w:cs="Arial" w:eastAsia="Arial" w:hAnsi="Arial"/>
          <w:b/>
          <w:bCs/>
          <w:color w:val="2C2C2A"/>
          <w:sz w:val="24"/>
          <w:szCs w:val="24"/>
        </w:rPr>
        <w:t xml:space="preserve">Source D — Signaux faibles et shadow AI</w:t>
      </w:r>
    </w:p>
    <w:p>
      <w:pPr>
        <w:spacing w:after="80" w:before="80"/>
      </w:pPr>
      <w:r>
        <w:rPr>
          <w:rFonts w:ascii="Arial" w:cs="Arial" w:eastAsia="Arial" w:hAnsi="Arial"/>
          <w:color w:val="2C2C2A"/>
          <w:sz w:val="22"/>
          <w:szCs w:val="22"/>
        </w:rPr>
        <w:t xml:space="preserve">Gartner (2024) estime que 41 % des collaborateurs utilisent des outils IA non approuvés. Dans le contexte CACEIS (DORA, données clients confidentielles), c'est un risque opérationnel de premier ordre. La détection se fait via analyse de flux réseaux agrégés et patterns d'usage atypiques — sans surveillance individuelle — en collaboration avec la DSI.</w:t>
      </w:r>
    </w:p>
    <w:p>
      <w:pPr>
        <w:spacing w:after="0" w:before="120"/>
      </w:pPr>
      <w:r>
        <w:t xml:space="preserve"/>
      </w:r>
    </w:p>
    <w:p>
      <w:pPr>
        <w:pStyle w:val="Heading2"/>
        <w:spacing w:after="120" w:before="320"/>
      </w:pPr>
      <w:r>
        <w:rPr>
          <w:rFonts w:ascii="Arial" w:cs="Arial" w:eastAsia="Arial" w:hAnsi="Arial"/>
          <w:b/>
          <w:bCs/>
          <w:color w:val="2C2C2A"/>
          <w:sz w:val="28"/>
          <w:szCs w:val="28"/>
        </w:rPr>
        <w:t xml:space="preserve">Business case &amp;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AAAAAA" w:sz="4"/>
              <w:left w:val="single" w:color="AAAAAA" w:sz="4"/>
              <w:bottom w:val="single" w:color="AAAAAA" w:sz="4"/>
              <w:right w:val="single" w:color="AAAAAA" w:sz="4"/>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Levier</w:t>
            </w:r>
          </w:p>
        </w:tc>
        <w:tc>
          <w:tcPr>
            <w:tcW w:type="dxa" w:w="5040"/>
            <w:tcBorders>
              <w:top w:val="single" w:color="AAAAAA" w:sz="4"/>
              <w:left w:val="single" w:color="AAAAAA" w:sz="4"/>
              <w:bottom w:val="single" w:color="AAAAAA" w:sz="4"/>
              <w:right w:val="single" w:color="AAAAAA" w:sz="4"/>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Impact financier estimé</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Réduction des erreurs opérationnelles</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10 % de baisse du taux d'erreur sur une B.U de 50 personnes = plusieurs dizaines de K€/an (coût incident asset servicing)</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Conformité DORA mutualisée</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Le traçage des processus répond directement aux exigences DORA — coût de compliance partiellement absorbé</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Réduction du temps d'onboarding</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Études Deloitte (2022) : réduction possible de 30-40 % avec un référentiel de pratiques documentées</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Capital de connaissance préservé</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Départ d'expert : 100-200 % du salaire annuel en coût de remplacement (Gallup). La plateforme réduit ce risque directement.</w:t>
            </w:r>
          </w:p>
        </w:tc>
      </w:tr>
    </w:tbl>
    <w:p>
      <w:pPr>
        <w:spacing w:after="0" w:before="120"/>
      </w:pPr>
      <w:r>
        <w:t xml:space="preserve"/>
      </w:r>
    </w:p>
    <w:p>
      <w:pPr>
        <w:pStyle w:val="Heading2"/>
        <w:spacing w:after="120" w:before="320"/>
      </w:pPr>
      <w:r>
        <w:rPr>
          <w:rFonts w:ascii="Arial" w:cs="Arial" w:eastAsia="Arial" w:hAnsi="Arial"/>
          <w:b/>
          <w:bCs/>
          <w:color w:val="2C2C2A"/>
          <w:sz w:val="28"/>
          <w:szCs w:val="28"/>
        </w:rPr>
        <w:t xml:space="preserve">POC partiel — 6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FA9EC" w:sz="4"/>
              <w:left w:val="single" w:color="AFA9EC" w:sz="4"/>
              <w:bottom w:val="single" w:color="AFA9EC" w:sz="4"/>
              <w:right w:val="single" w:color="AFA9EC" w:sz="4"/>
            </w:tcBorders>
            <w:shd w:fill="EEEDFE" w:val="clear"/>
            <w:tcMar>
              <w:top w:type="dxa" w:w="120"/>
              <w:left w:type="dxa" w:w="180"/>
              <w:bottom w:type="dxa" w:w="120"/>
              <w:right w:type="dxa" w:w="180"/>
            </w:tcMar>
          </w:tcPr>
          <w:p>
            <w:pPr>
              <w:spacing w:after="60" w:before="0"/>
            </w:pPr>
            <w:r>
              <w:rPr>
                <w:rFonts w:ascii="Arial" w:cs="Arial" w:eastAsia="Arial" w:hAnsi="Arial"/>
                <w:b/>
                <w:bCs/>
                <w:color w:val="AFA9EC"/>
                <w:sz w:val="20"/>
                <w:szCs w:val="20"/>
              </w:rPr>
              <w:t xml:space="preserve">Objectif</w:t>
            </w:r>
          </w:p>
          <w:p>
            <w:pPr>
              <w:spacing w:after="0" w:before="0"/>
            </w:pPr>
            <w:r>
              <w:rPr>
                <w:rFonts w:ascii="Arial" w:cs="Arial" w:eastAsia="Arial" w:hAnsi="Arial"/>
                <w:color w:val="2C2C2A"/>
                <w:sz w:val="20"/>
                <w:szCs w:val="20"/>
              </w:rPr>
              <w:t xml:space="preserve">Démontrer qu'on peut mesurer l'écart de pratique entre deux façons de réaliser la même tâche, et le corréler à un KPI business.</w:t>
            </w:r>
          </w:p>
        </w:tc>
      </w:tr>
    </w:tbl>
    <w:p>
      <w:pPr>
        <w:spacing w:after="0" w:before="80"/>
      </w:pPr>
      <w:r>
        <w:t xml:space="preserve"/>
      </w:r>
    </w:p>
    <w:p>
      <w:pPr>
        <w:spacing w:after="80" w:before="80"/>
      </w:pPr>
      <w:r>
        <w:rPr>
          <w:rFonts w:ascii="Arial" w:cs="Arial" w:eastAsia="Arial" w:hAnsi="Arial"/>
          <w:color w:val="2C2C2A"/>
          <w:sz w:val="22"/>
          <w:szCs w:val="22"/>
        </w:rPr>
        <w:t xml:space="preserve">Sélection d'une tâche pilote à fort volume, réalisée par plusieurs personnes dans la même B.U (ex. validation d'un lot de réconciliations). Déploiement de WalkMe en sandbox avec 5 à 10 collaborateurs volontaires, en pleine transparence. Collecte sur 2 semaines, puis croisement avec les KPIs business existants.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CAA5" w:sz="4"/>
              <w:left w:val="single" w:color="5DCAA5" w:sz="4"/>
              <w:bottom w:val="single" w:color="5DCAA5" w:sz="4"/>
              <w:right w:val="single" w:color="5DCAA5" w:sz="4"/>
            </w:tcBorders>
            <w:shd w:fill="E1F5EE" w:val="clear"/>
            <w:tcMar>
              <w:top w:type="dxa" w:w="120"/>
              <w:left w:type="dxa" w:w="180"/>
              <w:bottom w:type="dxa" w:w="120"/>
              <w:right w:type="dxa" w:w="180"/>
            </w:tcMar>
          </w:tcPr>
          <w:p>
            <w:pPr>
              <w:spacing w:after="60" w:before="0"/>
            </w:pPr>
            <w:r>
              <w:rPr>
                <w:rFonts w:ascii="Arial" w:cs="Arial" w:eastAsia="Arial" w:hAnsi="Arial"/>
                <w:b/>
                <w:bCs/>
                <w:color w:val="5DCAA5"/>
                <w:sz w:val="20"/>
                <w:szCs w:val="20"/>
              </w:rPr>
              <w:t xml:space="preserve">Livrable</w:t>
            </w:r>
          </w:p>
          <w:p>
            <w:pPr>
              <w:spacing w:after="0" w:before="0"/>
            </w:pPr>
            <w:r>
              <w:rPr>
                <w:rFonts w:ascii="Arial" w:cs="Arial" w:eastAsia="Arial" w:hAnsi="Arial"/>
                <w:color w:val="2C2C2A"/>
                <w:sz w:val="20"/>
                <w:szCs w:val="20"/>
              </w:rPr>
              <w:t xml:space="preserve">Cartographie des variantes de pratique avec leur impact chiffré. Ex : Variante A = 12 min, 0,3 % erreurs / Variante D = 28 min, 2,1 % erreurs. Calcul du gain annuel si toute la B.U adopte la variante optimale.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40" w:before="0"/>
            </w:pPr>
            <w:r>
              <w:rPr>
                <w:rFonts w:ascii="Arial" w:cs="Arial" w:eastAsia="Arial" w:hAnsi="Arial"/>
                <w:b/>
                <w:bCs/>
                <w:color w:val="085041"/>
                <w:sz w:val="32"/>
                <w:szCs w:val="32"/>
              </w:rPr>
              <w:t xml:space="preserve">Couche 2 — Data Platform (La Bibliothèque)</w:t>
            </w:r>
          </w:p>
          <w:p>
            <w:pPr>
              <w:spacing w:after="0" w:before="0"/>
            </w:pPr>
            <w:r>
              <w:rPr>
                <w:rFonts w:ascii="Arial" w:cs="Arial" w:eastAsia="Arial" w:hAnsi="Arial"/>
                <w:color w:val="085041"/>
                <w:sz w:val="22"/>
                <w:szCs w:val="22"/>
              </w:rPr>
              <w:t xml:space="preserve">Centralisation, normalisation et comparaison des pratiques — avec Mistral AI</w:t>
            </w:r>
          </w:p>
        </w:tc>
      </w:tr>
    </w:tbl>
    <w:p>
      <w:pPr>
        <w:spacing w:after="0" w:before="120"/>
      </w:pPr>
      <w:r>
        <w:t xml:space="preserve"/>
      </w:r>
    </w:p>
    <w:p>
      <w:pPr>
        <w:pStyle w:val="Heading2"/>
        <w:spacing w:after="120" w:before="320"/>
      </w:pPr>
      <w:r>
        <w:rPr>
          <w:rFonts w:ascii="Arial" w:cs="Arial" w:eastAsia="Arial" w:hAnsi="Arial"/>
          <w:b/>
          <w:bCs/>
          <w:color w:val="2C2C2A"/>
          <w:sz w:val="28"/>
          <w:szCs w:val="28"/>
        </w:rPr>
        <w:t xml:space="preserve">Faisabilité technique</w:t>
      </w:r>
    </w:p>
    <w:p>
      <w:pPr>
        <w:spacing w:after="80" w:before="240"/>
      </w:pPr>
      <w:r>
        <w:rPr>
          <w:rFonts w:ascii="Arial" w:cs="Arial" w:eastAsia="Arial" w:hAnsi="Arial"/>
          <w:b/>
          <w:bCs/>
          <w:color w:val="2C2C2A"/>
          <w:sz w:val="24"/>
          <w:szCs w:val="24"/>
        </w:rPr>
        <w:t xml:space="preserve">Bloc A — Ingestion et normalisation</w:t>
      </w:r>
    </w:p>
    <w:p>
      <w:pPr>
        <w:spacing w:after="80" w:before="80"/>
      </w:pPr>
      <w:r>
        <w:rPr>
          <w:rFonts w:ascii="Arial" w:cs="Arial" w:eastAsia="Arial" w:hAnsi="Arial"/>
          <w:color w:val="2C2C2A"/>
          <w:sz w:val="22"/>
          <w:szCs w:val="22"/>
        </w:rPr>
        <w:t xml:space="preserve">Les données hétérogènes de la couche 1 sont normalisées dans un schéma commun. Chaque pratique documentée contient : un identifiant de tâche, un contexte d'exécution, la séquence d'étapes observées, les KPIs mesurés en sortie, un score de qualité calculé, et un statut (bonne pratique / standard / à risque). Pipeline : Airflow ou Prefect pour l'orchestration, dbt pour les transformations, data warehouse existant de CACEIS (Snowflake / Databricks).</w:t>
      </w:r>
    </w:p>
    <w:p>
      <w:pPr>
        <w:spacing w:after="0" w:before="120"/>
      </w:pPr>
      <w:r>
        <w:t xml:space="preserve"/>
      </w:r>
    </w:p>
    <w:p>
      <w:pPr>
        <w:spacing w:after="80" w:before="240"/>
      </w:pPr>
      <w:r>
        <w:rPr>
          <w:rFonts w:ascii="Arial" w:cs="Arial" w:eastAsia="Arial" w:hAnsi="Arial"/>
          <w:b/>
          <w:bCs/>
          <w:color w:val="2C2C2A"/>
          <w:sz w:val="24"/>
          <w:szCs w:val="24"/>
        </w:rPr>
        <w:t xml:space="preserve">Bloc B — Le référentiel vectoriel</w:t>
      </w:r>
    </w:p>
    <w:p>
      <w:pPr>
        <w:spacing w:after="80" w:before="80"/>
      </w:pPr>
      <w:r>
        <w:rPr>
          <w:rFonts w:ascii="Arial" w:cs="Arial" w:eastAsia="Arial" w:hAnsi="Arial"/>
          <w:color w:val="2C2C2A"/>
          <w:sz w:val="22"/>
          <w:szCs w:val="22"/>
        </w:rPr>
        <w:t xml:space="preserve">Les pratiques normalisées sont encodées en vecteurs et stockées dans une base vectorielle (pgvector sur PostgreSQL, Weaviate, ou Pinecone). Cela permet des recherches sémantiques : un collaborateur ne cherche pas par mot-clé exact, il pose une question en langage naturel et le système retrouve la pratique la plus pertinente.</w:t>
      </w:r>
    </w:p>
    <w:p>
      <w:pPr>
        <w:spacing w:after="0" w:before="80"/>
      </w:pPr>
      <w:r>
        <w:t xml:space="preserve"/>
      </w:r>
    </w:p>
    <w:p>
      <w:pPr>
        <w:spacing w:after="80" w:before="80"/>
      </w:pPr>
      <w:r>
        <w:rPr>
          <w:rFonts w:ascii="Arial" w:cs="Arial" w:eastAsia="Arial" w:hAnsi="Arial"/>
          <w:color w:val="2C2C2A"/>
          <w:sz w:val="22"/>
          <w:szCs w:val="22"/>
        </w:rPr>
        <w:t xml:space="preserve">Architecture RAG (Retrieval Augmented Generation) : Mistral ne mémorise pas les pratiques — il les récupère dans le référentiel au moment de la question et les synthétise. Deux avantages : le référentiel se met à jour en temps réel sans re-entraîner le modèle, et chaque réponse est traçable jusqu'à sa source.</w:t>
      </w:r>
    </w:p>
    <w:p>
      <w:pPr>
        <w:spacing w:after="0" w:before="120"/>
      </w:pPr>
      <w:r>
        <w:t xml:space="preserve"/>
      </w:r>
    </w:p>
    <w:p>
      <w:pPr>
        <w:spacing w:after="80" w:before="240"/>
      </w:pPr>
      <w:r>
        <w:rPr>
          <w:rFonts w:ascii="Arial" w:cs="Arial" w:eastAsia="Arial" w:hAnsi="Arial"/>
          <w:b/>
          <w:bCs/>
          <w:color w:val="2C2C2A"/>
          <w:sz w:val="24"/>
          <w:szCs w:val="24"/>
        </w:rPr>
        <w:t xml:space="preserve">Bloc C — Le Bibliothécaire (Mistral AI)</w:t>
      </w:r>
    </w:p>
    <w:p>
      <w:pPr>
        <w:spacing w:after="80" w:before="80"/>
      </w:pPr>
      <w:r>
        <w:rPr>
          <w:rFonts w:ascii="Arial" w:cs="Arial" w:eastAsia="Arial" w:hAnsi="Arial"/>
          <w:color w:val="2C2C2A"/>
          <w:sz w:val="22"/>
          <w:szCs w:val="22"/>
        </w:rPr>
        <w:t xml:space="preserve">Mistral (choix souverain, RGPD-compliant, déployé sur infrastructure française) est l'interface principale. Il reçoit une question, interroge le référentiel vectoriel, et génère une réponse avec sources. Le contrôle d'accès différencié est géré au niveau du prompt système et des filtres de métadonnées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AAAAAA" w:sz="4"/>
              <w:left w:val="single" w:color="AAAAAA" w:sz="4"/>
              <w:bottom w:val="single" w:color="AAAAAA" w:sz="4"/>
              <w:right w:val="single" w:color="AAAAAA" w:sz="4"/>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5040"/>
            <w:tcBorders>
              <w:top w:val="single" w:color="AAAAAA" w:sz="4"/>
              <w:left w:val="single" w:color="AAAAAA" w:sz="4"/>
              <w:bottom w:val="single" w:color="AAAAAA" w:sz="4"/>
              <w:right w:val="single" w:color="AAAAAA" w:sz="4"/>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Accès</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Collaborateur</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Pratiques de son périmètre métier, formations disponibles, réponses à ses questions opérationnelles</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Manager</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Agrégats B.U, recommandations de formation ciblées, alertes d'équipe, comparaisons inter-B.U</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DRH / Comex</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Tableaux de bord de valorisation, benchmarks, évolution des cartes FIFA, ROI calculé</w:t>
            </w:r>
          </w:p>
        </w:tc>
      </w:tr>
    </w:tbl>
    <w:p>
      <w:pPr>
        <w:spacing w:after="0" w:before="80"/>
      </w:pPr>
      <w:r>
        <w:t xml:space="preserve"/>
      </w:r>
    </w:p>
    <w:p>
      <w:pPr>
        <w:spacing w:after="80" w:before="80"/>
      </w:pPr>
      <w:r>
        <w:rPr>
          <w:rFonts w:ascii="Arial" w:cs="Arial" w:eastAsia="Arial" w:hAnsi="Arial"/>
          <w:color w:val="2C2C2A"/>
          <w:sz w:val="22"/>
          <w:szCs w:val="22"/>
        </w:rPr>
        <w:t xml:space="preserve">Important : si Mistral ne trouve pas de pratique documentée pertinente, il signale explicitement la lacune et propose un chemin pour la documenter. Les requêtes sans réponse alimentent une file de pratiques à capturer — le référentiel s'enrichit par ses propres manques.</w:t>
      </w:r>
    </w:p>
    <w:p>
      <w:pPr>
        <w:spacing w:after="0" w:before="120"/>
      </w:pPr>
      <w:r>
        <w:t xml:space="preserve"/>
      </w:r>
    </w:p>
    <w:p>
      <w:pPr>
        <w:pStyle w:val="Heading2"/>
        <w:spacing w:after="120" w:before="320"/>
      </w:pPr>
      <w:r>
        <w:rPr>
          <w:rFonts w:ascii="Arial" w:cs="Arial" w:eastAsia="Arial" w:hAnsi="Arial"/>
          <w:b/>
          <w:bCs/>
          <w:color w:val="2C2C2A"/>
          <w:sz w:val="28"/>
          <w:szCs w:val="28"/>
        </w:rPr>
        <w:t xml:space="preserve">Business case &amp; ROI</w:t>
      </w:r>
    </w:p>
    <w:p>
      <w:pPr>
        <w:pStyle w:val="ListParagraph"/>
        <w:numPr>
          <w:ilvl w:val="0"/>
          <w:numId w:val="2"/>
        </w:numPr>
        <w:spacing w:after="40" w:before="40"/>
      </w:pPr>
      <w:r>
        <w:rPr>
          <w:rFonts w:ascii="Arial" w:cs="Arial" w:eastAsia="Arial" w:hAnsi="Arial"/>
          <w:color w:val="2C2C2A"/>
          <w:sz w:val="22"/>
          <w:szCs w:val="22"/>
        </w:rPr>
        <w:t xml:space="preserve">Réduction du coût de production des formations : de 5 000-30 000 € et 3-6 mois par module à quelques heures de validation humaine.</w:t>
      </w:r>
    </w:p>
    <w:p>
      <w:pPr>
        <w:pStyle w:val="ListParagraph"/>
        <w:numPr>
          <w:ilvl w:val="0"/>
          <w:numId w:val="2"/>
        </w:numPr>
        <w:spacing w:after="40" w:before="40"/>
      </w:pPr>
      <w:r>
        <w:rPr>
          <w:rFonts w:ascii="Arial" w:cs="Arial" w:eastAsia="Arial" w:hAnsi="Arial"/>
          <w:color w:val="2C2C2A"/>
          <w:sz w:val="22"/>
          <w:szCs w:val="22"/>
        </w:rPr>
        <w:t xml:space="preserve">Capitalisation des départs : les pratiques d'un expert documentées avant son départ restent dans l'organisation. Coût d'un départ expert = 100-200 % du salaire annuel.</w:t>
      </w:r>
    </w:p>
    <w:p>
      <w:pPr>
        <w:pStyle w:val="ListParagraph"/>
        <w:numPr>
          <w:ilvl w:val="0"/>
          <w:numId w:val="2"/>
        </w:numPr>
        <w:spacing w:after="40" w:before="40"/>
      </w:pPr>
      <w:r>
        <w:rPr>
          <w:rFonts w:ascii="Arial" w:cs="Arial" w:eastAsia="Arial" w:hAnsi="Arial"/>
          <w:color w:val="2C2C2A"/>
          <w:sz w:val="22"/>
          <w:szCs w:val="22"/>
        </w:rPr>
        <w:t xml:space="preserve">Conformité documentée : le référentiel constitue une preuve vivante pour les audits AMF, BCE et les contrôles internes.</w:t>
      </w:r>
    </w:p>
    <w:p>
      <w:pPr>
        <w:spacing w:after="0" w:before="120"/>
      </w:pPr>
      <w:r>
        <w:t xml:space="preserve"/>
      </w:r>
    </w:p>
    <w:p>
      <w:pPr>
        <w:pStyle w:val="Heading2"/>
        <w:spacing w:after="120" w:before="320"/>
      </w:pPr>
      <w:r>
        <w:rPr>
          <w:rFonts w:ascii="Arial" w:cs="Arial" w:eastAsia="Arial" w:hAnsi="Arial"/>
          <w:b/>
          <w:bCs/>
          <w:color w:val="2C2C2A"/>
          <w:sz w:val="28"/>
          <w:szCs w:val="28"/>
        </w:rPr>
        <w:t xml:space="preserve">POC partiel — 6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CAA5" w:sz="4"/>
              <w:left w:val="single" w:color="5DCAA5" w:sz="4"/>
              <w:bottom w:val="single" w:color="5DCAA5" w:sz="4"/>
              <w:right w:val="single" w:color="5DCAA5" w:sz="4"/>
            </w:tcBorders>
            <w:shd w:fill="E1F5EE" w:val="clear"/>
            <w:tcMar>
              <w:top w:type="dxa" w:w="120"/>
              <w:left w:type="dxa" w:w="180"/>
              <w:bottom w:type="dxa" w:w="120"/>
              <w:right w:type="dxa" w:w="180"/>
            </w:tcMar>
          </w:tcPr>
          <w:p>
            <w:pPr>
              <w:spacing w:after="60" w:before="0"/>
            </w:pPr>
            <w:r>
              <w:rPr>
                <w:rFonts w:ascii="Arial" w:cs="Arial" w:eastAsia="Arial" w:hAnsi="Arial"/>
                <w:b/>
                <w:bCs/>
                <w:color w:val="5DCAA5"/>
                <w:sz w:val="20"/>
                <w:szCs w:val="20"/>
              </w:rPr>
              <w:t xml:space="preserve">Objectif</w:t>
            </w:r>
          </w:p>
          <w:p>
            <w:pPr>
              <w:spacing w:after="0" w:before="0"/>
            </w:pPr>
            <w:r>
              <w:rPr>
                <w:rFonts w:ascii="Arial" w:cs="Arial" w:eastAsia="Arial" w:hAnsi="Arial"/>
                <w:color w:val="2C2C2A"/>
                <w:sz w:val="20"/>
                <w:szCs w:val="20"/>
              </w:rPr>
              <w:t xml:space="preserve">Démontrer que le Bibliothécaire Mistral répond utilement à une vraie question métier en s'appuyant sur des pratiques réelles documentées.</w:t>
            </w:r>
          </w:p>
        </w:tc>
      </w:tr>
    </w:tbl>
    <w:p>
      <w:pPr>
        <w:spacing w:after="0" w:before="80"/>
      </w:pPr>
      <w:r>
        <w:t xml:space="preserve"/>
      </w:r>
    </w:p>
    <w:p>
      <w:pPr>
        <w:spacing w:after="80" w:before="80"/>
      </w:pPr>
      <w:r>
        <w:rPr>
          <w:rFonts w:ascii="Arial" w:cs="Arial" w:eastAsia="Arial" w:hAnsi="Arial"/>
          <w:color w:val="2C2C2A"/>
          <w:sz w:val="22"/>
          <w:szCs w:val="22"/>
        </w:rPr>
        <w:t xml:space="preserve">Les 4 variantes identifiées dans le POC couche 1 sont structurées manuellement dans le format normalisé, ingérées dans pgvector. Mistral est connecté via API avec accès à ce référentiel mini. Session de test avec 5 collaborateurs et 3 managers.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FA9EC" w:sz="4"/>
              <w:left w:val="single" w:color="AFA9EC" w:sz="4"/>
              <w:bottom w:val="single" w:color="AFA9EC" w:sz="4"/>
              <w:right w:val="single" w:color="AFA9EC" w:sz="4"/>
            </w:tcBorders>
            <w:shd w:fill="EEEDFE" w:val="clear"/>
            <w:tcMar>
              <w:top w:type="dxa" w:w="120"/>
              <w:left w:type="dxa" w:w="180"/>
              <w:bottom w:type="dxa" w:w="120"/>
              <w:right w:type="dxa" w:w="180"/>
            </w:tcMar>
          </w:tcPr>
          <w:p>
            <w:pPr>
              <w:spacing w:after="60" w:before="0"/>
            </w:pPr>
            <w:r>
              <w:rPr>
                <w:rFonts w:ascii="Arial" w:cs="Arial" w:eastAsia="Arial" w:hAnsi="Arial"/>
                <w:b/>
                <w:bCs/>
                <w:color w:val="AFA9EC"/>
                <w:sz w:val="20"/>
                <w:szCs w:val="20"/>
              </w:rPr>
              <w:t xml:space="preserve">Livrable</w:t>
            </w:r>
          </w:p>
          <w:p>
            <w:pPr>
              <w:spacing w:after="0" w:before="0"/>
            </w:pPr>
            <w:r>
              <w:rPr>
                <w:rFonts w:ascii="Arial" w:cs="Arial" w:eastAsia="Arial" w:hAnsi="Arial"/>
                <w:color w:val="2C2C2A"/>
                <w:sz w:val="20"/>
                <w:szCs w:val="20"/>
              </w:rPr>
              <w:t xml:space="preserve">Démonstration live : Mistral répond à de vraies questions métier avec sources traçables. Premier 'livre' du référentiel : la pratique pilote avec ses variantes, ses KPIs et son score. Document de 2 pages sur la réaction des utilisateurs.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60"/>
              <w:left w:type="dxa" w:w="200"/>
              <w:bottom w:type="dxa" w:w="160"/>
              <w:right w:type="dxa" w:w="200"/>
            </w:tcMar>
          </w:tcPr>
          <w:p>
            <w:pPr>
              <w:spacing w:after="40" w:before="0"/>
            </w:pPr>
            <w:r>
              <w:rPr>
                <w:rFonts w:ascii="Arial" w:cs="Arial" w:eastAsia="Arial" w:hAnsi="Arial"/>
                <w:b/>
                <w:bCs/>
                <w:color w:val="993C1D"/>
                <w:sz w:val="32"/>
                <w:szCs w:val="32"/>
              </w:rPr>
              <w:t xml:space="preserve">Couche 3 — Valorisation du capital humain</w:t>
            </w:r>
          </w:p>
          <w:p>
            <w:pPr>
              <w:spacing w:after="0" w:before="0"/>
            </w:pPr>
            <w:r>
              <w:rPr>
                <w:rFonts w:ascii="Arial" w:cs="Arial" w:eastAsia="Arial" w:hAnsi="Arial"/>
                <w:color w:val="993C1D"/>
                <w:sz w:val="22"/>
                <w:szCs w:val="22"/>
              </w:rPr>
              <w:t xml:space="preserve">Cartes FIFA par B.U et par collaborateur — modèle de scoring et de reporting financier</w:t>
            </w:r>
          </w:p>
        </w:tc>
      </w:tr>
    </w:tbl>
    <w:p>
      <w:pPr>
        <w:spacing w:after="0" w:before="120"/>
      </w:pPr>
      <w:r>
        <w:t xml:space="preserve"/>
      </w:r>
    </w:p>
    <w:p>
      <w:pPr>
        <w:pStyle w:val="Heading2"/>
        <w:spacing w:after="120" w:before="320"/>
      </w:pPr>
      <w:r>
        <w:rPr>
          <w:rFonts w:ascii="Arial" w:cs="Arial" w:eastAsia="Arial" w:hAnsi="Arial"/>
          <w:b/>
          <w:bCs/>
          <w:color w:val="2C2C2A"/>
          <w:sz w:val="28"/>
          <w:szCs w:val="28"/>
        </w:rPr>
        <w:t xml:space="preserve">Faisabilité technique</w:t>
      </w:r>
    </w:p>
    <w:p>
      <w:pPr>
        <w:spacing w:after="80" w:before="240"/>
      </w:pPr>
      <w:r>
        <w:rPr>
          <w:rFonts w:ascii="Arial" w:cs="Arial" w:eastAsia="Arial" w:hAnsi="Arial"/>
          <w:b/>
          <w:bCs/>
          <w:color w:val="2C2C2A"/>
          <w:sz w:val="24"/>
          <w:szCs w:val="24"/>
        </w:rPr>
        <w:t xml:space="preserve">La carte B.U — le tableau de bord stratégique</w:t>
      </w:r>
    </w:p>
    <w:p>
      <w:pPr>
        <w:spacing w:after="80" w:before="80"/>
      </w:pPr>
      <w:r>
        <w:rPr>
          <w:rFonts w:ascii="Arial" w:cs="Arial" w:eastAsia="Arial" w:hAnsi="Arial"/>
          <w:color w:val="2C2C2A"/>
          <w:sz w:val="22"/>
          <w:szCs w:val="22"/>
        </w:rPr>
        <w:t xml:space="preserve">Chaque B.U est scorée sur 5 dimensions pondérées, calculées automatiquement depuis le pipeline de données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AAAAAA" w:sz="4"/>
              <w:left w:val="single" w:color="AAAAAA" w:sz="4"/>
              <w:bottom w:val="single" w:color="AAAAAA" w:sz="4"/>
              <w:right w:val="single" w:color="AAAAAA" w:sz="4"/>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040"/>
            <w:tcBorders>
              <w:top w:val="single" w:color="AAAAAA" w:sz="4"/>
              <w:left w:val="single" w:color="AAAAAA" w:sz="4"/>
              <w:bottom w:val="single" w:color="AAAAAA" w:sz="4"/>
              <w:right w:val="single" w:color="AAAAAA" w:sz="4"/>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Ce qu'elle mesure</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Maîtrise des pratiques</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Ratio pratiques 'bonnes' adoptées / total documentées pour ces métiers</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Learning agility</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Vitesse d'absorption d'une nouveauté : délai entre documentation et adoption effective</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Risque opérationnel humain</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Taux d'erreur, taux de turnover, bus factor (dépendance à des expertises individuelles)</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Partage de savoir</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Diffusion interne des bonnes pratiques — propagation depuis les top performers vers l'équipe</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Contribution au référentiel</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Nombre de nouvelles pratiques documentées issues de cette B.U — mesure de l'innovation</w:t>
            </w:r>
          </w:p>
        </w:tc>
      </w:tr>
    </w:tbl>
    <w:p>
      <w:pPr>
        <w:spacing w:after="0" w:before="80"/>
      </w:pPr>
      <w:r>
        <w:t xml:space="preserve"/>
      </w:r>
    </w:p>
    <w:p>
      <w:pPr>
        <w:spacing w:after="80" w:before="80"/>
      </w:pPr>
      <w:r>
        <w:rPr>
          <w:rFonts w:ascii="Arial" w:cs="Arial" w:eastAsia="Arial" w:hAnsi="Arial"/>
          <w:color w:val="2C2C2A"/>
          <w:sz w:val="22"/>
          <w:szCs w:val="22"/>
        </w:rPr>
        <w:t xml:space="preserve">L'affichage en carte FIFA est une visualisation en pentagone radar avec évolution temporelle — D3.js ou Recharts. Les pondérations des 5 dimensions sont configurables par le comité de gouvernance selon les priorités stratégiques.</w:t>
      </w:r>
    </w:p>
    <w:p>
      <w:pPr>
        <w:spacing w:after="0" w:before="120"/>
      </w:pPr>
      <w:r>
        <w:t xml:space="preserve"/>
      </w:r>
    </w:p>
    <w:p>
      <w:pPr>
        <w:spacing w:after="80" w:before="240"/>
      </w:pPr>
      <w:r>
        <w:rPr>
          <w:rFonts w:ascii="Arial" w:cs="Arial" w:eastAsia="Arial" w:hAnsi="Arial"/>
          <w:b/>
          <w:bCs/>
          <w:color w:val="2C2C2A"/>
          <w:sz w:val="24"/>
          <w:szCs w:val="24"/>
        </w:rPr>
        <w:t xml:space="preserve">La carte individuelle — outil de développement personnel</w:t>
      </w:r>
    </w:p>
    <w:p>
      <w:pPr>
        <w:spacing w:after="80" w:before="80"/>
      </w:pPr>
      <w:r>
        <w:rPr>
          <w:rFonts w:ascii="Arial" w:cs="Arial" w:eastAsia="Arial" w:hAnsi="Arial"/>
          <w:color w:val="2C2C2A"/>
          <w:sz w:val="22"/>
          <w:szCs w:val="22"/>
        </w:rPr>
        <w:t xml:space="preserve">La carte individuelle repose sur un principe fondamental : c'est un miroir, pas une notation externe. Le collaborateur voit sa propre carte. Son manager voit une vue agrégée de l'équipe, pas les cartes individuelles une par une. Le DRH voit uniquement des distributions statistiques.</w:t>
      </w:r>
    </w:p>
    <w:p>
      <w:pPr>
        <w:spacing w:after="0" w:before="80"/>
      </w:pPr>
      <w:r>
        <w:t xml:space="preserve"/>
      </w:r>
    </w:p>
    <w:p>
      <w:pPr>
        <w:spacing w:after="80" w:before="80"/>
      </w:pPr>
      <w:r>
        <w:rPr>
          <w:rFonts w:ascii="Arial" w:cs="Arial" w:eastAsia="Arial" w:hAnsi="Arial"/>
          <w:color w:val="2C2C2A"/>
          <w:sz w:val="22"/>
          <w:szCs w:val="22"/>
        </w:rPr>
        <w:t xml:space="preserve">Les dimensions individuelles excluent délibérément la productivité brute et le volume — pour éviter le pilotage par la pression. On mesure : maîtrise des pratiques documentées pour son poste, vitesse d'apprentissage, contribution au référentiel collectif, niveau de risque opérationnel personnel.</w:t>
      </w:r>
    </w:p>
    <w:p>
      <w:pPr>
        <w:spacing w:after="0" w:before="120"/>
      </w:pPr>
      <w:r>
        <w:t xml:space="preserve"/>
      </w:r>
    </w:p>
    <w:p>
      <w:pPr>
        <w:pStyle w:val="Heading2"/>
        <w:spacing w:after="120" w:before="320"/>
      </w:pPr>
      <w:r>
        <w:rPr>
          <w:rFonts w:ascii="Arial" w:cs="Arial" w:eastAsia="Arial" w:hAnsi="Arial"/>
          <w:b/>
          <w:bCs/>
          <w:color w:val="2C2C2A"/>
          <w:sz w:val="28"/>
          <w:szCs w:val="28"/>
        </w:rPr>
        <w:t xml:space="preserve">Cadre RGPD spécifique aux cartes individuelles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AAAAAA" w:sz="4"/>
              <w:left w:val="single" w:color="AAAAAA" w:sz="4"/>
              <w:bottom w:val="single" w:color="AAAAAA" w:sz="4"/>
              <w:right w:val="single" w:color="AAAAAA" w:sz="4"/>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Exigence RGPD</w:t>
            </w:r>
          </w:p>
        </w:tc>
        <w:tc>
          <w:tcPr>
            <w:tcW w:type="dxa" w:w="5040"/>
            <w:tcBorders>
              <w:top w:val="single" w:color="AAAAAA" w:sz="4"/>
              <w:left w:val="single" w:color="AAAAAA" w:sz="4"/>
              <w:bottom w:val="single" w:color="AAAAAA" w:sz="4"/>
              <w:right w:val="single" w:color="AAAAAA" w:sz="4"/>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Réponse du projet</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Base légale (art. 6)</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Accord collectif négocié avec les IRP — plus solide juridiquement et socialement que l'intérêt légitime seul</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Droit d'accès et d'explication</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Le collaborateur peut interroger Mistral : 'Pourquoi mon score a baissé ?' → réponse avec données sources</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Absence de décision automatisée (art. 22)</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La carte est consultative. Toute décision RH reste humaine — inscrit dans la gouvernance et dans le code</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Minimisation des données</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Seules les données strictement nécessaires au scoring sont utilisées</w:t>
            </w:r>
          </w:p>
        </w:tc>
      </w:tr>
    </w:tbl>
    <w:p>
      <w:pPr>
        <w:spacing w:after="0" w:before="120"/>
      </w:pPr>
      <w:r>
        <w:t xml:space="preserve"/>
      </w:r>
    </w:p>
    <w:p>
      <w:pPr>
        <w:pStyle w:val="Heading2"/>
        <w:spacing w:after="120" w:before="320"/>
      </w:pPr>
      <w:r>
        <w:rPr>
          <w:rFonts w:ascii="Arial" w:cs="Arial" w:eastAsia="Arial" w:hAnsi="Arial"/>
          <w:b/>
          <w:bCs/>
          <w:color w:val="2C2C2A"/>
          <w:sz w:val="28"/>
          <w:szCs w:val="28"/>
        </w:rPr>
        <w:t xml:space="preserve">Business case &amp; ROI</w:t>
      </w:r>
    </w:p>
    <w:p>
      <w:pPr>
        <w:spacing w:after="80" w:before="80"/>
      </w:pPr>
      <w:r>
        <w:rPr>
          <w:rFonts w:ascii="Arial" w:cs="Arial" w:eastAsia="Arial" w:hAnsi="Arial"/>
          <w:b/>
          <w:bCs/>
          <w:color w:val="2C2C2A"/>
          <w:sz w:val="22"/>
          <w:szCs w:val="22"/>
        </w:rPr>
        <w:t xml:space="preserve">Pour le Comex — </w:t>
      </w:r>
      <w:r>
        <w:rPr>
          <w:rFonts w:ascii="Arial" w:cs="Arial" w:eastAsia="Arial" w:hAnsi="Arial"/>
          <w:color w:val="2C2C2A"/>
          <w:sz w:val="22"/>
          <w:szCs w:val="22"/>
        </w:rPr>
        <w:t xml:space="preserve">La carte B.U répond à une question sans réponse aujourd'hui : 'Où est notre capital humain le plus solide ? Où est le risque ? Où investir ?' Décisions d'allocation des ressources RH enfin basées sur des données.</w:t>
      </w:r>
    </w:p>
    <w:p>
      <w:pPr>
        <w:spacing w:after="0" w:before="60"/>
      </w:pPr>
      <w:r>
        <w:t xml:space="preserve"/>
      </w:r>
    </w:p>
    <w:p>
      <w:pPr>
        <w:spacing w:after="80" w:before="80"/>
      </w:pPr>
      <w:r>
        <w:rPr>
          <w:rFonts w:ascii="Arial" w:cs="Arial" w:eastAsia="Arial" w:hAnsi="Arial"/>
          <w:b/>
          <w:bCs/>
          <w:color w:val="2C2C2A"/>
          <w:sz w:val="22"/>
          <w:szCs w:val="22"/>
        </w:rPr>
        <w:t xml:space="preserve">Pour la DRH — </w:t>
      </w:r>
      <w:r>
        <w:rPr>
          <w:rFonts w:ascii="Arial" w:cs="Arial" w:eastAsia="Arial" w:hAnsi="Arial"/>
          <w:color w:val="2C2C2A"/>
          <w:sz w:val="22"/>
          <w:szCs w:val="22"/>
        </w:rPr>
        <w:t xml:space="preserve">Première démonstration chiffrée du ROI des programmes de formation. Avant/après programme = évolution de la carte. Les investissements RH deviennent défendables en Comex.</w:t>
      </w:r>
    </w:p>
    <w:p>
      <w:pPr>
        <w:spacing w:after="0" w:before="60"/>
      </w:pPr>
      <w:r>
        <w:t xml:space="preserve"/>
      </w:r>
    </w:p>
    <w:p>
      <w:pPr>
        <w:spacing w:after="80" w:before="80"/>
      </w:pPr>
      <w:r>
        <w:rPr>
          <w:rFonts w:ascii="Arial" w:cs="Arial" w:eastAsia="Arial" w:hAnsi="Arial"/>
          <w:b/>
          <w:bCs/>
          <w:color w:val="2C2C2A"/>
          <w:sz w:val="22"/>
          <w:szCs w:val="22"/>
        </w:rPr>
        <w:t xml:space="preserve">Pour les collaborateurs — </w:t>
      </w:r>
      <w:r>
        <w:rPr>
          <w:rFonts w:ascii="Arial" w:cs="Arial" w:eastAsia="Arial" w:hAnsi="Arial"/>
          <w:color w:val="2C2C2A"/>
          <w:sz w:val="22"/>
          <w:szCs w:val="22"/>
        </w:rPr>
        <w:t xml:space="preserve">La théorie de l'autodétermination (Deci &amp; Ryan, 1985) montre que la perception de sa propre progression est un moteur puissant de motivation intrinsèque. La carte qui évolue positivement remplace avantageusement l'entretien annuel anxiogène.</w:t>
      </w:r>
    </w:p>
    <w:p>
      <w:pPr>
        <w:spacing w:after="0" w:before="120"/>
      </w:pPr>
      <w:r>
        <w:t xml:space="preserve"/>
      </w:r>
    </w:p>
    <w:p>
      <w:pPr>
        <w:pStyle w:val="Heading2"/>
        <w:spacing w:after="120" w:before="320"/>
      </w:pPr>
      <w:r>
        <w:rPr>
          <w:rFonts w:ascii="Arial" w:cs="Arial" w:eastAsia="Arial" w:hAnsi="Arial"/>
          <w:b/>
          <w:bCs/>
          <w:color w:val="2C2C2A"/>
          <w:sz w:val="28"/>
          <w:szCs w:val="28"/>
        </w:rPr>
        <w:t xml:space="preserve">POC partiel — 6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997B" w:sz="4"/>
              <w:left w:val="single" w:color="F0997B" w:sz="4"/>
              <w:bottom w:val="single" w:color="F0997B" w:sz="4"/>
              <w:right w:val="single" w:color="F0997B" w:sz="4"/>
            </w:tcBorders>
            <w:shd w:fill="FAECE7" w:val="clear"/>
            <w:tcMar>
              <w:top w:type="dxa" w:w="120"/>
              <w:left w:type="dxa" w:w="180"/>
              <w:bottom w:type="dxa" w:w="120"/>
              <w:right w:type="dxa" w:w="180"/>
            </w:tcMar>
          </w:tcPr>
          <w:p>
            <w:pPr>
              <w:spacing w:after="60" w:before="0"/>
            </w:pPr>
            <w:r>
              <w:rPr>
                <w:rFonts w:ascii="Arial" w:cs="Arial" w:eastAsia="Arial" w:hAnsi="Arial"/>
                <w:b/>
                <w:bCs/>
                <w:color w:val="F0997B"/>
                <w:sz w:val="20"/>
                <w:szCs w:val="20"/>
              </w:rPr>
              <w:t xml:space="preserve">Livrable 1</w:t>
            </w:r>
          </w:p>
          <w:p>
            <w:pPr>
              <w:spacing w:after="0" w:before="0"/>
            </w:pPr>
            <w:r>
              <w:rPr>
                <w:rFonts w:ascii="Arial" w:cs="Arial" w:eastAsia="Arial" w:hAnsi="Arial"/>
                <w:color w:val="2C2C2A"/>
                <w:sz w:val="20"/>
                <w:szCs w:val="20"/>
              </w:rPr>
              <w:t xml:space="preserve">Carte B.U interactive pour la B.U pilote : pentagone radar avec les 5 dimensions scorées depuis les vraies données. Simulation 'avant/après formation' pour rendre le potentiel concret — présentation Comex.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B7EB" w:sz="4"/>
              <w:left w:val="single" w:color="85B7EB" w:sz="4"/>
              <w:bottom w:val="single" w:color="85B7EB" w:sz="4"/>
              <w:right w:val="single" w:color="85B7EB" w:sz="4"/>
            </w:tcBorders>
            <w:shd w:fill="E6F1FB" w:val="clear"/>
            <w:tcMar>
              <w:top w:type="dxa" w:w="120"/>
              <w:left w:type="dxa" w:w="180"/>
              <w:bottom w:type="dxa" w:w="120"/>
              <w:right w:type="dxa" w:w="180"/>
            </w:tcMar>
          </w:tcPr>
          <w:p>
            <w:pPr>
              <w:spacing w:after="60" w:before="0"/>
            </w:pPr>
            <w:r>
              <w:rPr>
                <w:rFonts w:ascii="Arial" w:cs="Arial" w:eastAsia="Arial" w:hAnsi="Arial"/>
                <w:b/>
                <w:bCs/>
                <w:color w:val="85B7EB"/>
                <w:sz w:val="20"/>
                <w:szCs w:val="20"/>
              </w:rPr>
              <w:t xml:space="preserve">Livrable 2</w:t>
            </w:r>
          </w:p>
          <w:p>
            <w:pPr>
              <w:spacing w:after="0" w:before="0"/>
            </w:pPr>
            <w:r>
              <w:rPr>
                <w:rFonts w:ascii="Arial" w:cs="Arial" w:eastAsia="Arial" w:hAnsi="Arial"/>
                <w:color w:val="2C2C2A"/>
                <w:sz w:val="20"/>
                <w:szCs w:val="20"/>
              </w:rPr>
              <w:t xml:space="preserve">Carte individuelle prototype présentée à 3-4 volontaires avec transparence totale sur le calcul. Rapport de 2 pages sur l'acceptabilité. Proposition de cadre RGPD à soumettre aux IRP.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60"/>
              <w:left w:type="dxa" w:w="200"/>
              <w:bottom w:type="dxa" w:w="160"/>
              <w:right w:type="dxa" w:w="200"/>
            </w:tcMar>
          </w:tcPr>
          <w:p>
            <w:pPr>
              <w:spacing w:after="40" w:before="0"/>
            </w:pPr>
            <w:r>
              <w:rPr>
                <w:rFonts w:ascii="Arial" w:cs="Arial" w:eastAsia="Arial" w:hAnsi="Arial"/>
                <w:b/>
                <w:bCs/>
                <w:color w:val="0C447C"/>
                <w:sz w:val="32"/>
                <w:szCs w:val="32"/>
              </w:rPr>
              <w:t xml:space="preserve">Couche 4 — Activation terrain</w:t>
            </w:r>
          </w:p>
          <w:p>
            <w:pPr>
              <w:spacing w:after="0" w:before="0"/>
            </w:pPr>
            <w:r>
              <w:rPr>
                <w:rFonts w:ascii="Arial" w:cs="Arial" w:eastAsia="Arial" w:hAnsi="Arial"/>
                <w:color w:val="0C447C"/>
                <w:sz w:val="22"/>
                <w:szCs w:val="22"/>
              </w:rPr>
              <w:t xml:space="preserve">Assistant IA, formations adaptatives, manager insights — l'humain au centre</w:t>
            </w:r>
          </w:p>
        </w:tc>
      </w:tr>
    </w:tbl>
    <w:p>
      <w:pPr>
        <w:spacing w:after="0" w:before="120"/>
      </w:pPr>
      <w:r>
        <w:t xml:space="preserve"/>
      </w:r>
    </w:p>
    <w:p>
      <w:pPr>
        <w:pStyle w:val="Heading2"/>
        <w:spacing w:after="120" w:before="320"/>
      </w:pPr>
      <w:r>
        <w:rPr>
          <w:rFonts w:ascii="Arial" w:cs="Arial" w:eastAsia="Arial" w:hAnsi="Arial"/>
          <w:b/>
          <w:bCs/>
          <w:color w:val="2C2C2A"/>
          <w:sz w:val="28"/>
          <w:szCs w:val="28"/>
        </w:rPr>
        <w:t xml:space="preserve">Faisabilité technique</w:t>
      </w:r>
    </w:p>
    <w:p>
      <w:pPr>
        <w:spacing w:after="80" w:before="240"/>
      </w:pPr>
      <w:r>
        <w:rPr>
          <w:rFonts w:ascii="Arial" w:cs="Arial" w:eastAsia="Arial" w:hAnsi="Arial"/>
          <w:b/>
          <w:bCs/>
          <w:color w:val="2C2C2A"/>
          <w:sz w:val="24"/>
          <w:szCs w:val="24"/>
        </w:rPr>
        <w:t xml:space="preserve">Composante A — La fenêtre latérale (assistant optionnel)</w:t>
      </w:r>
    </w:p>
    <w:p>
      <w:pPr>
        <w:spacing w:after="80" w:before="80"/>
      </w:pPr>
      <w:r>
        <w:rPr>
          <w:rFonts w:ascii="Arial" w:cs="Arial" w:eastAsia="Arial" w:hAnsi="Arial"/>
          <w:color w:val="2C2C2A"/>
          <w:sz w:val="22"/>
          <w:szCs w:val="22"/>
        </w:rPr>
        <w:t xml:space="preserve">Le principe est un renversement par rapport à un assistant proactif : l'initiative appartient toujours au collaborateur. Une fenêtre latérale s'ouvre à la demande. Elle reconnaît automatiquement le contexte (quel logiciel est actif, quelle page est affichée, quel type de tâche il correspond dans la taxonomie du référentiel) et transmet ce contexte à Mistral.</w:t>
      </w:r>
    </w:p>
    <w:p>
      <w:pPr>
        <w:spacing w:after="0" w:before="80"/>
      </w:pPr>
      <w:r>
        <w:t xml:space="preserve"/>
      </w:r>
    </w:p>
    <w:p>
      <w:pPr>
        <w:spacing w:after="80" w:before="80"/>
      </w:pPr>
      <w:r>
        <w:rPr>
          <w:rFonts w:ascii="Arial" w:cs="Arial" w:eastAsia="Arial" w:hAnsi="Arial"/>
          <w:color w:val="2C2C2A"/>
          <w:sz w:val="22"/>
          <w:szCs w:val="22"/>
        </w:rPr>
        <w:t xml:space="preserve">Mistral interroge le référentiel et propose une réponse pertinente — 'Pour cette étape de validation, voici la pratique documentée la plus efficace' — sans avoir jamais observé passivement ce que fait le collaborateur. C'est la différence entre un collègue expert qu'on consulte, et un supérieur qui surveille. Même information, deux vécus radicalement différents.</w:t>
      </w:r>
    </w:p>
    <w:p>
      <w:pPr>
        <w:spacing w:after="0" w:before="120"/>
      </w:pPr>
      <w:r>
        <w:t xml:space="preserve"/>
      </w:r>
    </w:p>
    <w:p>
      <w:pPr>
        <w:spacing w:after="80" w:before="240"/>
      </w:pPr>
      <w:r>
        <w:rPr>
          <w:rFonts w:ascii="Arial" w:cs="Arial" w:eastAsia="Arial" w:hAnsi="Arial"/>
          <w:b/>
          <w:bCs/>
          <w:color w:val="2C2C2A"/>
          <w:sz w:val="24"/>
          <w:szCs w:val="24"/>
        </w:rPr>
        <w:t xml:space="preserve">Composante B — Les formations adaptatives (3 niveaux)</w:t>
      </w:r>
    </w:p>
    <w:p>
      <w:pPr>
        <w:spacing w:after="80" w:before="80"/>
      </w:pPr>
      <w:r>
        <w:rPr>
          <w:rFonts w:ascii="Arial" w:cs="Arial" w:eastAsia="Arial" w:hAnsi="Arial"/>
          <w:b/>
          <w:bCs/>
          <w:color w:val="2C2C2A"/>
          <w:sz w:val="22"/>
          <w:szCs w:val="22"/>
        </w:rPr>
        <w:t xml:space="preserve">Niveau 1 — Génération automatique de contenu. </w:t>
      </w:r>
      <w:r>
        <w:rPr>
          <w:rFonts w:ascii="Arial" w:cs="Arial" w:eastAsia="Arial" w:hAnsi="Arial"/>
          <w:color w:val="2C2C2A"/>
          <w:sz w:val="22"/>
          <w:szCs w:val="22"/>
        </w:rPr>
        <w:t xml:space="preserve">Mistral génère depuis le référentiel : guide pas-à-pas, checklist de vérification, cas pratique anonymisé, fiche erreurs fréquentes. Coût marginal d'un nouveau contenu : quelques heures de validation humaine, contre 5 000-30 000 € pour un module traditionnel.</w:t>
      </w:r>
    </w:p>
    <w:p>
      <w:pPr>
        <w:spacing w:after="0" w:before="80"/>
      </w:pPr>
      <w:r>
        <w:t xml:space="preserve"/>
      </w:r>
    </w:p>
    <w:p>
      <w:pPr>
        <w:spacing w:after="80" w:before="80"/>
      </w:pPr>
      <w:r>
        <w:rPr>
          <w:rFonts w:ascii="Arial" w:cs="Arial" w:eastAsia="Arial" w:hAnsi="Arial"/>
          <w:b/>
          <w:bCs/>
          <w:color w:val="2C2C2A"/>
          <w:sz w:val="22"/>
          <w:szCs w:val="22"/>
        </w:rPr>
        <w:t xml:space="preserve">Niveau 2 — Orchestration avec prestataires externes. </w:t>
      </w:r>
      <w:r>
        <w:rPr>
          <w:rFonts w:ascii="Arial" w:cs="Arial" w:eastAsia="Arial" w:hAnsi="Arial"/>
          <w:color w:val="2C2C2A"/>
          <w:sz w:val="22"/>
          <w:szCs w:val="22"/>
        </w:rPr>
        <w:t xml:space="preserve">Mistral dispose d'une base de données des prestataires référencés par CACEIS avec leurs domaines d'expertise. Quand un besoin dépasse le micro-learning interne, Mistral analyse le besoin, classifie les prestataires par pertinence, et produit une recommandation au chargé de développement RH et au manager. Mieux : Mistral peut envoyer directement un mail aux deux parties avec la recommandation et une proposition de créneaux, ou créer un meeting dans leurs agendas (API Microsoft 365). L'insight devient une action.</w:t>
      </w:r>
    </w:p>
    <w:p>
      <w:pPr>
        <w:spacing w:after="0" w:before="80"/>
      </w:pPr>
      <w:r>
        <w:t xml:space="preserve"/>
      </w:r>
    </w:p>
    <w:p>
      <w:pPr>
        <w:spacing w:after="80" w:before="80"/>
      </w:pPr>
      <w:r>
        <w:rPr>
          <w:rFonts w:ascii="Arial" w:cs="Arial" w:eastAsia="Arial" w:hAnsi="Arial"/>
          <w:b/>
          <w:bCs/>
          <w:color w:val="2C2C2A"/>
          <w:sz w:val="22"/>
          <w:szCs w:val="22"/>
        </w:rPr>
        <w:t xml:space="preserve">Niveau 3 — Micro-formations créées par les managers, assistées par l'outil. </w:t>
      </w:r>
      <w:r>
        <w:rPr>
          <w:rFonts w:ascii="Arial" w:cs="Arial" w:eastAsia="Arial" w:hAnsi="Arial"/>
          <w:color w:val="2C2C2A"/>
          <w:sz w:val="22"/>
          <w:szCs w:val="22"/>
        </w:rPr>
        <w:t xml:space="preserve">Un manager qui maîtrise une pratique peut créer en quelques minutes une capsule : capture vidéo d'écran, voix off, sous-titres automatiques générés par Mistral. L'outil propose la structure, suggère les points clés depuis le référentiel, génère le script. Le résultat est authentique, ancré dans les vrais outils CACEIS — infiniment plus efficace qu'un module générique.</w:t>
      </w:r>
    </w:p>
    <w:p>
      <w:pPr>
        <w:spacing w:after="0" w:before="120"/>
      </w:pPr>
      <w:r>
        <w:t xml:space="preserve"/>
      </w:r>
    </w:p>
    <w:p>
      <w:pPr>
        <w:spacing w:after="80" w:before="240"/>
      </w:pPr>
      <w:r>
        <w:rPr>
          <w:rFonts w:ascii="Arial" w:cs="Arial" w:eastAsia="Arial" w:hAnsi="Arial"/>
          <w:b/>
          <w:bCs/>
          <w:color w:val="2C2C2A"/>
          <w:sz w:val="24"/>
          <w:szCs w:val="24"/>
        </w:rPr>
        <w:t xml:space="preserve">Composante C — Le dashboard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AAAAAA" w:sz="4"/>
              <w:left w:val="single" w:color="AAAAAA" w:sz="4"/>
              <w:bottom w:val="single" w:color="AAAAAA" w:sz="4"/>
              <w:right w:val="single" w:color="AAAAAA" w:sz="4"/>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Vue</w:t>
            </w:r>
          </w:p>
        </w:tc>
        <w:tc>
          <w:tcPr>
            <w:tcW w:type="dxa" w:w="5040"/>
            <w:tcBorders>
              <w:top w:val="single" w:color="AAAAAA" w:sz="4"/>
              <w:left w:val="single" w:color="AAAAAA" w:sz="4"/>
              <w:bottom w:val="single" w:color="AAAAAA" w:sz="4"/>
              <w:right w:val="single" w:color="AAAAAA" w:sz="4"/>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Temps réel</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État de l'équipe aujourd'hui : pratiques sous-optimales détectées, formations en cours, alertes actives</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Progression</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Évolution des cartes FIFA sur 3, 6, 12 mois — corrélée aux actions menées (formations, pratiques)</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Recommandations</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Mistral génère 3 actions concrètes pour la semaine basées sur l'analyse des cartes. Le manager décide.</w:t>
            </w:r>
          </w:p>
        </w:tc>
      </w:tr>
    </w:tbl>
    <w:p>
      <w:pPr>
        <w:spacing w:after="0" w:before="120"/>
      </w:pPr>
      <w:r>
        <w:t xml:space="preserve"/>
      </w:r>
    </w:p>
    <w:p>
      <w:pPr>
        <w:pStyle w:val="Heading2"/>
        <w:spacing w:after="120" w:before="320"/>
      </w:pPr>
      <w:r>
        <w:rPr>
          <w:rFonts w:ascii="Arial" w:cs="Arial" w:eastAsia="Arial" w:hAnsi="Arial"/>
          <w:b/>
          <w:bCs/>
          <w:color w:val="2C2C2A"/>
          <w:sz w:val="28"/>
          <w:szCs w:val="28"/>
        </w:rPr>
        <w:t xml:space="preserve">Le facteur d'adoption — les fourmis mimétiques (Stiegler &amp; Bandura)</w:t>
      </w:r>
    </w:p>
    <w:p>
      <w:pPr>
        <w:spacing w:after="80" w:before="80"/>
      </w:pPr>
      <w:r>
        <w:rPr>
          <w:rFonts w:ascii="Arial" w:cs="Arial" w:eastAsia="Arial" w:hAnsi="Arial"/>
          <w:color w:val="2C2C2A"/>
          <w:sz w:val="22"/>
          <w:szCs w:val="22"/>
        </w:rPr>
        <w:t xml:space="preserve">C'est le point le plus sous-estimé de tout le projet. Dans la philosophie de Bernard Stiegler, l'adoption est le processus par lequel un individu 'fait sien' les composants du milieu psychosocial qui le précèdent — pour contribuer ensuite au développement collectif. Un collaborateur n'adopte pas un outil de façon abstraite. Il l'adopte parce qu'il voit quelqu'un de proche, de légitime, de semblable à lui, qui l'utilise et en tire visiblement de la valeur.</w:t>
      </w:r>
    </w:p>
    <w:p>
      <w:pPr>
        <w:spacing w:after="0" w:before="80"/>
      </w:pPr>
      <w:r>
        <w:t xml:space="preserve"/>
      </w:r>
    </w:p>
    <w:p>
      <w:pPr>
        <w:spacing w:after="80" w:before="80"/>
      </w:pPr>
      <w:r>
        <w:rPr>
          <w:rFonts w:ascii="Arial" w:cs="Arial" w:eastAsia="Arial" w:hAnsi="Arial"/>
          <w:color w:val="2C2C2A"/>
          <w:sz w:val="22"/>
          <w:szCs w:val="22"/>
        </w:rPr>
        <w:t xml:space="preserve">La recherche en apprentissage organisationnel confirme ce mécanisme : la probabilité qu'un comportement soit imité est directement liée à la compétence et au succès perçus du modèle observé (Bandura, Academy of Management Review). La métaphore de la fourmi éclaireure est ici parfaitement opérationnelle : la fourmi qui a trouvé la source de nourriture laisse des phéromones — sans donner d'ordre, elle émet un signal que les autres suivent naturellement. Le N+1 est cette éclaireure.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4"/>
              <w:left w:val="single" w:color="993C1D" w:sz="4"/>
              <w:bottom w:val="single" w:color="993C1D" w:sz="4"/>
              <w:right w:val="single" w:color="993C1D" w:sz="4"/>
            </w:tcBorders>
            <w:shd w:fill="FAECE7" w:val="clear"/>
            <w:tcMar>
              <w:top w:type="dxa" w:w="120"/>
              <w:left w:type="dxa" w:w="180"/>
              <w:bottom w:type="dxa" w:w="120"/>
              <w:right w:type="dxa" w:w="180"/>
            </w:tcMar>
          </w:tcPr>
          <w:p>
            <w:pPr>
              <w:spacing w:after="60" w:before="0"/>
            </w:pPr>
            <w:r>
              <w:rPr>
                <w:rFonts w:ascii="Arial" w:cs="Arial" w:eastAsia="Arial" w:hAnsi="Arial"/>
                <w:b/>
                <w:bCs/>
                <w:color w:val="993C1D"/>
                <w:sz w:val="20"/>
                <w:szCs w:val="20"/>
              </w:rPr>
              <w:t xml:space="preserve">Règle non-négociable de déploiement</w:t>
            </w:r>
          </w:p>
          <w:p>
            <w:pPr>
              <w:spacing w:after="0" w:before="0"/>
            </w:pPr>
            <w:r>
              <w:rPr>
                <w:rFonts w:ascii="Arial" w:cs="Arial" w:eastAsia="Arial" w:hAnsi="Arial"/>
                <w:color w:val="2C2C2A"/>
                <w:sz w:val="20"/>
                <w:szCs w:val="20"/>
              </w:rPr>
              <w:t xml:space="preserve">Chaque vague de déploiement commence par les N+1 — jamais par les équipes. Les managers font le parcours complet en premier, obtiennent leur carte FIFA, utilisent la fenêtre latérale pendant 2-3 semaines. Ils arrivent dans l'embarquement de leur équipe avec leur expérience vécue, pas un discours institutionnel. C'est la différence entre un sponsor et un témoin.</w:t>
            </w:r>
          </w:p>
        </w:tc>
      </w:tr>
    </w:tbl>
    <w:p>
      <w:pPr>
        <w:spacing w:after="0" w:before="120"/>
      </w:pPr>
      <w:r>
        <w:t xml:space="preserve"/>
      </w:r>
    </w:p>
    <w:p>
      <w:pPr>
        <w:pStyle w:val="Heading2"/>
        <w:spacing w:after="120" w:before="320"/>
      </w:pPr>
      <w:r>
        <w:rPr>
          <w:rFonts w:ascii="Arial" w:cs="Arial" w:eastAsia="Arial" w:hAnsi="Arial"/>
          <w:b/>
          <w:bCs/>
          <w:color w:val="2C2C2A"/>
          <w:sz w:val="28"/>
          <w:szCs w:val="28"/>
        </w:rPr>
        <w:t xml:space="preserve">Business case &amp;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AAAAAA" w:sz="4"/>
              <w:left w:val="single" w:color="AAAAAA" w:sz="4"/>
              <w:bottom w:val="single" w:color="AAAAAA" w:sz="4"/>
              <w:right w:val="single" w:color="AAAAAA" w:sz="4"/>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Levier</w:t>
            </w:r>
          </w:p>
        </w:tc>
        <w:tc>
          <w:tcPr>
            <w:tcW w:type="dxa" w:w="5040"/>
            <w:tcBorders>
              <w:top w:val="single" w:color="AAAAAA" w:sz="4"/>
              <w:left w:val="single" w:color="AAAAAA" w:sz="4"/>
              <w:bottom w:val="single" w:color="AAAAAA" w:sz="4"/>
              <w:right w:val="single" w:color="AAAAAA" w:sz="4"/>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Calcul indicatif</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Gain de productivité</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(Temps économisé par tâche) × (volume) × (coût horaire moyen). Ex B.U 50 pers. / 20 tâches/jour : 16 min de gain = ~2 900 h/an</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Réduction du turnover</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40-50 % de baisse possible (Gallup). Remplacement d'un profil back-office = 50-100 % salaire annuel</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Temps managérial libéré</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De 30 % à 15-20 % du temps sur le suivi RH grâce aux recommandations automatiques</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Formation externe optimisée</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Sélection des prestataires par Mistral = meilleur ROI formation, moins de dépenses hors-cible</w:t>
            </w:r>
          </w:p>
        </w:tc>
      </w:tr>
    </w:tbl>
    <w:p>
      <w:pPr>
        <w:spacing w:after="0" w:before="120"/>
      </w:pPr>
      <w:r>
        <w:t xml:space="preserve"/>
      </w:r>
    </w:p>
    <w:p>
      <w:pPr>
        <w:pStyle w:val="Heading2"/>
        <w:spacing w:after="120" w:before="320"/>
      </w:pPr>
      <w:r>
        <w:rPr>
          <w:rFonts w:ascii="Arial" w:cs="Arial" w:eastAsia="Arial" w:hAnsi="Arial"/>
          <w:b/>
          <w:bCs/>
          <w:color w:val="2C2C2A"/>
          <w:sz w:val="28"/>
          <w:szCs w:val="28"/>
        </w:rPr>
        <w:t xml:space="preserve">POC partiel — 6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B7EB" w:sz="4"/>
              <w:left w:val="single" w:color="85B7EB" w:sz="4"/>
              <w:bottom w:val="single" w:color="85B7EB" w:sz="4"/>
              <w:right w:val="single" w:color="85B7EB" w:sz="4"/>
            </w:tcBorders>
            <w:shd w:fill="E6F1FB" w:val="clear"/>
            <w:tcMar>
              <w:top w:type="dxa" w:w="120"/>
              <w:left w:type="dxa" w:w="180"/>
              <w:bottom w:type="dxa" w:w="120"/>
              <w:right w:type="dxa" w:w="180"/>
            </w:tcMar>
          </w:tcPr>
          <w:p>
            <w:pPr>
              <w:spacing w:after="60" w:before="0"/>
            </w:pPr>
            <w:r>
              <w:rPr>
                <w:rFonts w:ascii="Arial" w:cs="Arial" w:eastAsia="Arial" w:hAnsi="Arial"/>
                <w:b/>
                <w:bCs/>
                <w:color w:val="85B7EB"/>
                <w:sz w:val="20"/>
                <w:szCs w:val="20"/>
              </w:rPr>
              <w:t xml:space="preserve">Objectif</w:t>
            </w:r>
          </w:p>
          <w:p>
            <w:pPr>
              <w:spacing w:after="0" w:before="0"/>
            </w:pPr>
            <w:r>
              <w:rPr>
                <w:rFonts w:ascii="Arial" w:cs="Arial" w:eastAsia="Arial" w:hAnsi="Arial"/>
                <w:color w:val="2C2C2A"/>
                <w:sz w:val="20"/>
                <w:szCs w:val="20"/>
              </w:rPr>
              <w:t xml:space="preserve">Environnement pilote complet sur la B.U des POC précédents. 4 semaines d'assistant actif. Mesures : taux d'adoption des suggestions, évolution du KPI pilote (couche 1), NPS du dispositif auprès des utilisateurs.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40" w:before="0"/>
            </w:pPr>
            <w:r>
              <w:rPr>
                <w:rFonts w:ascii="Arial" w:cs="Arial" w:eastAsia="Arial" w:hAnsi="Arial"/>
                <w:b/>
                <w:bCs/>
                <w:color w:val="444441"/>
                <w:sz w:val="32"/>
                <w:szCs w:val="32"/>
              </w:rPr>
              <w:t xml:space="preserve">Synthèse — Comment les 4 couches s'harmonisent</w:t>
            </w:r>
          </w:p>
          <w:p>
            <w:pPr>
              <w:spacing w:after="0" w:before="0"/>
            </w:pPr>
            <w:r>
              <w:rPr>
                <w:rFonts w:ascii="Arial" w:cs="Arial" w:eastAsia="Arial" w:hAnsi="Arial"/>
                <w:color w:val="444441"/>
                <w:sz w:val="22"/>
                <w:szCs w:val="22"/>
              </w:rPr>
              <w:t xml:space="preserve">De la donnée brute à la valeur démontrée : un système vivant et gouverné</w:t>
            </w:r>
          </w:p>
        </w:tc>
      </w:tr>
    </w:tbl>
    <w:p>
      <w:pPr>
        <w:spacing w:after="0" w:before="120"/>
      </w:pPr>
      <w:r>
        <w:t xml:space="preserve"/>
      </w:r>
    </w:p>
    <w:p>
      <w:pPr>
        <w:pStyle w:val="Heading2"/>
        <w:spacing w:after="120" w:before="320"/>
      </w:pPr>
      <w:r>
        <w:rPr>
          <w:rFonts w:ascii="Arial" w:cs="Arial" w:eastAsia="Arial" w:hAnsi="Arial"/>
          <w:b/>
          <w:bCs/>
          <w:color w:val="2C2C2A"/>
          <w:sz w:val="28"/>
          <w:szCs w:val="28"/>
        </w:rPr>
        <w:t xml:space="preserve">La logique d'ensemble</w:t>
      </w:r>
    </w:p>
    <w:p>
      <w:pPr>
        <w:spacing w:after="80" w:before="80"/>
      </w:pPr>
      <w:r>
        <w:rPr>
          <w:rFonts w:ascii="Arial" w:cs="Arial" w:eastAsia="Arial" w:hAnsi="Arial"/>
          <w:color w:val="2C2C2A"/>
          <w:sz w:val="22"/>
          <w:szCs w:val="22"/>
        </w:rPr>
        <w:t xml:space="preserve">Les 4 couches ne sont pas des projets indépendants — elles forment un système où chaque couche nourrit les suivantes et toutes se renforcent mutuellement. La valeur du projet ne réside pas dans une couche isolée, mais dans leur articulation.</w:t>
      </w:r>
    </w:p>
    <w:p>
      <w:pPr>
        <w:spacing w:after="0" w:before="120"/>
      </w:pPr>
      <w:r>
        <w:t xml:space="preserve"/>
      </w:r>
    </w:p>
    <w:p>
      <w:pPr>
        <w:spacing w:after="80" w:before="240"/>
      </w:pPr>
      <w:r>
        <w:rPr>
          <w:rFonts w:ascii="Arial" w:cs="Arial" w:eastAsia="Arial" w:hAnsi="Arial"/>
          <w:b/>
          <w:bCs/>
          <w:color w:val="2C2C2A"/>
          <w:sz w:val="24"/>
          <w:szCs w:val="24"/>
        </w:rPr>
        <w:t xml:space="preserve">Le flux de création de valeur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AAAAAA" w:sz="4"/>
              <w:left w:val="single" w:color="AAAAAA" w:sz="4"/>
              <w:bottom w:val="single" w:color="AAAAAA" w:sz="4"/>
              <w:right w:val="single" w:color="AAAAAA" w:sz="4"/>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5040"/>
            <w:tcBorders>
              <w:top w:val="single" w:color="AAAAAA" w:sz="4"/>
              <w:left w:val="single" w:color="AAAAAA" w:sz="4"/>
              <w:bottom w:val="single" w:color="AAAAAA" w:sz="4"/>
              <w:right w:val="single" w:color="AAAAAA" w:sz="4"/>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Ce qu'elle produit pour la suivante</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C1 — Capture</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Des données comportementales et KPIs bruts, agrégés et anonymisés au niveau B.U</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C2 — Data Platform</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Un référentiel de pratiques interrogeable (RAG Mistral), normalisé et versionné</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C3 — Valorisation</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Des scores, cartes FIFA et rapports financiers qui rendent la valeur visible et défendable</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C4 — Activation</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Des recommandations, formations et suggestions qui améliorent les comportements</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Boucle de feedback</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Chaque comportement amélioré en C4 génère de nouvelles données en C1 → le modèle s'affine en continu</w:t>
            </w:r>
          </w:p>
        </w:tc>
      </w:tr>
    </w:tbl>
    <w:p>
      <w:pPr>
        <w:spacing w:after="0" w:before="120"/>
      </w:pPr>
      <w:r>
        <w:t xml:space="preserve"/>
      </w:r>
    </w:p>
    <w:p>
      <w:pPr>
        <w:pStyle w:val="Heading2"/>
        <w:spacing w:after="120" w:before="320"/>
      </w:pPr>
      <w:r>
        <w:rPr>
          <w:rFonts w:ascii="Arial" w:cs="Arial" w:eastAsia="Arial" w:hAnsi="Arial"/>
          <w:b/>
          <w:bCs/>
          <w:color w:val="2C2C2A"/>
          <w:sz w:val="28"/>
          <w:szCs w:val="28"/>
        </w:rPr>
        <w:t xml:space="preserve">Les 4 POC partiels → le POC final intégré</w:t>
      </w:r>
    </w:p>
    <w:p>
      <w:pPr>
        <w:spacing w:after="80" w:before="80"/>
      </w:pPr>
      <w:r>
        <w:rPr>
          <w:rFonts w:ascii="Arial" w:cs="Arial" w:eastAsia="Arial" w:hAnsi="Arial"/>
          <w:color w:val="2C2C2A"/>
          <w:sz w:val="22"/>
          <w:szCs w:val="22"/>
        </w:rPr>
        <w:t xml:space="preserve">Chaque couche a son POC partiel, conçu pour prouver une hypothèse précise sur un terrain réel. Les 4 POC s'enchaînent sur la même B.U pilote, en capitalisant sur les données et les apprentissages précédents. Durée totale estimée : 12 à 16 semaines.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AAAAAA" w:sz="4"/>
              <w:left w:val="single" w:color="AAAAAA" w:sz="4"/>
              <w:bottom w:val="single" w:color="AAAAAA" w:sz="4"/>
              <w:right w:val="single" w:color="AAAAAA" w:sz="4"/>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POC partiel</w:t>
            </w:r>
          </w:p>
        </w:tc>
        <w:tc>
          <w:tcPr>
            <w:tcW w:type="dxa" w:w="5040"/>
            <w:tcBorders>
              <w:top w:val="single" w:color="AAAAAA" w:sz="4"/>
              <w:left w:val="single" w:color="AAAAAA" w:sz="4"/>
              <w:bottom w:val="single" w:color="AAAAAA" w:sz="4"/>
              <w:right w:val="single" w:color="AAAAAA" w:sz="4"/>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Hypothèse prouvée</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C1 — 6 semaines</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On peut mesurer l'écart de pratique entre variantes d'une même tâche et le corréler à un KPI</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C2 — 6 semaines (parallel.)</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Mistral répond à de vraies questions métier depuis un référentiel structuré avec sources traçables</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C3 — 4 semaines</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Les cartes FIFA sont lisibles, acceptables par les collaborateurs, et actionnables par les managers</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C4 — 4 semaines</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L'activation terrain améliore le KPI pilote. Le N+1 comme premier adoptant démultiplie l'adoption</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POC final intégré</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Le récit complet : données → référentiel → valeur chiffrée → action terrain → résultat mesuré</w:t>
            </w:r>
          </w:p>
        </w:tc>
      </w:tr>
    </w:tbl>
    <w:p>
      <w:pPr>
        <w:spacing w:after="0" w:before="120"/>
      </w:pPr>
      <w:r>
        <w:t xml:space="preserve"/>
      </w:r>
    </w:p>
    <w:p>
      <w:pPr>
        <w:pStyle w:val="Heading2"/>
        <w:spacing w:after="120" w:before="320"/>
      </w:pPr>
      <w:r>
        <w:rPr>
          <w:rFonts w:ascii="Arial" w:cs="Arial" w:eastAsia="Arial" w:hAnsi="Arial"/>
          <w:b/>
          <w:bCs/>
          <w:color w:val="2C2C2A"/>
          <w:sz w:val="28"/>
          <w:szCs w:val="28"/>
        </w:rPr>
        <w:t xml:space="preserve">Les conditions de succès transversales</w:t>
      </w:r>
    </w:p>
    <w:p>
      <w:pPr>
        <w:spacing w:after="80" w:before="80"/>
      </w:pPr>
      <w:r>
        <w:rPr>
          <w:rFonts w:ascii="Arial" w:cs="Arial" w:eastAsia="Arial" w:hAnsi="Arial"/>
          <w:b/>
          <w:bCs/>
          <w:color w:val="2C2C2A"/>
          <w:sz w:val="22"/>
          <w:szCs w:val="22"/>
        </w:rPr>
        <w:t xml:space="preserve">1. La gouvernance dès le jour 1. </w:t>
      </w:r>
      <w:r>
        <w:rPr>
          <w:rFonts w:ascii="Arial" w:cs="Arial" w:eastAsia="Arial" w:hAnsi="Arial"/>
          <w:color w:val="2C2C2A"/>
          <w:sz w:val="22"/>
          <w:szCs w:val="22"/>
        </w:rPr>
        <w:t xml:space="preserve">Le comité RGPD/éthique ne se crée pas après le déploiement — il valide le projet avant le lancement du premier POC. IRP, DRH, DSI, expert data ethics : tous à bord avant la première ligne de code.</w:t>
      </w:r>
    </w:p>
    <w:p>
      <w:pPr>
        <w:spacing w:after="0" w:before="60"/>
      </w:pPr>
      <w:r>
        <w:t xml:space="preserve"/>
      </w:r>
    </w:p>
    <w:p>
      <w:pPr>
        <w:spacing w:after="80" w:before="80"/>
      </w:pPr>
      <w:r>
        <w:rPr>
          <w:rFonts w:ascii="Arial" w:cs="Arial" w:eastAsia="Arial" w:hAnsi="Arial"/>
          <w:b/>
          <w:bCs/>
          <w:color w:val="2C2C2A"/>
          <w:sz w:val="22"/>
          <w:szCs w:val="22"/>
        </w:rPr>
        <w:t xml:space="preserve">2. Mistral comme socle souverain. </w:t>
      </w:r>
      <w:r>
        <w:rPr>
          <w:rFonts w:ascii="Arial" w:cs="Arial" w:eastAsia="Arial" w:hAnsi="Arial"/>
          <w:color w:val="2C2C2A"/>
          <w:sz w:val="22"/>
          <w:szCs w:val="22"/>
        </w:rPr>
        <w:t xml:space="preserve">Le choix de Mistral (français, RGPD-natif, cloud souverain disponible) n'est pas seulement technique — il répond à un enjeu de confiance pour les collaborateurs et les régulateurs.</w:t>
      </w:r>
    </w:p>
    <w:p>
      <w:pPr>
        <w:spacing w:after="0" w:before="60"/>
      </w:pPr>
      <w:r>
        <w:t xml:space="preserve"/>
      </w:r>
    </w:p>
    <w:p>
      <w:pPr>
        <w:spacing w:after="80" w:before="80"/>
      </w:pPr>
      <w:r>
        <w:rPr>
          <w:rFonts w:ascii="Arial" w:cs="Arial" w:eastAsia="Arial" w:hAnsi="Arial"/>
          <w:b/>
          <w:bCs/>
          <w:color w:val="2C2C2A"/>
          <w:sz w:val="22"/>
          <w:szCs w:val="22"/>
        </w:rPr>
        <w:t xml:space="preserve">3. L'agrégation systématique comme principe, pas comme option. </w:t>
      </w:r>
      <w:r>
        <w:rPr>
          <w:rFonts w:ascii="Arial" w:cs="Arial" w:eastAsia="Arial" w:hAnsi="Arial"/>
          <w:color w:val="2C2C2A"/>
          <w:sz w:val="22"/>
          <w:szCs w:val="22"/>
        </w:rPr>
        <w:t xml:space="preserve">Toutes les analyses sont réalisées au niveau B.U minimum. Aucun score individuel n'est produit en dehors du cadre carte individuelle / consentement documenté.</w:t>
      </w:r>
    </w:p>
    <w:p>
      <w:pPr>
        <w:spacing w:after="0" w:before="60"/>
      </w:pPr>
      <w:r>
        <w:t xml:space="preserve"/>
      </w:r>
    </w:p>
    <w:p>
      <w:pPr>
        <w:spacing w:after="80" w:before="80"/>
      </w:pPr>
      <w:r>
        <w:rPr>
          <w:rFonts w:ascii="Arial" w:cs="Arial" w:eastAsia="Arial" w:hAnsi="Arial"/>
          <w:b/>
          <w:bCs/>
          <w:color w:val="2C2C2A"/>
          <w:sz w:val="22"/>
          <w:szCs w:val="22"/>
        </w:rPr>
        <w:t xml:space="preserve">4. Le N+1 avant l'équipe, toujours. </w:t>
      </w:r>
      <w:r>
        <w:rPr>
          <w:rFonts w:ascii="Arial" w:cs="Arial" w:eastAsia="Arial" w:hAnsi="Arial"/>
          <w:color w:val="2C2C2A"/>
          <w:sz w:val="22"/>
          <w:szCs w:val="22"/>
        </w:rPr>
        <w:t xml:space="preserve">La règle des fourmis mimétiques s'applique à chaque vague de déploiement. Sans manager convaincu et compétent, l'adoption des équipes sera superficielle.</w:t>
      </w:r>
    </w:p>
    <w:p>
      <w:pPr>
        <w:spacing w:after="0" w:before="60"/>
      </w:pPr>
      <w:r>
        <w:t xml:space="preserve"/>
      </w:r>
    </w:p>
    <w:p>
      <w:pPr>
        <w:spacing w:after="80" w:before="80"/>
      </w:pPr>
      <w:r>
        <w:rPr>
          <w:rFonts w:ascii="Arial" w:cs="Arial" w:eastAsia="Arial" w:hAnsi="Arial"/>
          <w:b/>
          <w:bCs/>
          <w:color w:val="2C2C2A"/>
          <w:sz w:val="22"/>
          <w:szCs w:val="22"/>
        </w:rPr>
        <w:t xml:space="preserve">5. La progression visible comme moteur d'engagement. </w:t>
      </w:r>
      <w:r>
        <w:rPr>
          <w:rFonts w:ascii="Arial" w:cs="Arial" w:eastAsia="Arial" w:hAnsi="Arial"/>
          <w:color w:val="2C2C2A"/>
          <w:sz w:val="22"/>
          <w:szCs w:val="22"/>
        </w:rPr>
        <w:t xml:space="preserve">Le système valorise l'acte d'apprendre, pas seulement le niveau actuel. Quelqu'un qui progresse fortement doit être mis en valeur même si son score absolu reste inférieur — c'est le principe de la carte en évolution.</w:t>
      </w:r>
    </w:p>
    <w:p>
      <w:pPr>
        <w:spacing w:after="0" w:before="120"/>
      </w:pPr>
      <w:r>
        <w:t xml:space="preserve"/>
      </w:r>
    </w:p>
    <w:p>
      <w:pPr>
        <w:pStyle w:val="Heading2"/>
        <w:spacing w:after="120" w:before="320"/>
      </w:pPr>
      <w:r>
        <w:rPr>
          <w:rFonts w:ascii="Arial" w:cs="Arial" w:eastAsia="Arial" w:hAnsi="Arial"/>
          <w:b/>
          <w:bCs/>
          <w:color w:val="2C2C2A"/>
          <w:sz w:val="28"/>
          <w:szCs w:val="28"/>
        </w:rPr>
        <w:t xml:space="preserve">Roadmap indicative vers le 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AAAAAA" w:sz="4"/>
              <w:left w:val="single" w:color="AAAAAA" w:sz="4"/>
              <w:bottom w:val="single" w:color="AAAAAA" w:sz="4"/>
              <w:right w:val="single" w:color="AAAAAA" w:sz="4"/>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40"/>
            <w:tcBorders>
              <w:top w:val="single" w:color="AAAAAA" w:sz="4"/>
              <w:left w:val="single" w:color="AAAAAA" w:sz="4"/>
              <w:bottom w:val="single" w:color="AAAAAA" w:sz="4"/>
              <w:right w:val="single" w:color="AAAAAA" w:sz="4"/>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Contenu &amp; durée</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Phase 0 — Cadrage (S1-S4)</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Constitution du comité de gouvernance. Négociation IRP. Sélection B.U pilote. Cartographie des workflows critiques.</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Phase 1 — POC C1+C2 (S5-S10)</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Déploiement DAP en sandbox. Construction du référentiel minimal. Première démonstration Bibliothécaire Mistral.</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Phase 2 — POC C3+C4 (S11-S16)</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Cartes FIFA pilote. Feedback collaborateurs. Activation assistant fenêtre latérale. Mesure des KPIs.</w:t>
            </w:r>
          </w:p>
        </w:tc>
      </w:tr>
      <w:tr>
        <w:tc>
          <w:tcPr>
            <w:tcW w:type="dxa" w:w="432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Phase 3 — POC Final (S17-S20)</w:t>
            </w:r>
          </w:p>
        </w:tc>
        <w:tc>
          <w:tcPr>
            <w:tcW w:type="dxa" w:w="5040"/>
            <w:tcBorders>
              <w:top w:val="single" w:color="DDDDDD" w:sz="4"/>
              <w:left w:val="single" w:color="DDDDDD" w:sz="4"/>
              <w:bottom w:val="single" w:color="DDDDDD" w:sz="4"/>
              <w:right w:val="single" w:color="DDDDDD" w:sz="4"/>
            </w:tcBorders>
            <w:shd w:fill="F8F8F6" w:val="clear"/>
            <w:tcMar>
              <w:top w:type="dxa" w:w="80"/>
              <w:left w:type="dxa" w:w="120"/>
              <w:bottom w:type="dxa" w:w="80"/>
              <w:right w:type="dxa" w:w="120"/>
            </w:tcMar>
          </w:tcPr>
          <w:p>
            <w:r>
              <w:rPr>
                <w:rFonts w:ascii="Arial" w:cs="Arial" w:eastAsia="Arial" w:hAnsi="Arial"/>
                <w:color w:val="2C2C2A"/>
                <w:sz w:val="20"/>
                <w:szCs w:val="20"/>
              </w:rPr>
              <w:t xml:space="preserve">Intégration des 4 couches. Production du dossier de déploiement avec chiffres réels. Présentation Comex.</w:t>
            </w:r>
          </w:p>
        </w:tc>
      </w:tr>
      <w:tr>
        <w:tc>
          <w:tcPr>
            <w:tcW w:type="dxa" w:w="43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Phase 4 — Déploiement (S21+)</w:t>
            </w:r>
          </w:p>
        </w:tc>
        <w:tc>
          <w:tcPr>
            <w:tcW w:type="dxa" w:w="50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C2C2A"/>
                <w:sz w:val="20"/>
                <w:szCs w:val="20"/>
              </w:rPr>
              <w:t xml:space="preserve">Déploiement par vagues B.U. Formation des N+1 en premier. Gouvernance continue.</w:t>
            </w:r>
          </w:p>
        </w:tc>
      </w:tr>
    </w:tbl>
    <w:p>
      <w:pPr>
        <w:spacing w:after="0" w:before="160"/>
      </w:pPr>
      <w:r>
        <w:t xml:space="preserve"/>
      </w:r>
    </w:p>
    <w:p>
      <w:pPr>
        <w:spacing w:after="80" w:before="200"/>
        <w:jc w:val="center"/>
      </w:pPr>
      <w:r>
        <w:rPr>
          <w:rFonts w:ascii="Arial" w:cs="Arial" w:eastAsia="Arial" w:hAnsi="Arial"/>
          <w:i/>
          <w:iCs/>
          <w:color w:val="AAAAAA"/>
          <w:sz w:val="20"/>
          <w:szCs w:val="20"/>
        </w:rPr>
        <w:t xml:space="preserve">— Fin du document —</w:t>
      </w:r>
    </w:p>
    <w:sectPr>
      <w:headerReference w:type="default" r:id="rId7"/>
      <w:footerReference w:type="default" r:id="rId8"/>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FA9EC" w:sz="6" w:space="1"/>
      </w:pBdr>
      <w:spacing w:after="0" w:before="120"/>
    </w:pPr>
    <w:r>
      <w:rPr>
        <w:rFonts w:ascii="Arial" w:cs="Arial" w:eastAsia="Arial" w:hAnsi="Arial"/>
        <w:color w:val="AAAAAA"/>
        <w:sz w:val="16"/>
        <w:szCs w:val="16"/>
      </w:rPr>
      <w:t xml:space="preserve">Avril 2025  •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FA9EC" w:sz="6" w:space="1"/>
      </w:pBdr>
      <w:spacing w:after="120" w:before="0"/>
    </w:pPr>
    <w:r>
      <w:rPr>
        <w:rFonts w:ascii="Arial" w:cs="Arial" w:eastAsia="Arial" w:hAnsi="Arial"/>
        <w:color w:val="444441"/>
        <w:sz w:val="18"/>
        <w:szCs w:val="18"/>
      </w:rPr>
      <w:t xml:space="preserve">CACEIS — Valorisation du Capital Humain par l'IA</w:t>
    </w:r>
    <w:r>
      <w:rPr>
        <w:rFonts w:ascii="Arial" w:cs="Arial" w:eastAsia="Arial" w:hAnsi="Arial"/>
        <w:color w:val="AAAAAA"/>
        <w:sz w:val="18"/>
        <w:szCs w:val="18"/>
      </w:rPr>
      <w:t xml:space="preserv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3C348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2C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2026-04-18T13:04:53.000Z</dcterms:created>
  <dcterms:modified xsi:type="dcterms:W3CDTF">2026-04-18T13:04:53.001Z</dcterms:modified>
</cp:coreProperties>
</file>

<file path=docProps/custom.xml><?xml version="1.0" encoding="utf-8"?>
<Properties xmlns="http://schemas.openxmlformats.org/officeDocument/2006/custom-properties" xmlns:vt="http://schemas.openxmlformats.org/officeDocument/2006/docPropsVTypes"/>
</file>