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aps/>
          <w:color w:val="001F5B"/>
          <w:sz w:val="32"/>
          <w:szCs w:val="32"/>
        </w:rPr>
        <w:t xml:space="preserve">CREDIT ANALYSIS — ANALYST WORKING DOCUMENT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2025_trafigura_annual_report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Periods: FY2025, FY2024  |  Basis: Millions  |  Generated: August 11, 2026</w:t>
      </w:r>
    </w:p>
    <w:p>
      <w:pPr>
        <w:pBdr>
          <w:bottom w:val="single" w:color="001F5B" w:sz="8"/>
        </w:pBdr>
        <w:spacing w:after="300"/>
      </w:pPr>
    </w:p>
    <w:p>
      <w:pPr>
        <w:pBdr>
          <w:bottom w:val="single" w:color="001F5B" w:sz="8"/>
        </w:pBdr>
        <w:spacing w:after="80" w:before="300"/>
      </w:pPr>
      <w:r>
        <w:rPr>
          <w:rFonts w:ascii="Arial" w:cs="Arial" w:eastAsia="Arial" w:hAnsi="Arial"/>
          <w:b/>
          <w:bCs/>
          <w:color w:val="001F5B"/>
          <w:sz w:val="28"/>
          <w:szCs w:val="28"/>
        </w:rPr>
        <w:t xml:space="preserve">YoY Financial Narrative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Comparison of FY2025 vs. FY2024. All figures in millions.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001F5B"/>
          <w:sz w:val="22"/>
          <w:szCs w:val="22"/>
        </w:rPr>
        <w:t xml:space="preserve">Revenue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00"/>
            <w:shd w:fill="001F5B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Change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Net Sales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$240,268.0M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$243,201.8M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($2,933.8M)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(1%)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 drivers: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European revenue surged by $22,538.6M, from $64,175.5M to $86,714.1M, reflecting trade flow reorientation.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Metals and Minerals segment revenue grew by $2,135.2M (+3.0%), driven by Asia and Europe gains.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Greenergy acquisition (July 2024) added incremental Energy segment revenue in Europe and North America.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Offsetting factors: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Energy segment revenue declined by $5,069.0M (-2.9%), the primary top-line headwind.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Asian revenue fell sharply by $12,536.8M, from $97,591.8M to $85,055.0M.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Services revenue declined by $490.1M (-12.4%), from $3,963.8M to $3,473.7M.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Sales of goods declined by $2,443.7M (-1.0%), from $239,238.0M to $236,794.3M.</w:t>
      </w:r>
    </w:p>
    <w:p>
      <w:pPr>
        <w:pBdr>
          <w:bottom w:val="single" w:color="CCCCCC" w:sz="4"/>
        </w:pBdr>
        <w:spacing w:after="4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001F5B"/>
          <w:sz w:val="22"/>
          <w:szCs w:val="22"/>
        </w:rPr>
        <w:t xml:space="preserve">Cost of Goods Sold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00"/>
            <w:shd w:fill="001F5B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Change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Cost of Goods Sold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$228,238.9M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$231,355.8M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($3,116.9M)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(1%)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Cost-increasing factors: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Metals and Minerals costs rose $2,249.4M (+3.4%), exceeding that segment's revenue growth.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Greenergy full-year cost base (manufacturing and distribution) added incremental Energy costs.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Mark-to-market fair value movements on derivatives and forward contracts introduced cost volatility.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Cost-reducing factors: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Energy costs declined by $5,366.3M (-3.3%), outpacing the Energy revenue decline.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Short-term lease expenses fell from $825.8M to $640.5M (-$185.3M), reducing freight/logistics costs.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Variable lease payments not in lease liability fell from $514.8M to $401.0M (-$113.8M).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Reduced volumes in high-cost Asian, Middle East, and African Energy markets lowered purchase costs.</w:t>
      </w:r>
    </w:p>
    <w:p>
      <w:pPr>
        <w:pBdr>
          <w:bottom w:val="single" w:color="CCCCCC" w:sz="4"/>
        </w:pBdr>
        <w:spacing w:after="4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001F5B"/>
          <w:sz w:val="22"/>
          <w:szCs w:val="22"/>
        </w:rPr>
        <w:t xml:space="preserve">Gross Margin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00"/>
            <w:shd w:fill="001F5B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Change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$12,029.1M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$11,846.0M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+$183.1M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+2%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$5.0M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$4.9M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+$0.1M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+2%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Commentary: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Gross profit improved $183.1M (+1.5%) to $12,029.1M despite a $2,933.8M revenue decline.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Cost reductions of $3,116.9M exceeded the revenue decline of $2,933.8M, expanding margin.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Gross margin percentage expanded 14 bps from 4.87% to 5.01%.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Underlying EBITDA declined marginally by $68.8M (-0.8%) to $8,164.6M; EBITDA margin held at 3.4%.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Below-gross-profit cost increases (employee benefits up $464.5M, depreciation) absorbed gross profit gains.</w:t>
      </w:r>
    </w:p>
    <w:p>
      <w:pPr>
        <w:pBdr>
          <w:bottom w:val="single" w:color="CCCCCC" w:sz="4"/>
        </w:pBdr>
        <w:spacing w:after="4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001F5B"/>
          <w:sz w:val="22"/>
          <w:szCs w:val="22"/>
        </w:rPr>
        <w:t xml:space="preserve">EBITDA &amp; Profitability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EBITDA decreased (2%) YoY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from $7,305.9M to $7,160.7M.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EBITDA margin expanded 0.0pp to 3.0% (FY2024: 3.0%).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Operating income increased +1% to $4,178.4M.</w:t>
      </w:r>
    </w:p>
    <w:p>
      <w:pPr>
        <w:pBdr>
          <w:bottom w:val="single" w:color="CCCCCC" w:sz="4"/>
        </w:pBdr>
        <w:spacing w:after="4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001F5B"/>
          <w:sz w:val="22"/>
          <w:szCs w:val="22"/>
        </w:rPr>
        <w:t xml:space="preserve">Cash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Operating cash flow (CFO) decreased (59%)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from $9,149.1M to $3,772.2M.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CapEx increased +10% $875.5M (0.4% of revenue).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 cash flow decreased (65%)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$2,896.7M (FY2024: $8,355.7M).</w:t>
      </w:r>
    </w:p>
    <w:p>
      <w:pPr>
        <w:pBdr>
          <w:bottom w:val="single" w:color="CCCCCC" w:sz="4"/>
        </w:pBdr>
        <w:spacing w:after="4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001F5B"/>
          <w:sz w:val="22"/>
          <w:szCs w:val="22"/>
        </w:rPr>
        <w:t xml:space="preserve">Debt &amp; Capital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debt decreased (0%)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from $30,978.2M to $30,887.6M.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Leverage (Debt/EBITDA) deteriorated from 4.24x to 4.31x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FCC increased from 1.88x to 1.97x.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Cash decreased (30%) to $7,916.2M (FY2024: $11,265.8M).</w:t>
      </w:r>
    </w:p>
    <w:p>
      <w:r>
        <w:br w:type="page"/>
      </w:r>
    </w:p>
    <w:p>
      <w:pPr>
        <w:pBdr>
          <w:bottom w:val="single" w:color="001F5B" w:sz="8"/>
        </w:pBdr>
        <w:spacing w:after="80" w:before="300"/>
      </w:pPr>
      <w:r>
        <w:rPr>
          <w:rFonts w:ascii="Arial" w:cs="Arial" w:eastAsia="Arial" w:hAnsi="Arial"/>
          <w:b/>
          <w:bCs/>
          <w:color w:val="001F5B"/>
          <w:sz w:val="28"/>
          <w:szCs w:val="28"/>
        </w:rPr>
        <w:t xml:space="preserve">Segment Analysis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Per-segment breakdown extracted from Management's Discussion &amp; Analysis. Verify all figures against the source 10-K.</w:t>
      </w:r>
    </w:p>
    <w:p>
      <w:pPr>
        <w:spacing w:after="100"/>
      </w:pPr>
    </w:p>
    <w:p>
      <w:pPr>
        <w:shd w:fill="001F5B" w:color="auto" w:val="clear"/>
        <w:spacing w:after="80" w:before="200"/>
      </w:pPr>
      <w:r>
        <w:rPr>
          <w:rFonts w:ascii="Arial" w:cs="Arial" w:eastAsia="Arial" w:hAnsi="Arial"/>
          <w:b/>
          <w:bCs/>
          <w:caps/>
          <w:color w:val="FFFFFF"/>
          <w:sz w:val="22"/>
          <w:szCs w:val="22"/>
        </w:rPr>
        <w:t xml:space="preserve">SEGMENT: ENERGY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C09000"/>
          <w:sz w:val="22"/>
          <w:szCs w:val="22"/>
        </w:rPr>
        <w:t xml:space="preserve">Revenue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00"/>
            <w:shd w:fill="001F5B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Change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$71,031.4M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$51,979.0M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+$19,052.4M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+37%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$34,415.1M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$49,864.4M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($15,449.3M)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(31%)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 America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$31,400.0M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$33,725.9M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($2,325.9M)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(7%)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Latin America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$16,422.9M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$17,065.5M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($642.6M)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(4%)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Africa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$7,393.5M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$9,578.6M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($2,185.1M)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(23%)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 East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$4,751.1M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$7,179.1M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($2,428.0M)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(34%)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Australia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$1,566.4M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$2,656.9M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($1,090.5M)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(41%)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Net Sales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$166,980.4M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$172,049.4M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($5,069.0M)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(3%)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Drivers (negative):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Asian Energy revenue fell $15,449.3M, the largest single geographic headwind, reflecting trade flow shifts.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Middle East revenue declined $2,428.0M, from $7,179.1M to $4,751.1M, on reduced trading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North America declined $2,325.9M, from $33,725.9M to $31,400.0M, partially offset by Greenergy Canada.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Africa declined $2,185.1M, partly due to Puma Energy Tanzania deconsolidation and volume reductions.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Australia declined $1,090.5M, from $2,656.9M to $1,566.4M.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Latin America declined $642.6M, from $17,065.5M to $16,422.9M.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Offsetting factors (positive):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European Energy revenue surged $19,052.4M, reflecting supply diversification and Greenergy contribution.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Greenergy acquisition (July 2024, $303.2M consideration) added biofuel and road fuel distribution revenue.</w:t>
      </w:r>
    </w:p>
    <w:p>
      <w:pPr>
        <w:spacing w:after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C09000"/>
          <w:sz w:val="22"/>
          <w:szCs w:val="22"/>
        </w:rPr>
        <w:t xml:space="preserve">Cost of Goods Sold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00"/>
            <w:shd w:fill="001F5B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Change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COGS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$158,849.4M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$164,215.7M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($5,366.3M)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(3%)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Drivers (cost-increasing):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Greenergy full-year operating cost base (UK/Netherlands plants, distribution network) added incremental costs.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Mark-to-market volatility on derivatives and forward contracts can increase costs independently of volumes.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Offsetting factors (cost-reducing):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Lower commodity purchase costs broadly tracked the $5,069.0M revenue decline, falling $5,366.3M.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Reduced volumes in high-cost Asia, Middle East, and Africa lowered commodity purchase costs.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Short-term lease expenses fell from $825.8M to $640.5M (-$185.3M), lowering freight/logistics costs.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Variable lease payments fell from $514.8M to $401.0M (-$113.8M), reducing logistics costs.</w:t>
      </w:r>
    </w:p>
    <w:p>
      <w:pPr>
        <w:spacing w:after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C09000"/>
          <w:sz w:val="22"/>
          <w:szCs w:val="22"/>
        </w:rPr>
        <w:t xml:space="preserve">Gross Margin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00"/>
            <w:shd w:fill="001F5B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Change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$8,131.0M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$7,833.7M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+$297.3M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+4%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$4.9M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$4.6M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+$0.3M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+7%</w:t>
            </w:r>
          </w:p>
        </w:tc>
      </w:tr>
    </w:tbl>
    <w:p>
      <w:pPr>
        <w:pBdr>
          <w:bottom w:val="single" w:color="CCCCCC" w:sz="4"/>
        </w:pBdr>
        <w:spacing w:after="40" w:before="40"/>
      </w:pPr>
    </w:p>
    <w:p>
      <w:pPr>
        <w:spacing w:after="120"/>
      </w:pPr>
    </w:p>
    <w:p>
      <w:pPr>
        <w:shd w:fill="001F5B" w:color="auto" w:val="clear"/>
        <w:spacing w:after="80" w:before="200"/>
      </w:pPr>
      <w:r>
        <w:rPr>
          <w:rFonts w:ascii="Arial" w:cs="Arial" w:eastAsia="Arial" w:hAnsi="Arial"/>
          <w:b/>
          <w:bCs/>
          <w:caps/>
          <w:color w:val="FFFFFF"/>
          <w:sz w:val="22"/>
          <w:szCs w:val="22"/>
        </w:rPr>
        <w:t xml:space="preserve">SEGMENT: METALS AND MINERALS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C09000"/>
          <w:sz w:val="22"/>
          <w:szCs w:val="22"/>
        </w:rPr>
        <w:t xml:space="preserve">Revenue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00"/>
            <w:shd w:fill="001F5B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Change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$50,639.9M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$47,727.4M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+$2,912.5M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+6%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$15,682.7M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$12,196.5M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+$3,486.2M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+29%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 America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$3,708.5M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$7,770.1M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($4,061.6M)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(52%)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Latin America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$971.6M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$934.1M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+$37.5M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+4%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 East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$1,284.5M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$1,645.7M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($361.2M)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(22%)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Australia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$918.0M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$570.8M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+$347.2M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+61%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Africa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$82.4M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$307.8M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($225.4M)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(73%)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Net Sales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$73,287.6M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$71,152.4M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+$2,135.2M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+3%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Drivers (negative):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North America declined $4,061.6M, reflecting reduced trading activity and Myra Falls care-and-maintenance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Middle East declined $361.2M, from $1,645.7M to $1,284.5M.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Africa declined $225.4M, from $307.8M to $82.4M.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Offsetting factors (positive):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European Metals and Minerals revenue grew $3,486.2M, supported by Nyrstar's European smelting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Asian revenue grew $2,912.5M, driven by strong base metals demand and equity-investee trading agreements.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Australia grew $347.2M, from $570.8M to $918.0M, despite Nyrstar operational challenges.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Latin America grew $37.5M on modest volume increases.</w:t>
      </w:r>
    </w:p>
    <w:p>
      <w:pPr>
        <w:spacing w:after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C09000"/>
          <w:sz w:val="22"/>
          <w:szCs w:val="22"/>
        </w:rPr>
        <w:t xml:space="preserve">Cost of Goods Sold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00"/>
            <w:shd w:fill="001F5B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Change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COGS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$69,389.5M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$67,140.1M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+$2,249.4M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+3%</w:t>
            </w:r>
          </w:p>
        </w:tc>
      </w:tr>
    </w:tbl>
    <w:p>
      <w:pPr>
        <w:spacing w:after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Drivers (cost-increasing):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Higher commodity purchase costs rose $2,249.4M (+3.4%), exceeding revenue growth of $2,135.2M (+3.0%).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Treatment charge pressure on zinc and lead concentrates compressed Nyrstar smelting margins.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Myra Falls Mine incurred ongoing care-and-maintenance costs throughout FY2025 without generating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Nyrstar Australian operations generated negative returns with deteriorating cost performance year-over-year.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Offsetting factors (cost-reducing):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Reduced North American volumes likely lowered purchase costs in that region, partially offsetting increases elsewhere.</w:t>
      </w:r>
    </w:p>
    <w:p>
      <w:pPr>
        <w:spacing w:after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C09000"/>
          <w:sz w:val="22"/>
          <w:szCs w:val="22"/>
        </w:rPr>
        <w:t xml:space="preserve">Gross Margin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00"/>
            <w:shd w:fill="001F5B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shd w:fill="001F5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Change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$3,898.1M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$4,012.3M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($114.2M)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(3%)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$5.3M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$5.6M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($0.3M)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(5%)</w:t>
            </w:r>
          </w:p>
        </w:tc>
      </w:tr>
    </w:tbl>
    <w:p>
      <w:pPr>
        <w:pBdr>
          <w:bottom w:val="single" w:color="CCCCCC" w:sz="4"/>
        </w:pBdr>
        <w:spacing w:after="40" w:before="40"/>
      </w:pPr>
    </w:p>
    <w:p>
      <w:pPr>
        <w:spacing w:after="120"/>
      </w:pPr>
    </w:p>
    <w:p>
      <w:r>
        <w:br w:type="page"/>
      </w:r>
    </w:p>
    <w:p>
      <w:pPr>
        <w:pBdr>
          <w:bottom w:val="single" w:color="001F5B" w:sz="8"/>
        </w:pBdr>
        <w:spacing w:after="80" w:before="300"/>
      </w:pPr>
      <w:r>
        <w:rPr>
          <w:rFonts w:ascii="Arial" w:cs="Arial" w:eastAsia="Arial" w:hAnsi="Arial"/>
          <w:b/>
          <w:bCs/>
          <w:color w:val="001F5B"/>
          <w:sz w:val="28"/>
          <w:szCs w:val="28"/>
        </w:rPr>
        <w:t xml:space="preserve">Revolver &amp; Liquidity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FY2025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Cash on hand: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$7,916.2M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Revolving credit facility size: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$9,200.0M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Revolver drawn: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$0.0M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FY2024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Cash on hand: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$11,265.8M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Revolving credit facility size: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$3,200.0M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Revolver drawn: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$0.0M</w:t>
      </w:r>
    </w:p>
    <w:p>
      <w:pPr>
        <w:spacing w:after="80"/>
      </w:pPr>
    </w:p>
    <w:p>
      <w:r>
        <w:br w:type="page"/>
      </w:r>
    </w:p>
    <w:p>
      <w:pPr>
        <w:pBdr>
          <w:bottom w:val="single" w:color="001F5B" w:sz="8"/>
        </w:pBdr>
        <w:spacing w:after="80" w:before="300"/>
      </w:pPr>
      <w:r>
        <w:rPr>
          <w:rFonts w:ascii="Arial" w:cs="Arial" w:eastAsia="Arial" w:hAnsi="Arial"/>
          <w:b/>
          <w:bCs/>
          <w:color w:val="001F5B"/>
          <w:sz w:val="28"/>
          <w:szCs w:val="28"/>
        </w:rPr>
        <w:t xml:space="preserve">Underwriting Memo</w:t>
      </w:r>
    </w:p>
    <w:p>
      <w:pPr>
        <w:spacing w:after="8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AI-generated — analyst review and sign-off required before use in credit committee materials.</w:t>
      </w:r>
    </w:p>
    <w:p>
      <w:pPr>
        <w:spacing w:after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Financial Summary (Extracted + Computed)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*Statement basis:* `millions`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*Most recent period:* `FY2025`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Executive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Revenue: $240,268.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EBITDA: $7,161 (3.0% margin).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Leverage: 4.31x  |  FCC: 1.97x.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FCF: $2,897  |  Cash: $7,916.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YoY Trend (FY2024 → FY2025)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Revenue: $243,202 → $240,268 (-1.2%)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EBITDA: $7,306 → $7,161 (-2.0%)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EBITDA margin: 3.0% → 3.0%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Data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FY2025: rent_expense not found; EBITDA excludes rent.</w:t>
      </w:r>
    </w:p>
    <w:p>
      <w:pPr>
        <w:spacing w:after="80"/>
      </w:pP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396" w:hanging="396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2026-08-11T21:03:03.929Z</dcterms:created>
  <dcterms:modified xsi:type="dcterms:W3CDTF">2026-08-11T21:03:03.929Z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