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aps/>
          <w:color w:val="001F5B"/>
          <w:sz w:val="32"/>
          <w:szCs w:val="32"/>
        </w:rPr>
        <w:t xml:space="preserve">CREDIT ANALYSIS — ANALYST WORKING DOCUMENT</w:t>
      </w:r>
    </w:p>
    <w:p>
      <w:pPr>
        <w:spacing w:after="60"/>
        <w:jc w:val="center"/>
      </w:pPr>
      <w:r>
        <w:rPr>
          <w:rFonts w:ascii="Arial" w:cs="Arial" w:eastAsia="Arial" w:hAnsi="Arial"/>
          <w:b/>
          <w:bCs/>
          <w:color w:val="1F497D"/>
          <w:sz w:val="28"/>
          <w:szCs w:val="28"/>
        </w:rPr>
        <w:t xml:space="preserve">d</w:t>
      </w:r>
    </w:p>
    <w:p>
      <w:pPr>
        <w:spacing w:after="40"/>
        <w:jc w:val="center"/>
      </w:pPr>
      <w:r>
        <w:rPr>
          <w:rFonts w:ascii="Arial" w:cs="Arial" w:eastAsia="Arial" w:hAnsi="Arial"/>
          <w:color w:val="555555"/>
          <w:sz w:val="18"/>
          <w:szCs w:val="18"/>
        </w:rPr>
        <w:t xml:space="preserve">Periods: FY2024, FY2023  |  Basis: Millions  |  Generated: July 14, 2026</w:t>
      </w:r>
    </w:p>
    <w:p>
      <w:pPr>
        <w:pBdr>
          <w:bottom w:val="single" w:color="001F5B" w:sz="8"/>
        </w:pBdr>
        <w:spacing w:after="300"/>
      </w:pPr>
    </w:p>
    <w:p>
      <w:pPr>
        <w:pBdr>
          <w:bottom w:val="single" w:color="001F5B" w:sz="8"/>
        </w:pBdr>
        <w:spacing w:after="80" w:before="300"/>
      </w:pPr>
      <w:r>
        <w:rPr>
          <w:rFonts w:ascii="Arial" w:cs="Arial" w:eastAsia="Arial" w:hAnsi="Arial"/>
          <w:b/>
          <w:bCs/>
          <w:color w:val="001F5B"/>
          <w:sz w:val="28"/>
          <w:szCs w:val="28"/>
        </w:rPr>
        <w:t xml:space="preserve">YoY Financial Narrative</w:t>
      </w:r>
    </w:p>
    <w:p>
      <w:pPr>
        <w:spacing w:after="80"/>
      </w:pPr>
      <w:r>
        <w:rPr>
          <w:rFonts w:ascii="Arial" w:cs="Arial" w:eastAsia="Arial" w:hAnsi="Arial"/>
          <w:color w:val="555555"/>
          <w:sz w:val="20"/>
          <w:szCs w:val="20"/>
        </w:rPr>
        <w:t xml:space="preserve">Comparison of FY2024 vs. FY2023. All figures in millions.</w:t>
      </w:r>
    </w:p>
    <w:p>
      <w:pPr>
        <w:spacing w:after="100"/>
      </w:pPr>
    </w:p>
    <w:p>
      <w:pPr>
        <w:spacing w:after="80" w:before="160"/>
      </w:pPr>
      <w:r>
        <w:rPr>
          <w:rFonts w:ascii="Arial" w:cs="Arial" w:eastAsia="Arial" w:hAnsi="Arial"/>
          <w:b/>
          <w:bCs/>
          <w:caps/>
          <w:color w:val="001F5B"/>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$6,107.1M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$5,867.9M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+$239.2M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w:t>
            </w:r>
          </w:p>
        </w:tc>
      </w:tr>
    </w:tbl>
    <w:p>
      <w:pPr>
        <w:spacing w:after="80"/>
      </w:pPr>
    </w:p>
    <w:p>
      <w:pPr>
        <w:spacing w:after="40" w:before="100"/>
      </w:pPr>
      <w:r>
        <w:rPr>
          <w:rFonts w:ascii="Arial" w:cs="Arial" w:eastAsia="Arial" w:hAnsi="Arial"/>
          <w:b/>
          <w:bCs/>
          <w:color w:val="000000"/>
          <w:sz w:val="20"/>
          <w:szCs w:val="20"/>
        </w:rPr>
        <w:t xml:space="preserve">Key drivers:</w:t>
      </w:r>
    </w:p>
    <w:p>
      <w:pPr>
        <w:pStyle w:val="ListParagraph"/>
        <w:numPr>
          <w:ilvl w:val="0"/>
          <w:numId w:val="2"/>
        </w:numPr>
        <w:spacing w:after="60"/>
      </w:pPr>
      <w:r>
        <w:rPr>
          <w:rFonts w:ascii="Arial" w:cs="Arial" w:eastAsia="Arial" w:hAnsi="Arial"/>
          <w:b w:val="false"/>
          <w:bCs w:val="false"/>
          <w:sz w:val="20"/>
          <w:szCs w:val="20"/>
        </w:rPr>
        <w:t xml:space="preserve">Product volumes sold increased 3.3% across all three segments, driving majority of net sales growth.</w:t>
      </w:r>
    </w:p>
    <w:p>
      <w:pPr>
        <w:pStyle w:val="ListParagraph"/>
        <w:numPr>
          <w:ilvl w:val="0"/>
          <w:numId w:val="2"/>
        </w:numPr>
        <w:spacing w:after="60"/>
      </w:pPr>
      <w:r>
        <w:rPr>
          <w:rFonts w:ascii="Arial" w:cs="Arial" w:eastAsia="Arial" w:hAnsi="Arial"/>
          <w:b w:val="false"/>
          <w:bCs w:val="false"/>
          <w:sz w:val="20"/>
          <w:szCs w:val="20"/>
        </w:rPr>
        <w:t xml:space="preserve">Favorable pricing/product mix contributed +1.3% to net sales growth across all segments.</w:t>
      </w:r>
    </w:p>
    <w:p>
      <w:pPr>
        <w:pStyle w:val="ListParagraph"/>
        <w:numPr>
          <w:ilvl w:val="0"/>
          <w:numId w:val="2"/>
        </w:numPr>
        <w:spacing w:after="60"/>
      </w:pPr>
      <w:r>
        <w:rPr>
          <w:rFonts w:ascii="Arial" w:cs="Arial" w:eastAsia="Arial" w:hAnsi="Arial"/>
          <w:b w:val="false"/>
          <w:bCs w:val="false"/>
          <w:sz w:val="20"/>
          <w:szCs w:val="20"/>
        </w:rPr>
        <w:t xml:space="preserve">Graphico acquisition (consolidated since June 3, 2024) partially offset portfolio exits.</w:t>
      </w:r>
    </w:p>
    <w:p>
      <w:pPr>
        <w:spacing w:after="40" w:before="100"/>
      </w:pPr>
      <w:r>
        <w:rPr>
          <w:rFonts w:ascii="Arial" w:cs="Arial" w:eastAsia="Arial" w:hAnsi="Arial"/>
          <w:b/>
          <w:bCs/>
          <w:color w:val="000000"/>
          <w:sz w:val="20"/>
          <w:szCs w:val="20"/>
        </w:rPr>
        <w:t xml:space="preserve">Offsetting factors:</w:t>
      </w:r>
    </w:p>
    <w:p>
      <w:pPr>
        <w:pStyle w:val="ListParagraph"/>
        <w:numPr>
          <w:ilvl w:val="0"/>
          <w:numId w:val="2"/>
        </w:numPr>
        <w:spacing w:after="60"/>
      </w:pPr>
      <w:r>
        <w:rPr>
          <w:rFonts w:ascii="Arial" w:cs="Arial" w:eastAsia="Arial" w:hAnsi="Arial"/>
          <w:b w:val="false"/>
          <w:bCs w:val="false"/>
          <w:sz w:val="20"/>
          <w:szCs w:val="20"/>
        </w:rPr>
        <w:t xml:space="preserve">Exit of MEGALAC supplement business: FY2024 net sales $7.6 vs. $38.1 in FY2023.</w:t>
      </w:r>
    </w:p>
    <w:p>
      <w:pPr>
        <w:pStyle w:val="ListParagraph"/>
        <w:numPr>
          <w:ilvl w:val="0"/>
          <w:numId w:val="2"/>
        </w:numPr>
        <w:spacing w:after="60"/>
      </w:pPr>
      <w:r>
        <w:rPr>
          <w:rFonts w:ascii="Arial" w:cs="Arial" w:eastAsia="Arial" w:hAnsi="Arial"/>
          <w:b w:val="false"/>
          <w:bCs w:val="false"/>
          <w:sz w:val="20"/>
          <w:szCs w:val="20"/>
        </w:rPr>
        <w:t xml:space="preserve">Sale of Passport food safety business: FY2024 net sales $6.4 vs. $13.0 in FY2023.</w:t>
      </w:r>
    </w:p>
    <w:p>
      <w:pPr>
        <w:pStyle w:val="ListParagraph"/>
        <w:numPr>
          <w:ilvl w:val="0"/>
          <w:numId w:val="2"/>
        </w:numPr>
        <w:spacing w:after="60"/>
      </w:pPr>
      <w:r>
        <w:rPr>
          <w:rFonts w:ascii="Arial" w:cs="Arial" w:eastAsia="Arial" w:hAnsi="Arial"/>
          <w:b w:val="false"/>
          <w:bCs w:val="false"/>
          <w:sz w:val="20"/>
          <w:szCs w:val="20"/>
        </w:rPr>
        <w:t xml:space="preserve">Portfolio changes created a net -0.5% drag on consolidated net sales growth.</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Cost of Goods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Cost of Goods Sold</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$3,317.0M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$3,279.4M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+$37.6M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w:t>
            </w:r>
          </w:p>
        </w:tc>
      </w:tr>
    </w:tbl>
    <w:p>
      <w:pPr>
        <w:spacing w:after="80"/>
      </w:pPr>
    </w:p>
    <w:p>
      <w:pPr>
        <w:spacing w:after="40" w:before="100"/>
      </w:pPr>
      <w:r>
        <w:rPr>
          <w:rFonts w:ascii="Arial" w:cs="Arial" w:eastAsia="Arial" w:hAnsi="Arial"/>
          <w:b/>
          <w:bCs/>
          <w:color w:val="000000"/>
          <w:sz w:val="20"/>
          <w:szCs w:val="20"/>
        </w:rPr>
        <w:t xml:space="preserve">Cost-increasing factors:</w:t>
      </w:r>
    </w:p>
    <w:p>
      <w:pPr>
        <w:pStyle w:val="ListParagraph"/>
        <w:numPr>
          <w:ilvl w:val="0"/>
          <w:numId w:val="2"/>
        </w:numPr>
        <w:spacing w:after="60"/>
      </w:pPr>
      <w:r>
        <w:rPr>
          <w:rFonts w:ascii="Arial" w:cs="Arial" w:eastAsia="Arial" w:hAnsi="Arial"/>
          <w:b w:val="false"/>
          <w:bCs w:val="false"/>
          <w:sz w:val="20"/>
          <w:szCs w:val="20"/>
        </w:rPr>
        <w:t xml:space="preserve">Higher manufacturing costs including labor increased approximately 140 bps of gross margin pressure.</w:t>
      </w:r>
    </w:p>
    <w:p>
      <w:pPr>
        <w:pStyle w:val="ListParagraph"/>
        <w:numPr>
          <w:ilvl w:val="0"/>
          <w:numId w:val="2"/>
        </w:numPr>
        <w:spacing w:after="60"/>
      </w:pPr>
      <w:r>
        <w:rPr>
          <w:rFonts w:ascii="Arial" w:cs="Arial" w:eastAsia="Arial" w:hAnsi="Arial"/>
          <w:b w:val="false"/>
          <w:bCs w:val="false"/>
          <w:sz w:val="20"/>
          <w:szCs w:val="20"/>
        </w:rPr>
        <w:t xml:space="preserve">Raw material costs (surfactants, diesel, oil-based packaging) increased modestly vs. FY2023.</w:t>
      </w:r>
    </w:p>
    <w:p>
      <w:pPr>
        <w:spacing w:after="40" w:before="100"/>
      </w:pPr>
      <w:r>
        <w:rPr>
          <w:rFonts w:ascii="Arial" w:cs="Arial" w:eastAsia="Arial" w:hAnsi="Arial"/>
          <w:b/>
          <w:bCs/>
          <w:color w:val="000000"/>
          <w:sz w:val="20"/>
          <w:szCs w:val="20"/>
        </w:rPr>
        <w:t xml:space="preserve">Cost-reducing factors:</w:t>
      </w:r>
    </w:p>
    <w:p>
      <w:pPr>
        <w:pStyle w:val="ListParagraph"/>
        <w:numPr>
          <w:ilvl w:val="0"/>
          <w:numId w:val="2"/>
        </w:numPr>
        <w:spacing w:after="60"/>
      </w:pPr>
      <w:r>
        <w:rPr>
          <w:rFonts w:ascii="Arial" w:cs="Arial" w:eastAsia="Arial" w:hAnsi="Arial"/>
          <w:b w:val="false"/>
          <w:bCs w:val="false"/>
          <w:sz w:val="20"/>
          <w:szCs w:val="20"/>
        </w:rPr>
        <w:t xml:space="preserve">Productivity programs contributed approximately 140 bps of gross margin improvement.</w:t>
      </w:r>
    </w:p>
    <w:p>
      <w:pPr>
        <w:pStyle w:val="ListParagraph"/>
        <w:numPr>
          <w:ilvl w:val="0"/>
          <w:numId w:val="2"/>
        </w:numPr>
        <w:spacing w:after="60"/>
      </w:pPr>
      <w:r>
        <w:rPr>
          <w:rFonts w:ascii="Arial" w:cs="Arial" w:eastAsia="Arial" w:hAnsi="Arial"/>
          <w:b w:val="false"/>
          <w:bCs w:val="false"/>
          <w:sz w:val="20"/>
          <w:szCs w:val="20"/>
        </w:rPr>
        <w:t xml:space="preserve">One-time favorable U.S. tariff ruling on China imports reduced COGS by $31.6 in FY2024.</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Gross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Gross Profit</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$2,790.1M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$2,588.5M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+$201.6M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+8%</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Gross Margin %</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$45.7M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$44.1M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+$1.6M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w:t>
            </w:r>
          </w:p>
        </w:tc>
      </w:tr>
    </w:tbl>
    <w:p>
      <w:pPr>
        <w:spacing w:after="80"/>
      </w:pPr>
    </w:p>
    <w:p>
      <w:pPr>
        <w:spacing w:after="40" w:before="100"/>
      </w:pPr>
      <w:r>
        <w:rPr>
          <w:rFonts w:ascii="Arial" w:cs="Arial" w:eastAsia="Arial" w:hAnsi="Arial"/>
          <w:b/>
          <w:bCs/>
          <w:color w:val="000000"/>
          <w:sz w:val="20"/>
          <w:szCs w:val="20"/>
        </w:rPr>
        <w:t xml:space="preserve">Commentary:</w:t>
      </w:r>
    </w:p>
    <w:p>
      <w:pPr>
        <w:pStyle w:val="ListParagraph"/>
        <w:numPr>
          <w:ilvl w:val="0"/>
          <w:numId w:val="2"/>
        </w:numPr>
        <w:spacing w:after="60"/>
      </w:pPr>
      <w:r>
        <w:rPr>
          <w:rFonts w:ascii="Arial" w:cs="Arial" w:eastAsia="Arial" w:hAnsi="Arial"/>
          <w:b w:val="false"/>
          <w:bCs w:val="false"/>
          <w:sz w:val="20"/>
          <w:szCs w:val="20"/>
        </w:rPr>
        <w:t xml:space="preserve">Gross margin expanded 160 bps to 45.7% from 44.1% in FY2023.</w:t>
      </w:r>
    </w:p>
    <w:p>
      <w:pPr>
        <w:pStyle w:val="ListParagraph"/>
        <w:numPr>
          <w:ilvl w:val="0"/>
          <w:numId w:val="2"/>
        </w:numPr>
        <w:spacing w:after="60"/>
      </w:pPr>
      <w:r>
        <w:rPr>
          <w:rFonts w:ascii="Arial" w:cs="Arial" w:eastAsia="Arial" w:hAnsi="Arial"/>
          <w:b w:val="false"/>
          <w:bCs w:val="false"/>
          <w:sz w:val="20"/>
          <w:szCs w:val="20"/>
        </w:rPr>
        <w:t xml:space="preserve">Productivity programs contributed +140 bps to gross margin expansion.</w:t>
      </w:r>
    </w:p>
    <w:p>
      <w:pPr>
        <w:pStyle w:val="ListParagraph"/>
        <w:numPr>
          <w:ilvl w:val="0"/>
          <w:numId w:val="2"/>
        </w:numPr>
        <w:spacing w:after="60"/>
      </w:pPr>
      <w:r>
        <w:rPr>
          <w:rFonts w:ascii="Arial" w:cs="Arial" w:eastAsia="Arial" w:hAnsi="Arial"/>
          <w:b w:val="false"/>
          <w:bCs w:val="false"/>
          <w:sz w:val="20"/>
          <w:szCs w:val="20"/>
        </w:rPr>
        <w:t xml:space="preserve">Favorable price/volume/mix contributed +100 bps to gross margin expansion.</w:t>
      </w:r>
    </w:p>
    <w:p>
      <w:pPr>
        <w:pStyle w:val="ListParagraph"/>
        <w:numPr>
          <w:ilvl w:val="0"/>
          <w:numId w:val="2"/>
        </w:numPr>
        <w:spacing w:after="60"/>
      </w:pPr>
      <w:r>
        <w:rPr>
          <w:rFonts w:ascii="Arial" w:cs="Arial" w:eastAsia="Arial" w:hAnsi="Arial"/>
          <w:b w:val="false"/>
          <w:bCs w:val="false"/>
          <w:sz w:val="20"/>
          <w:szCs w:val="20"/>
        </w:rPr>
        <w:t xml:space="preserve">One-time tariff ruling benefit contributed +50 bps to gross margin expansion.</w:t>
      </w:r>
    </w:p>
    <w:p>
      <w:pPr>
        <w:pStyle w:val="ListParagraph"/>
        <w:numPr>
          <w:ilvl w:val="0"/>
          <w:numId w:val="2"/>
        </w:numPr>
        <w:spacing w:after="60"/>
      </w:pPr>
      <w:r>
        <w:rPr>
          <w:rFonts w:ascii="Arial" w:cs="Arial" w:eastAsia="Arial" w:hAnsi="Arial"/>
          <w:b w:val="false"/>
          <w:bCs w:val="false"/>
          <w:sz w:val="20"/>
          <w:szCs w:val="20"/>
        </w:rPr>
        <w:t xml:space="preserve">Graphico acquisition contributed +10 bps to gross margin expansion.</w:t>
      </w:r>
    </w:p>
    <w:p>
      <w:pPr>
        <w:pStyle w:val="ListParagraph"/>
        <w:numPr>
          <w:ilvl w:val="0"/>
          <w:numId w:val="2"/>
        </w:numPr>
        <w:spacing w:after="60"/>
      </w:pPr>
      <w:r>
        <w:rPr>
          <w:rFonts w:ascii="Arial" w:cs="Arial" w:eastAsia="Arial" w:hAnsi="Arial"/>
          <w:b w:val="false"/>
          <w:bCs w:val="false"/>
          <w:sz w:val="20"/>
          <w:szCs w:val="20"/>
        </w:rPr>
        <w:t xml:space="preserve">Higher manufacturing costs including labor and commodities reduced gross margin by -140 bps.</w:t>
      </w:r>
    </w:p>
    <w:p>
      <w:pPr>
        <w:pStyle w:val="ListParagraph"/>
        <w:numPr>
          <w:ilvl w:val="0"/>
          <w:numId w:val="2"/>
        </w:numPr>
        <w:spacing w:after="60"/>
      </w:pPr>
      <w:r>
        <w:rPr>
          <w:rFonts w:ascii="Arial" w:cs="Arial" w:eastAsia="Arial" w:hAnsi="Arial"/>
          <w:b w:val="false"/>
          <w:bCs w:val="false"/>
          <w:sz w:val="20"/>
          <w:szCs w:val="20"/>
        </w:rPr>
        <w:t xml:space="preserve">Excluding tariff ruling, underlying gross margin improvement was approximately 110 bps.</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EBITDA &amp; Profitability</w:t>
      </w:r>
    </w:p>
    <w:p>
      <w:pPr>
        <w:pStyle w:val="ListParagraph"/>
        <w:numPr>
          <w:ilvl w:val="0"/>
          <w:numId w:val="2"/>
        </w:numPr>
        <w:spacing w:after="60"/>
      </w:pPr>
      <w:r>
        <w:rPr>
          <w:rFonts w:ascii="Arial" w:cs="Arial" w:eastAsia="Arial" w:hAnsi="Arial"/>
          <w:b/>
          <w:bCs/>
          <w:sz w:val="20"/>
          <w:szCs w:val="20"/>
        </w:rPr>
        <w:t xml:space="preserve">EBITDA decreased (18%) YoY</w:t>
      </w:r>
      <w:r>
        <w:rPr>
          <w:rFonts w:ascii="Arial" w:cs="Arial" w:eastAsia="Arial" w:hAnsi="Arial"/>
          <w:b w:val="false"/>
          <w:bCs w:val="false"/>
          <w:sz w:val="20"/>
          <w:szCs w:val="20"/>
        </w:rPr>
        <w:t xml:space="preserve"> from $1,290.0M to $1,055.5M.</w:t>
      </w:r>
    </w:p>
    <w:p>
      <w:pPr>
        <w:pStyle w:val="ListParagraph"/>
        <w:numPr>
          <w:ilvl w:val="0"/>
          <w:numId w:val="2"/>
        </w:numPr>
        <w:spacing w:after="60"/>
      </w:pPr>
      <w:r>
        <w:rPr>
          <w:rFonts w:ascii="Arial" w:cs="Arial" w:eastAsia="Arial" w:hAnsi="Arial"/>
          <w:b w:val="false"/>
          <w:bCs w:val="false"/>
          <w:sz w:val="20"/>
          <w:szCs w:val="20"/>
        </w:rPr>
        <w:t xml:space="preserve">EBITDA margin contracted 4.7pp to 17.3% (FY2023: 22.0%).</w:t>
      </w:r>
    </w:p>
    <w:p>
      <w:pPr>
        <w:pStyle w:val="ListParagraph"/>
        <w:numPr>
          <w:ilvl w:val="0"/>
          <w:numId w:val="2"/>
        </w:numPr>
        <w:spacing w:after="60"/>
      </w:pPr>
      <w:r>
        <w:rPr>
          <w:rFonts w:ascii="Arial" w:cs="Arial" w:eastAsia="Arial" w:hAnsi="Arial"/>
          <w:b w:val="false"/>
          <w:bCs w:val="false"/>
          <w:sz w:val="20"/>
          <w:szCs w:val="20"/>
        </w:rPr>
        <w:t xml:space="preserve">Operating income decreased (24%) to $807.1M.</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Cash Flow</w:t>
      </w:r>
    </w:p>
    <w:p>
      <w:pPr>
        <w:pStyle w:val="ListParagraph"/>
        <w:numPr>
          <w:ilvl w:val="0"/>
          <w:numId w:val="2"/>
        </w:numPr>
        <w:spacing w:after="60"/>
      </w:pPr>
      <w:r>
        <w:rPr>
          <w:rFonts w:ascii="Arial" w:cs="Arial" w:eastAsia="Arial" w:hAnsi="Arial"/>
          <w:b/>
          <w:bCs/>
          <w:sz w:val="20"/>
          <w:szCs w:val="20"/>
        </w:rPr>
        <w:t xml:space="preserve">Operating cash flow (CFO) increased +12%</w:t>
      </w:r>
      <w:r>
        <w:rPr>
          <w:rFonts w:ascii="Arial" w:cs="Arial" w:eastAsia="Arial" w:hAnsi="Arial"/>
          <w:b w:val="false"/>
          <w:bCs w:val="false"/>
          <w:sz w:val="20"/>
          <w:szCs w:val="20"/>
        </w:rPr>
        <w:t xml:space="preserve"> from $1,030.6M to $1,156.2M.</w:t>
      </w:r>
    </w:p>
    <w:p>
      <w:pPr>
        <w:pStyle w:val="ListParagraph"/>
        <w:numPr>
          <w:ilvl w:val="0"/>
          <w:numId w:val="2"/>
        </w:numPr>
        <w:spacing w:after="60"/>
      </w:pPr>
      <w:r>
        <w:rPr>
          <w:rFonts w:ascii="Arial" w:cs="Arial" w:eastAsia="Arial" w:hAnsi="Arial"/>
          <w:b w:val="false"/>
          <w:bCs w:val="false"/>
          <w:sz w:val="20"/>
          <w:szCs w:val="20"/>
        </w:rPr>
        <w:t xml:space="preserve">CapEx decreased (20%) $179.8M (2.9% of revenue).</w:t>
      </w:r>
    </w:p>
    <w:p>
      <w:pPr>
        <w:pStyle w:val="ListParagraph"/>
        <w:numPr>
          <w:ilvl w:val="0"/>
          <w:numId w:val="2"/>
        </w:numPr>
        <w:spacing w:after="60"/>
      </w:pPr>
      <w:r>
        <w:rPr>
          <w:rFonts w:ascii="Arial" w:cs="Arial" w:eastAsia="Arial" w:hAnsi="Arial"/>
          <w:b/>
          <w:bCs/>
          <w:sz w:val="20"/>
          <w:szCs w:val="20"/>
        </w:rPr>
        <w:t xml:space="preserve">Free cash flow increased +21%</w:t>
      </w:r>
      <w:r>
        <w:rPr>
          <w:rFonts w:ascii="Arial" w:cs="Arial" w:eastAsia="Arial" w:hAnsi="Arial"/>
          <w:b w:val="false"/>
          <w:bCs w:val="false"/>
          <w:sz w:val="20"/>
          <w:szCs w:val="20"/>
        </w:rPr>
        <w:t xml:space="preserve"> to $976.4M (FY2023: $807.1M).</w:t>
      </w:r>
    </w:p>
    <w:p>
      <w:pPr>
        <w:pBdr>
          <w:bottom w:val="single" w:color="CCCCCC" w:sz="4"/>
        </w:pBdr>
        <w:spacing w:after="40" w:before="40"/>
      </w:pPr>
    </w:p>
    <w:p>
      <w:pPr>
        <w:spacing w:after="80" w:before="160"/>
      </w:pPr>
      <w:r>
        <w:rPr>
          <w:rFonts w:ascii="Arial" w:cs="Arial" w:eastAsia="Arial" w:hAnsi="Arial"/>
          <w:b/>
          <w:bCs/>
          <w:caps/>
          <w:color w:val="001F5B"/>
          <w:sz w:val="22"/>
          <w:szCs w:val="22"/>
        </w:rPr>
        <w:t xml:space="preserve">Debt &amp; Capital Structure</w:t>
      </w:r>
    </w:p>
    <w:p>
      <w:pPr>
        <w:pStyle w:val="ListParagraph"/>
        <w:numPr>
          <w:ilvl w:val="0"/>
          <w:numId w:val="2"/>
        </w:numPr>
        <w:spacing w:after="60"/>
      </w:pPr>
      <w:r>
        <w:rPr>
          <w:rFonts w:ascii="Arial" w:cs="Arial" w:eastAsia="Arial" w:hAnsi="Arial"/>
          <w:b/>
          <w:bCs/>
          <w:sz w:val="20"/>
          <w:szCs w:val="20"/>
        </w:rPr>
        <w:t xml:space="preserve">Total debt decreased (8%)</w:t>
      </w:r>
      <w:r>
        <w:rPr>
          <w:rFonts w:ascii="Arial" w:cs="Arial" w:eastAsia="Arial" w:hAnsi="Arial"/>
          <w:b w:val="false"/>
          <w:bCs w:val="false"/>
          <w:sz w:val="20"/>
          <w:szCs w:val="20"/>
        </w:rPr>
        <w:t xml:space="preserve"> from $2,402.1M to $2,204.6M.</w:t>
      </w:r>
    </w:p>
    <w:p>
      <w:pPr>
        <w:pStyle w:val="ListParagraph"/>
        <w:numPr>
          <w:ilvl w:val="0"/>
          <w:numId w:val="2"/>
        </w:numPr>
        <w:spacing w:after="60"/>
      </w:pPr>
      <w:r>
        <w:rPr>
          <w:rFonts w:ascii="Arial" w:cs="Arial" w:eastAsia="Arial" w:hAnsi="Arial"/>
          <w:b/>
          <w:bCs/>
          <w:sz w:val="20"/>
          <w:szCs w:val="20"/>
        </w:rPr>
        <w:t xml:space="preserve">Leverage (Debt/EBITDA) deteriorated from 1.86x to 2.09x</w:t>
      </w:r>
      <w:r>
        <w:rPr>
          <w:rFonts w:ascii="Arial" w:cs="Arial" w:eastAsia="Arial" w:hAnsi="Arial"/>
          <w:b w:val="false"/>
          <w:bCs w:val="false"/>
          <w:sz w:val="20"/>
          <w:szCs w:val="20"/>
        </w:rPr>
        <w:t xml:space="preserve">.</w:t>
      </w:r>
    </w:p>
    <w:p>
      <w:pPr>
        <w:pStyle w:val="ListParagraph"/>
        <w:numPr>
          <w:ilvl w:val="0"/>
          <w:numId w:val="2"/>
        </w:numPr>
        <w:spacing w:after="60"/>
      </w:pPr>
      <w:r>
        <w:rPr>
          <w:rFonts w:ascii="Arial" w:cs="Arial" w:eastAsia="Arial" w:hAnsi="Arial"/>
          <w:b w:val="false"/>
          <w:bCs w:val="false"/>
          <w:sz w:val="20"/>
          <w:szCs w:val="20"/>
        </w:rPr>
        <w:t xml:space="preserve">FCC increased from 2.69x to 6.53x.</w:t>
      </w:r>
    </w:p>
    <w:p>
      <w:pPr>
        <w:pStyle w:val="ListParagraph"/>
        <w:numPr>
          <w:ilvl w:val="0"/>
          <w:numId w:val="2"/>
        </w:numPr>
        <w:spacing w:after="60"/>
      </w:pPr>
      <w:r>
        <w:rPr>
          <w:rFonts w:ascii="Arial" w:cs="Arial" w:eastAsia="Arial" w:hAnsi="Arial"/>
          <w:b w:val="false"/>
          <w:bCs w:val="false"/>
          <w:sz w:val="20"/>
          <w:szCs w:val="20"/>
        </w:rPr>
        <w:t xml:space="preserve">Cash increased +180% to $964.1M (FY2023: $344.5M).</w:t>
      </w:r>
    </w:p>
    <w:p>
      <w:r>
        <w:br w:type="page"/>
      </w:r>
    </w:p>
    <w:p>
      <w:pPr>
        <w:pBdr>
          <w:bottom w:val="single" w:color="001F5B" w:sz="8"/>
        </w:pBdr>
        <w:spacing w:after="80" w:before="300"/>
      </w:pPr>
      <w:r>
        <w:rPr>
          <w:rFonts w:ascii="Arial" w:cs="Arial" w:eastAsia="Arial" w:hAnsi="Arial"/>
          <w:b/>
          <w:bCs/>
          <w:color w:val="001F5B"/>
          <w:sz w:val="28"/>
          <w:szCs w:val="28"/>
        </w:rPr>
        <w:t xml:space="preserve">Segment Analysis</w:t>
      </w:r>
    </w:p>
    <w:p>
      <w:pPr>
        <w:spacing w:after="80"/>
      </w:pPr>
      <w:r>
        <w:rPr>
          <w:rFonts w:ascii="Arial" w:cs="Arial" w:eastAsia="Arial" w:hAnsi="Arial"/>
          <w:color w:val="555555"/>
          <w:sz w:val="20"/>
          <w:szCs w:val="20"/>
        </w:rPr>
        <w:t xml:space="preserve">Per-segment breakdown extracted from Management's Discussion &amp; Analysis. Verify all figures against the source 10-K.</w:t>
      </w:r>
    </w:p>
    <w:p>
      <w:pPr>
        <w:spacing w:after="100"/>
      </w:pPr>
    </w:p>
    <w:p>
      <w:pPr>
        <w:shd w:fill="001F5B" w:color="auto" w:val="clear"/>
        <w:spacing w:after="80" w:before="200"/>
      </w:pPr>
      <w:r>
        <w:rPr>
          <w:rFonts w:ascii="Arial" w:cs="Arial" w:eastAsia="Arial" w:hAnsi="Arial"/>
          <w:b/>
          <w:bCs/>
          <w:caps/>
          <w:color w:val="FFFFFF"/>
          <w:sz w:val="22"/>
          <w:szCs w:val="22"/>
        </w:rPr>
        <w:t xml:space="preserve">SEGMENT: CONSUMER DOMESTIC</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Household Products</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$2,584.3M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$2,484.1M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+$100.2M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+4%</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Personal Care Products</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$2,148.0M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$2,087.1M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+$60.9M</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+3%</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$4,732.3M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$4,571.2M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+$161.1M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+4%</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VITAFUSION® and L'IL CRITTERS® gummy vitamins declined due to private label competition.</w:t>
      </w:r>
    </w:p>
    <w:p>
      <w:pPr>
        <w:pStyle w:val="ListParagraph"/>
        <w:numPr>
          <w:ilvl w:val="0"/>
          <w:numId w:val="2"/>
        </w:numPr>
        <w:spacing w:after="60"/>
      </w:pPr>
      <w:r>
        <w:rPr>
          <w:rFonts w:ascii="Arial" w:cs="Arial" w:eastAsia="Arial" w:hAnsi="Arial"/>
          <w:b w:val="false"/>
          <w:bCs w:val="false"/>
          <w:sz w:val="20"/>
          <w:szCs w:val="20"/>
        </w:rPr>
        <w:t xml:space="preserve">FINISHING TOUCH FLAWLESS® hair removal products were a negative revenue contributor.</w:t>
      </w:r>
    </w:p>
    <w:p>
      <w:pPr>
        <w:pStyle w:val="ListParagraph"/>
        <w:numPr>
          <w:ilvl w:val="0"/>
          <w:numId w:val="2"/>
        </w:numPr>
        <w:spacing w:after="60"/>
      </w:pPr>
      <w:r>
        <w:rPr>
          <w:rFonts w:ascii="Arial" w:cs="Arial" w:eastAsia="Arial" w:hAnsi="Arial"/>
          <w:b w:val="false"/>
          <w:bCs w:val="false"/>
          <w:sz w:val="20"/>
          <w:szCs w:val="20"/>
        </w:rPr>
        <w:t xml:space="preserve">WATERPIK® Shower Heads declined due to consumer shift to value-branded alternatives.</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Product volumes sold increased +2.8% of segment net sales, approximately +$128.0.</w:t>
      </w:r>
    </w:p>
    <w:p>
      <w:pPr>
        <w:pStyle w:val="ListParagraph"/>
        <w:numPr>
          <w:ilvl w:val="0"/>
          <w:numId w:val="2"/>
        </w:numPr>
        <w:spacing w:after="60"/>
      </w:pPr>
      <w:r>
        <w:rPr>
          <w:rFonts w:ascii="Arial" w:cs="Arial" w:eastAsia="Arial" w:hAnsi="Arial"/>
          <w:b w:val="false"/>
          <w:bCs w:val="false"/>
          <w:sz w:val="20"/>
          <w:szCs w:val="20"/>
        </w:rPr>
        <w:t xml:space="preserve">Pricing/product mix contributed +0.7% of segment net sales, approximately +$32.0.</w:t>
      </w:r>
    </w:p>
    <w:p>
      <w:pPr>
        <w:pStyle w:val="ListParagraph"/>
        <w:numPr>
          <w:ilvl w:val="0"/>
          <w:numId w:val="2"/>
        </w:numPr>
        <w:spacing w:after="60"/>
      </w:pPr>
      <w:r>
        <w:rPr>
          <w:rFonts w:ascii="Arial" w:cs="Arial" w:eastAsia="Arial" w:hAnsi="Arial"/>
          <w:b w:val="false"/>
          <w:bCs w:val="false"/>
          <w:sz w:val="20"/>
          <w:szCs w:val="20"/>
        </w:rPr>
        <w:t xml:space="preserve">THERABREATH® mouthwash was a positive revenue contributor.</w:t>
      </w:r>
    </w:p>
    <w:p>
      <w:pPr>
        <w:pStyle w:val="ListParagraph"/>
        <w:numPr>
          <w:ilvl w:val="0"/>
          <w:numId w:val="2"/>
        </w:numPr>
        <w:spacing w:after="60"/>
      </w:pPr>
      <w:r>
        <w:rPr>
          <w:rFonts w:ascii="Arial" w:cs="Arial" w:eastAsia="Arial" w:hAnsi="Arial"/>
          <w:b w:val="false"/>
          <w:bCs w:val="false"/>
          <w:sz w:val="20"/>
          <w:szCs w:val="20"/>
        </w:rPr>
        <w:t xml:space="preserve">HERO® acne treatment products were a positive revenue contributor.</w:t>
      </w:r>
    </w:p>
    <w:p>
      <w:pPr>
        <w:pStyle w:val="ListParagraph"/>
        <w:numPr>
          <w:ilvl w:val="0"/>
          <w:numId w:val="2"/>
        </w:numPr>
        <w:spacing w:after="60"/>
      </w:pPr>
      <w:r>
        <w:rPr>
          <w:rFonts w:ascii="Arial" w:cs="Arial" w:eastAsia="Arial" w:hAnsi="Arial"/>
          <w:b w:val="false"/>
          <w:bCs w:val="false"/>
          <w:sz w:val="20"/>
          <w:szCs w:val="20"/>
        </w:rPr>
        <w:t xml:space="preserve">ARM &amp; HAMMER® liquid detergent was a positive revenue contributor.</w:t>
      </w:r>
    </w:p>
    <w:p>
      <w:pPr>
        <w:pStyle w:val="ListParagraph"/>
        <w:numPr>
          <w:ilvl w:val="0"/>
          <w:numId w:val="2"/>
        </w:numPr>
        <w:spacing w:after="60"/>
      </w:pPr>
      <w:r>
        <w:rPr>
          <w:rFonts w:ascii="Arial" w:cs="Arial" w:eastAsia="Arial" w:hAnsi="Arial"/>
          <w:b w:val="false"/>
          <w:bCs w:val="false"/>
          <w:sz w:val="20"/>
          <w:szCs w:val="20"/>
        </w:rPr>
        <w:t xml:space="preserve">ARM &amp; HAMMER® cat litter was a positive revenue contributor.</w:t>
      </w:r>
    </w:p>
    <w:p>
      <w:pPr>
        <w:pStyle w:val="ListParagraph"/>
        <w:numPr>
          <w:ilvl w:val="0"/>
          <w:numId w:val="2"/>
        </w:numPr>
        <w:spacing w:after="60"/>
      </w:pPr>
      <w:r>
        <w:rPr>
          <w:rFonts w:ascii="Arial" w:cs="Arial" w:eastAsia="Arial" w:hAnsi="Arial"/>
          <w:b w:val="false"/>
          <w:bCs w:val="false"/>
          <w:sz w:val="20"/>
          <w:szCs w:val="20"/>
        </w:rPr>
        <w:t xml:space="preserve">ARM &amp; HAMMER® baking soda was a positive revenue contributor.</w:t>
      </w:r>
    </w:p>
    <w:p>
      <w:pPr>
        <w:spacing w:after="80"/>
      </w:pPr>
    </w:p>
    <w:p>
      <w:pPr>
        <w:spacing w:after="80" w:before="160"/>
      </w:pPr>
      <w:r>
        <w:rPr>
          <w:rFonts w:ascii="Arial" w:cs="Arial" w:eastAsia="Arial" w:hAnsi="Arial"/>
          <w:b/>
          <w:bCs/>
          <w:caps/>
          <w:color w:val="C09000"/>
          <w:sz w:val="22"/>
          <w:szCs w:val="22"/>
        </w:rPr>
        <w:t xml:space="preserve">Cost of Goods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COGS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spacing w:after="80"/>
      </w:pP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Higher manufacturing and distribution expenses negatively impacted segment income from operations by approximately $62.5.</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Productivity programs positively impacted segment income from operations by approximately $75.6.</w:t>
      </w:r>
    </w:p>
    <w:p>
      <w:pPr>
        <w:pStyle w:val="ListParagraph"/>
        <w:numPr>
          <w:ilvl w:val="0"/>
          <w:numId w:val="2"/>
        </w:numPr>
        <w:spacing w:after="60"/>
      </w:pPr>
      <w:r>
        <w:rPr>
          <w:rFonts w:ascii="Arial" w:cs="Arial" w:eastAsia="Arial" w:hAnsi="Arial"/>
          <w:b w:val="false"/>
          <w:bCs w:val="false"/>
          <w:sz w:val="20"/>
          <w:szCs w:val="20"/>
        </w:rPr>
        <w:t xml:space="preserve">Favorable tariff ruling reduced Consumer Domestic COGS by approximately $31.6.</w:t>
      </w:r>
    </w:p>
    <w:p>
      <w:pPr>
        <w:spacing w:after="80"/>
      </w:pPr>
    </w:p>
    <w:p>
      <w:pPr>
        <w:spacing w:after="80" w:before="160"/>
      </w:pPr>
      <w:r>
        <w:rPr>
          <w:rFonts w:ascii="Arial" w:cs="Arial" w:eastAsia="Arial" w:hAnsi="Arial"/>
          <w:b/>
          <w:bCs/>
          <w:caps/>
          <w:color w:val="C09000"/>
          <w:sz w:val="22"/>
          <w:szCs w:val="22"/>
        </w:rPr>
        <w:t xml:space="preserve">Gross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Gross Profit</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Gross Margin %</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pBdr>
          <w:bottom w:val="single" w:color="CCCCCC" w:sz="4"/>
        </w:pBdr>
        <w:spacing w:after="40" w:before="40"/>
      </w:pPr>
    </w:p>
    <w:p>
      <w:pPr>
        <w:spacing w:after="120"/>
      </w:pPr>
    </w:p>
    <w:p>
      <w:pPr>
        <w:shd w:fill="001F5B" w:color="auto" w:val="clear"/>
        <w:spacing w:after="80" w:before="200"/>
      </w:pPr>
      <w:r>
        <w:rPr>
          <w:rFonts w:ascii="Arial" w:cs="Arial" w:eastAsia="Arial" w:hAnsi="Arial"/>
          <w:b/>
          <w:bCs/>
          <w:caps/>
          <w:color w:val="FFFFFF"/>
          <w:sz w:val="22"/>
          <w:szCs w:val="22"/>
        </w:rPr>
        <w:t xml:space="preserve">SEGMENT: CONSUMER INTERNATIONAL</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$1,071.5M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$975.7M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+$95.8M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+10%</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Foreign exchange rate fluctuations negatively impacted segment net sales by -0.2%, approximately -$2.0.</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Product volumes sold increased +5.7% of segment net sales, approximately +$55.6.</w:t>
      </w:r>
    </w:p>
    <w:p>
      <w:pPr>
        <w:pStyle w:val="ListParagraph"/>
        <w:numPr>
          <w:ilvl w:val="0"/>
          <w:numId w:val="2"/>
        </w:numPr>
        <w:spacing w:after="60"/>
      </w:pPr>
      <w:r>
        <w:rPr>
          <w:rFonts w:ascii="Arial" w:cs="Arial" w:eastAsia="Arial" w:hAnsi="Arial"/>
          <w:b w:val="false"/>
          <w:bCs w:val="false"/>
          <w:sz w:val="20"/>
          <w:szCs w:val="20"/>
        </w:rPr>
        <w:t xml:space="preserve">Pricing/product mix contributed +3.3% of segment net sales, approximately +$32.2.</w:t>
      </w:r>
    </w:p>
    <w:p>
      <w:pPr>
        <w:pStyle w:val="ListParagraph"/>
        <w:numPr>
          <w:ilvl w:val="0"/>
          <w:numId w:val="2"/>
        </w:numPr>
        <w:spacing w:after="60"/>
      </w:pPr>
      <w:r>
        <w:rPr>
          <w:rFonts w:ascii="Arial" w:cs="Arial" w:eastAsia="Arial" w:hAnsi="Arial"/>
          <w:b w:val="false"/>
          <w:bCs w:val="false"/>
          <w:sz w:val="20"/>
          <w:szCs w:val="20"/>
        </w:rPr>
        <w:t xml:space="preserve">Graphico acquisition (Japan) contributed +1.0% of segment net sales, approximately +$9.8.</w:t>
      </w:r>
    </w:p>
    <w:p>
      <w:pPr>
        <w:pStyle w:val="ListParagraph"/>
        <w:numPr>
          <w:ilvl w:val="0"/>
          <w:numId w:val="2"/>
        </w:numPr>
        <w:spacing w:after="60"/>
      </w:pPr>
      <w:r>
        <w:rPr>
          <w:rFonts w:ascii="Arial" w:cs="Arial" w:eastAsia="Arial" w:hAnsi="Arial"/>
          <w:b w:val="false"/>
          <w:bCs w:val="false"/>
          <w:sz w:val="20"/>
          <w:szCs w:val="20"/>
        </w:rPr>
        <w:t xml:space="preserve">OXICLEAN® stain removers (GMG) were a positive revenue contributor.</w:t>
      </w:r>
    </w:p>
    <w:p>
      <w:pPr>
        <w:pStyle w:val="ListParagraph"/>
        <w:numPr>
          <w:ilvl w:val="0"/>
          <w:numId w:val="2"/>
        </w:numPr>
        <w:spacing w:after="60"/>
      </w:pPr>
      <w:r>
        <w:rPr>
          <w:rFonts w:ascii="Arial" w:cs="Arial" w:eastAsia="Arial" w:hAnsi="Arial"/>
          <w:b w:val="false"/>
          <w:bCs w:val="false"/>
          <w:sz w:val="20"/>
          <w:szCs w:val="20"/>
        </w:rPr>
        <w:t xml:space="preserve">THERABREATH® mouthwash in GMG and Mexico was a positive revenue contributor.</w:t>
      </w:r>
    </w:p>
    <w:p>
      <w:pPr>
        <w:pStyle w:val="ListParagraph"/>
        <w:numPr>
          <w:ilvl w:val="0"/>
          <w:numId w:val="2"/>
        </w:numPr>
        <w:spacing w:after="60"/>
      </w:pPr>
      <w:r>
        <w:rPr>
          <w:rFonts w:ascii="Arial" w:cs="Arial" w:eastAsia="Arial" w:hAnsi="Arial"/>
          <w:b w:val="false"/>
          <w:bCs w:val="false"/>
          <w:sz w:val="20"/>
          <w:szCs w:val="20"/>
        </w:rPr>
        <w:t xml:space="preserve">ULTRAMAX® antiperspirant deodorant was a positive revenue contributor.</w:t>
      </w:r>
    </w:p>
    <w:p>
      <w:pPr>
        <w:pStyle w:val="ListParagraph"/>
        <w:numPr>
          <w:ilvl w:val="0"/>
          <w:numId w:val="2"/>
        </w:numPr>
        <w:spacing w:after="60"/>
      </w:pPr>
      <w:r>
        <w:rPr>
          <w:rFonts w:ascii="Arial" w:cs="Arial" w:eastAsia="Arial" w:hAnsi="Arial"/>
          <w:b w:val="false"/>
          <w:bCs w:val="false"/>
          <w:sz w:val="20"/>
          <w:szCs w:val="20"/>
        </w:rPr>
        <w:t xml:space="preserve">VITAFUSION® and L'IL CRITTERS® (GMG) contributed positively internationally.</w:t>
      </w:r>
    </w:p>
    <w:p>
      <w:pPr>
        <w:pStyle w:val="ListParagraph"/>
        <w:numPr>
          <w:ilvl w:val="0"/>
          <w:numId w:val="2"/>
        </w:numPr>
        <w:spacing w:after="60"/>
      </w:pPr>
      <w:r>
        <w:rPr>
          <w:rFonts w:ascii="Arial" w:cs="Arial" w:eastAsia="Arial" w:hAnsi="Arial"/>
          <w:b w:val="false"/>
          <w:bCs w:val="false"/>
          <w:sz w:val="20"/>
          <w:szCs w:val="20"/>
        </w:rPr>
        <w:t xml:space="preserve">HERO® acne treatment products in Europe and Canada were a positive revenue contributor.</w:t>
      </w:r>
    </w:p>
    <w:p>
      <w:pPr>
        <w:spacing w:after="80"/>
      </w:pPr>
    </w:p>
    <w:p>
      <w:pPr>
        <w:spacing w:after="80" w:before="160"/>
      </w:pPr>
      <w:r>
        <w:rPr>
          <w:rFonts w:ascii="Arial" w:cs="Arial" w:eastAsia="Arial" w:hAnsi="Arial"/>
          <w:b/>
          <w:bCs/>
          <w:caps/>
          <w:color w:val="C09000"/>
          <w:sz w:val="22"/>
          <w:szCs w:val="22"/>
        </w:rPr>
        <w:t xml:space="preserve">Cost of Goods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COGS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spacing w:after="80"/>
      </w:pP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Higher manufacturing and commodity costs negatively impacted segment income from operations by approximately $0.6.</w:t>
      </w:r>
    </w:p>
    <w:p>
      <w:pPr>
        <w:pStyle w:val="ListParagraph"/>
        <w:numPr>
          <w:ilvl w:val="0"/>
          <w:numId w:val="2"/>
        </w:numPr>
        <w:spacing w:after="60"/>
      </w:pPr>
      <w:r>
        <w:rPr>
          <w:rFonts w:ascii="Arial" w:cs="Arial" w:eastAsia="Arial" w:hAnsi="Arial"/>
          <w:b w:val="false"/>
          <w:bCs w:val="false"/>
          <w:sz w:val="20"/>
          <w:szCs w:val="20"/>
        </w:rPr>
        <w:t xml:space="preserve">Unfavorable foreign exchange rates negatively impacted segment income from operations by approximately $3.4.</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Favorable price/mix positively impacted segment income from operations by approximately $36.2.</w:t>
      </w:r>
    </w:p>
    <w:p>
      <w:pPr>
        <w:pStyle w:val="ListParagraph"/>
        <w:numPr>
          <w:ilvl w:val="0"/>
          <w:numId w:val="2"/>
        </w:numPr>
        <w:spacing w:after="60"/>
      </w:pPr>
      <w:r>
        <w:rPr>
          <w:rFonts w:ascii="Arial" w:cs="Arial" w:eastAsia="Arial" w:hAnsi="Arial"/>
          <w:b w:val="false"/>
          <w:bCs w:val="false"/>
          <w:sz w:val="20"/>
          <w:szCs w:val="20"/>
        </w:rPr>
        <w:t xml:space="preserve">Higher sales volumes positively impacted segment income from operations by approximately $27.1.</w:t>
      </w:r>
    </w:p>
    <w:p>
      <w:pPr>
        <w:spacing w:after="80"/>
      </w:pPr>
    </w:p>
    <w:p>
      <w:pPr>
        <w:spacing w:after="80" w:before="160"/>
      </w:pPr>
      <w:r>
        <w:rPr>
          <w:rFonts w:ascii="Arial" w:cs="Arial" w:eastAsia="Arial" w:hAnsi="Arial"/>
          <w:b/>
          <w:bCs/>
          <w:caps/>
          <w:color w:val="C09000"/>
          <w:sz w:val="22"/>
          <w:szCs w:val="22"/>
        </w:rPr>
        <w:t xml:space="preserve">Gross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Gross Profit</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Gross Margin %</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pBdr>
          <w:bottom w:val="single" w:color="CCCCCC" w:sz="4"/>
        </w:pBdr>
        <w:spacing w:after="40" w:before="40"/>
      </w:pPr>
    </w:p>
    <w:p>
      <w:pPr>
        <w:spacing w:after="120"/>
      </w:pPr>
    </w:p>
    <w:p>
      <w:pPr>
        <w:shd w:fill="001F5B" w:color="auto" w:val="clear"/>
        <w:spacing w:after="80" w:before="200"/>
      </w:pPr>
      <w:r>
        <w:rPr>
          <w:rFonts w:ascii="Arial" w:cs="Arial" w:eastAsia="Arial" w:hAnsi="Arial"/>
          <w:b/>
          <w:bCs/>
          <w:caps/>
          <w:color w:val="FFFFFF"/>
          <w:sz w:val="22"/>
          <w:szCs w:val="22"/>
        </w:rPr>
        <w:t xml:space="preserve">SEGMENT: SPECIALTY PRODUCTS DIVISION (SPD)</w:t>
      </w:r>
    </w:p>
    <w:p>
      <w:pPr>
        <w:spacing w:after="80" w:before="160"/>
      </w:pPr>
      <w:r>
        <w:rPr>
          <w:rFonts w:ascii="Arial" w:cs="Arial" w:eastAsia="Arial" w:hAnsi="Arial"/>
          <w:b/>
          <w:bCs/>
          <w:caps/>
          <w:color w:val="C09000"/>
          <w:sz w:val="22"/>
          <w:szCs w:val="22"/>
        </w:rPr>
        <w:t xml:space="preserve">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Net Sales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$303.3M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$321.0M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($17.7M)</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(6%)</w:t>
            </w:r>
          </w:p>
        </w:tc>
      </w:tr>
    </w:tbl>
    <w:p>
      <w:pPr>
        <w:spacing w:after="80"/>
      </w:pPr>
    </w:p>
    <w:p>
      <w:pPr>
        <w:spacing w:after="40" w:before="100"/>
      </w:pPr>
      <w:r>
        <w:rPr>
          <w:rFonts w:ascii="Arial" w:cs="Arial" w:eastAsia="Arial" w:hAnsi="Arial"/>
          <w:b/>
          <w:bCs/>
          <w:color w:val="000000"/>
          <w:sz w:val="20"/>
          <w:szCs w:val="20"/>
        </w:rPr>
        <w:t xml:space="preserve">Drivers (negative):</w:t>
      </w:r>
    </w:p>
    <w:p>
      <w:pPr>
        <w:pStyle w:val="ListParagraph"/>
        <w:numPr>
          <w:ilvl w:val="0"/>
          <w:numId w:val="2"/>
        </w:numPr>
        <w:spacing w:after="60"/>
      </w:pPr>
      <w:r>
        <w:rPr>
          <w:rFonts w:ascii="Arial" w:cs="Arial" w:eastAsia="Arial" w:hAnsi="Arial"/>
          <w:b w:val="false"/>
          <w:bCs w:val="false"/>
          <w:sz w:val="20"/>
          <w:szCs w:val="20"/>
        </w:rPr>
        <w:t xml:space="preserve">MEGALAC supplement exit reduced FY2024 SPD net sales by approximately $30.5 vs. FY2023.</w:t>
      </w:r>
    </w:p>
    <w:p>
      <w:pPr>
        <w:pStyle w:val="ListParagraph"/>
        <w:numPr>
          <w:ilvl w:val="0"/>
          <w:numId w:val="2"/>
        </w:numPr>
        <w:spacing w:after="60"/>
      </w:pPr>
      <w:r>
        <w:rPr>
          <w:rFonts w:ascii="Arial" w:cs="Arial" w:eastAsia="Arial" w:hAnsi="Arial"/>
          <w:b w:val="false"/>
          <w:bCs w:val="false"/>
          <w:sz w:val="20"/>
          <w:szCs w:val="20"/>
        </w:rPr>
        <w:t xml:space="preserve">Passport food safety business sale reduced FY2024 SPD net sales by approximately $6.6 vs. FY2023.</w:t>
      </w:r>
    </w:p>
    <w:p>
      <w:pPr>
        <w:pStyle w:val="ListParagraph"/>
        <w:numPr>
          <w:ilvl w:val="0"/>
          <w:numId w:val="2"/>
        </w:numPr>
        <w:spacing w:after="60"/>
      </w:pPr>
      <w:r>
        <w:rPr>
          <w:rFonts w:ascii="Arial" w:cs="Arial" w:eastAsia="Arial" w:hAnsi="Arial"/>
          <w:b w:val="false"/>
          <w:bCs w:val="false"/>
          <w:sz w:val="20"/>
          <w:szCs w:val="20"/>
        </w:rPr>
        <w:t xml:space="preserve">Combined product line exits created a -12.6% drag on segment net sales, approximately -$40.5.</w:t>
      </w:r>
    </w:p>
    <w:p>
      <w:pPr>
        <w:spacing w:after="40" w:before="100"/>
      </w:pPr>
      <w:r>
        <w:rPr>
          <w:rFonts w:ascii="Arial" w:cs="Arial" w:eastAsia="Arial" w:hAnsi="Arial"/>
          <w:b/>
          <w:bCs/>
          <w:color w:val="000000"/>
          <w:sz w:val="20"/>
          <w:szCs w:val="20"/>
        </w:rPr>
        <w:t xml:space="preserve">Offsetting factors (positive):</w:t>
      </w:r>
    </w:p>
    <w:p>
      <w:pPr>
        <w:pStyle w:val="ListParagraph"/>
        <w:numPr>
          <w:ilvl w:val="0"/>
          <w:numId w:val="2"/>
        </w:numPr>
        <w:spacing w:after="60"/>
      </w:pPr>
      <w:r>
        <w:rPr>
          <w:rFonts w:ascii="Arial" w:cs="Arial" w:eastAsia="Arial" w:hAnsi="Arial"/>
          <w:b w:val="false"/>
          <w:bCs w:val="false"/>
          <w:sz w:val="20"/>
          <w:szCs w:val="20"/>
        </w:rPr>
        <w:t xml:space="preserve">Product volumes sold increased +4.0% of segment net sales, approximately +$12.8, driven by animal nutrition and specialty chemicals.</w:t>
      </w:r>
    </w:p>
    <w:p>
      <w:pPr>
        <w:pStyle w:val="ListParagraph"/>
        <w:numPr>
          <w:ilvl w:val="0"/>
          <w:numId w:val="2"/>
        </w:numPr>
        <w:spacing w:after="60"/>
      </w:pPr>
      <w:r>
        <w:rPr>
          <w:rFonts w:ascii="Arial" w:cs="Arial" w:eastAsia="Arial" w:hAnsi="Arial"/>
          <w:b w:val="false"/>
          <w:bCs w:val="false"/>
          <w:sz w:val="20"/>
          <w:szCs w:val="20"/>
        </w:rPr>
        <w:t xml:space="preserve">Pricing/product mix contributed +3.1% of segment net sales, approximately +$10.0.</w:t>
      </w:r>
    </w:p>
    <w:p>
      <w:pPr>
        <w:spacing w:after="80"/>
      </w:pPr>
    </w:p>
    <w:p>
      <w:pPr>
        <w:spacing w:after="80" w:before="160"/>
      </w:pPr>
      <w:r>
        <w:rPr>
          <w:rFonts w:ascii="Arial" w:cs="Arial" w:eastAsia="Arial" w:hAnsi="Arial"/>
          <w:b/>
          <w:bCs/>
          <w:caps/>
          <w:color w:val="C09000"/>
          <w:sz w:val="22"/>
          <w:szCs w:val="22"/>
        </w:rPr>
        <w:t xml:space="preserve">Cost of Goods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Total COGS</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spacing w:after="80"/>
      </w:pPr>
    </w:p>
    <w:p>
      <w:pPr>
        <w:spacing w:after="40" w:before="100"/>
      </w:pPr>
      <w:r>
        <w:rPr>
          <w:rFonts w:ascii="Arial" w:cs="Arial" w:eastAsia="Arial" w:hAnsi="Arial"/>
          <w:b/>
          <w:bCs/>
          <w:color w:val="000000"/>
          <w:sz w:val="20"/>
          <w:szCs w:val="20"/>
        </w:rPr>
        <w:t xml:space="preserve">Drivers (cost-increasing):</w:t>
      </w:r>
    </w:p>
    <w:p>
      <w:pPr>
        <w:pStyle w:val="ListParagraph"/>
        <w:numPr>
          <w:ilvl w:val="0"/>
          <w:numId w:val="2"/>
        </w:numPr>
        <w:spacing w:after="60"/>
      </w:pPr>
      <w:r>
        <w:rPr>
          <w:rFonts w:ascii="Arial" w:cs="Arial" w:eastAsia="Arial" w:hAnsi="Arial"/>
          <w:b w:val="false"/>
          <w:bCs w:val="false"/>
          <w:sz w:val="20"/>
          <w:szCs w:val="20"/>
        </w:rPr>
        <w:t xml:space="preserve">Gross margin impact of MEGALAC and Passport product line exits negatively impacted segment income from operations by approximately $7.1.</w:t>
      </w:r>
    </w:p>
    <w:p>
      <w:pPr>
        <w:pStyle w:val="ListParagraph"/>
        <w:numPr>
          <w:ilvl w:val="0"/>
          <w:numId w:val="2"/>
        </w:numPr>
        <w:spacing w:after="60"/>
      </w:pPr>
      <w:r>
        <w:rPr>
          <w:rFonts w:ascii="Arial" w:cs="Arial" w:eastAsia="Arial" w:hAnsi="Arial"/>
          <w:b w:val="false"/>
          <w:bCs w:val="false"/>
          <w:sz w:val="20"/>
          <w:szCs w:val="20"/>
        </w:rPr>
        <w:t xml:space="preserve">Unfavorable manufacturing costs negatively impacted segment income from operations by approximately $0.4.</w:t>
      </w:r>
    </w:p>
    <w:p>
      <w:pPr>
        <w:spacing w:after="40" w:before="100"/>
      </w:pPr>
      <w:r>
        <w:rPr>
          <w:rFonts w:ascii="Arial" w:cs="Arial" w:eastAsia="Arial" w:hAnsi="Arial"/>
          <w:b/>
          <w:bCs/>
          <w:color w:val="000000"/>
          <w:sz w:val="20"/>
          <w:szCs w:val="20"/>
        </w:rPr>
        <w:t xml:space="preserve">Offsetting factors (cost-reducing):</w:t>
      </w:r>
    </w:p>
    <w:p>
      <w:pPr>
        <w:pStyle w:val="ListParagraph"/>
        <w:numPr>
          <w:ilvl w:val="0"/>
          <w:numId w:val="2"/>
        </w:numPr>
        <w:spacing w:after="60"/>
      </w:pPr>
      <w:r>
        <w:rPr>
          <w:rFonts w:ascii="Arial" w:cs="Arial" w:eastAsia="Arial" w:hAnsi="Arial"/>
          <w:b w:val="false"/>
          <w:bCs w:val="false"/>
          <w:sz w:val="20"/>
          <w:szCs w:val="20"/>
        </w:rPr>
        <w:t xml:space="preserve">Lower SG&amp;A costs from product line exits positively impacted segment income from operations by approximately $9.1.</w:t>
      </w:r>
    </w:p>
    <w:p>
      <w:pPr>
        <w:pStyle w:val="ListParagraph"/>
        <w:numPr>
          <w:ilvl w:val="0"/>
          <w:numId w:val="2"/>
        </w:numPr>
        <w:spacing w:after="60"/>
      </w:pPr>
      <w:r>
        <w:rPr>
          <w:rFonts w:ascii="Arial" w:cs="Arial" w:eastAsia="Arial" w:hAnsi="Arial"/>
          <w:b w:val="false"/>
          <w:bCs w:val="false"/>
          <w:sz w:val="20"/>
          <w:szCs w:val="20"/>
        </w:rPr>
        <w:t xml:space="preserve">Favorable price/mix positively impacted segment income from operations by approximately $9.1.</w:t>
      </w:r>
    </w:p>
    <w:p>
      <w:pPr>
        <w:pStyle w:val="ListParagraph"/>
        <w:numPr>
          <w:ilvl w:val="0"/>
          <w:numId w:val="2"/>
        </w:numPr>
        <w:spacing w:after="60"/>
      </w:pPr>
      <w:r>
        <w:rPr>
          <w:rFonts w:ascii="Arial" w:cs="Arial" w:eastAsia="Arial" w:hAnsi="Arial"/>
          <w:b w:val="false"/>
          <w:bCs w:val="false"/>
          <w:sz w:val="20"/>
          <w:szCs w:val="20"/>
        </w:rPr>
        <w:t xml:space="preserve">Higher sales volumes positively impacted segment income from operations by approximately $3.4.</w:t>
      </w:r>
    </w:p>
    <w:p>
      <w:pPr>
        <w:pStyle w:val="ListParagraph"/>
        <w:numPr>
          <w:ilvl w:val="0"/>
          <w:numId w:val="2"/>
        </w:numPr>
        <w:spacing w:after="60"/>
      </w:pPr>
      <w:r>
        <w:rPr>
          <w:rFonts w:ascii="Arial" w:cs="Arial" w:eastAsia="Arial" w:hAnsi="Arial"/>
          <w:b w:val="false"/>
          <w:bCs w:val="false"/>
          <w:sz w:val="20"/>
          <w:szCs w:val="20"/>
        </w:rPr>
        <w:t xml:space="preserve">Lower marketing expenses positively impacted segment income from operations by approximately $1.4.</w:t>
      </w:r>
    </w:p>
    <w:p>
      <w:pPr>
        <w:spacing w:after="80"/>
      </w:pPr>
    </w:p>
    <w:p>
      <w:pPr>
        <w:spacing w:after="80" w:before="160"/>
      </w:pPr>
      <w:r>
        <w:rPr>
          <w:rFonts w:ascii="Arial" w:cs="Arial" w:eastAsia="Arial" w:hAnsi="Arial"/>
          <w:b/>
          <w:bCs/>
          <w:caps/>
          <w:color w:val="C09000"/>
          <w:sz w:val="22"/>
          <w:szCs w:val="22"/>
        </w:rPr>
        <w:t xml:space="preserve">Gross Margin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001F5B"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FY2024</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FY2023</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Change</w:t>
            </w:r>
          </w:p>
        </w:tc>
        <w:tc>
          <w:tcPr>
            <w:tcW w:type="dxa" w:w="1400"/>
            <w:shd w:fill="001F5B" w:color="auto" w:val="clear"/>
            <w:tcMar>
              <w:top w:type="dxa" w:w="60"/>
              <w:left w:type="dxa" w:w="80"/>
              <w:bottom w:type="dxa" w:w="60"/>
              <w:right w:type="dxa" w:w="80"/>
            </w:tcMar>
          </w:tcPr>
          <w:p>
            <w:pPr>
              <w:jc w:val="center"/>
            </w:pPr>
            <w:r>
              <w:rPr>
                <w:rFonts w:ascii="Arial" w:cs="Arial" w:eastAsia="Arial" w:hAnsi="Arial"/>
                <w:b/>
                <w:bCs/>
                <w:color w:val="FFFFFF"/>
                <w:sz w:val="20"/>
                <w:szCs w:val="20"/>
              </w:rPr>
              <w:t xml:space="preserve">% Change</w:t>
            </w:r>
          </w:p>
        </w:tc>
      </w:tr>
      <w:tr>
        <w:tc>
          <w:tcPr>
            <w:tcW w:type="dxa" w:w="3400"/>
            <w:shd w:fill="FFFFFF" w:color="auto" w:val="clear"/>
            <w:tcMar>
              <w:top w:type="dxa" w:w="60"/>
              <w:left w:type="dxa" w:w="100"/>
              <w:bottom w:type="dxa" w:w="60"/>
              <w:right w:type="dxa" w:w="80"/>
            </w:tcMar>
          </w:tcPr>
          <w:p>
            <w:pPr>
              <w:jc w:val="left"/>
            </w:pPr>
            <w:r>
              <w:rPr>
                <w:rFonts w:ascii="Arial" w:cs="Arial" w:eastAsia="Arial" w:hAnsi="Arial"/>
                <w:b w:val="false"/>
                <w:bCs w:val="false"/>
                <w:color w:val="000000"/>
                <w:sz w:val="20"/>
                <w:szCs w:val="20"/>
              </w:rPr>
              <w:t xml:space="preserve">Gross Profit</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c>
          <w:tcPr>
            <w:tcW w:type="dxa" w:w="1400"/>
            <w:shd w:fill="FFFFFF" w:color="auto" w:val="clear"/>
            <w:tcMar>
              <w:top w:type="dxa" w:w="60"/>
              <w:left w:type="dxa" w:w="80"/>
              <w:bottom w:type="dxa" w:w="60"/>
              <w:right w:type="dxa" w:w="80"/>
            </w:tcMar>
          </w:tcPr>
          <w:p>
            <w:pPr>
              <w:jc w:val="right"/>
            </w:pPr>
            <w:r>
              <w:rPr>
                <w:rFonts w:ascii="Arial" w:cs="Arial" w:eastAsia="Arial" w:hAnsi="Arial"/>
                <w:b w:val="false"/>
                <w:bCs w:val="false"/>
                <w:color w:val="000000"/>
                <w:sz w:val="20"/>
                <w:szCs w:val="20"/>
              </w:rPr>
              <w:t xml:space="preserve">—</w:t>
            </w:r>
          </w:p>
        </w:tc>
      </w:tr>
      <w:tr>
        <w:tc>
          <w:tcPr>
            <w:tcW w:type="dxa" w:w="3400"/>
            <w:shd w:fill="F2F2F2" w:color="auto" w:val="clear"/>
            <w:tcMar>
              <w:top w:type="dxa" w:w="60"/>
              <w:left w:type="dxa" w:w="100"/>
              <w:bottom w:type="dxa" w:w="60"/>
              <w:right w:type="dxa" w:w="80"/>
            </w:tcMar>
          </w:tcPr>
          <w:p>
            <w:pPr>
              <w:jc w:val="left"/>
            </w:pPr>
            <w:r>
              <w:rPr>
                <w:rFonts w:ascii="Arial" w:cs="Arial" w:eastAsia="Arial" w:hAnsi="Arial"/>
                <w:b/>
                <w:bCs/>
                <w:color w:val="000000"/>
                <w:sz w:val="20"/>
                <w:szCs w:val="20"/>
              </w:rPr>
              <w:t xml:space="preserve">Gross Margin %</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c>
          <w:tcPr>
            <w:tcW w:type="dxa" w:w="1400"/>
            <w:shd w:fill="F2F2F2" w:color="auto" w:val="clear"/>
            <w:tcMar>
              <w:top w:type="dxa" w:w="60"/>
              <w:left w:type="dxa" w:w="80"/>
              <w:bottom w:type="dxa" w:w="60"/>
              <w:right w:type="dxa" w:w="80"/>
            </w:tcMar>
          </w:tcPr>
          <w:p>
            <w:pPr>
              <w:jc w:val="right"/>
            </w:pPr>
            <w:r>
              <w:rPr>
                <w:rFonts w:ascii="Arial" w:cs="Arial" w:eastAsia="Arial" w:hAnsi="Arial"/>
                <w:b/>
                <w:bCs/>
                <w:color w:val="000000"/>
                <w:sz w:val="20"/>
                <w:szCs w:val="20"/>
              </w:rPr>
              <w:t xml:space="preserve">—</w:t>
            </w:r>
          </w:p>
        </w:tc>
      </w:tr>
    </w:tbl>
    <w:p>
      <w:pPr>
        <w:pBdr>
          <w:bottom w:val="single" w:color="CCCCCC" w:sz="4"/>
        </w:pBdr>
        <w:spacing w:after="40" w:before="40"/>
      </w:pPr>
    </w:p>
    <w:p>
      <w:pPr>
        <w:spacing w:after="120"/>
      </w:pPr>
    </w:p>
    <w:p>
      <w:r>
        <w:br w:type="page"/>
      </w:r>
    </w:p>
    <w:p>
      <w:pPr>
        <w:pBdr>
          <w:bottom w:val="single" w:color="001F5B" w:sz="8"/>
        </w:pBdr>
        <w:spacing w:after="80" w:before="300"/>
      </w:pPr>
      <w:r>
        <w:rPr>
          <w:rFonts w:ascii="Arial" w:cs="Arial" w:eastAsia="Arial" w:hAnsi="Arial"/>
          <w:b/>
          <w:bCs/>
          <w:color w:val="001F5B"/>
          <w:sz w:val="28"/>
          <w:szCs w:val="28"/>
        </w:rPr>
        <w:t xml:space="preserve">Revolver &amp; Liquidity</w:t>
      </w:r>
    </w:p>
    <w:p>
      <w:pPr>
        <w:spacing w:after="100"/>
      </w:pPr>
    </w:p>
    <w:p>
      <w:pPr>
        <w:spacing w:after="60" w:before="200"/>
      </w:pPr>
      <w:r>
        <w:rPr>
          <w:rFonts w:ascii="Arial" w:cs="Arial" w:eastAsia="Arial" w:hAnsi="Arial"/>
          <w:b/>
          <w:bCs/>
          <w:color w:val="1F497D"/>
          <w:sz w:val="24"/>
          <w:szCs w:val="24"/>
        </w:rPr>
        <w:t xml:space="preserve">FY2024</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$964.1M</w:t>
      </w:r>
    </w:p>
    <w:p>
      <w:pPr>
        <w:pStyle w:val="ListParagraph"/>
        <w:numPr>
          <w:ilvl w:val="0"/>
          <w:numId w:val="2"/>
        </w:numPr>
        <w:spacing w:after="60"/>
      </w:pPr>
      <w:r>
        <w:rPr>
          <w:rFonts w:ascii="Arial" w:cs="Arial" w:eastAsia="Arial" w:hAnsi="Arial"/>
          <w:b/>
          <w:bCs/>
          <w:sz w:val="20"/>
          <w:szCs w:val="20"/>
        </w:rPr>
        <w:t xml:space="preserve">Revolving credit facility size: </w:t>
      </w:r>
      <w:r>
        <w:rPr>
          <w:rFonts w:ascii="Arial" w:cs="Arial" w:eastAsia="Arial" w:hAnsi="Arial"/>
          <w:b w:val="false"/>
          <w:bCs w:val="false"/>
          <w:sz w:val="20"/>
          <w:szCs w:val="20"/>
        </w:rPr>
        <w:t xml:space="preserve">$1,500.0M</w:t>
      </w:r>
    </w:p>
    <w:p>
      <w:pPr>
        <w:pStyle w:val="ListParagraph"/>
        <w:numPr>
          <w:ilvl w:val="0"/>
          <w:numId w:val="2"/>
        </w:numPr>
        <w:spacing w:after="60"/>
      </w:pPr>
      <w:r>
        <w:rPr>
          <w:rFonts w:ascii="Arial" w:cs="Arial" w:eastAsia="Arial" w:hAnsi="Arial"/>
          <w:b/>
          <w:bCs/>
          <w:sz w:val="20"/>
          <w:szCs w:val="20"/>
        </w:rPr>
        <w:t xml:space="preserve">Revolver drawn: </w:t>
      </w:r>
      <w:r>
        <w:rPr>
          <w:rFonts w:ascii="Arial" w:cs="Arial" w:eastAsia="Arial" w:hAnsi="Arial"/>
          <w:b w:val="false"/>
          <w:bCs w:val="false"/>
          <w:sz w:val="20"/>
          <w:szCs w:val="20"/>
        </w:rPr>
        <w:t xml:space="preserve">$0.0M</w:t>
      </w:r>
    </w:p>
    <w:p>
      <w:pPr>
        <w:pStyle w:val="ListParagraph"/>
        <w:numPr>
          <w:ilvl w:val="0"/>
          <w:numId w:val="2"/>
        </w:numPr>
        <w:spacing w:after="60"/>
      </w:pPr>
      <w:r>
        <w:rPr>
          <w:rFonts w:ascii="Arial" w:cs="Arial" w:eastAsia="Arial" w:hAnsi="Arial"/>
          <w:b/>
          <w:bCs/>
          <w:sz w:val="20"/>
          <w:szCs w:val="20"/>
        </w:rPr>
        <w:t xml:space="preserve">Revolver availability: </w:t>
      </w:r>
      <w:r>
        <w:rPr>
          <w:rFonts w:ascii="Arial" w:cs="Arial" w:eastAsia="Arial" w:hAnsi="Arial"/>
          <w:b w:val="false"/>
          <w:bCs w:val="false"/>
          <w:sz w:val="20"/>
          <w:szCs w:val="20"/>
        </w:rPr>
        <w:t xml:space="preserve">$1,494.0M</w:t>
      </w:r>
    </w:p>
    <w:p>
      <w:pPr>
        <w:pStyle w:val="ListParagraph"/>
        <w:numPr>
          <w:ilvl w:val="0"/>
          <w:numId w:val="2"/>
        </w:numPr>
        <w:spacing w:after="60"/>
      </w:pPr>
      <w:r>
        <w:rPr>
          <w:rFonts w:ascii="Arial" w:cs="Arial" w:eastAsia="Arial" w:hAnsi="Arial"/>
          <w:b/>
          <w:bCs/>
          <w:sz w:val="20"/>
          <w:szCs w:val="20"/>
        </w:rPr>
        <w:t xml:space="preserve">Total liquidity (cash + availability): </w:t>
      </w:r>
      <w:r>
        <w:rPr>
          <w:rFonts w:ascii="Arial" w:cs="Arial" w:eastAsia="Arial" w:hAnsi="Arial"/>
          <w:b w:val="false"/>
          <w:bCs w:val="false"/>
          <w:sz w:val="20"/>
          <w:szCs w:val="20"/>
        </w:rPr>
        <w:t xml:space="preserve">$2,458.1M</w:t>
      </w:r>
    </w:p>
    <w:p>
      <w:pPr>
        <w:spacing w:after="80"/>
      </w:pPr>
    </w:p>
    <w:p>
      <w:pPr>
        <w:spacing w:after="60" w:before="200"/>
      </w:pPr>
      <w:r>
        <w:rPr>
          <w:rFonts w:ascii="Arial" w:cs="Arial" w:eastAsia="Arial" w:hAnsi="Arial"/>
          <w:b/>
          <w:bCs/>
          <w:color w:val="1F497D"/>
          <w:sz w:val="24"/>
          <w:szCs w:val="24"/>
        </w:rPr>
        <w:t xml:space="preserve">FY2023</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$344.5M</w:t>
      </w:r>
    </w:p>
    <w:p>
      <w:pPr>
        <w:pStyle w:val="ListParagraph"/>
        <w:numPr>
          <w:ilvl w:val="0"/>
          <w:numId w:val="2"/>
        </w:numPr>
        <w:spacing w:after="60"/>
      </w:pPr>
      <w:r>
        <w:rPr>
          <w:rFonts w:ascii="Arial" w:cs="Arial" w:eastAsia="Arial" w:hAnsi="Arial"/>
          <w:b/>
          <w:bCs/>
          <w:sz w:val="20"/>
          <w:szCs w:val="20"/>
        </w:rPr>
        <w:t xml:space="preserve">Revolving credit facility size: </w:t>
      </w:r>
      <w:r>
        <w:rPr>
          <w:rFonts w:ascii="Arial" w:cs="Arial" w:eastAsia="Arial" w:hAnsi="Arial"/>
          <w:b w:val="false"/>
          <w:bCs w:val="false"/>
          <w:sz w:val="20"/>
          <w:szCs w:val="20"/>
        </w:rPr>
        <w:t xml:space="preserve">$1,500.0M</w:t>
      </w:r>
    </w:p>
    <w:p>
      <w:pPr>
        <w:pStyle w:val="ListParagraph"/>
        <w:numPr>
          <w:ilvl w:val="0"/>
          <w:numId w:val="2"/>
        </w:numPr>
        <w:spacing w:after="60"/>
      </w:pPr>
      <w:r>
        <w:rPr>
          <w:rFonts w:ascii="Arial" w:cs="Arial" w:eastAsia="Arial" w:hAnsi="Arial"/>
          <w:b/>
          <w:bCs/>
          <w:sz w:val="20"/>
          <w:szCs w:val="20"/>
        </w:rPr>
        <w:t xml:space="preserve">Revolver drawn: </w:t>
      </w:r>
      <w:r>
        <w:rPr>
          <w:rFonts w:ascii="Arial" w:cs="Arial" w:eastAsia="Arial" w:hAnsi="Arial"/>
          <w:b w:val="false"/>
          <w:bCs w:val="false"/>
          <w:sz w:val="20"/>
          <w:szCs w:val="20"/>
        </w:rPr>
        <w:t xml:space="preserve">$0.0M</w:t>
      </w:r>
    </w:p>
    <w:p>
      <w:pPr>
        <w:spacing w:after="80"/>
      </w:pPr>
    </w:p>
    <w:p>
      <w:pPr>
        <w:spacing w:after="60" w:before="200"/>
      </w:pPr>
      <w:r>
        <w:rPr>
          <w:rFonts w:ascii="Arial" w:cs="Arial" w:eastAsia="Arial" w:hAnsi="Arial"/>
          <w:b/>
          <w:bCs/>
          <w:color w:val="1F497D"/>
          <w:sz w:val="24"/>
          <w:szCs w:val="24"/>
        </w:rPr>
        <w:t xml:space="preserve">FY2022</w:t>
      </w:r>
    </w:p>
    <w:p>
      <w:pPr>
        <w:pStyle w:val="ListParagraph"/>
        <w:numPr>
          <w:ilvl w:val="0"/>
          <w:numId w:val="2"/>
        </w:numPr>
        <w:spacing w:after="60"/>
      </w:pPr>
      <w:r>
        <w:rPr>
          <w:rFonts w:ascii="Arial" w:cs="Arial" w:eastAsia="Arial" w:hAnsi="Arial"/>
          <w:b/>
          <w:bCs/>
          <w:sz w:val="20"/>
          <w:szCs w:val="20"/>
        </w:rPr>
        <w:t xml:space="preserve">Cash on hand: </w:t>
      </w:r>
      <w:r>
        <w:rPr>
          <w:rFonts w:ascii="Arial" w:cs="Arial" w:eastAsia="Arial" w:hAnsi="Arial"/>
          <w:b w:val="false"/>
          <w:bCs w:val="false"/>
          <w:sz w:val="20"/>
          <w:szCs w:val="20"/>
        </w:rPr>
        <w:t xml:space="preserve">$270.3M</w:t>
      </w:r>
    </w:p>
    <w:p>
      <w:pPr>
        <w:pStyle w:val="ListParagraph"/>
        <w:numPr>
          <w:ilvl w:val="0"/>
          <w:numId w:val="2"/>
        </w:numPr>
        <w:spacing w:after="60"/>
      </w:pPr>
      <w:r>
        <w:rPr>
          <w:rFonts w:ascii="Arial" w:cs="Arial" w:eastAsia="Arial" w:hAnsi="Arial"/>
          <w:b/>
          <w:bCs/>
          <w:sz w:val="20"/>
          <w:szCs w:val="20"/>
        </w:rPr>
        <w:t xml:space="preserve">Revolving credit facility size: </w:t>
      </w:r>
      <w:r>
        <w:rPr>
          <w:rFonts w:ascii="Arial" w:cs="Arial" w:eastAsia="Arial" w:hAnsi="Arial"/>
          <w:b w:val="false"/>
          <w:bCs w:val="false"/>
          <w:sz w:val="20"/>
          <w:szCs w:val="20"/>
        </w:rPr>
        <w:t xml:space="preserve">$1,500.0M</w:t>
      </w:r>
    </w:p>
    <w:p>
      <w:pPr>
        <w:pStyle w:val="ListParagraph"/>
        <w:numPr>
          <w:ilvl w:val="0"/>
          <w:numId w:val="2"/>
        </w:numPr>
        <w:spacing w:after="60"/>
      </w:pPr>
      <w:r>
        <w:rPr>
          <w:rFonts w:ascii="Arial" w:cs="Arial" w:eastAsia="Arial" w:hAnsi="Arial"/>
          <w:b/>
          <w:bCs/>
          <w:sz w:val="20"/>
          <w:szCs w:val="20"/>
        </w:rPr>
        <w:t xml:space="preserve">Revolver drawn: </w:t>
      </w:r>
      <w:r>
        <w:rPr>
          <w:rFonts w:ascii="Arial" w:cs="Arial" w:eastAsia="Arial" w:hAnsi="Arial"/>
          <w:b w:val="false"/>
          <w:bCs w:val="false"/>
          <w:sz w:val="20"/>
          <w:szCs w:val="20"/>
        </w:rPr>
        <w:t xml:space="preserve">$0.0M</w:t>
      </w:r>
    </w:p>
    <w:p>
      <w:pPr>
        <w:spacing w:after="80"/>
      </w:pPr>
    </w:p>
    <w:p>
      <w:r>
        <w:br w:type="page"/>
      </w:r>
    </w:p>
    <w:p>
      <w:pPr>
        <w:pBdr>
          <w:bottom w:val="single" w:color="001F5B" w:sz="8"/>
        </w:pBdr>
        <w:spacing w:after="80" w:before="300"/>
      </w:pPr>
      <w:r>
        <w:rPr>
          <w:rFonts w:ascii="Arial" w:cs="Arial" w:eastAsia="Arial" w:hAnsi="Arial"/>
          <w:b/>
          <w:bCs/>
          <w:color w:val="001F5B"/>
          <w:sz w:val="28"/>
          <w:szCs w:val="28"/>
        </w:rPr>
        <w:t xml:space="preserve">Underwriting Memo</w:t>
      </w:r>
    </w:p>
    <w:p>
      <w:pPr>
        <w:spacing w:after="80"/>
      </w:pPr>
      <w:r>
        <w:rPr>
          <w:rFonts w:ascii="Arial" w:cs="Arial" w:eastAsia="Arial" w:hAnsi="Arial"/>
          <w:color w:val="CC0000"/>
          <w:sz w:val="20"/>
          <w:szCs w:val="20"/>
        </w:rPr>
        <w:t xml:space="preserve">AI-generated — analyst review and sign-off required before use in credit committee materials.</w:t>
      </w:r>
    </w:p>
    <w:p>
      <w:pPr>
        <w:spacing w:after="100"/>
      </w:pPr>
    </w:p>
    <w:p>
      <w:pPr>
        <w:spacing w:after="60" w:before="200"/>
      </w:pPr>
      <w:r>
        <w:rPr>
          <w:rFonts w:ascii="Arial" w:cs="Arial" w:eastAsia="Arial" w:hAnsi="Arial"/>
          <w:b/>
          <w:bCs/>
          <w:color w:val="1F497D"/>
          <w:sz w:val="24"/>
          <w:szCs w:val="24"/>
        </w:rPr>
        <w:t xml:space="preserve">Executive Summary</w:t>
      </w:r>
    </w:p>
    <w:p>
      <w:pPr>
        <w:spacing w:after="80"/>
      </w:pPr>
    </w:p>
    <w:p>
      <w:pPr>
        <w:pStyle w:val="ListParagraph"/>
        <w:numPr>
          <w:ilvl w:val="0"/>
          <w:numId w:val="2"/>
        </w:numPr>
        <w:spacing w:after="60"/>
      </w:pPr>
      <w:r>
        <w:rPr>
          <w:rFonts w:ascii="Arial" w:cs="Arial" w:eastAsia="Arial" w:hAnsi="Arial"/>
          <w:b w:val="false"/>
          <w:bCs w:val="false"/>
          <w:sz w:val="20"/>
          <w:szCs w:val="20"/>
        </w:rPr>
        <w:t xml:space="preserve">The borrower, Church &amp; Dwight Co., Inc., demonstrated a solid credit profile with a total debt reduction of **$197MM** (-8.2% YoY) and a significant increase in cash reserves by **$620MM** (+179.9% YoY).</w:t>
      </w:r>
    </w:p>
    <w:p>
      <w:pPr>
        <w:pStyle w:val="ListParagraph"/>
        <w:numPr>
          <w:ilvl w:val="0"/>
          <w:numId w:val="2"/>
        </w:numPr>
        <w:spacing w:after="60"/>
      </w:pPr>
      <w:r>
        <w:rPr>
          <w:rFonts w:ascii="Arial" w:cs="Arial" w:eastAsia="Arial" w:hAnsi="Arial"/>
          <w:b w:val="false"/>
          <w:bCs w:val="false"/>
          <w:sz w:val="20"/>
          <w:szCs w:val="20"/>
        </w:rPr>
        <w:t xml:space="preserve">Key performance metrics include a revenue increase of 4.1% YoY to **$6,107MM**, while EBITDA decreased by 18.2% to **$1,056MM**, reflecting a contraction in EBITDA margin from 22.0% to 17.3%.</w:t>
      </w:r>
    </w:p>
    <w:p>
      <w:pPr>
        <w:pStyle w:val="ListParagraph"/>
        <w:numPr>
          <w:ilvl w:val="0"/>
          <w:numId w:val="2"/>
        </w:numPr>
        <w:spacing w:after="60"/>
      </w:pPr>
      <w:r>
        <w:rPr>
          <w:rFonts w:ascii="Arial" w:cs="Arial" w:eastAsia="Arial" w:hAnsi="Arial"/>
          <w:b w:val="false"/>
          <w:bCs w:val="false"/>
          <w:sz w:val="20"/>
          <w:szCs w:val="20"/>
        </w:rPr>
        <w:t xml:space="preserve">Liquidity remains robust with total liquidity of **$2,458MM**, comprising **$964MM** in cash and **$1,494MM** available under the revolving credit facility.</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Credit Risk Assessment</w:t>
      </w:r>
    </w:p>
    <w:p>
      <w:pPr>
        <w:spacing w:after="80"/>
      </w:pPr>
    </w:p>
    <w:p>
      <w:pPr>
        <w:spacing w:after="60" w:before="200"/>
      </w:pPr>
      <w:r>
        <w:rPr>
          <w:rFonts w:ascii="Arial" w:cs="Arial" w:eastAsia="Arial" w:hAnsi="Arial"/>
          <w:b/>
          <w:bCs/>
          <w:color w:val="1F497D"/>
          <w:sz w:val="24"/>
          <w:szCs w:val="24"/>
        </w:rPr>
        <w:t xml:space="preserve">PD Score: 4/12 — Non-Investment Grade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Scale: 1-3 Investment Grade | 4-6 Non-Investment Grade | 7-9 Speculative | 10-11 High Risk | 12 Default</w:t>
      </w:r>
    </w:p>
    <w:p>
      <w:pPr>
        <w:pStyle w:val="ListParagraph"/>
        <w:numPr>
          <w:ilvl w:val="0"/>
          <w:numId w:val="2"/>
        </w:numPr>
        <w:spacing w:after="60"/>
      </w:pPr>
      <w:r>
        <w:rPr>
          <w:rFonts w:ascii="Arial" w:cs="Arial" w:eastAsia="Arial" w:hAnsi="Arial"/>
          <w:b w:val="false"/>
          <w:bCs w:val="false"/>
          <w:sz w:val="20"/>
          <w:szCs w:val="20"/>
        </w:rPr>
        <w:t xml:space="preserve">Interpretation: The borrower is considered non-investment grade, indicating moderate credit risk with stable financial performance.</w:t>
      </w:r>
    </w:p>
    <w:p>
      <w:pPr>
        <w:spacing w:after="80"/>
      </w:pPr>
    </w:p>
    <w:p>
      <w:pPr>
        <w:spacing w:after="60" w:before="200"/>
      </w:pPr>
      <w:r>
        <w:rPr>
          <w:rFonts w:ascii="Arial" w:cs="Arial" w:eastAsia="Arial" w:hAnsi="Arial"/>
          <w:b/>
          <w:bCs/>
          <w:color w:val="1F497D"/>
          <w:sz w:val="24"/>
          <w:szCs w:val="24"/>
        </w:rPr>
        <w:t xml:space="preserve">Altman Z-Score: 1.73</w:t>
      </w:r>
    </w:p>
    <w:p>
      <w:pPr>
        <w:spacing w:after="80"/>
      </w:pPr>
    </w:p>
    <w:p>
      <w:pPr>
        <w:pStyle w:val="ListParagraph"/>
        <w:numPr>
          <w:ilvl w:val="0"/>
          <w:numId w:val="2"/>
        </w:numPr>
        <w:spacing w:after="60"/>
      </w:pPr>
      <w:r>
        <w:rPr>
          <w:rFonts w:ascii="Arial" w:cs="Arial" w:eastAsia="Arial" w:hAnsi="Arial"/>
          <w:b w:val="false"/>
          <w:bCs w:val="false"/>
          <w:sz w:val="20"/>
          <w:szCs w:val="20"/>
        </w:rPr>
        <w:t xml:space="preserve">Zones: Z &gt; 2.9 Safe | 1.23–2.9 Grey | Z &lt; 1.23 Distress</w:t>
      </w:r>
    </w:p>
    <w:p>
      <w:pPr>
        <w:pStyle w:val="ListParagraph"/>
        <w:numPr>
          <w:ilvl w:val="0"/>
          <w:numId w:val="2"/>
        </w:numPr>
        <w:spacing w:after="60"/>
      </w:pPr>
      <w:r>
        <w:rPr>
          <w:rFonts w:ascii="Arial" w:cs="Arial" w:eastAsia="Arial" w:hAnsi="Arial"/>
          <w:b w:val="false"/>
          <w:bCs w:val="false"/>
          <w:sz w:val="20"/>
          <w:szCs w:val="20"/>
        </w:rPr>
        <w:t xml:space="preserve">Assessment: The borrower falls within the grey zone, suggesting potential vulnerability to financial distress but not immediate risk.</w:t>
      </w:r>
    </w:p>
    <w:p>
      <w:pPr>
        <w:spacing w:after="80"/>
      </w:pPr>
    </w:p>
    <w:p>
      <w:pPr>
        <w:spacing w:after="60" w:before="200"/>
      </w:pPr>
      <w:r>
        <w:rPr>
          <w:rFonts w:ascii="Arial" w:cs="Arial" w:eastAsia="Arial" w:hAnsi="Arial"/>
          <w:b/>
          <w:bCs/>
          <w:color w:val="1F497D"/>
          <w:sz w:val="24"/>
          <w:szCs w:val="24"/>
        </w:rPr>
        <w:t xml:space="preserve">Key Credit Metrics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**Leverage:** 2.09x</w:t>
      </w:r>
    </w:p>
    <w:p>
      <w:pPr>
        <w:pStyle w:val="ListParagraph"/>
        <w:numPr>
          <w:ilvl w:val="0"/>
          <w:numId w:val="2"/>
        </w:numPr>
        <w:spacing w:after="60"/>
      </w:pPr>
      <w:r>
        <w:rPr>
          <w:rFonts w:ascii="Arial" w:cs="Arial" w:eastAsia="Arial" w:hAnsi="Arial"/>
          <w:b w:val="false"/>
          <w:bCs w:val="false"/>
          <w:sz w:val="20"/>
          <w:szCs w:val="20"/>
        </w:rPr>
        <w:t xml:space="preserve">**FCC:** 6.53x</w:t>
      </w:r>
    </w:p>
    <w:p>
      <w:pPr>
        <w:pStyle w:val="ListParagraph"/>
        <w:numPr>
          <w:ilvl w:val="0"/>
          <w:numId w:val="2"/>
        </w:numPr>
        <w:spacing w:after="60"/>
      </w:pPr>
      <w:r>
        <w:rPr>
          <w:rFonts w:ascii="Arial" w:cs="Arial" w:eastAsia="Arial" w:hAnsi="Arial"/>
          <w:b w:val="false"/>
          <w:bCs w:val="false"/>
          <w:sz w:val="20"/>
          <w:szCs w:val="20"/>
        </w:rPr>
        <w:t xml:space="preserve">**EBITDA Margin:** 17.3%</w:t>
      </w:r>
    </w:p>
    <w:p>
      <w:pPr>
        <w:pStyle w:val="ListParagraph"/>
        <w:numPr>
          <w:ilvl w:val="0"/>
          <w:numId w:val="2"/>
        </w:numPr>
        <w:spacing w:after="60"/>
      </w:pPr>
      <w:r>
        <w:rPr>
          <w:rFonts w:ascii="Arial" w:cs="Arial" w:eastAsia="Arial" w:hAnsi="Arial"/>
          <w:b w:val="false"/>
          <w:bCs w:val="false"/>
          <w:sz w:val="20"/>
          <w:szCs w:val="20"/>
        </w:rPr>
        <w:t xml:space="preserve">**Liquidity:** Cash **$964MM** + **$1,494MM** revolver availability = **$2,458MM** total</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Financial Performance Analysis</w:t>
      </w:r>
    </w:p>
    <w:p>
      <w:pPr>
        <w:spacing w:after="80"/>
      </w:pPr>
    </w:p>
    <w:p>
      <w:pPr>
        <w:spacing w:after="60" w:before="200"/>
      </w:pPr>
      <w:r>
        <w:rPr>
          <w:rFonts w:ascii="Arial" w:cs="Arial" w:eastAsia="Arial" w:hAnsi="Arial"/>
          <w:b/>
          <w:bCs/>
          <w:color w:val="1F497D"/>
          <w:sz w:val="24"/>
          <w:szCs w:val="24"/>
        </w:rPr>
        <w:t xml:space="preserve">Revenue</w:t>
      </w:r>
    </w:p>
    <w:p>
      <w:pPr>
        <w:spacing w:after="80"/>
      </w:pPr>
    </w:p>
    <w:p>
      <w:pPr>
        <w:spacing w:after="80"/>
      </w:pPr>
      <w:r>
        <w:rPr>
          <w:rFonts w:ascii="Arial" w:cs="Arial" w:eastAsia="Arial" w:hAnsi="Arial"/>
          <w:b w:val="false"/>
          <w:bCs w:val="false"/>
          <w:sz w:val="20"/>
          <w:szCs w:val="20"/>
        </w:rPr>
        <w:t xml:space="preserve">Revenue increased 4.1% YoY from </w:t>
      </w:r>
      <w:r>
        <w:rPr>
          <w:rFonts w:ascii="Arial" w:cs="Arial" w:eastAsia="Arial" w:hAnsi="Arial"/>
          <w:b/>
          <w:bCs/>
          <w:sz w:val="20"/>
          <w:szCs w:val="20"/>
        </w:rPr>
        <w:t xml:space="preserve">$5,868MM</w:t>
      </w:r>
      <w:r>
        <w:rPr>
          <w:rFonts w:ascii="Arial" w:cs="Arial" w:eastAsia="Arial" w:hAnsi="Arial"/>
          <w:b w:val="false"/>
          <w:bCs w:val="false"/>
          <w:sz w:val="20"/>
          <w:szCs w:val="20"/>
        </w:rPr>
        <w:t xml:space="preserve"> to </w:t>
      </w:r>
      <w:r>
        <w:rPr>
          <w:rFonts w:ascii="Arial" w:cs="Arial" w:eastAsia="Arial" w:hAnsi="Arial"/>
          <w:b/>
          <w:bCs/>
          <w:sz w:val="20"/>
          <w:szCs w:val="20"/>
        </w:rPr>
        <w:t xml:space="preserve">$6,107MM</w:t>
      </w:r>
      <w:r>
        <w:rPr>
          <w:rFonts w:ascii="Arial" w:cs="Arial" w:eastAsia="Arial" w:hAnsi="Arial"/>
          <w:b w:val="false"/>
          <w:bCs w:val="false"/>
          <w:sz w:val="20"/>
          <w:szCs w:val="20"/>
        </w:rPr>
        <w:t xml:space="preserve">.</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Product volumes sold increased by 3.3%, contributing approximately **$193MM**.</w:t>
      </w:r>
    </w:p>
    <w:p>
      <w:pPr>
        <w:pStyle w:val="ListParagraph"/>
        <w:numPr>
          <w:ilvl w:val="0"/>
          <w:numId w:val="2"/>
        </w:numPr>
        <w:spacing w:after="60"/>
      </w:pPr>
      <w:r>
        <w:rPr>
          <w:rFonts w:ascii="Arial" w:cs="Arial" w:eastAsia="Arial" w:hAnsi="Arial"/>
          <w:b w:val="false"/>
          <w:bCs w:val="false"/>
          <w:sz w:val="20"/>
          <w:szCs w:val="20"/>
        </w:rPr>
        <w:t xml:space="preserve">Favorable pricing/product mix added 1.3%, contributing approximately **$76MM**.</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Portfolio changes, including the exit of MEGALAC and Passport businesses, negatively impacted revenue by approximately **$37MM**.</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Consumer Domestic</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**$4,732.3MM** vs **$4,571.2MM** (change of **$161.1MM**)</w:t>
      </w:r>
    </w:p>
    <w:p>
      <w:pPr>
        <w:pStyle w:val="ListParagraph"/>
        <w:numPr>
          <w:ilvl w:val="0"/>
          <w:numId w:val="2"/>
        </w:numPr>
        <w:spacing w:after="60"/>
      </w:pPr>
      <w:r>
        <w:rPr>
          <w:rFonts w:ascii="Arial" w:cs="Arial" w:eastAsia="Arial" w:hAnsi="Arial"/>
          <w:b w:val="false"/>
          <w:bCs w:val="false"/>
          <w:sz w:val="20"/>
          <w:szCs w:val="20"/>
        </w:rPr>
        <w:t xml:space="preserve">Product volumes sold: Positive impact of approximately **$128MM**</w:t>
      </w:r>
    </w:p>
    <w:p>
      <w:pPr>
        <w:pStyle w:val="ListParagraph"/>
        <w:numPr>
          <w:ilvl w:val="0"/>
          <w:numId w:val="2"/>
        </w:numPr>
        <w:spacing w:after="60"/>
      </w:pPr>
      <w:r>
        <w:rPr>
          <w:rFonts w:ascii="Arial" w:cs="Arial" w:eastAsia="Arial" w:hAnsi="Arial"/>
          <w:b w:val="false"/>
          <w:bCs w:val="false"/>
          <w:sz w:val="20"/>
          <w:szCs w:val="20"/>
        </w:rPr>
        <w:t xml:space="preserve">Pricing/Product mix: Positive impact of approximately **$32MM**</w:t>
      </w:r>
    </w:p>
    <w:p>
      <w:pPr>
        <w:pStyle w:val="ListParagraph"/>
        <w:numPr>
          <w:ilvl w:val="0"/>
          <w:numId w:val="2"/>
        </w:numPr>
        <w:spacing w:after="60"/>
      </w:pPr>
      <w:r>
        <w:rPr>
          <w:rFonts w:ascii="Arial" w:cs="Arial" w:eastAsia="Arial" w:hAnsi="Arial"/>
          <w:b w:val="false"/>
          <w:bCs w:val="false"/>
          <w:sz w:val="20"/>
          <w:szCs w:val="20"/>
        </w:rPr>
        <w:t xml:space="preserve">Offsetting: Competition in gummy vitamins and hair removal products</w:t>
      </w:r>
    </w:p>
    <w:p>
      <w:pPr>
        <w:spacing w:after="80"/>
      </w:pPr>
    </w:p>
    <w:p>
      <w:pPr>
        <w:spacing w:after="80"/>
      </w:pPr>
      <w:r>
        <w:rPr>
          <w:rFonts w:ascii="Arial" w:cs="Arial" w:eastAsia="Arial" w:hAnsi="Arial"/>
          <w:b w:val="false"/>
          <w:bCs w:val="false"/>
          <w:sz w:val="20"/>
          <w:szCs w:val="20"/>
        </w:rPr>
        <w:t xml:space="preserve">#### Consumer International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**$1,071.5MM** vs **$975.7MM** (change of **$95.8MM**)</w:t>
      </w:r>
    </w:p>
    <w:p>
      <w:pPr>
        <w:pStyle w:val="ListParagraph"/>
        <w:numPr>
          <w:ilvl w:val="0"/>
          <w:numId w:val="2"/>
        </w:numPr>
        <w:spacing w:after="60"/>
      </w:pPr>
      <w:r>
        <w:rPr>
          <w:rFonts w:ascii="Arial" w:cs="Arial" w:eastAsia="Arial" w:hAnsi="Arial"/>
          <w:b w:val="false"/>
          <w:bCs w:val="false"/>
          <w:sz w:val="20"/>
          <w:szCs w:val="20"/>
        </w:rPr>
        <w:t xml:space="preserve">Product volumes sold: Positive impact of approximately **$55.6MM**</w:t>
      </w:r>
    </w:p>
    <w:p>
      <w:pPr>
        <w:pStyle w:val="ListParagraph"/>
        <w:numPr>
          <w:ilvl w:val="0"/>
          <w:numId w:val="2"/>
        </w:numPr>
        <w:spacing w:after="60"/>
      </w:pPr>
      <w:r>
        <w:rPr>
          <w:rFonts w:ascii="Arial" w:cs="Arial" w:eastAsia="Arial" w:hAnsi="Arial"/>
          <w:b w:val="false"/>
          <w:bCs w:val="false"/>
          <w:sz w:val="20"/>
          <w:szCs w:val="20"/>
        </w:rPr>
        <w:t xml:space="preserve">Offsetting: Foreign exchange rate fluctuations</w:t>
      </w:r>
    </w:p>
    <w:p>
      <w:pPr>
        <w:spacing w:after="80"/>
      </w:pPr>
    </w:p>
    <w:p>
      <w:pPr>
        <w:spacing w:after="80"/>
      </w:pPr>
      <w:r>
        <w:rPr>
          <w:rFonts w:ascii="Arial" w:cs="Arial" w:eastAsia="Arial" w:hAnsi="Arial"/>
          <w:b w:val="false"/>
          <w:bCs w:val="false"/>
          <w:sz w:val="20"/>
          <w:szCs w:val="20"/>
        </w:rPr>
        <w:t xml:space="preserve">#### Specialty Products Division (SPD)</w:t>
      </w:r>
    </w:p>
    <w:p>
      <w:pPr>
        <w:spacing w:after="80"/>
      </w:pPr>
    </w:p>
    <w:p>
      <w:pPr>
        <w:pStyle w:val="ListParagraph"/>
        <w:numPr>
          <w:ilvl w:val="0"/>
          <w:numId w:val="2"/>
        </w:numPr>
        <w:spacing w:after="60"/>
      </w:pPr>
      <w:r>
        <w:rPr>
          <w:rFonts w:ascii="Arial" w:cs="Arial" w:eastAsia="Arial" w:hAnsi="Arial"/>
          <w:b w:val="false"/>
          <w:bCs w:val="false"/>
          <w:sz w:val="20"/>
          <w:szCs w:val="20"/>
        </w:rPr>
        <w:t xml:space="preserve">Revenue: **$303.3MM** vs **$321.0MM** (change of **-$17.7MM**)</w:t>
      </w:r>
    </w:p>
    <w:p>
      <w:pPr>
        <w:pStyle w:val="ListParagraph"/>
        <w:numPr>
          <w:ilvl w:val="0"/>
          <w:numId w:val="2"/>
        </w:numPr>
        <w:spacing w:after="60"/>
      </w:pPr>
      <w:r>
        <w:rPr>
          <w:rFonts w:ascii="Arial" w:cs="Arial" w:eastAsia="Arial" w:hAnsi="Arial"/>
          <w:b w:val="false"/>
          <w:bCs w:val="false"/>
          <w:sz w:val="20"/>
          <w:szCs w:val="20"/>
        </w:rPr>
        <w:t xml:space="preserve">Product volumes sold: Positive impact of approximately **$12.8MM**</w:t>
      </w:r>
    </w:p>
    <w:p>
      <w:pPr>
        <w:pStyle w:val="ListParagraph"/>
        <w:numPr>
          <w:ilvl w:val="0"/>
          <w:numId w:val="2"/>
        </w:numPr>
        <w:spacing w:after="60"/>
      </w:pPr>
      <w:r>
        <w:rPr>
          <w:rFonts w:ascii="Arial" w:cs="Arial" w:eastAsia="Arial" w:hAnsi="Arial"/>
          <w:b w:val="false"/>
          <w:bCs w:val="false"/>
          <w:sz w:val="20"/>
          <w:szCs w:val="20"/>
        </w:rPr>
        <w:t xml:space="preserve">Offsetting: Exit of product lines, impacting revenue by approximately **$40.5MM**</w:t>
      </w:r>
    </w:p>
    <w:p>
      <w:pPr>
        <w:spacing w:after="80"/>
      </w:pPr>
    </w:p>
    <w:p>
      <w:pPr>
        <w:spacing w:after="60" w:before="200"/>
      </w:pPr>
      <w:r>
        <w:rPr>
          <w:rFonts w:ascii="Arial" w:cs="Arial" w:eastAsia="Arial" w:hAnsi="Arial"/>
          <w:b/>
          <w:bCs/>
          <w:color w:val="1F497D"/>
          <w:sz w:val="24"/>
          <w:szCs w:val="24"/>
        </w:rPr>
        <w:t xml:space="preserve">Cost of Goods Sold</w:t>
      </w:r>
    </w:p>
    <w:p>
      <w:pPr>
        <w:spacing w:after="80"/>
      </w:pPr>
    </w:p>
    <w:p>
      <w:pPr>
        <w:spacing w:after="80"/>
      </w:pPr>
      <w:r>
        <w:rPr>
          <w:rFonts w:ascii="Arial" w:cs="Arial" w:eastAsia="Arial" w:hAnsi="Arial"/>
          <w:b w:val="false"/>
          <w:bCs w:val="false"/>
          <w:sz w:val="20"/>
          <w:szCs w:val="20"/>
        </w:rPr>
        <w:t xml:space="preserve">Cost of goods sold increased by </w:t>
      </w:r>
      <w:r>
        <w:rPr>
          <w:rFonts w:ascii="Arial" w:cs="Arial" w:eastAsia="Arial" w:hAnsi="Arial"/>
          <w:b/>
          <w:bCs/>
          <w:sz w:val="20"/>
          <w:szCs w:val="20"/>
        </w:rPr>
        <w:t xml:space="preserve">$37.6MM</w:t>
      </w:r>
      <w:r>
        <w:rPr>
          <w:rFonts w:ascii="Arial" w:cs="Arial" w:eastAsia="Arial" w:hAnsi="Arial"/>
          <w:b w:val="false"/>
          <w:bCs w:val="false"/>
          <w:sz w:val="20"/>
          <w:szCs w:val="20"/>
        </w:rPr>
        <w:t xml:space="preserve"> YoY.</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Productivity programs contributed to a reduction in COGS by approximately **$31.6MM**.</w:t>
      </w:r>
    </w:p>
    <w:p>
      <w:pPr>
        <w:pStyle w:val="ListParagraph"/>
        <w:numPr>
          <w:ilvl w:val="0"/>
          <w:numId w:val="2"/>
        </w:numPr>
        <w:spacing w:after="60"/>
      </w:pPr>
      <w:r>
        <w:rPr>
          <w:rFonts w:ascii="Arial" w:cs="Arial" w:eastAsia="Arial" w:hAnsi="Arial"/>
          <w:b w:val="false"/>
          <w:bCs w:val="false"/>
          <w:sz w:val="20"/>
          <w:szCs w:val="20"/>
        </w:rPr>
        <w:t xml:space="preserve">Favorable tariff ruling reduced COGS by approximately **$31.6MM**.</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Higher manufacturing costs, including labor and commodities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Consumer Domestic</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pStyle w:val="ListParagraph"/>
        <w:numPr>
          <w:ilvl w:val="0"/>
          <w:numId w:val="2"/>
        </w:numPr>
        <w:spacing w:after="60"/>
      </w:pPr>
      <w:r>
        <w:rPr>
          <w:rFonts w:ascii="Arial" w:cs="Arial" w:eastAsia="Arial" w:hAnsi="Arial"/>
          <w:b w:val="false"/>
          <w:bCs w:val="false"/>
          <w:sz w:val="20"/>
          <w:szCs w:val="20"/>
        </w:rPr>
        <w:t xml:space="preserve">Productivity programs: Positive impact of approximately **$75.6MM**</w:t>
      </w:r>
    </w:p>
    <w:p>
      <w:pPr>
        <w:pStyle w:val="ListParagraph"/>
        <w:numPr>
          <w:ilvl w:val="0"/>
          <w:numId w:val="2"/>
        </w:numPr>
        <w:spacing w:after="60"/>
      </w:pPr>
      <w:r>
        <w:rPr>
          <w:rFonts w:ascii="Arial" w:cs="Arial" w:eastAsia="Arial" w:hAnsi="Arial"/>
          <w:b w:val="false"/>
          <w:bCs w:val="false"/>
          <w:sz w:val="20"/>
          <w:szCs w:val="20"/>
        </w:rPr>
        <w:t xml:space="preserve">Offsetting: Higher manufacturing and distribution expenses</w:t>
      </w:r>
    </w:p>
    <w:p>
      <w:pPr>
        <w:spacing w:after="80"/>
      </w:pPr>
    </w:p>
    <w:p>
      <w:pPr>
        <w:spacing w:after="80"/>
      </w:pPr>
      <w:r>
        <w:rPr>
          <w:rFonts w:ascii="Arial" w:cs="Arial" w:eastAsia="Arial" w:hAnsi="Arial"/>
          <w:b w:val="false"/>
          <w:bCs w:val="false"/>
          <w:sz w:val="20"/>
          <w:szCs w:val="20"/>
        </w:rPr>
        <w:t xml:space="preserve">#### Consumer International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spacing w:after="80"/>
      </w:pPr>
    </w:p>
    <w:p>
      <w:pPr>
        <w:spacing w:after="80"/>
      </w:pPr>
      <w:r>
        <w:rPr>
          <w:rFonts w:ascii="Arial" w:cs="Arial" w:eastAsia="Arial" w:hAnsi="Arial"/>
          <w:b w:val="false"/>
          <w:bCs w:val="false"/>
          <w:sz w:val="20"/>
          <w:szCs w:val="20"/>
        </w:rPr>
        <w:t xml:space="preserve">#### Specialty Products Division (SPD)</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COGS: Not separately disclosed</w:t>
      </w:r>
    </w:p>
    <w:p>
      <w:pPr>
        <w:spacing w:after="80"/>
      </w:pPr>
    </w:p>
    <w:p>
      <w:pPr>
        <w:spacing w:after="60" w:before="200"/>
      </w:pPr>
      <w:r>
        <w:rPr>
          <w:rFonts w:ascii="Arial" w:cs="Arial" w:eastAsia="Arial" w:hAnsi="Arial"/>
          <w:b/>
          <w:bCs/>
          <w:color w:val="1F497D"/>
          <w:sz w:val="24"/>
          <w:szCs w:val="24"/>
        </w:rPr>
        <w:t xml:space="preserve">Gross Margin</w:t>
      </w:r>
    </w:p>
    <w:p>
      <w:pPr>
        <w:spacing w:after="80"/>
      </w:pPr>
    </w:p>
    <w:p>
      <w:pPr>
        <w:spacing w:after="80"/>
      </w:pPr>
      <w:r>
        <w:rPr>
          <w:rFonts w:ascii="Arial" w:cs="Arial" w:eastAsia="Arial" w:hAnsi="Arial"/>
          <w:b w:val="false"/>
          <w:bCs w:val="false"/>
          <w:sz w:val="20"/>
          <w:szCs w:val="20"/>
        </w:rPr>
        <w:t xml:space="preserve">Gross margin expanded from 44.1% to 45.7% (+160 bps).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Consolidated Drivers: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Productivity programs contributed +140 bps.</w:t>
      </w:r>
    </w:p>
    <w:p>
      <w:pPr>
        <w:pStyle w:val="ListParagraph"/>
        <w:numPr>
          <w:ilvl w:val="0"/>
          <w:numId w:val="2"/>
        </w:numPr>
        <w:spacing w:after="60"/>
      </w:pPr>
      <w:r>
        <w:rPr>
          <w:rFonts w:ascii="Arial" w:cs="Arial" w:eastAsia="Arial" w:hAnsi="Arial"/>
          <w:b w:val="false"/>
          <w:bCs w:val="false"/>
          <w:sz w:val="20"/>
          <w:szCs w:val="20"/>
        </w:rPr>
        <w:t xml:space="preserve">Favorable price/volume/mix contributed +100 bps.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Offsetting Factors:</w:t>
      </w:r>
      <w:r>
        <w:rPr>
          <w:rFonts w:ascii="Arial" w:cs="Arial" w:eastAsia="Arial" w:hAnsi="Arial"/>
          <w:b w:val="false"/>
          <w:bCs w:val="false"/>
          <w:sz w:val="20"/>
          <w:szCs w:val="20"/>
        </w:rPr>
        <w:t xml:space="preserve"/>
      </w:r>
    </w:p>
    <w:p>
      <w:pPr>
        <w:pStyle w:val="ListParagraph"/>
        <w:numPr>
          <w:ilvl w:val="0"/>
          <w:numId w:val="2"/>
        </w:numPr>
        <w:spacing w:after="60"/>
      </w:pPr>
      <w:r>
        <w:rPr>
          <w:rFonts w:ascii="Arial" w:cs="Arial" w:eastAsia="Arial" w:hAnsi="Arial"/>
          <w:b w:val="false"/>
          <w:bCs w:val="false"/>
          <w:sz w:val="20"/>
          <w:szCs w:val="20"/>
        </w:rPr>
        <w:t xml:space="preserve">Higher manufacturing costs, including labor and commodities</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Segment Analysis:</w:t>
      </w:r>
      <w:r>
        <w:rPr>
          <w:rFonts w:ascii="Arial" w:cs="Arial" w:eastAsia="Arial" w:hAnsi="Arial"/>
          <w:b w:val="false"/>
          <w:bCs w:val="false"/>
          <w:sz w:val="20"/>
          <w:szCs w:val="20"/>
        </w:rPr>
        <w:t xml:space="preserve"/>
      </w:r>
    </w:p>
    <w:p>
      <w:pPr>
        <w:spacing w:after="80"/>
      </w:pPr>
    </w:p>
    <w:p>
      <w:pPr>
        <w:spacing w:after="80"/>
      </w:pPr>
      <w:r>
        <w:rPr>
          <w:rFonts w:ascii="Arial" w:cs="Arial" w:eastAsia="Arial" w:hAnsi="Arial"/>
          <w:b w:val="false"/>
          <w:bCs w:val="false"/>
          <w:sz w:val="20"/>
          <w:szCs w:val="20"/>
        </w:rPr>
        <w:t xml:space="preserve">#### Consumer Domestic</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pStyle w:val="ListParagraph"/>
        <w:numPr>
          <w:ilvl w:val="0"/>
          <w:numId w:val="2"/>
        </w:numPr>
        <w:spacing w:after="60"/>
      </w:pPr>
      <w:r>
        <w:rPr>
          <w:rFonts w:ascii="Arial" w:cs="Arial" w:eastAsia="Arial" w:hAnsi="Arial"/>
          <w:b w:val="false"/>
          <w:bCs w:val="false"/>
          <w:sz w:val="20"/>
          <w:szCs w:val="20"/>
        </w:rPr>
        <w:t xml:space="preserve">Higher sales volumes: Positive impact</w:t>
      </w:r>
    </w:p>
    <w:p>
      <w:pPr>
        <w:pStyle w:val="ListParagraph"/>
        <w:numPr>
          <w:ilvl w:val="0"/>
          <w:numId w:val="2"/>
        </w:numPr>
        <w:spacing w:after="60"/>
      </w:pPr>
      <w:r>
        <w:rPr>
          <w:rFonts w:ascii="Arial" w:cs="Arial" w:eastAsia="Arial" w:hAnsi="Arial"/>
          <w:b w:val="false"/>
          <w:bCs w:val="false"/>
          <w:sz w:val="20"/>
          <w:szCs w:val="20"/>
        </w:rPr>
        <w:t xml:space="preserve">Offsetting: Higher SG&amp;A and marketing expenses</w:t>
      </w:r>
    </w:p>
    <w:p>
      <w:pPr>
        <w:spacing w:after="80"/>
      </w:pPr>
    </w:p>
    <w:p>
      <w:pPr>
        <w:spacing w:after="80"/>
      </w:pPr>
      <w:r>
        <w:rPr>
          <w:rFonts w:ascii="Arial" w:cs="Arial" w:eastAsia="Arial" w:hAnsi="Arial"/>
          <w:b w:val="false"/>
          <w:bCs w:val="false"/>
          <w:sz w:val="20"/>
          <w:szCs w:val="20"/>
        </w:rPr>
        <w:t xml:space="preserve">#### Consumer International</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spacing w:after="80"/>
      </w:pPr>
    </w:p>
    <w:p>
      <w:pPr>
        <w:spacing w:after="80"/>
      </w:pPr>
      <w:r>
        <w:rPr>
          <w:rFonts w:ascii="Arial" w:cs="Arial" w:eastAsia="Arial" w:hAnsi="Arial"/>
          <w:b w:val="false"/>
          <w:bCs w:val="false"/>
          <w:sz w:val="20"/>
          <w:szCs w:val="20"/>
        </w:rPr>
        <w:t xml:space="preserve">#### Specialty Products Division (SPD)</w:t>
      </w:r>
    </w:p>
    <w:p>
      <w:pPr>
        <w:spacing w:after="80"/>
      </w:pPr>
    </w:p>
    <w:p>
      <w:pPr>
        <w:pStyle w:val="ListParagraph"/>
        <w:numPr>
          <w:ilvl w:val="0"/>
          <w:numId w:val="2"/>
        </w:numPr>
        <w:spacing w:after="60"/>
      </w:pPr>
      <w:r>
        <w:rPr>
          <w:rFonts w:ascii="Arial" w:cs="Arial" w:eastAsia="Arial" w:hAnsi="Arial"/>
          <w:b w:val="false"/>
          <w:bCs w:val="false"/>
          <w:sz w:val="20"/>
          <w:szCs w:val="20"/>
        </w:rPr>
        <w:t xml:space="preserve">Gross Margin: Not separately disclosed</w:t>
      </w:r>
    </w:p>
    <w:p>
      <w:pPr>
        <w:spacing w:after="80"/>
      </w:pPr>
    </w:p>
    <w:p>
      <w:pPr>
        <w:spacing w:after="60" w:before="200"/>
      </w:pPr>
      <w:r>
        <w:rPr>
          <w:rFonts w:ascii="Arial" w:cs="Arial" w:eastAsia="Arial" w:hAnsi="Arial"/>
          <w:b/>
          <w:bCs/>
          <w:color w:val="1F497D"/>
          <w:sz w:val="24"/>
          <w:szCs w:val="24"/>
        </w:rPr>
        <w:t xml:space="preserve">EBITDA and Margins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**EBITDA:** **$1,056MM** vs **$1,290MM** (-18.2% YoY)</w:t>
      </w:r>
    </w:p>
    <w:p>
      <w:pPr>
        <w:pStyle w:val="ListParagraph"/>
        <w:numPr>
          <w:ilvl w:val="0"/>
          <w:numId w:val="2"/>
        </w:numPr>
        <w:spacing w:after="60"/>
      </w:pPr>
      <w:r>
        <w:rPr>
          <w:rFonts w:ascii="Arial" w:cs="Arial" w:eastAsia="Arial" w:hAnsi="Arial"/>
          <w:b w:val="false"/>
          <w:bCs w:val="false"/>
          <w:sz w:val="20"/>
          <w:szCs w:val="20"/>
        </w:rPr>
        <w:t xml:space="preserve">**EBITDA Margin:** 17.3% vs 22.0% (-4.7pp)</w:t>
      </w:r>
    </w:p>
    <w:p>
      <w:pPr>
        <w:pStyle w:val="ListParagraph"/>
        <w:numPr>
          <w:ilvl w:val="0"/>
          <w:numId w:val="2"/>
        </w:numPr>
        <w:spacing w:after="60"/>
      </w:pPr>
      <w:r>
        <w:rPr>
          <w:rFonts w:ascii="Arial" w:cs="Arial" w:eastAsia="Arial" w:hAnsi="Arial"/>
          <w:b w:val="false"/>
          <w:bCs w:val="false"/>
          <w:sz w:val="20"/>
          <w:szCs w:val="20"/>
        </w:rPr>
        <w:t xml:space="preserve">Key EBITDA driver: VMS impairment charges significantly impacted reported EBITDA.</w:t>
      </w:r>
    </w:p>
    <w:p>
      <w:pPr>
        <w:spacing w:after="80"/>
      </w:pPr>
    </w:p>
    <w:p>
      <w:pPr>
        <w:spacing w:after="60" w:before="200"/>
      </w:pPr>
      <w:r>
        <w:rPr>
          <w:rFonts w:ascii="Arial" w:cs="Arial" w:eastAsia="Arial" w:hAnsi="Arial"/>
          <w:b/>
          <w:bCs/>
          <w:color w:val="1F497D"/>
          <w:sz w:val="24"/>
          <w:szCs w:val="24"/>
        </w:rPr>
        <w:t xml:space="preserve">SG&amp;A</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**SG&amp;A:** **$928MM** vs **$890MM** (+4.3% YoY)</w:t>
      </w:r>
    </w:p>
    <w:p>
      <w:pPr>
        <w:pStyle w:val="ListParagraph"/>
        <w:numPr>
          <w:ilvl w:val="0"/>
          <w:numId w:val="2"/>
        </w:numPr>
        <w:spacing w:after="60"/>
      </w:pPr>
      <w:r>
        <w:rPr>
          <w:rFonts w:ascii="Arial" w:cs="Arial" w:eastAsia="Arial" w:hAnsi="Arial"/>
          <w:b w:val="false"/>
          <w:bCs w:val="false"/>
          <w:sz w:val="20"/>
          <w:szCs w:val="20"/>
        </w:rPr>
        <w:t xml:space="preserve">SG&amp;A trend reflects increased marketing and growth investments.</w:t>
      </w:r>
    </w:p>
    <w:p>
      <w:pPr>
        <w:spacing w:after="80"/>
      </w:pPr>
    </w:p>
    <w:p>
      <w:pPr>
        <w:spacing w:after="60" w:before="200"/>
      </w:pPr>
      <w:r>
        <w:rPr>
          <w:rFonts w:ascii="Arial" w:cs="Arial" w:eastAsia="Arial" w:hAnsi="Arial"/>
          <w:b/>
          <w:bCs/>
          <w:color w:val="1F497D"/>
          <w:sz w:val="24"/>
          <w:szCs w:val="24"/>
        </w:rPr>
        <w:t xml:space="preserve">Cash Flow</w:t>
      </w:r>
    </w:p>
    <w:p>
      <w:pPr>
        <w:spacing w:after="80"/>
      </w:pPr>
    </w:p>
    <w:p>
      <w:pPr>
        <w:pStyle w:val="ListParagraph"/>
        <w:numPr>
          <w:ilvl w:val="0"/>
          <w:numId w:val="2"/>
        </w:numPr>
        <w:spacing w:after="60"/>
      </w:pPr>
      <w:r>
        <w:rPr>
          <w:rFonts w:ascii="Arial" w:cs="Arial" w:eastAsia="Arial" w:hAnsi="Arial"/>
          <w:b w:val="false"/>
          <w:bCs w:val="false"/>
          <w:sz w:val="20"/>
          <w:szCs w:val="20"/>
        </w:rPr>
        <w:t xml:space="preserve">**Operating Cash Flow:** **$1,156MM** vs **$1,031MM** (+12.2% YoY)</w:t>
      </w:r>
    </w:p>
    <w:p>
      <w:pPr>
        <w:pStyle w:val="ListParagraph"/>
        <w:numPr>
          <w:ilvl w:val="0"/>
          <w:numId w:val="2"/>
        </w:numPr>
        <w:spacing w:after="60"/>
      </w:pPr>
      <w:r>
        <w:rPr>
          <w:rFonts w:ascii="Arial" w:cs="Arial" w:eastAsia="Arial" w:hAnsi="Arial"/>
          <w:b w:val="false"/>
          <w:bCs w:val="false"/>
          <w:sz w:val="20"/>
          <w:szCs w:val="20"/>
        </w:rPr>
        <w:t xml:space="preserve">**Capex:** **$180MM** vs **$224MM** (-19.6% YoY)</w:t>
      </w:r>
    </w:p>
    <w:p>
      <w:pPr>
        <w:pStyle w:val="ListParagraph"/>
        <w:numPr>
          <w:ilvl w:val="0"/>
          <w:numId w:val="2"/>
        </w:numPr>
        <w:spacing w:after="60"/>
      </w:pPr>
      <w:r>
        <w:rPr>
          <w:rFonts w:ascii="Arial" w:cs="Arial" w:eastAsia="Arial" w:hAnsi="Arial"/>
          <w:b w:val="false"/>
          <w:bCs w:val="false"/>
          <w:sz w:val="20"/>
          <w:szCs w:val="20"/>
        </w:rPr>
        <w:t xml:space="preserve">**Free Cash Flow:** **$976MM** vs **$807MM** (+21.0% YoY)</w:t>
      </w:r>
    </w:p>
    <w:p>
      <w:pPr>
        <w:spacing w:after="80"/>
      </w:pPr>
    </w:p>
    <w:p>
      <w:pPr>
        <w:spacing w:after="60" w:before="200"/>
      </w:pPr>
      <w:r>
        <w:rPr>
          <w:rFonts w:ascii="Arial" w:cs="Arial" w:eastAsia="Arial" w:hAnsi="Arial"/>
          <w:b/>
          <w:bCs/>
          <w:color w:val="1F497D"/>
          <w:sz w:val="24"/>
          <w:szCs w:val="24"/>
        </w:rPr>
        <w:t xml:space="preserve">Leverage and Debt Service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**Total Debt:** **$2,205MM** vs **$2,402MM** (-8.2% YoY)</w:t>
      </w:r>
    </w:p>
    <w:p>
      <w:pPr>
        <w:pStyle w:val="ListParagraph"/>
        <w:numPr>
          <w:ilvl w:val="0"/>
          <w:numId w:val="2"/>
        </w:numPr>
        <w:spacing w:after="60"/>
      </w:pPr>
      <w:r>
        <w:rPr>
          <w:rFonts w:ascii="Arial" w:cs="Arial" w:eastAsia="Arial" w:hAnsi="Arial"/>
          <w:b w:val="false"/>
          <w:bCs w:val="false"/>
          <w:sz w:val="20"/>
          <w:szCs w:val="20"/>
        </w:rPr>
        <w:t xml:space="preserve">**Leverage:** 1.86x → 2.09x</w:t>
      </w:r>
    </w:p>
    <w:p>
      <w:pPr>
        <w:pStyle w:val="ListParagraph"/>
        <w:numPr>
          <w:ilvl w:val="0"/>
          <w:numId w:val="2"/>
        </w:numPr>
        <w:spacing w:after="60"/>
      </w:pPr>
      <w:r>
        <w:rPr>
          <w:rFonts w:ascii="Arial" w:cs="Arial" w:eastAsia="Arial" w:hAnsi="Arial"/>
          <w:b w:val="false"/>
          <w:bCs w:val="false"/>
          <w:sz w:val="20"/>
          <w:szCs w:val="20"/>
        </w:rPr>
        <w:t xml:space="preserve">**FCC:** 2.69x → 6.53x</w:t>
      </w:r>
    </w:p>
    <w:p>
      <w:pPr>
        <w:spacing w:after="80"/>
      </w:pPr>
    </w:p>
    <w:p>
      <w:pPr>
        <w:spacing w:after="60" w:before="200"/>
      </w:pPr>
      <w:r>
        <w:rPr>
          <w:rFonts w:ascii="Arial" w:cs="Arial" w:eastAsia="Arial" w:hAnsi="Arial"/>
          <w:b/>
          <w:bCs/>
          <w:color w:val="1F497D"/>
          <w:sz w:val="24"/>
          <w:szCs w:val="24"/>
        </w:rPr>
        <w:t xml:space="preserve">Liquidity</w:t>
      </w:r>
    </w:p>
    <w:p>
      <w:pPr>
        <w:spacing w:after="80"/>
      </w:pPr>
    </w:p>
    <w:p>
      <w:pPr>
        <w:pStyle w:val="ListParagraph"/>
        <w:numPr>
          <w:ilvl w:val="0"/>
          <w:numId w:val="2"/>
        </w:numPr>
        <w:spacing w:after="60"/>
      </w:pPr>
      <w:r>
        <w:rPr>
          <w:rFonts w:ascii="Arial" w:cs="Arial" w:eastAsia="Arial" w:hAnsi="Arial"/>
          <w:b w:val="false"/>
          <w:bCs w:val="false"/>
          <w:sz w:val="20"/>
          <w:szCs w:val="20"/>
        </w:rPr>
        <w:t xml:space="preserve">**Cash:** **$964MM** vs **$344MM** (+179.9% YoY)</w:t>
      </w:r>
    </w:p>
    <w:p>
      <w:pPr>
        <w:pStyle w:val="ListParagraph"/>
        <w:numPr>
          <w:ilvl w:val="0"/>
          <w:numId w:val="2"/>
        </w:numPr>
        <w:spacing w:after="60"/>
      </w:pPr>
      <w:r>
        <w:rPr>
          <w:rFonts w:ascii="Arial" w:cs="Arial" w:eastAsia="Arial" w:hAnsi="Arial"/>
          <w:b w:val="false"/>
          <w:bCs w:val="false"/>
          <w:sz w:val="20"/>
          <w:szCs w:val="20"/>
        </w:rPr>
        <w:t xml:space="preserve">**Revolving Credit Facility:**</w:t>
      </w:r>
    </w:p>
    <w:p>
      <w:pPr>
        <w:pStyle w:val="ListParagraph"/>
        <w:numPr>
          <w:ilvl w:val="0"/>
          <w:numId w:val="2"/>
        </w:numPr>
        <w:spacing w:after="60"/>
      </w:pPr>
      <w:r>
        <w:rPr>
          <w:rFonts w:ascii="Arial" w:cs="Arial" w:eastAsia="Arial" w:hAnsi="Arial"/>
          <w:b w:val="false"/>
          <w:bCs w:val="false"/>
          <w:sz w:val="20"/>
          <w:szCs w:val="20"/>
        </w:rPr>
        <w:t xml:space="preserve">Facility Size: **$1,500MM**</w:t>
      </w:r>
    </w:p>
    <w:p>
      <w:pPr>
        <w:pStyle w:val="ListParagraph"/>
        <w:numPr>
          <w:ilvl w:val="0"/>
          <w:numId w:val="2"/>
        </w:numPr>
        <w:spacing w:after="60"/>
      </w:pPr>
      <w:r>
        <w:rPr>
          <w:rFonts w:ascii="Arial" w:cs="Arial" w:eastAsia="Arial" w:hAnsi="Arial"/>
          <w:b w:val="false"/>
          <w:bCs w:val="false"/>
          <w:sz w:val="20"/>
          <w:szCs w:val="20"/>
        </w:rPr>
        <w:t xml:space="preserve">Borrowings: **$0MM**</w:t>
      </w:r>
    </w:p>
    <w:p>
      <w:pPr>
        <w:pStyle w:val="ListParagraph"/>
        <w:numPr>
          <w:ilvl w:val="0"/>
          <w:numId w:val="2"/>
        </w:numPr>
        <w:spacing w:after="60"/>
      </w:pPr>
      <w:r>
        <w:rPr>
          <w:rFonts w:ascii="Arial" w:cs="Arial" w:eastAsia="Arial" w:hAnsi="Arial"/>
          <w:b w:val="false"/>
          <w:bCs w:val="false"/>
          <w:sz w:val="20"/>
          <w:szCs w:val="20"/>
        </w:rPr>
        <w:t xml:space="preserve">Available Capacity: **$1,494MM**</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Credit Risks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VMS impairment charges of **$357.1MM** significantly impacted profitability.</w:t>
      </w:r>
    </w:p>
    <w:p>
      <w:pPr>
        <w:pStyle w:val="ListParagraph"/>
        <w:numPr>
          <w:ilvl w:val="0"/>
          <w:numId w:val="2"/>
        </w:numPr>
        <w:spacing w:after="60"/>
      </w:pPr>
      <w:r>
        <w:rPr>
          <w:rFonts w:ascii="Arial" w:cs="Arial" w:eastAsia="Arial" w:hAnsi="Arial"/>
          <w:b w:val="false"/>
          <w:bCs w:val="false"/>
          <w:sz w:val="20"/>
          <w:szCs w:val="20"/>
        </w:rPr>
        <w:t xml:space="preserve">Increased leverage to 2.09x from 1.86x.</w:t>
      </w:r>
    </w:p>
    <w:p>
      <w:pPr>
        <w:pStyle w:val="ListParagraph"/>
        <w:numPr>
          <w:ilvl w:val="0"/>
          <w:numId w:val="2"/>
        </w:numPr>
        <w:spacing w:after="60"/>
      </w:pPr>
      <w:r>
        <w:rPr>
          <w:rFonts w:ascii="Arial" w:cs="Arial" w:eastAsia="Arial" w:hAnsi="Arial"/>
          <w:b w:val="false"/>
          <w:bCs w:val="false"/>
          <w:sz w:val="20"/>
          <w:szCs w:val="20"/>
        </w:rPr>
        <w:t xml:space="preserve">Foreign exchange rate fluctuations negatively impacted international revenue.</w:t>
      </w:r>
    </w:p>
    <w:p>
      <w:pPr>
        <w:spacing w:after="80"/>
      </w:pPr>
    </w:p>
    <w:p>
      <w:pPr>
        <w:spacing w:after="60" w:before="200"/>
      </w:pPr>
      <w:r>
        <w:rPr>
          <w:rFonts w:ascii="Arial" w:cs="Arial" w:eastAsia="Arial" w:hAnsi="Arial"/>
          <w:b/>
          <w:bCs/>
          <w:color w:val="1F497D"/>
          <w:sz w:val="24"/>
          <w:szCs w:val="24"/>
        </w:rPr>
        <w:t xml:space="preserve">Mitigants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Strong cash flow generation with FCF of **$976MM**.</w:t>
      </w:r>
    </w:p>
    <w:p>
      <w:pPr>
        <w:pStyle w:val="ListParagraph"/>
        <w:numPr>
          <w:ilvl w:val="0"/>
          <w:numId w:val="2"/>
        </w:numPr>
        <w:spacing w:after="60"/>
      </w:pPr>
      <w:r>
        <w:rPr>
          <w:rFonts w:ascii="Arial" w:cs="Arial" w:eastAsia="Arial" w:hAnsi="Arial"/>
          <w:b w:val="false"/>
          <w:bCs w:val="false"/>
          <w:sz w:val="20"/>
          <w:szCs w:val="20"/>
        </w:rPr>
        <w:t xml:space="preserve">Significant liquidity with **$2,458MM** available.</w:t>
      </w:r>
    </w:p>
    <w:p>
      <w:pPr>
        <w:pStyle w:val="ListParagraph"/>
        <w:numPr>
          <w:ilvl w:val="0"/>
          <w:numId w:val="2"/>
        </w:numPr>
        <w:spacing w:after="60"/>
      </w:pPr>
      <w:r>
        <w:rPr>
          <w:rFonts w:ascii="Arial" w:cs="Arial" w:eastAsia="Arial" w:hAnsi="Arial"/>
          <w:b w:val="false"/>
          <w:bCs w:val="false"/>
          <w:sz w:val="20"/>
          <w:szCs w:val="20"/>
        </w:rPr>
        <w:t xml:space="preserve">Reduction in total debt by **$197MM**.</w:t>
      </w:r>
    </w:p>
    <w:p>
      <w:pPr>
        <w:spacing w:after="80"/>
      </w:pPr>
    </w:p>
    <w:p>
      <w:pPr>
        <w:spacing w:after="60" w:before="200"/>
      </w:pPr>
      <w:r>
        <w:rPr>
          <w:rFonts w:ascii="Arial" w:cs="Arial" w:eastAsia="Arial" w:hAnsi="Arial"/>
          <w:b/>
          <w:bCs/>
          <w:color w:val="1F497D"/>
          <w:sz w:val="24"/>
          <w:szCs w:val="24"/>
        </w:rPr>
        <w:t xml:space="preserve">Covenant Compliance</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**Leverage:** 2.09x vs max not specified — compliant with headroom.</w:t>
      </w:r>
    </w:p>
    <w:p>
      <w:pPr>
        <w:pStyle w:val="ListParagraph"/>
        <w:numPr>
          <w:ilvl w:val="0"/>
          <w:numId w:val="2"/>
        </w:numPr>
        <w:spacing w:after="60"/>
      </w:pPr>
      <w:r>
        <w:rPr>
          <w:rFonts w:ascii="Arial" w:cs="Arial" w:eastAsia="Arial" w:hAnsi="Arial"/>
          <w:b w:val="false"/>
          <w:bCs w:val="false"/>
          <w:sz w:val="20"/>
          <w:szCs w:val="20"/>
        </w:rPr>
        <w:t xml:space="preserve">**FCC:** 6.53x vs min not specified — compliant with headroom.</w:t>
      </w:r>
    </w:p>
    <w:p>
      <w:pPr>
        <w:spacing w:after="80"/>
      </w:pPr>
    </w:p>
    <w:p>
      <w:pPr>
        <w:spacing w:after="60" w:before="200"/>
      </w:pPr>
      <w:r>
        <w:rPr>
          <w:rFonts w:ascii="Arial" w:cs="Arial" w:eastAsia="Arial" w:hAnsi="Arial"/>
          <w:b/>
          <w:bCs/>
          <w:color w:val="1F497D"/>
          <w:sz w:val="24"/>
          <w:szCs w:val="24"/>
        </w:rPr>
        <w:t xml:space="preserve">Recommendation</w:t>
      </w:r>
    </w:p>
    <w:p>
      <w:pPr>
        <w:spacing w:after="80"/>
      </w:pPr>
    </w:p>
    <w:p>
      <w:pPr>
        <w:spacing w:after="80"/>
      </w:pPr>
      <w:r>
        <w:rPr>
          <w:rFonts w:ascii="Arial" w:cs="Arial" w:eastAsia="Arial" w:hAnsi="Arial"/>
          <w:b w:val="false"/>
          <w:bCs w:val="false"/>
          <w:sz w:val="20"/>
          <w:szCs w:val="20"/>
        </w:rPr>
        <w:t xml:space="preserve">Approve with conditions: The borrower demonstrates strong liquidity and cash flow generation, which mitigates the impact of increased leverage and VMS impairment charges. Continued focus on operational efficiency and portfolio rationalization is recommended to sustain profitability.</w:t>
      </w:r>
    </w:p>
    <w:p>
      <w:pPr>
        <w:spacing w:after="80"/>
      </w:pPr>
    </w:p>
    <w:p>
      <w:pPr>
        <w:spacing w:after="60" w:before="200"/>
      </w:pPr>
      <w:r>
        <w:rPr>
          <w:rFonts w:ascii="Arial" w:cs="Arial" w:eastAsia="Arial" w:hAnsi="Arial"/>
          <w:b/>
          <w:bCs/>
          <w:color w:val="1F497D"/>
          <w:sz w:val="24"/>
          <w:szCs w:val="24"/>
        </w:rPr>
        <w:t xml:space="preserve">Data Gaps and Limitations</w:t>
      </w:r>
    </w:p>
    <w:p>
      <w:pPr>
        <w:spacing w:after="80"/>
      </w:pPr>
    </w:p>
    <w:p>
      <w:pPr>
        <w:pStyle w:val="ListParagraph"/>
        <w:numPr>
          <w:ilvl w:val="0"/>
          <w:numId w:val="2"/>
        </w:numPr>
        <w:spacing w:after="60"/>
      </w:pPr>
      <w:r>
        <w:rPr>
          <w:rFonts w:ascii="Arial" w:cs="Arial" w:eastAsia="Arial" w:hAnsi="Arial"/>
          <w:b w:val="false"/>
          <w:bCs w:val="false"/>
          <w:sz w:val="20"/>
          <w:szCs w:val="20"/>
        </w:rPr>
        <w:t xml:space="preserve">Lack of specific segment-level COGS and gross margin data.</w:t>
      </w:r>
    </w:p>
    <w:p>
      <w:pPr>
        <w:pStyle w:val="ListParagraph"/>
        <w:numPr>
          <w:ilvl w:val="0"/>
          <w:numId w:val="2"/>
        </w:numPr>
        <w:spacing w:after="60"/>
      </w:pPr>
      <w:r>
        <w:rPr>
          <w:rFonts w:ascii="Arial" w:cs="Arial" w:eastAsia="Arial" w:hAnsi="Arial"/>
          <w:b w:val="false"/>
          <w:bCs w:val="false"/>
          <w:sz w:val="20"/>
          <w:szCs w:val="20"/>
        </w:rPr>
        <w:t xml:space="preserve">Absence of detailed covenant thresholds for leverage and FCC.</w:t>
      </w:r>
    </w:p>
    <w:p>
      <w:pPr>
        <w:spacing w:after="80"/>
      </w:pPr>
    </w:p>
    <w:p>
      <w:pPr>
        <w:spacing w:after="80"/>
      </w:pPr>
      <w:r>
        <w:rPr>
          <w:rFonts w:ascii="Arial" w:cs="Arial" w:eastAsia="Arial" w:hAnsi="Arial"/>
          <w:b w:val="false"/>
          <w:bCs w:val="false"/>
          <w:sz w:val="20"/>
          <w:szCs w:val="20"/>
        </w:rPr>
        <w:t xml:space="preserve">---</w:t>
      </w:r>
    </w:p>
    <w:p>
      <w:pPr>
        <w:spacing w:after="80"/>
      </w:pPr>
    </w:p>
    <w:p>
      <w:pPr>
        <w:spacing w:after="60" w:before="200"/>
      </w:pPr>
      <w:r>
        <w:rPr>
          <w:rFonts w:ascii="Arial" w:cs="Arial" w:eastAsia="Arial" w:hAnsi="Arial"/>
          <w:b/>
          <w:bCs/>
          <w:color w:val="1F497D"/>
          <w:sz w:val="24"/>
          <w:szCs w:val="24"/>
        </w:rPr>
        <w:t xml:space="preserve">Extracted Financial Data</w:t>
      </w:r>
    </w:p>
    <w:p>
      <w:pPr>
        <w:spacing w:after="80"/>
      </w:pPr>
    </w:p>
    <w:p>
      <w:pPr>
        <w:spacing w:after="80"/>
      </w:pPr>
      <w:r>
        <w:rPr>
          <w:rFonts w:ascii="Arial" w:cs="Arial" w:eastAsia="Arial" w:hAnsi="Arial"/>
          <w:b w:val="false"/>
          <w:bCs w:val="false"/>
          <w:sz w:val="20"/>
          <w:szCs w:val="20"/>
        </w:rPr>
        <w:t xml:space="preserve"/>
      </w:r>
      <w:r>
        <w:rPr>
          <w:rFonts w:ascii="Arial" w:cs="Arial" w:eastAsia="Arial" w:hAnsi="Arial"/>
          <w:b/>
          <w:bCs/>
          <w:sz w:val="20"/>
          <w:szCs w:val="20"/>
        </w:rPr>
        <w:t xml:space="preserve">Statement Basis:</w:t>
      </w:r>
      <w:r>
        <w:rPr>
          <w:rFonts w:ascii="Arial" w:cs="Arial" w:eastAsia="Arial" w:hAnsi="Arial"/>
          <w:b w:val="false"/>
          <w:bCs w:val="false"/>
          <w:sz w:val="20"/>
          <w:szCs w:val="20"/>
        </w:rPr>
        <w:t xml:space="preserve"> millions</w:t>
      </w:r>
    </w:p>
    <w:p>
      <w:pPr>
        <w:spacing w:after="80"/>
      </w:pPr>
    </w:p>
    <w:p>
      <w:pPr>
        <w:spacing w:after="60" w:before="200"/>
      </w:pPr>
      <w:r>
        <w:rPr>
          <w:rFonts w:ascii="Arial" w:cs="Arial" w:eastAsia="Arial" w:hAnsi="Arial"/>
          <w:b/>
          <w:bCs/>
          <w:color w:val="1F497D"/>
          <w:sz w:val="24"/>
          <w:szCs w:val="24"/>
        </w:rPr>
        <w:t xml:space="preserve">FY2024</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$6,107MM</w:t>
      </w:r>
    </w:p>
    <w:p>
      <w:pPr>
        <w:pStyle w:val="ListParagraph"/>
        <w:numPr>
          <w:ilvl w:val="0"/>
          <w:numId w:val="2"/>
        </w:numPr>
        <w:spacing w:after="60"/>
      </w:pPr>
      <w:r>
        <w:rPr>
          <w:rFonts w:ascii="Arial" w:cs="Arial" w:eastAsia="Arial" w:hAnsi="Arial"/>
          <w:b w:val="false"/>
          <w:bCs w:val="false"/>
          <w:sz w:val="20"/>
          <w:szCs w:val="20"/>
        </w:rPr>
        <w:t xml:space="preserve">Cost of Sales: $3,317MM</w:t>
      </w:r>
    </w:p>
    <w:p>
      <w:pPr>
        <w:pStyle w:val="ListParagraph"/>
        <w:numPr>
          <w:ilvl w:val="0"/>
          <w:numId w:val="2"/>
        </w:numPr>
        <w:spacing w:after="60"/>
      </w:pPr>
      <w:r>
        <w:rPr>
          <w:rFonts w:ascii="Arial" w:cs="Arial" w:eastAsia="Arial" w:hAnsi="Arial"/>
          <w:b w:val="false"/>
          <w:bCs w:val="false"/>
          <w:sz w:val="20"/>
          <w:szCs w:val="20"/>
        </w:rPr>
        <w:t xml:space="preserve">SG&amp;A: $928MM</w:t>
      </w:r>
    </w:p>
    <w:p>
      <w:pPr>
        <w:pStyle w:val="ListParagraph"/>
        <w:numPr>
          <w:ilvl w:val="0"/>
          <w:numId w:val="2"/>
        </w:numPr>
        <w:spacing w:after="60"/>
      </w:pPr>
      <w:r>
        <w:rPr>
          <w:rFonts w:ascii="Arial" w:cs="Arial" w:eastAsia="Arial" w:hAnsi="Arial"/>
          <w:b w:val="false"/>
          <w:bCs w:val="false"/>
          <w:sz w:val="20"/>
          <w:szCs w:val="20"/>
        </w:rPr>
        <w:t xml:space="preserve">Operating Income: $807MM</w:t>
      </w:r>
    </w:p>
    <w:p>
      <w:pPr>
        <w:pStyle w:val="ListParagraph"/>
        <w:numPr>
          <w:ilvl w:val="0"/>
          <w:numId w:val="2"/>
        </w:numPr>
        <w:spacing w:after="60"/>
      </w:pPr>
      <w:r>
        <w:rPr>
          <w:rFonts w:ascii="Arial" w:cs="Arial" w:eastAsia="Arial" w:hAnsi="Arial"/>
          <w:b w:val="false"/>
          <w:bCs w:val="false"/>
          <w:sz w:val="20"/>
          <w:szCs w:val="20"/>
        </w:rPr>
        <w:t xml:space="preserve">EBITDA: $1,056MM</w:t>
      </w:r>
    </w:p>
    <w:p>
      <w:pPr>
        <w:pStyle w:val="ListParagraph"/>
        <w:numPr>
          <w:ilvl w:val="0"/>
          <w:numId w:val="2"/>
        </w:numPr>
        <w:spacing w:after="60"/>
      </w:pPr>
      <w:r>
        <w:rPr>
          <w:rFonts w:ascii="Arial" w:cs="Arial" w:eastAsia="Arial" w:hAnsi="Arial"/>
          <w:b w:val="false"/>
          <w:bCs w:val="false"/>
          <w:sz w:val="20"/>
          <w:szCs w:val="20"/>
        </w:rPr>
        <w:t xml:space="preserve">Net Income: $585MM</w:t>
      </w:r>
    </w:p>
    <w:p>
      <w:pPr>
        <w:pStyle w:val="ListParagraph"/>
        <w:numPr>
          <w:ilvl w:val="0"/>
          <w:numId w:val="2"/>
        </w:numPr>
        <w:spacing w:after="60"/>
      </w:pPr>
      <w:r>
        <w:rPr>
          <w:rFonts w:ascii="Arial" w:cs="Arial" w:eastAsia="Arial" w:hAnsi="Arial"/>
          <w:b w:val="false"/>
          <w:bCs w:val="false"/>
          <w:sz w:val="20"/>
          <w:szCs w:val="20"/>
        </w:rPr>
        <w:t xml:space="preserve">Interest Expense: $95MM</w:t>
      </w:r>
    </w:p>
    <w:p>
      <w:pPr>
        <w:pStyle w:val="ListParagraph"/>
        <w:numPr>
          <w:ilvl w:val="0"/>
          <w:numId w:val="2"/>
        </w:numPr>
        <w:spacing w:after="60"/>
      </w:pPr>
      <w:r>
        <w:rPr>
          <w:rFonts w:ascii="Arial" w:cs="Arial" w:eastAsia="Arial" w:hAnsi="Arial"/>
          <w:b w:val="false"/>
          <w:bCs w:val="false"/>
          <w:sz w:val="20"/>
          <w:szCs w:val="20"/>
        </w:rPr>
        <w:t xml:space="preserve">Income Tax: $171MM</w:t>
      </w:r>
    </w:p>
    <w:p>
      <w:pPr>
        <w:pStyle w:val="ListParagraph"/>
        <w:numPr>
          <w:ilvl w:val="0"/>
          <w:numId w:val="2"/>
        </w:numPr>
        <w:spacing w:after="60"/>
      </w:pPr>
      <w:r>
        <w:rPr>
          <w:rFonts w:ascii="Arial" w:cs="Arial" w:eastAsia="Arial" w:hAnsi="Arial"/>
          <w:b w:val="false"/>
          <w:bCs w:val="false"/>
          <w:sz w:val="20"/>
          <w:szCs w:val="20"/>
        </w:rPr>
        <w:t xml:space="preserve">D&amp;A: $239MM</w:t>
      </w:r>
    </w:p>
    <w:p>
      <w:pPr>
        <w:pStyle w:val="ListParagraph"/>
        <w:numPr>
          <w:ilvl w:val="0"/>
          <w:numId w:val="2"/>
        </w:numPr>
        <w:spacing w:after="60"/>
      </w:pPr>
      <w:r>
        <w:rPr>
          <w:rFonts w:ascii="Arial" w:cs="Arial" w:eastAsia="Arial" w:hAnsi="Arial"/>
          <w:b w:val="false"/>
          <w:bCs w:val="false"/>
          <w:sz w:val="20"/>
          <w:szCs w:val="20"/>
        </w:rPr>
        <w:t xml:space="preserve">Rent Expense: $9MM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$964MM</w:t>
      </w:r>
    </w:p>
    <w:p>
      <w:pPr>
        <w:pStyle w:val="ListParagraph"/>
        <w:numPr>
          <w:ilvl w:val="0"/>
          <w:numId w:val="2"/>
        </w:numPr>
        <w:spacing w:after="60"/>
      </w:pPr>
      <w:r>
        <w:rPr>
          <w:rFonts w:ascii="Arial" w:cs="Arial" w:eastAsia="Arial" w:hAnsi="Arial"/>
          <w:b w:val="false"/>
          <w:bCs w:val="false"/>
          <w:sz w:val="20"/>
          <w:szCs w:val="20"/>
        </w:rPr>
        <w:t xml:space="preserve">Total Assets: $8,883MM</w:t>
      </w:r>
    </w:p>
    <w:p>
      <w:pPr>
        <w:pStyle w:val="ListParagraph"/>
        <w:numPr>
          <w:ilvl w:val="0"/>
          <w:numId w:val="2"/>
        </w:numPr>
        <w:spacing w:after="60"/>
      </w:pPr>
      <w:r>
        <w:rPr>
          <w:rFonts w:ascii="Arial" w:cs="Arial" w:eastAsia="Arial" w:hAnsi="Arial"/>
          <w:b w:val="false"/>
          <w:bCs w:val="false"/>
          <w:sz w:val="20"/>
          <w:szCs w:val="20"/>
        </w:rPr>
        <w:t xml:space="preserve">Total Liabilities: $4,522MM</w:t>
      </w:r>
    </w:p>
    <w:p>
      <w:pPr>
        <w:pStyle w:val="ListParagraph"/>
        <w:numPr>
          <w:ilvl w:val="0"/>
          <w:numId w:val="2"/>
        </w:numPr>
        <w:spacing w:after="60"/>
      </w:pPr>
      <w:r>
        <w:rPr>
          <w:rFonts w:ascii="Arial" w:cs="Arial" w:eastAsia="Arial" w:hAnsi="Arial"/>
          <w:b w:val="false"/>
          <w:bCs w:val="false"/>
          <w:sz w:val="20"/>
          <w:szCs w:val="20"/>
        </w:rPr>
        <w:t xml:space="preserve">Total Equity: $4,361MM</w:t>
      </w:r>
    </w:p>
    <w:p>
      <w:pPr>
        <w:pStyle w:val="ListParagraph"/>
        <w:numPr>
          <w:ilvl w:val="0"/>
          <w:numId w:val="2"/>
        </w:numPr>
        <w:spacing w:after="60"/>
      </w:pPr>
      <w:r>
        <w:rPr>
          <w:rFonts w:ascii="Arial" w:cs="Arial" w:eastAsia="Arial" w:hAnsi="Arial"/>
          <w:b w:val="false"/>
          <w:bCs w:val="false"/>
          <w:sz w:val="20"/>
          <w:szCs w:val="20"/>
        </w:rPr>
        <w:t xml:space="preserve">Total Debt: $2,205MM</w:t>
      </w:r>
    </w:p>
    <w:p>
      <w:pPr>
        <w:pStyle w:val="ListParagraph"/>
        <w:numPr>
          <w:ilvl w:val="0"/>
          <w:numId w:val="2"/>
        </w:numPr>
        <w:spacing w:after="60"/>
      </w:pPr>
      <w:r>
        <w:rPr>
          <w:rFonts w:ascii="Arial" w:cs="Arial" w:eastAsia="Arial" w:hAnsi="Arial"/>
          <w:b w:val="false"/>
          <w:bCs w:val="false"/>
          <w:sz w:val="20"/>
          <w:szCs w:val="20"/>
        </w:rPr>
        <w:t xml:space="preserve">Long-term Debt: $2,205MM</w:t>
      </w:r>
    </w:p>
    <w:p>
      <w:pPr>
        <w:pStyle w:val="ListParagraph"/>
        <w:numPr>
          <w:ilvl w:val="0"/>
          <w:numId w:val="2"/>
        </w:numPr>
        <w:spacing w:after="60"/>
      </w:pPr>
      <w:r>
        <w:rPr>
          <w:rFonts w:ascii="Arial" w:cs="Arial" w:eastAsia="Arial" w:hAnsi="Arial"/>
          <w:b w:val="false"/>
          <w:bCs w:val="false"/>
          <w:sz w:val="20"/>
          <w:szCs w:val="20"/>
        </w:rPr>
        <w:t xml:space="preserve">Current Portion LTD: $0MM</w:t>
      </w:r>
    </w:p>
    <w:p>
      <w:pPr>
        <w:pStyle w:val="ListParagraph"/>
        <w:numPr>
          <w:ilvl w:val="0"/>
          <w:numId w:val="2"/>
        </w:numPr>
        <w:spacing w:after="60"/>
      </w:pPr>
      <w:r>
        <w:rPr>
          <w:rFonts w:ascii="Arial" w:cs="Arial" w:eastAsia="Arial" w:hAnsi="Arial"/>
          <w:b w:val="false"/>
          <w:bCs w:val="false"/>
          <w:sz w:val="20"/>
          <w:szCs w:val="20"/>
        </w:rPr>
        <w:t xml:space="preserve">Revolver Facility Size: $1,500MM</w:t>
      </w:r>
    </w:p>
    <w:p>
      <w:pPr>
        <w:pStyle w:val="ListParagraph"/>
        <w:numPr>
          <w:ilvl w:val="0"/>
          <w:numId w:val="2"/>
        </w:numPr>
        <w:spacing w:after="60"/>
      </w:pPr>
      <w:r>
        <w:rPr>
          <w:rFonts w:ascii="Arial" w:cs="Arial" w:eastAsia="Arial" w:hAnsi="Arial"/>
          <w:b w:val="false"/>
          <w:bCs w:val="false"/>
          <w:sz w:val="20"/>
          <w:szCs w:val="20"/>
        </w:rPr>
        <w:t xml:space="preserve">Revolver Borrowings: $0MM</w:t>
      </w:r>
    </w:p>
    <w:p>
      <w:pPr>
        <w:pStyle w:val="ListParagraph"/>
        <w:numPr>
          <w:ilvl w:val="0"/>
          <w:numId w:val="2"/>
        </w:numPr>
        <w:spacing w:after="60"/>
      </w:pPr>
      <w:r>
        <w:rPr>
          <w:rFonts w:ascii="Arial" w:cs="Arial" w:eastAsia="Arial" w:hAnsi="Arial"/>
          <w:b w:val="false"/>
          <w:bCs w:val="false"/>
          <w:sz w:val="20"/>
          <w:szCs w:val="20"/>
        </w:rPr>
        <w:t xml:space="preserve">Revolver Availability: $1,494MM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$1,156MM</w:t>
      </w:r>
    </w:p>
    <w:p>
      <w:pPr>
        <w:pStyle w:val="ListParagraph"/>
        <w:numPr>
          <w:ilvl w:val="0"/>
          <w:numId w:val="2"/>
        </w:numPr>
        <w:spacing w:after="60"/>
      </w:pPr>
      <w:r>
        <w:rPr>
          <w:rFonts w:ascii="Arial" w:cs="Arial" w:eastAsia="Arial" w:hAnsi="Arial"/>
          <w:b w:val="false"/>
          <w:bCs w:val="false"/>
          <w:sz w:val="20"/>
          <w:szCs w:val="20"/>
        </w:rPr>
        <w:t xml:space="preserve">Investing Cash Flow: $-183MM</w:t>
      </w:r>
    </w:p>
    <w:p>
      <w:pPr>
        <w:pStyle w:val="ListParagraph"/>
        <w:numPr>
          <w:ilvl w:val="0"/>
          <w:numId w:val="2"/>
        </w:numPr>
        <w:spacing w:after="60"/>
      </w:pPr>
      <w:r>
        <w:rPr>
          <w:rFonts w:ascii="Arial" w:cs="Arial" w:eastAsia="Arial" w:hAnsi="Arial"/>
          <w:b w:val="false"/>
          <w:bCs w:val="false"/>
          <w:sz w:val="20"/>
          <w:szCs w:val="20"/>
        </w:rPr>
        <w:t xml:space="preserve">Financing Cash Flow: $-343MM</w:t>
      </w:r>
    </w:p>
    <w:p>
      <w:pPr>
        <w:pStyle w:val="ListParagraph"/>
        <w:numPr>
          <w:ilvl w:val="0"/>
          <w:numId w:val="2"/>
        </w:numPr>
        <w:spacing w:after="60"/>
      </w:pPr>
      <w:r>
        <w:rPr>
          <w:rFonts w:ascii="Arial" w:cs="Arial" w:eastAsia="Arial" w:hAnsi="Arial"/>
          <w:b w:val="false"/>
          <w:bCs w:val="false"/>
          <w:sz w:val="20"/>
          <w:szCs w:val="20"/>
        </w:rPr>
        <w:t xml:space="preserve">Capex: $180MM</w:t>
      </w:r>
    </w:p>
    <w:p>
      <w:pPr>
        <w:pStyle w:val="ListParagraph"/>
        <w:numPr>
          <w:ilvl w:val="0"/>
          <w:numId w:val="2"/>
        </w:numPr>
        <w:spacing w:after="60"/>
      </w:pPr>
      <w:r>
        <w:rPr>
          <w:rFonts w:ascii="Arial" w:cs="Arial" w:eastAsia="Arial" w:hAnsi="Arial"/>
          <w:b w:val="false"/>
          <w:bCs w:val="false"/>
          <w:sz w:val="20"/>
          <w:szCs w:val="20"/>
        </w:rPr>
        <w:t xml:space="preserve">Cash Paid for Interest: $94MM</w:t>
      </w:r>
    </w:p>
    <w:p>
      <w:pPr>
        <w:pStyle w:val="ListParagraph"/>
        <w:numPr>
          <w:ilvl w:val="0"/>
          <w:numId w:val="2"/>
        </w:numPr>
        <w:spacing w:after="60"/>
      </w:pPr>
      <w:r>
        <w:rPr>
          <w:rFonts w:ascii="Arial" w:cs="Arial" w:eastAsia="Arial" w:hAnsi="Arial"/>
          <w:b w:val="false"/>
          <w:bCs w:val="false"/>
          <w:sz w:val="20"/>
          <w:szCs w:val="20"/>
        </w:rPr>
        <w:t xml:space="preserve">Cash Paid for Taxes: $260MM</w:t>
      </w:r>
    </w:p>
    <w:p>
      <w:pPr>
        <w:pStyle w:val="ListParagraph"/>
        <w:numPr>
          <w:ilvl w:val="0"/>
          <w:numId w:val="2"/>
        </w:numPr>
        <w:spacing w:after="60"/>
      </w:pPr>
      <w:r>
        <w:rPr>
          <w:rFonts w:ascii="Arial" w:cs="Arial" w:eastAsia="Arial" w:hAnsi="Arial"/>
          <w:b w:val="false"/>
          <w:bCs w:val="false"/>
          <w:sz w:val="20"/>
          <w:szCs w:val="20"/>
        </w:rPr>
        <w:t xml:space="preserve">Dividends Paid: $277MM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$1,056MM</w:t>
      </w:r>
    </w:p>
    <w:p>
      <w:pPr>
        <w:pStyle w:val="ListParagraph"/>
        <w:numPr>
          <w:ilvl w:val="0"/>
          <w:numId w:val="2"/>
        </w:numPr>
        <w:spacing w:after="60"/>
      </w:pPr>
      <w:r>
        <w:rPr>
          <w:rFonts w:ascii="Arial" w:cs="Arial" w:eastAsia="Arial" w:hAnsi="Arial"/>
          <w:b w:val="false"/>
          <w:bCs w:val="false"/>
          <w:sz w:val="20"/>
          <w:szCs w:val="20"/>
        </w:rPr>
        <w:t xml:space="preserve">EBITDA Margin: 17.3%</w:t>
      </w:r>
    </w:p>
    <w:p>
      <w:pPr>
        <w:pStyle w:val="ListParagraph"/>
        <w:numPr>
          <w:ilvl w:val="0"/>
          <w:numId w:val="2"/>
        </w:numPr>
        <w:spacing w:after="60"/>
      </w:pPr>
      <w:r>
        <w:rPr>
          <w:rFonts w:ascii="Arial" w:cs="Arial" w:eastAsia="Arial" w:hAnsi="Arial"/>
          <w:b w:val="false"/>
          <w:bCs w:val="false"/>
          <w:sz w:val="20"/>
          <w:szCs w:val="20"/>
        </w:rPr>
        <w:t xml:space="preserve">Leverage (Debt/EBITDA): 2.09x</w:t>
      </w:r>
    </w:p>
    <w:p>
      <w:pPr>
        <w:pStyle w:val="ListParagraph"/>
        <w:numPr>
          <w:ilvl w:val="0"/>
          <w:numId w:val="2"/>
        </w:numPr>
        <w:spacing w:after="60"/>
      </w:pPr>
      <w:r>
        <w:rPr>
          <w:rFonts w:ascii="Arial" w:cs="Arial" w:eastAsia="Arial" w:hAnsi="Arial"/>
          <w:b w:val="false"/>
          <w:bCs w:val="false"/>
          <w:sz w:val="20"/>
          <w:szCs w:val="20"/>
        </w:rPr>
        <w:t xml:space="preserve">FCC: 6.53x</w:t>
      </w:r>
    </w:p>
    <w:p>
      <w:pPr>
        <w:pStyle w:val="ListParagraph"/>
        <w:numPr>
          <w:ilvl w:val="0"/>
          <w:numId w:val="2"/>
        </w:numPr>
        <w:spacing w:after="60"/>
      </w:pPr>
      <w:r>
        <w:rPr>
          <w:rFonts w:ascii="Arial" w:cs="Arial" w:eastAsia="Arial" w:hAnsi="Arial"/>
          <w:b w:val="false"/>
          <w:bCs w:val="false"/>
          <w:sz w:val="20"/>
          <w:szCs w:val="20"/>
        </w:rPr>
        <w:t xml:space="preserve">Free Cash Flow: $976MM</w:t>
      </w:r>
    </w:p>
    <w:p>
      <w:pPr>
        <w:pStyle w:val="ListParagraph"/>
        <w:numPr>
          <w:ilvl w:val="0"/>
          <w:numId w:val="2"/>
        </w:numPr>
        <w:spacing w:after="60"/>
      </w:pPr>
      <w:r>
        <w:rPr>
          <w:rFonts w:ascii="Arial" w:cs="Arial" w:eastAsia="Arial" w:hAnsi="Arial"/>
          <w:b w:val="false"/>
          <w:bCs w:val="false"/>
          <w:sz w:val="20"/>
          <w:szCs w:val="20"/>
        </w:rPr>
        <w:t xml:space="preserve">FCC Numerator: $616MM</w:t>
      </w:r>
    </w:p>
    <w:p>
      <w:pPr>
        <w:pStyle w:val="ListParagraph"/>
        <w:numPr>
          <w:ilvl w:val="0"/>
          <w:numId w:val="2"/>
        </w:numPr>
        <w:spacing w:after="60"/>
      </w:pPr>
      <w:r>
        <w:rPr>
          <w:rFonts w:ascii="Arial" w:cs="Arial" w:eastAsia="Arial" w:hAnsi="Arial"/>
          <w:b w:val="false"/>
          <w:bCs w:val="false"/>
          <w:sz w:val="20"/>
          <w:szCs w:val="20"/>
        </w:rPr>
        <w:t xml:space="preserve">FCC Denominator: $94MM</w:t>
      </w:r>
    </w:p>
    <w:p>
      <w:pPr>
        <w:pStyle w:val="ListParagraph"/>
        <w:numPr>
          <w:ilvl w:val="0"/>
          <w:numId w:val="2"/>
        </w:numPr>
        <w:spacing w:after="60"/>
      </w:pPr>
      <w:r>
        <w:rPr>
          <w:rFonts w:ascii="Arial" w:cs="Arial" w:eastAsia="Arial" w:hAnsi="Arial"/>
          <w:b w:val="false"/>
          <w:bCs w:val="false"/>
          <w:sz w:val="20"/>
          <w:szCs w:val="20"/>
        </w:rPr>
        <w:t xml:space="preserve">Altman Z-Score: 1.73</w:t>
      </w:r>
    </w:p>
    <w:p>
      <w:pPr>
        <w:pStyle w:val="ListParagraph"/>
        <w:numPr>
          <w:ilvl w:val="0"/>
          <w:numId w:val="2"/>
        </w:numPr>
        <w:spacing w:after="60"/>
      </w:pPr>
      <w:r>
        <w:rPr>
          <w:rFonts w:ascii="Arial" w:cs="Arial" w:eastAsia="Arial" w:hAnsi="Arial"/>
          <w:b w:val="false"/>
          <w:bCs w:val="false"/>
          <w:sz w:val="20"/>
          <w:szCs w:val="20"/>
        </w:rPr>
        <w:t xml:space="preserve">PD Score: 4/12</w:t>
      </w:r>
    </w:p>
    <w:p>
      <w:pPr>
        <w:pStyle w:val="ListParagraph"/>
        <w:numPr>
          <w:ilvl w:val="0"/>
          <w:numId w:val="2"/>
        </w:numPr>
        <w:spacing w:after="60"/>
      </w:pPr>
      <w:r>
        <w:rPr>
          <w:rFonts w:ascii="Arial" w:cs="Arial" w:eastAsia="Arial" w:hAnsi="Arial"/>
          <w:b w:val="false"/>
          <w:bCs w:val="false"/>
          <w:sz w:val="20"/>
          <w:szCs w:val="20"/>
        </w:rPr>
        <w:t xml:space="preserve">Credit Rating: Non-Investment Grade</w:t>
      </w:r>
    </w:p>
    <w:p>
      <w:pPr>
        <w:spacing w:after="80"/>
      </w:pPr>
    </w:p>
    <w:p>
      <w:pPr>
        <w:spacing w:after="60" w:before="200"/>
      </w:pPr>
      <w:r>
        <w:rPr>
          <w:rFonts w:ascii="Arial" w:cs="Arial" w:eastAsia="Arial" w:hAnsi="Arial"/>
          <w:b/>
          <w:bCs/>
          <w:color w:val="1F497D"/>
          <w:sz w:val="24"/>
          <w:szCs w:val="24"/>
        </w:rPr>
        <w:t xml:space="preserve">FY2023</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$5,868MM</w:t>
      </w:r>
    </w:p>
    <w:p>
      <w:pPr>
        <w:pStyle w:val="ListParagraph"/>
        <w:numPr>
          <w:ilvl w:val="0"/>
          <w:numId w:val="2"/>
        </w:numPr>
        <w:spacing w:after="60"/>
      </w:pPr>
      <w:r>
        <w:rPr>
          <w:rFonts w:ascii="Arial" w:cs="Arial" w:eastAsia="Arial" w:hAnsi="Arial"/>
          <w:b w:val="false"/>
          <w:bCs w:val="false"/>
          <w:sz w:val="20"/>
          <w:szCs w:val="20"/>
        </w:rPr>
        <w:t xml:space="preserve">Cost of Sales: $3,279MM</w:t>
      </w:r>
    </w:p>
    <w:p>
      <w:pPr>
        <w:pStyle w:val="ListParagraph"/>
        <w:numPr>
          <w:ilvl w:val="0"/>
          <w:numId w:val="2"/>
        </w:numPr>
        <w:spacing w:after="60"/>
      </w:pPr>
      <w:r>
        <w:rPr>
          <w:rFonts w:ascii="Arial" w:cs="Arial" w:eastAsia="Arial" w:hAnsi="Arial"/>
          <w:b w:val="false"/>
          <w:bCs w:val="false"/>
          <w:sz w:val="20"/>
          <w:szCs w:val="20"/>
        </w:rPr>
        <w:t xml:space="preserve">SG&amp;A: $890MM</w:t>
      </w:r>
    </w:p>
    <w:p>
      <w:pPr>
        <w:pStyle w:val="ListParagraph"/>
        <w:numPr>
          <w:ilvl w:val="0"/>
          <w:numId w:val="2"/>
        </w:numPr>
        <w:spacing w:after="60"/>
      </w:pPr>
      <w:r>
        <w:rPr>
          <w:rFonts w:ascii="Arial" w:cs="Arial" w:eastAsia="Arial" w:hAnsi="Arial"/>
          <w:b w:val="false"/>
          <w:bCs w:val="false"/>
          <w:sz w:val="20"/>
          <w:szCs w:val="20"/>
        </w:rPr>
        <w:t xml:space="preserve">Operating Income: $1,057MM</w:t>
      </w:r>
    </w:p>
    <w:p>
      <w:pPr>
        <w:pStyle w:val="ListParagraph"/>
        <w:numPr>
          <w:ilvl w:val="0"/>
          <w:numId w:val="2"/>
        </w:numPr>
        <w:spacing w:after="60"/>
      </w:pPr>
      <w:r>
        <w:rPr>
          <w:rFonts w:ascii="Arial" w:cs="Arial" w:eastAsia="Arial" w:hAnsi="Arial"/>
          <w:b w:val="false"/>
          <w:bCs w:val="false"/>
          <w:sz w:val="20"/>
          <w:szCs w:val="20"/>
        </w:rPr>
        <w:t xml:space="preserve">EBITDA: $1,290MM</w:t>
      </w:r>
    </w:p>
    <w:p>
      <w:pPr>
        <w:pStyle w:val="ListParagraph"/>
        <w:numPr>
          <w:ilvl w:val="0"/>
          <w:numId w:val="2"/>
        </w:numPr>
        <w:spacing w:after="60"/>
      </w:pPr>
      <w:r>
        <w:rPr>
          <w:rFonts w:ascii="Arial" w:cs="Arial" w:eastAsia="Arial" w:hAnsi="Arial"/>
          <w:b w:val="false"/>
          <w:bCs w:val="false"/>
          <w:sz w:val="20"/>
          <w:szCs w:val="20"/>
        </w:rPr>
        <w:t xml:space="preserve">Net Income: $756MM</w:t>
      </w:r>
    </w:p>
    <w:p>
      <w:pPr>
        <w:pStyle w:val="ListParagraph"/>
        <w:numPr>
          <w:ilvl w:val="0"/>
          <w:numId w:val="2"/>
        </w:numPr>
        <w:spacing w:after="60"/>
      </w:pPr>
      <w:r>
        <w:rPr>
          <w:rFonts w:ascii="Arial" w:cs="Arial" w:eastAsia="Arial" w:hAnsi="Arial"/>
          <w:b w:val="false"/>
          <w:bCs w:val="false"/>
          <w:sz w:val="20"/>
          <w:szCs w:val="20"/>
        </w:rPr>
        <w:t xml:space="preserve">Interest Expense: $111MM</w:t>
      </w:r>
    </w:p>
    <w:p>
      <w:pPr>
        <w:pStyle w:val="ListParagraph"/>
        <w:numPr>
          <w:ilvl w:val="0"/>
          <w:numId w:val="2"/>
        </w:numPr>
        <w:spacing w:after="60"/>
      </w:pPr>
      <w:r>
        <w:rPr>
          <w:rFonts w:ascii="Arial" w:cs="Arial" w:eastAsia="Arial" w:hAnsi="Arial"/>
          <w:b w:val="false"/>
          <w:bCs w:val="false"/>
          <w:sz w:val="20"/>
          <w:szCs w:val="20"/>
        </w:rPr>
        <w:t xml:space="preserve">Income Tax: $212MM</w:t>
      </w:r>
    </w:p>
    <w:p>
      <w:pPr>
        <w:pStyle w:val="ListParagraph"/>
        <w:numPr>
          <w:ilvl w:val="0"/>
          <w:numId w:val="2"/>
        </w:numPr>
        <w:spacing w:after="60"/>
      </w:pPr>
      <w:r>
        <w:rPr>
          <w:rFonts w:ascii="Arial" w:cs="Arial" w:eastAsia="Arial" w:hAnsi="Arial"/>
          <w:b w:val="false"/>
          <w:bCs w:val="false"/>
          <w:sz w:val="20"/>
          <w:szCs w:val="20"/>
        </w:rPr>
        <w:t xml:space="preserve">D&amp;A: $225MM</w:t>
      </w:r>
    </w:p>
    <w:p>
      <w:pPr>
        <w:pStyle w:val="ListParagraph"/>
        <w:numPr>
          <w:ilvl w:val="0"/>
          <w:numId w:val="2"/>
        </w:numPr>
        <w:spacing w:after="60"/>
      </w:pPr>
      <w:r>
        <w:rPr>
          <w:rFonts w:ascii="Arial" w:cs="Arial" w:eastAsia="Arial" w:hAnsi="Arial"/>
          <w:b w:val="false"/>
          <w:bCs w:val="false"/>
          <w:sz w:val="20"/>
          <w:szCs w:val="20"/>
        </w:rPr>
        <w:t xml:space="preserve">Rent Expense: $7MM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$344MM</w:t>
      </w:r>
    </w:p>
    <w:p>
      <w:pPr>
        <w:pStyle w:val="ListParagraph"/>
        <w:numPr>
          <w:ilvl w:val="0"/>
          <w:numId w:val="2"/>
        </w:numPr>
        <w:spacing w:after="60"/>
      </w:pPr>
      <w:r>
        <w:rPr>
          <w:rFonts w:ascii="Arial" w:cs="Arial" w:eastAsia="Arial" w:hAnsi="Arial"/>
          <w:b w:val="false"/>
          <w:bCs w:val="false"/>
          <w:sz w:val="20"/>
          <w:szCs w:val="20"/>
        </w:rPr>
        <w:t xml:space="preserve">Total Assets: $8,569MM</w:t>
      </w:r>
    </w:p>
    <w:p>
      <w:pPr>
        <w:pStyle w:val="ListParagraph"/>
        <w:numPr>
          <w:ilvl w:val="0"/>
          <w:numId w:val="2"/>
        </w:numPr>
        <w:spacing w:after="60"/>
      </w:pPr>
      <w:r>
        <w:rPr>
          <w:rFonts w:ascii="Arial" w:cs="Arial" w:eastAsia="Arial" w:hAnsi="Arial"/>
          <w:b w:val="false"/>
          <w:bCs w:val="false"/>
          <w:sz w:val="20"/>
          <w:szCs w:val="20"/>
        </w:rPr>
        <w:t xml:space="preserve">Total Liabilities: $4,714MM</w:t>
      </w:r>
    </w:p>
    <w:p>
      <w:pPr>
        <w:pStyle w:val="ListParagraph"/>
        <w:numPr>
          <w:ilvl w:val="0"/>
          <w:numId w:val="2"/>
        </w:numPr>
        <w:spacing w:after="60"/>
      </w:pPr>
      <w:r>
        <w:rPr>
          <w:rFonts w:ascii="Arial" w:cs="Arial" w:eastAsia="Arial" w:hAnsi="Arial"/>
          <w:b w:val="false"/>
          <w:bCs w:val="false"/>
          <w:sz w:val="20"/>
          <w:szCs w:val="20"/>
        </w:rPr>
        <w:t xml:space="preserve">Total Equity: $3,855MM</w:t>
      </w:r>
    </w:p>
    <w:p>
      <w:pPr>
        <w:pStyle w:val="ListParagraph"/>
        <w:numPr>
          <w:ilvl w:val="0"/>
          <w:numId w:val="2"/>
        </w:numPr>
        <w:spacing w:after="60"/>
      </w:pPr>
      <w:r>
        <w:rPr>
          <w:rFonts w:ascii="Arial" w:cs="Arial" w:eastAsia="Arial" w:hAnsi="Arial"/>
          <w:b w:val="false"/>
          <w:bCs w:val="false"/>
          <w:sz w:val="20"/>
          <w:szCs w:val="20"/>
        </w:rPr>
        <w:t xml:space="preserve">Total Debt: $2,402MM</w:t>
      </w:r>
    </w:p>
    <w:p>
      <w:pPr>
        <w:pStyle w:val="ListParagraph"/>
        <w:numPr>
          <w:ilvl w:val="0"/>
          <w:numId w:val="2"/>
        </w:numPr>
        <w:spacing w:after="60"/>
      </w:pPr>
      <w:r>
        <w:rPr>
          <w:rFonts w:ascii="Arial" w:cs="Arial" w:eastAsia="Arial" w:hAnsi="Arial"/>
          <w:b w:val="false"/>
          <w:bCs w:val="false"/>
          <w:sz w:val="20"/>
          <w:szCs w:val="20"/>
        </w:rPr>
        <w:t xml:space="preserve">Long-term Debt: $2,202MM</w:t>
      </w:r>
    </w:p>
    <w:p>
      <w:pPr>
        <w:pStyle w:val="ListParagraph"/>
        <w:numPr>
          <w:ilvl w:val="0"/>
          <w:numId w:val="2"/>
        </w:numPr>
        <w:spacing w:after="60"/>
      </w:pPr>
      <w:r>
        <w:rPr>
          <w:rFonts w:ascii="Arial" w:cs="Arial" w:eastAsia="Arial" w:hAnsi="Arial"/>
          <w:b w:val="false"/>
          <w:bCs w:val="false"/>
          <w:sz w:val="20"/>
          <w:szCs w:val="20"/>
        </w:rPr>
        <w:t xml:space="preserve">Current Portion LTD: $200MM</w:t>
      </w:r>
    </w:p>
    <w:p>
      <w:pPr>
        <w:pStyle w:val="ListParagraph"/>
        <w:numPr>
          <w:ilvl w:val="0"/>
          <w:numId w:val="2"/>
        </w:numPr>
        <w:spacing w:after="60"/>
      </w:pPr>
      <w:r>
        <w:rPr>
          <w:rFonts w:ascii="Arial" w:cs="Arial" w:eastAsia="Arial" w:hAnsi="Arial"/>
          <w:b w:val="false"/>
          <w:bCs w:val="false"/>
          <w:sz w:val="20"/>
          <w:szCs w:val="20"/>
        </w:rPr>
        <w:t xml:space="preserve">Revolver Facility Size: $1,500MM</w:t>
      </w:r>
    </w:p>
    <w:p>
      <w:pPr>
        <w:pStyle w:val="ListParagraph"/>
        <w:numPr>
          <w:ilvl w:val="0"/>
          <w:numId w:val="2"/>
        </w:numPr>
        <w:spacing w:after="60"/>
      </w:pPr>
      <w:r>
        <w:rPr>
          <w:rFonts w:ascii="Arial" w:cs="Arial" w:eastAsia="Arial" w:hAnsi="Arial"/>
          <w:b w:val="false"/>
          <w:bCs w:val="false"/>
          <w:sz w:val="20"/>
          <w:szCs w:val="20"/>
        </w:rPr>
        <w:t xml:space="preserve">Revolver Borrowings: $0MM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$1,031MM</w:t>
      </w:r>
    </w:p>
    <w:p>
      <w:pPr>
        <w:pStyle w:val="ListParagraph"/>
        <w:numPr>
          <w:ilvl w:val="0"/>
          <w:numId w:val="2"/>
        </w:numPr>
        <w:spacing w:after="60"/>
      </w:pPr>
      <w:r>
        <w:rPr>
          <w:rFonts w:ascii="Arial" w:cs="Arial" w:eastAsia="Arial" w:hAnsi="Arial"/>
          <w:b w:val="false"/>
          <w:bCs w:val="false"/>
          <w:sz w:val="20"/>
          <w:szCs w:val="20"/>
        </w:rPr>
        <w:t xml:space="preserve">Investing Cash Flow: $-234MM</w:t>
      </w:r>
    </w:p>
    <w:p>
      <w:pPr>
        <w:pStyle w:val="ListParagraph"/>
        <w:numPr>
          <w:ilvl w:val="0"/>
          <w:numId w:val="2"/>
        </w:numPr>
        <w:spacing w:after="60"/>
      </w:pPr>
      <w:r>
        <w:rPr>
          <w:rFonts w:ascii="Arial" w:cs="Arial" w:eastAsia="Arial" w:hAnsi="Arial"/>
          <w:b w:val="false"/>
          <w:bCs w:val="false"/>
          <w:sz w:val="20"/>
          <w:szCs w:val="20"/>
        </w:rPr>
        <w:t xml:space="preserve">Financing Cash Flow: $-726MM</w:t>
      </w:r>
    </w:p>
    <w:p>
      <w:pPr>
        <w:pStyle w:val="ListParagraph"/>
        <w:numPr>
          <w:ilvl w:val="0"/>
          <w:numId w:val="2"/>
        </w:numPr>
        <w:spacing w:after="60"/>
      </w:pPr>
      <w:r>
        <w:rPr>
          <w:rFonts w:ascii="Arial" w:cs="Arial" w:eastAsia="Arial" w:hAnsi="Arial"/>
          <w:b w:val="false"/>
          <w:bCs w:val="false"/>
          <w:sz w:val="20"/>
          <w:szCs w:val="20"/>
        </w:rPr>
        <w:t xml:space="preserve">Capex: $224MM</w:t>
      </w:r>
    </w:p>
    <w:p>
      <w:pPr>
        <w:pStyle w:val="ListParagraph"/>
        <w:numPr>
          <w:ilvl w:val="0"/>
          <w:numId w:val="2"/>
        </w:numPr>
        <w:spacing w:after="60"/>
      </w:pPr>
      <w:r>
        <w:rPr>
          <w:rFonts w:ascii="Arial" w:cs="Arial" w:eastAsia="Arial" w:hAnsi="Arial"/>
          <w:b w:val="false"/>
          <w:bCs w:val="false"/>
          <w:sz w:val="20"/>
          <w:szCs w:val="20"/>
        </w:rPr>
        <w:t xml:space="preserve">Cash Paid for Interest: $112MM</w:t>
      </w:r>
    </w:p>
    <w:p>
      <w:pPr>
        <w:pStyle w:val="ListParagraph"/>
        <w:numPr>
          <w:ilvl w:val="0"/>
          <w:numId w:val="2"/>
        </w:numPr>
        <w:spacing w:after="60"/>
      </w:pPr>
      <w:r>
        <w:rPr>
          <w:rFonts w:ascii="Arial" w:cs="Arial" w:eastAsia="Arial" w:hAnsi="Arial"/>
          <w:b w:val="false"/>
          <w:bCs w:val="false"/>
          <w:sz w:val="20"/>
          <w:szCs w:val="20"/>
        </w:rPr>
        <w:t xml:space="preserve">Cash Paid for Taxes: $228MM</w:t>
      </w:r>
    </w:p>
    <w:p>
      <w:pPr>
        <w:pStyle w:val="ListParagraph"/>
        <w:numPr>
          <w:ilvl w:val="0"/>
          <w:numId w:val="2"/>
        </w:numPr>
        <w:spacing w:after="60"/>
      </w:pPr>
      <w:r>
        <w:rPr>
          <w:rFonts w:ascii="Arial" w:cs="Arial" w:eastAsia="Arial" w:hAnsi="Arial"/>
          <w:b w:val="false"/>
          <w:bCs w:val="false"/>
          <w:sz w:val="20"/>
          <w:szCs w:val="20"/>
        </w:rPr>
        <w:t xml:space="preserve">Dividends Paid: $266MM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$1,290MM</w:t>
      </w:r>
    </w:p>
    <w:p>
      <w:pPr>
        <w:pStyle w:val="ListParagraph"/>
        <w:numPr>
          <w:ilvl w:val="0"/>
          <w:numId w:val="2"/>
        </w:numPr>
        <w:spacing w:after="60"/>
      </w:pPr>
      <w:r>
        <w:rPr>
          <w:rFonts w:ascii="Arial" w:cs="Arial" w:eastAsia="Arial" w:hAnsi="Arial"/>
          <w:b w:val="false"/>
          <w:bCs w:val="false"/>
          <w:sz w:val="20"/>
          <w:szCs w:val="20"/>
        </w:rPr>
        <w:t xml:space="preserve">EBITDA Margin: 22.0%</w:t>
      </w:r>
    </w:p>
    <w:p>
      <w:pPr>
        <w:pStyle w:val="ListParagraph"/>
        <w:numPr>
          <w:ilvl w:val="0"/>
          <w:numId w:val="2"/>
        </w:numPr>
        <w:spacing w:after="60"/>
      </w:pPr>
      <w:r>
        <w:rPr>
          <w:rFonts w:ascii="Arial" w:cs="Arial" w:eastAsia="Arial" w:hAnsi="Arial"/>
          <w:b w:val="false"/>
          <w:bCs w:val="false"/>
          <w:sz w:val="20"/>
          <w:szCs w:val="20"/>
        </w:rPr>
        <w:t xml:space="preserve">Leverage (Debt/EBITDA): 1.86x</w:t>
      </w:r>
    </w:p>
    <w:p>
      <w:pPr>
        <w:pStyle w:val="ListParagraph"/>
        <w:numPr>
          <w:ilvl w:val="0"/>
          <w:numId w:val="2"/>
        </w:numPr>
        <w:spacing w:after="60"/>
      </w:pPr>
      <w:r>
        <w:rPr>
          <w:rFonts w:ascii="Arial" w:cs="Arial" w:eastAsia="Arial" w:hAnsi="Arial"/>
          <w:b w:val="false"/>
          <w:bCs w:val="false"/>
          <w:sz w:val="20"/>
          <w:szCs w:val="20"/>
        </w:rPr>
        <w:t xml:space="preserve">FCC: 2.69x</w:t>
      </w:r>
    </w:p>
    <w:p>
      <w:pPr>
        <w:pStyle w:val="ListParagraph"/>
        <w:numPr>
          <w:ilvl w:val="0"/>
          <w:numId w:val="2"/>
        </w:numPr>
        <w:spacing w:after="60"/>
      </w:pPr>
      <w:r>
        <w:rPr>
          <w:rFonts w:ascii="Arial" w:cs="Arial" w:eastAsia="Arial" w:hAnsi="Arial"/>
          <w:b w:val="false"/>
          <w:bCs w:val="false"/>
          <w:sz w:val="20"/>
          <w:szCs w:val="20"/>
        </w:rPr>
        <w:t xml:space="preserve">Free Cash Flow: $807MM</w:t>
      </w:r>
    </w:p>
    <w:p>
      <w:pPr>
        <w:pStyle w:val="ListParagraph"/>
        <w:numPr>
          <w:ilvl w:val="0"/>
          <w:numId w:val="2"/>
        </w:numPr>
        <w:spacing w:after="60"/>
      </w:pPr>
      <w:r>
        <w:rPr>
          <w:rFonts w:ascii="Arial" w:cs="Arial" w:eastAsia="Arial" w:hAnsi="Arial"/>
          <w:b w:val="false"/>
          <w:bCs w:val="false"/>
          <w:sz w:val="20"/>
          <w:szCs w:val="20"/>
        </w:rPr>
        <w:t xml:space="preserve">FCC Numerator: $838MM</w:t>
      </w:r>
    </w:p>
    <w:p>
      <w:pPr>
        <w:pStyle w:val="ListParagraph"/>
        <w:numPr>
          <w:ilvl w:val="0"/>
          <w:numId w:val="2"/>
        </w:numPr>
        <w:spacing w:after="60"/>
      </w:pPr>
      <w:r>
        <w:rPr>
          <w:rFonts w:ascii="Arial" w:cs="Arial" w:eastAsia="Arial" w:hAnsi="Arial"/>
          <w:b w:val="false"/>
          <w:bCs w:val="false"/>
          <w:sz w:val="20"/>
          <w:szCs w:val="20"/>
        </w:rPr>
        <w:t xml:space="preserve">FCC Denominator: $312MM</w:t>
      </w:r>
    </w:p>
    <w:p>
      <w:pPr>
        <w:pStyle w:val="ListParagraph"/>
        <w:numPr>
          <w:ilvl w:val="0"/>
          <w:numId w:val="2"/>
        </w:numPr>
        <w:spacing w:after="60"/>
      </w:pPr>
      <w:r>
        <w:rPr>
          <w:rFonts w:ascii="Arial" w:cs="Arial" w:eastAsia="Arial" w:hAnsi="Arial"/>
          <w:b w:val="false"/>
          <w:bCs w:val="false"/>
          <w:sz w:val="20"/>
          <w:szCs w:val="20"/>
        </w:rPr>
        <w:t xml:space="preserve">Altman Z-Score: 1.73</w:t>
      </w:r>
    </w:p>
    <w:p>
      <w:pPr>
        <w:pStyle w:val="ListParagraph"/>
        <w:numPr>
          <w:ilvl w:val="0"/>
          <w:numId w:val="2"/>
        </w:numPr>
        <w:spacing w:after="60"/>
      </w:pPr>
      <w:r>
        <w:rPr>
          <w:rFonts w:ascii="Arial" w:cs="Arial" w:eastAsia="Arial" w:hAnsi="Arial"/>
          <w:b w:val="false"/>
          <w:bCs w:val="false"/>
          <w:sz w:val="20"/>
          <w:szCs w:val="20"/>
        </w:rPr>
        <w:t xml:space="preserve">PD Score: 1/12</w:t>
      </w:r>
    </w:p>
    <w:p>
      <w:pPr>
        <w:pStyle w:val="ListParagraph"/>
        <w:numPr>
          <w:ilvl w:val="0"/>
          <w:numId w:val="2"/>
        </w:numPr>
        <w:spacing w:after="60"/>
      </w:pPr>
      <w:r>
        <w:rPr>
          <w:rFonts w:ascii="Arial" w:cs="Arial" w:eastAsia="Arial" w:hAnsi="Arial"/>
          <w:b w:val="false"/>
          <w:bCs w:val="false"/>
          <w:sz w:val="20"/>
          <w:szCs w:val="20"/>
        </w:rPr>
        <w:t xml:space="preserve">Credit Rating: Investment Grade</w:t>
      </w:r>
    </w:p>
    <w:p>
      <w:pPr>
        <w:spacing w:after="80"/>
      </w:pPr>
    </w:p>
    <w:p>
      <w:pPr>
        <w:spacing w:after="60" w:before="200"/>
      </w:pPr>
      <w:r>
        <w:rPr>
          <w:rFonts w:ascii="Arial" w:cs="Arial" w:eastAsia="Arial" w:hAnsi="Arial"/>
          <w:b/>
          <w:bCs/>
          <w:color w:val="1F497D"/>
          <w:sz w:val="24"/>
          <w:szCs w:val="24"/>
        </w:rPr>
        <w:t xml:space="preserve">FY2022</w:t>
      </w:r>
    </w:p>
    <w:p>
      <w:pPr>
        <w:spacing w:after="80"/>
      </w:pPr>
    </w:p>
    <w:p>
      <w:pPr>
        <w:spacing w:after="80"/>
      </w:pPr>
      <w:r>
        <w:rPr>
          <w:rFonts w:ascii="Arial" w:cs="Arial" w:eastAsia="Arial" w:hAnsi="Arial"/>
          <w:b w:val="false"/>
          <w:bCs w:val="false"/>
          <w:sz w:val="20"/>
          <w:szCs w:val="20"/>
        </w:rPr>
        <w:t xml:space="preserve">#### Income Statement</w:t>
      </w:r>
    </w:p>
    <w:p>
      <w:pPr>
        <w:pStyle w:val="ListParagraph"/>
        <w:numPr>
          <w:ilvl w:val="0"/>
          <w:numId w:val="2"/>
        </w:numPr>
        <w:spacing w:after="60"/>
      </w:pPr>
      <w:r>
        <w:rPr>
          <w:rFonts w:ascii="Arial" w:cs="Arial" w:eastAsia="Arial" w:hAnsi="Arial"/>
          <w:b w:val="false"/>
          <w:bCs w:val="false"/>
          <w:sz w:val="20"/>
          <w:szCs w:val="20"/>
        </w:rPr>
        <w:t xml:space="preserve">Revenue: $5,376MM</w:t>
      </w:r>
    </w:p>
    <w:p>
      <w:pPr>
        <w:pStyle w:val="ListParagraph"/>
        <w:numPr>
          <w:ilvl w:val="0"/>
          <w:numId w:val="2"/>
        </w:numPr>
        <w:spacing w:after="60"/>
      </w:pPr>
      <w:r>
        <w:rPr>
          <w:rFonts w:ascii="Arial" w:cs="Arial" w:eastAsia="Arial" w:hAnsi="Arial"/>
          <w:b w:val="false"/>
          <w:bCs w:val="false"/>
          <w:sz w:val="20"/>
          <w:szCs w:val="20"/>
        </w:rPr>
        <w:t xml:space="preserve">Cost of Sales: $3,126MM</w:t>
      </w:r>
    </w:p>
    <w:p>
      <w:pPr>
        <w:pStyle w:val="ListParagraph"/>
        <w:numPr>
          <w:ilvl w:val="0"/>
          <w:numId w:val="2"/>
        </w:numPr>
        <w:spacing w:after="60"/>
      </w:pPr>
      <w:r>
        <w:rPr>
          <w:rFonts w:ascii="Arial" w:cs="Arial" w:eastAsia="Arial" w:hAnsi="Arial"/>
          <w:b w:val="false"/>
          <w:bCs w:val="false"/>
          <w:sz w:val="20"/>
          <w:szCs w:val="20"/>
        </w:rPr>
        <w:t xml:space="preserve">SG&amp;A: $706MM</w:t>
      </w:r>
    </w:p>
    <w:p>
      <w:pPr>
        <w:pStyle w:val="ListParagraph"/>
        <w:numPr>
          <w:ilvl w:val="0"/>
          <w:numId w:val="2"/>
        </w:numPr>
        <w:spacing w:after="60"/>
      </w:pPr>
      <w:r>
        <w:rPr>
          <w:rFonts w:ascii="Arial" w:cs="Arial" w:eastAsia="Arial" w:hAnsi="Arial"/>
          <w:b w:val="false"/>
          <w:bCs w:val="false"/>
          <w:sz w:val="20"/>
          <w:szCs w:val="20"/>
        </w:rPr>
        <w:t xml:space="preserve">Operating Income: $598MM</w:t>
      </w:r>
    </w:p>
    <w:p>
      <w:pPr>
        <w:pStyle w:val="ListParagraph"/>
        <w:numPr>
          <w:ilvl w:val="0"/>
          <w:numId w:val="2"/>
        </w:numPr>
        <w:spacing w:after="60"/>
      </w:pPr>
      <w:r>
        <w:rPr>
          <w:rFonts w:ascii="Arial" w:cs="Arial" w:eastAsia="Arial" w:hAnsi="Arial"/>
          <w:b w:val="false"/>
          <w:bCs w:val="false"/>
          <w:sz w:val="20"/>
          <w:szCs w:val="20"/>
        </w:rPr>
        <w:t xml:space="preserve">EBITDA: $824MM</w:t>
      </w:r>
    </w:p>
    <w:p>
      <w:pPr>
        <w:pStyle w:val="ListParagraph"/>
        <w:numPr>
          <w:ilvl w:val="0"/>
          <w:numId w:val="2"/>
        </w:numPr>
        <w:spacing w:after="60"/>
      </w:pPr>
      <w:r>
        <w:rPr>
          <w:rFonts w:ascii="Arial" w:cs="Arial" w:eastAsia="Arial" w:hAnsi="Arial"/>
          <w:b w:val="false"/>
          <w:bCs w:val="false"/>
          <w:sz w:val="20"/>
          <w:szCs w:val="20"/>
        </w:rPr>
        <w:t xml:space="preserve">Net Income: $414MM</w:t>
      </w:r>
    </w:p>
    <w:p>
      <w:pPr>
        <w:pStyle w:val="ListParagraph"/>
        <w:numPr>
          <w:ilvl w:val="0"/>
          <w:numId w:val="2"/>
        </w:numPr>
        <w:spacing w:after="60"/>
      </w:pPr>
      <w:r>
        <w:rPr>
          <w:rFonts w:ascii="Arial" w:cs="Arial" w:eastAsia="Arial" w:hAnsi="Arial"/>
          <w:b w:val="false"/>
          <w:bCs w:val="false"/>
          <w:sz w:val="20"/>
          <w:szCs w:val="20"/>
        </w:rPr>
        <w:t xml:space="preserve">Interest Expense: $90MM</w:t>
      </w:r>
    </w:p>
    <w:p>
      <w:pPr>
        <w:pStyle w:val="ListParagraph"/>
        <w:numPr>
          <w:ilvl w:val="0"/>
          <w:numId w:val="2"/>
        </w:numPr>
        <w:spacing w:after="60"/>
      </w:pPr>
      <w:r>
        <w:rPr>
          <w:rFonts w:ascii="Arial" w:cs="Arial" w:eastAsia="Arial" w:hAnsi="Arial"/>
          <w:b w:val="false"/>
          <w:bCs w:val="false"/>
          <w:sz w:val="20"/>
          <w:szCs w:val="20"/>
        </w:rPr>
        <w:t xml:space="preserve">Income Tax: $109MM</w:t>
      </w:r>
    </w:p>
    <w:p>
      <w:pPr>
        <w:pStyle w:val="ListParagraph"/>
        <w:numPr>
          <w:ilvl w:val="0"/>
          <w:numId w:val="2"/>
        </w:numPr>
        <w:spacing w:after="60"/>
      </w:pPr>
      <w:r>
        <w:rPr>
          <w:rFonts w:ascii="Arial" w:cs="Arial" w:eastAsia="Arial" w:hAnsi="Arial"/>
          <w:b w:val="false"/>
          <w:bCs w:val="false"/>
          <w:sz w:val="20"/>
          <w:szCs w:val="20"/>
        </w:rPr>
        <w:t xml:space="preserve">D&amp;A: $219MM</w:t>
      </w:r>
    </w:p>
    <w:p>
      <w:pPr>
        <w:pStyle w:val="ListParagraph"/>
        <w:numPr>
          <w:ilvl w:val="0"/>
          <w:numId w:val="2"/>
        </w:numPr>
        <w:spacing w:after="60"/>
      </w:pPr>
      <w:r>
        <w:rPr>
          <w:rFonts w:ascii="Arial" w:cs="Arial" w:eastAsia="Arial" w:hAnsi="Arial"/>
          <w:b w:val="false"/>
          <w:bCs w:val="false"/>
          <w:sz w:val="20"/>
          <w:szCs w:val="20"/>
        </w:rPr>
        <w:t xml:space="preserve">Rent Expense: $7MM</w:t>
      </w:r>
    </w:p>
    <w:p>
      <w:pPr>
        <w:spacing w:after="80"/>
      </w:pPr>
    </w:p>
    <w:p>
      <w:pPr>
        <w:spacing w:after="80"/>
      </w:pPr>
      <w:r>
        <w:rPr>
          <w:rFonts w:ascii="Arial" w:cs="Arial" w:eastAsia="Arial" w:hAnsi="Arial"/>
          <w:b w:val="false"/>
          <w:bCs w:val="false"/>
          <w:sz w:val="20"/>
          <w:szCs w:val="20"/>
        </w:rPr>
        <w:t xml:space="preserve">#### Balance Sheet</w:t>
      </w:r>
    </w:p>
    <w:p>
      <w:pPr>
        <w:pStyle w:val="ListParagraph"/>
        <w:numPr>
          <w:ilvl w:val="0"/>
          <w:numId w:val="2"/>
        </w:numPr>
        <w:spacing w:after="60"/>
      </w:pPr>
      <w:r>
        <w:rPr>
          <w:rFonts w:ascii="Arial" w:cs="Arial" w:eastAsia="Arial" w:hAnsi="Arial"/>
          <w:b w:val="false"/>
          <w:bCs w:val="false"/>
          <w:sz w:val="20"/>
          <w:szCs w:val="20"/>
        </w:rPr>
        <w:t xml:space="preserve">Cash: $270MM</w:t>
      </w:r>
    </w:p>
    <w:p>
      <w:pPr>
        <w:pStyle w:val="ListParagraph"/>
        <w:numPr>
          <w:ilvl w:val="0"/>
          <w:numId w:val="2"/>
        </w:numPr>
        <w:spacing w:after="60"/>
      </w:pPr>
      <w:r>
        <w:rPr>
          <w:rFonts w:ascii="Arial" w:cs="Arial" w:eastAsia="Arial" w:hAnsi="Arial"/>
          <w:b w:val="false"/>
          <w:bCs w:val="false"/>
          <w:sz w:val="20"/>
          <w:szCs w:val="20"/>
        </w:rPr>
        <w:t xml:space="preserve">Current Portion LTD: $0MM</w:t>
      </w:r>
    </w:p>
    <w:p>
      <w:pPr>
        <w:pStyle w:val="ListParagraph"/>
        <w:numPr>
          <w:ilvl w:val="0"/>
          <w:numId w:val="2"/>
        </w:numPr>
        <w:spacing w:after="60"/>
      </w:pPr>
      <w:r>
        <w:rPr>
          <w:rFonts w:ascii="Arial" w:cs="Arial" w:eastAsia="Arial" w:hAnsi="Arial"/>
          <w:b w:val="false"/>
          <w:bCs w:val="false"/>
          <w:sz w:val="20"/>
          <w:szCs w:val="20"/>
        </w:rPr>
        <w:t xml:space="preserve">Revolver Facility Size: $1,500MM</w:t>
      </w:r>
    </w:p>
    <w:p>
      <w:pPr>
        <w:pStyle w:val="ListParagraph"/>
        <w:numPr>
          <w:ilvl w:val="0"/>
          <w:numId w:val="2"/>
        </w:numPr>
        <w:spacing w:after="60"/>
      </w:pPr>
      <w:r>
        <w:rPr>
          <w:rFonts w:ascii="Arial" w:cs="Arial" w:eastAsia="Arial" w:hAnsi="Arial"/>
          <w:b w:val="false"/>
          <w:bCs w:val="false"/>
          <w:sz w:val="20"/>
          <w:szCs w:val="20"/>
        </w:rPr>
        <w:t xml:space="preserve">Revolver Borrowings: $0MM</w:t>
      </w:r>
    </w:p>
    <w:p>
      <w:pPr>
        <w:spacing w:after="80"/>
      </w:pPr>
    </w:p>
    <w:p>
      <w:pPr>
        <w:spacing w:after="80"/>
      </w:pPr>
      <w:r>
        <w:rPr>
          <w:rFonts w:ascii="Arial" w:cs="Arial" w:eastAsia="Arial" w:hAnsi="Arial"/>
          <w:b w:val="false"/>
          <w:bCs w:val="false"/>
          <w:sz w:val="20"/>
          <w:szCs w:val="20"/>
        </w:rPr>
        <w:t xml:space="preserve">#### Cash Flow Statement</w:t>
      </w:r>
    </w:p>
    <w:p>
      <w:pPr>
        <w:pStyle w:val="ListParagraph"/>
        <w:numPr>
          <w:ilvl w:val="0"/>
          <w:numId w:val="2"/>
        </w:numPr>
        <w:spacing w:after="60"/>
      </w:pPr>
      <w:r>
        <w:rPr>
          <w:rFonts w:ascii="Arial" w:cs="Arial" w:eastAsia="Arial" w:hAnsi="Arial"/>
          <w:b w:val="false"/>
          <w:bCs w:val="false"/>
          <w:sz w:val="20"/>
          <w:szCs w:val="20"/>
        </w:rPr>
        <w:t xml:space="preserve">Operating Cash Flow: $885MM</w:t>
      </w:r>
    </w:p>
    <w:p>
      <w:pPr>
        <w:pStyle w:val="ListParagraph"/>
        <w:numPr>
          <w:ilvl w:val="0"/>
          <w:numId w:val="2"/>
        </w:numPr>
        <w:spacing w:after="60"/>
      </w:pPr>
      <w:r>
        <w:rPr>
          <w:rFonts w:ascii="Arial" w:cs="Arial" w:eastAsia="Arial" w:hAnsi="Arial"/>
          <w:b w:val="false"/>
          <w:bCs w:val="false"/>
          <w:sz w:val="20"/>
          <w:szCs w:val="20"/>
        </w:rPr>
        <w:t xml:space="preserve">Investing Cash Flow: $-729MM</w:t>
      </w:r>
    </w:p>
    <w:p>
      <w:pPr>
        <w:pStyle w:val="ListParagraph"/>
        <w:numPr>
          <w:ilvl w:val="0"/>
          <w:numId w:val="2"/>
        </w:numPr>
        <w:spacing w:after="60"/>
      </w:pPr>
      <w:r>
        <w:rPr>
          <w:rFonts w:ascii="Arial" w:cs="Arial" w:eastAsia="Arial" w:hAnsi="Arial"/>
          <w:b w:val="false"/>
          <w:bCs w:val="false"/>
          <w:sz w:val="20"/>
          <w:szCs w:val="20"/>
        </w:rPr>
        <w:t xml:space="preserve">Financing Cash Flow: $-121MM</w:t>
      </w:r>
    </w:p>
    <w:p>
      <w:pPr>
        <w:pStyle w:val="ListParagraph"/>
        <w:numPr>
          <w:ilvl w:val="0"/>
          <w:numId w:val="2"/>
        </w:numPr>
        <w:spacing w:after="60"/>
      </w:pPr>
      <w:r>
        <w:rPr>
          <w:rFonts w:ascii="Arial" w:cs="Arial" w:eastAsia="Arial" w:hAnsi="Arial"/>
          <w:b w:val="false"/>
          <w:bCs w:val="false"/>
          <w:sz w:val="20"/>
          <w:szCs w:val="20"/>
        </w:rPr>
        <w:t xml:space="preserve">Capex: $179MM</w:t>
      </w:r>
    </w:p>
    <w:p>
      <w:pPr>
        <w:pStyle w:val="ListParagraph"/>
        <w:numPr>
          <w:ilvl w:val="0"/>
          <w:numId w:val="2"/>
        </w:numPr>
        <w:spacing w:after="60"/>
      </w:pPr>
      <w:r>
        <w:rPr>
          <w:rFonts w:ascii="Arial" w:cs="Arial" w:eastAsia="Arial" w:hAnsi="Arial"/>
          <w:b w:val="false"/>
          <w:bCs w:val="false"/>
          <w:sz w:val="20"/>
          <w:szCs w:val="20"/>
        </w:rPr>
        <w:t xml:space="preserve">Cash Paid for Interest: $86MM</w:t>
      </w:r>
    </w:p>
    <w:p>
      <w:pPr>
        <w:pStyle w:val="ListParagraph"/>
        <w:numPr>
          <w:ilvl w:val="0"/>
          <w:numId w:val="2"/>
        </w:numPr>
        <w:spacing w:after="60"/>
      </w:pPr>
      <w:r>
        <w:rPr>
          <w:rFonts w:ascii="Arial" w:cs="Arial" w:eastAsia="Arial" w:hAnsi="Arial"/>
          <w:b w:val="false"/>
          <w:bCs w:val="false"/>
          <w:sz w:val="20"/>
          <w:szCs w:val="20"/>
        </w:rPr>
        <w:t xml:space="preserve">Cash Paid for Taxes: $213MM</w:t>
      </w:r>
    </w:p>
    <w:p>
      <w:pPr>
        <w:pStyle w:val="ListParagraph"/>
        <w:numPr>
          <w:ilvl w:val="0"/>
          <w:numId w:val="2"/>
        </w:numPr>
        <w:spacing w:after="60"/>
      </w:pPr>
      <w:r>
        <w:rPr>
          <w:rFonts w:ascii="Arial" w:cs="Arial" w:eastAsia="Arial" w:hAnsi="Arial"/>
          <w:b w:val="false"/>
          <w:bCs w:val="false"/>
          <w:sz w:val="20"/>
          <w:szCs w:val="20"/>
        </w:rPr>
        <w:t xml:space="preserve">Dividends Paid: $255MM</w:t>
      </w:r>
    </w:p>
    <w:p>
      <w:pPr>
        <w:spacing w:after="80"/>
      </w:pPr>
    </w:p>
    <w:p>
      <w:pPr>
        <w:spacing w:after="80"/>
      </w:pPr>
      <w:r>
        <w:rPr>
          <w:rFonts w:ascii="Arial" w:cs="Arial" w:eastAsia="Arial" w:hAnsi="Arial"/>
          <w:b w:val="false"/>
          <w:bCs w:val="false"/>
          <w:sz w:val="20"/>
          <w:szCs w:val="20"/>
        </w:rPr>
        <w:t xml:space="preserve">#### Computed Metrics</w:t>
      </w:r>
    </w:p>
    <w:p>
      <w:pPr>
        <w:pStyle w:val="ListParagraph"/>
        <w:numPr>
          <w:ilvl w:val="0"/>
          <w:numId w:val="2"/>
        </w:numPr>
        <w:spacing w:after="60"/>
      </w:pPr>
      <w:r>
        <w:rPr>
          <w:rFonts w:ascii="Arial" w:cs="Arial" w:eastAsia="Arial" w:hAnsi="Arial"/>
          <w:b w:val="false"/>
          <w:bCs w:val="false"/>
          <w:sz w:val="20"/>
          <w:szCs w:val="20"/>
        </w:rPr>
        <w:t xml:space="preserve">EBITDA (Computed): $824MM</w:t>
      </w:r>
    </w:p>
    <w:p>
      <w:pPr>
        <w:pStyle w:val="ListParagraph"/>
        <w:numPr>
          <w:ilvl w:val="0"/>
          <w:numId w:val="2"/>
        </w:numPr>
        <w:spacing w:after="60"/>
      </w:pPr>
      <w:r>
        <w:rPr>
          <w:rFonts w:ascii="Arial" w:cs="Arial" w:eastAsia="Arial" w:hAnsi="Arial"/>
          <w:b w:val="false"/>
          <w:bCs w:val="false"/>
          <w:sz w:val="20"/>
          <w:szCs w:val="20"/>
        </w:rPr>
        <w:t xml:space="preserve">EBITDA Margin: 15.3%</w:t>
      </w:r>
    </w:p>
    <w:p>
      <w:pPr>
        <w:pStyle w:val="ListParagraph"/>
        <w:numPr>
          <w:ilvl w:val="0"/>
          <w:numId w:val="2"/>
        </w:numPr>
        <w:spacing w:after="60"/>
      </w:pPr>
      <w:r>
        <w:rPr>
          <w:rFonts w:ascii="Arial" w:cs="Arial" w:eastAsia="Arial" w:hAnsi="Arial"/>
          <w:b w:val="false"/>
          <w:bCs w:val="false"/>
          <w:sz w:val="20"/>
          <w:szCs w:val="20"/>
        </w:rPr>
        <w:t xml:space="preserve">FCC: 5.02x</w:t>
      </w:r>
    </w:p>
    <w:p>
      <w:pPr>
        <w:pStyle w:val="ListParagraph"/>
        <w:numPr>
          <w:ilvl w:val="0"/>
          <w:numId w:val="2"/>
        </w:numPr>
        <w:spacing w:after="60"/>
      </w:pPr>
      <w:r>
        <w:rPr>
          <w:rFonts w:ascii="Arial" w:cs="Arial" w:eastAsia="Arial" w:hAnsi="Arial"/>
          <w:b w:val="false"/>
          <w:bCs w:val="false"/>
          <w:sz w:val="20"/>
          <w:szCs w:val="20"/>
        </w:rPr>
        <w:t xml:space="preserve">Free Cash Flow: $706MM</w:t>
      </w:r>
    </w:p>
    <w:p>
      <w:pPr>
        <w:pStyle w:val="ListParagraph"/>
        <w:numPr>
          <w:ilvl w:val="0"/>
          <w:numId w:val="2"/>
        </w:numPr>
        <w:spacing w:after="60"/>
      </w:pPr>
      <w:r>
        <w:rPr>
          <w:rFonts w:ascii="Arial" w:cs="Arial" w:eastAsia="Arial" w:hAnsi="Arial"/>
          <w:b w:val="false"/>
          <w:bCs w:val="false"/>
          <w:sz w:val="20"/>
          <w:szCs w:val="20"/>
        </w:rPr>
        <w:t xml:space="preserve">FCC Numerator: $432MM</w:t>
      </w:r>
    </w:p>
    <w:p>
      <w:pPr>
        <w:pStyle w:val="ListParagraph"/>
        <w:numPr>
          <w:ilvl w:val="0"/>
          <w:numId w:val="2"/>
        </w:numPr>
        <w:spacing w:after="60"/>
      </w:pPr>
      <w:r>
        <w:rPr>
          <w:rFonts w:ascii="Arial" w:cs="Arial" w:eastAsia="Arial" w:hAnsi="Arial"/>
          <w:b w:val="false"/>
          <w:bCs w:val="false"/>
          <w:sz w:val="20"/>
          <w:szCs w:val="20"/>
        </w:rPr>
        <w:t xml:space="preserve">FCC Denominator: $86MM</w:t>
      </w:r>
    </w:p>
    <w:p>
      <w:pPr>
        <w:pStyle w:val="ListParagraph"/>
        <w:numPr>
          <w:ilvl w:val="0"/>
          <w:numId w:val="2"/>
        </w:numPr>
        <w:spacing w:after="60"/>
      </w:pPr>
      <w:r>
        <w:rPr>
          <w:rFonts w:ascii="Arial" w:cs="Arial" w:eastAsia="Arial" w:hAnsi="Arial"/>
          <w:b w:val="false"/>
          <w:bCs w:val="false"/>
          <w:sz w:val="20"/>
          <w:szCs w:val="20"/>
        </w:rPr>
        <w:t xml:space="preserve">PD Score: 3/12</w:t>
      </w:r>
    </w:p>
    <w:p>
      <w:pPr>
        <w:pStyle w:val="ListParagraph"/>
        <w:numPr>
          <w:ilvl w:val="0"/>
          <w:numId w:val="2"/>
        </w:numPr>
        <w:spacing w:after="60"/>
      </w:pPr>
      <w:r>
        <w:rPr>
          <w:rFonts w:ascii="Arial" w:cs="Arial" w:eastAsia="Arial" w:hAnsi="Arial"/>
          <w:b w:val="false"/>
          <w:bCs w:val="false"/>
          <w:sz w:val="20"/>
          <w:szCs w:val="20"/>
        </w:rPr>
        <w:t xml:space="preserve">Credit Rating: Investment Grade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396" w:hanging="396"/>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2026-07-14T20:35:51.619Z</dcterms:created>
  <dcterms:modified xsi:type="dcterms:W3CDTF">2026-07-14T20:35:51.619Z</dcterms:modified>
</cp:coreProperties>
</file>

<file path=docProps/custom.xml><?xml version="1.0" encoding="utf-8"?>
<Properties xmlns="http://schemas.openxmlformats.org/officeDocument/2006/custom-properties" xmlns:vt="http://schemas.openxmlformats.org/officeDocument/2006/docPropsVTypes"/>
</file>