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aps/>
          <w:color w:val="001F5B"/>
          <w:sz w:val="32"/>
          <w:szCs w:val="32"/>
        </w:rPr>
        <w:t xml:space="preserve">CREDIT ANALYSIS — ANALYST WORKING DOCUMENT</w:t>
      </w:r>
    </w:p>
    <w:p>
      <w:pPr>
        <w:spacing w:after="60"/>
        <w:jc w:val="center"/>
      </w:pPr>
      <w:r>
        <w:rPr>
          <w:rFonts w:ascii="Arial" w:cs="Arial" w:eastAsia="Arial" w:hAnsi="Arial"/>
          <w:b/>
          <w:bCs/>
          <w:color w:val="1F497D"/>
          <w:sz w:val="28"/>
          <w:szCs w:val="28"/>
        </w:rPr>
        <w:t xml:space="preserve">3M CO</w:t>
      </w:r>
    </w:p>
    <w:p>
      <w:pPr>
        <w:spacing w:after="40"/>
        <w:jc w:val="center"/>
      </w:pPr>
      <w:r>
        <w:rPr>
          <w:rFonts w:ascii="Arial" w:cs="Arial" w:eastAsia="Arial" w:hAnsi="Arial"/>
          <w:color w:val="555555"/>
          <w:sz w:val="18"/>
          <w:szCs w:val="18"/>
        </w:rPr>
        <w:t xml:space="preserve">Periods: FY2025, FY2024  |  Basis: Millions  |  Generated: September 3, 2026</w:t>
      </w:r>
    </w:p>
    <w:p>
      <w:pPr>
        <w:pBdr>
          <w:bottom w:val="single" w:color="001F5B" w:sz="8"/>
        </w:pBdr>
        <w:spacing w:after="300"/>
      </w:pPr>
    </w:p>
    <w:p>
      <w:pPr>
        <w:pBdr>
          <w:bottom w:val="single" w:color="001F5B" w:sz="8"/>
        </w:pBdr>
        <w:spacing w:after="80" w:before="300"/>
      </w:pPr>
      <w:r>
        <w:rPr>
          <w:rFonts w:ascii="Arial" w:cs="Arial" w:eastAsia="Arial" w:hAnsi="Arial"/>
          <w:b/>
          <w:bCs/>
          <w:color w:val="001F5B"/>
          <w:sz w:val="28"/>
          <w:szCs w:val="28"/>
        </w:rPr>
        <w:t xml:space="preserve">YoY Financial Narrative</w:t>
      </w:r>
    </w:p>
    <w:p>
      <w:pPr>
        <w:spacing w:after="80"/>
      </w:pPr>
      <w:r>
        <w:rPr>
          <w:rFonts w:ascii="Arial" w:cs="Arial" w:eastAsia="Arial" w:hAnsi="Arial"/>
          <w:color w:val="555555"/>
          <w:sz w:val="20"/>
          <w:szCs w:val="20"/>
        </w:rPr>
        <w:t xml:space="preserve">Comparison of FY2025 vs. FY2024. All figures in millions.</w:t>
      </w:r>
    </w:p>
    <w:p>
      <w:pPr>
        <w:spacing w:after="100"/>
      </w:pPr>
    </w:p>
    <w:p>
      <w:pPr>
        <w:spacing w:after="80" w:before="160"/>
      </w:pPr>
      <w:r>
        <w:rPr>
          <w:rFonts w:ascii="Arial" w:cs="Arial" w:eastAsia="Arial" w:hAnsi="Arial"/>
          <w:b/>
          <w:bCs/>
          <w:caps/>
          <w:color w:val="001F5B"/>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FY2025</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$24,948.0M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$24,575.0M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+$373.0M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+2%</w:t>
            </w:r>
          </w:p>
        </w:tc>
      </w:tr>
    </w:tbl>
    <w:p>
      <w:pPr>
        <w:spacing w:after="80"/>
      </w:pPr>
    </w:p>
    <w:p>
      <w:pPr>
        <w:spacing w:after="40" w:before="100"/>
      </w:pPr>
      <w:r>
        <w:rPr>
          <w:rFonts w:ascii="Arial" w:cs="Arial" w:eastAsia="Arial" w:hAnsi="Arial"/>
          <w:b/>
          <w:bCs/>
          <w:color w:val="000000"/>
          <w:sz w:val="20"/>
          <w:szCs w:val="20"/>
        </w:rPr>
        <w:t xml:space="preserve">Key drivers:</w:t>
      </w:r>
    </w:p>
    <w:p>
      <w:pPr>
        <w:pStyle w:val="ListParagraph"/>
        <w:numPr>
          <w:ilvl w:val="0"/>
          <w:numId w:val="2"/>
        </w:numPr>
        <w:spacing w:after="60"/>
      </w:pPr>
      <w:r>
        <w:rPr>
          <w:rFonts w:ascii="Arial" w:cs="Arial" w:eastAsia="Arial" w:hAnsi="Arial"/>
          <w:b w:val="false"/>
          <w:bCs w:val="false"/>
          <w:sz w:val="20"/>
          <w:szCs w:val="20"/>
        </w:rPr>
        <w:t xml:space="preserve">Organic sales growth of 0.9% (2.1% adjusted excluding PFAS) drove $373M year-over-year increase.</w:t>
      </w:r>
    </w:p>
    <w:p>
      <w:pPr>
        <w:pStyle w:val="ListParagraph"/>
        <w:numPr>
          <w:ilvl w:val="0"/>
          <w:numId w:val="2"/>
        </w:numPr>
        <w:spacing w:after="60"/>
      </w:pPr>
      <w:r>
        <w:rPr>
          <w:rFonts w:ascii="Arial" w:cs="Arial" w:eastAsia="Arial" w:hAnsi="Arial"/>
          <w:b w:val="false"/>
          <w:bCs w:val="false"/>
          <w:sz w:val="20"/>
          <w:szCs w:val="20"/>
        </w:rPr>
        <w:t xml:space="preserve">Safety and industrial end markets strengthened by commercial excellence and new product introductions.</w:t>
      </w:r>
    </w:p>
    <w:p>
      <w:pPr>
        <w:pStyle w:val="ListParagraph"/>
        <w:numPr>
          <w:ilvl w:val="0"/>
          <w:numId w:val="2"/>
        </w:numPr>
        <w:spacing w:after="60"/>
      </w:pPr>
      <w:r>
        <w:rPr>
          <w:rFonts w:ascii="Arial" w:cs="Arial" w:eastAsia="Arial" w:hAnsi="Arial"/>
          <w:b w:val="false"/>
          <w:bCs w:val="false"/>
          <w:sz w:val="20"/>
          <w:szCs w:val="20"/>
        </w:rPr>
        <w:t xml:space="preserve">Americas contributed $13,579M with organic growth of +1.3%.</w:t>
      </w:r>
    </w:p>
    <w:p>
      <w:pPr>
        <w:pStyle w:val="ListParagraph"/>
        <w:numPr>
          <w:ilvl w:val="0"/>
          <w:numId w:val="2"/>
        </w:numPr>
        <w:spacing w:after="60"/>
      </w:pPr>
      <w:r>
        <w:rPr>
          <w:rFonts w:ascii="Arial" w:cs="Arial" w:eastAsia="Arial" w:hAnsi="Arial"/>
          <w:b w:val="false"/>
          <w:bCs w:val="false"/>
          <w:sz w:val="20"/>
          <w:szCs w:val="20"/>
        </w:rPr>
        <w:t xml:space="preserve">Asia Pacific contributed $7,095M with organic growth of +1.7%.</w:t>
      </w:r>
    </w:p>
    <w:p>
      <w:pPr>
        <w:spacing w:after="40" w:before="100"/>
      </w:pPr>
      <w:r>
        <w:rPr>
          <w:rFonts w:ascii="Arial" w:cs="Arial" w:eastAsia="Arial" w:hAnsi="Arial"/>
          <w:b/>
          <w:bCs/>
          <w:color w:val="000000"/>
          <w:sz w:val="20"/>
          <w:szCs w:val="20"/>
        </w:rPr>
        <w:t xml:space="preserve">Offsetting factors:</w:t>
      </w:r>
    </w:p>
    <w:p>
      <w:pPr>
        <w:pStyle w:val="ListParagraph"/>
        <w:numPr>
          <w:ilvl w:val="0"/>
          <w:numId w:val="2"/>
        </w:numPr>
        <w:spacing w:after="60"/>
      </w:pPr>
      <w:r>
        <w:rPr>
          <w:rFonts w:ascii="Arial" w:cs="Arial" w:eastAsia="Arial" w:hAnsi="Arial"/>
          <w:b w:val="false"/>
          <w:bCs w:val="false"/>
          <w:sz w:val="20"/>
          <w:szCs w:val="20"/>
        </w:rPr>
        <w:t xml:space="preserve">PFAS product wind-down reduced reported net sales by $669M in FY2025 vs. $945M in FY2024.</w:t>
      </w:r>
    </w:p>
    <w:p>
      <w:pPr>
        <w:pStyle w:val="ListParagraph"/>
        <w:numPr>
          <w:ilvl w:val="0"/>
          <w:numId w:val="2"/>
        </w:numPr>
        <w:spacing w:after="60"/>
      </w:pPr>
      <w:r>
        <w:rPr>
          <w:rFonts w:ascii="Arial" w:cs="Arial" w:eastAsia="Arial" w:hAnsi="Arial"/>
          <w:b w:val="false"/>
          <w:bCs w:val="false"/>
          <w:sz w:val="20"/>
          <w:szCs w:val="20"/>
        </w:rPr>
        <w:t xml:space="preserve">Auto aftermarket, roofing granules, commercial vehicles, and consumer discretionary categories were soft.</w:t>
      </w:r>
    </w:p>
    <w:p>
      <w:pPr>
        <w:pStyle w:val="ListParagraph"/>
        <w:numPr>
          <w:ilvl w:val="0"/>
          <w:numId w:val="2"/>
        </w:numPr>
        <w:spacing w:after="60"/>
      </w:pPr>
      <w:r>
        <w:rPr>
          <w:rFonts w:ascii="Arial" w:cs="Arial" w:eastAsia="Arial" w:hAnsi="Arial"/>
          <w:b w:val="false"/>
          <w:bCs w:val="false"/>
          <w:sz w:val="20"/>
          <w:szCs w:val="20"/>
        </w:rPr>
        <w:t xml:space="preserve">EMEA was the only region with negative organic growth at -1.7%, contributing $4,274M.</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Cost of Goods Sold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FY2025</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Cost of Goods Sold</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$14,991.0M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$14,447.0M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+$544.0M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w:t>
            </w:r>
          </w:p>
        </w:tc>
      </w:tr>
    </w:tbl>
    <w:p>
      <w:pPr>
        <w:spacing w:after="80"/>
      </w:pPr>
    </w:p>
    <w:p>
      <w:pPr>
        <w:spacing w:after="40" w:before="100"/>
      </w:pPr>
      <w:r>
        <w:rPr>
          <w:rFonts w:ascii="Arial" w:cs="Arial" w:eastAsia="Arial" w:hAnsi="Arial"/>
          <w:b/>
          <w:bCs/>
          <w:color w:val="000000"/>
          <w:sz w:val="20"/>
          <w:szCs w:val="20"/>
        </w:rPr>
        <w:t xml:space="preserve">Cost-increasing factors:</w:t>
      </w:r>
    </w:p>
    <w:p>
      <w:pPr>
        <w:pStyle w:val="ListParagraph"/>
        <w:numPr>
          <w:ilvl w:val="0"/>
          <w:numId w:val="2"/>
        </w:numPr>
        <w:spacing w:after="60"/>
      </w:pPr>
      <w:r>
        <w:rPr>
          <w:rFonts w:ascii="Arial" w:cs="Arial" w:eastAsia="Arial" w:hAnsi="Arial"/>
          <w:b w:val="false"/>
          <w:bCs w:val="false"/>
          <w:sz w:val="20"/>
          <w:szCs w:val="20"/>
        </w:rPr>
        <w:t xml:space="preserve">Foreign currency impacts increased cost of sales as a percentage of net sales.</w:t>
      </w:r>
    </w:p>
    <w:p>
      <w:pPr>
        <w:pStyle w:val="ListParagraph"/>
        <w:numPr>
          <w:ilvl w:val="0"/>
          <w:numId w:val="2"/>
        </w:numPr>
        <w:spacing w:after="60"/>
      </w:pPr>
      <w:r>
        <w:rPr>
          <w:rFonts w:ascii="Arial" w:cs="Arial" w:eastAsia="Arial" w:hAnsi="Arial"/>
          <w:b w:val="false"/>
          <w:bCs w:val="false"/>
          <w:sz w:val="20"/>
          <w:szCs w:val="20"/>
        </w:rPr>
        <w:t xml:space="preserve">Tariff headwinds increased cost of sales in FY2025.</w:t>
      </w:r>
    </w:p>
    <w:p>
      <w:pPr>
        <w:pStyle w:val="ListParagraph"/>
        <w:numPr>
          <w:ilvl w:val="0"/>
          <w:numId w:val="2"/>
        </w:numPr>
        <w:spacing w:after="60"/>
      </w:pPr>
      <w:r>
        <w:rPr>
          <w:rFonts w:ascii="Arial" w:cs="Arial" w:eastAsia="Arial" w:hAnsi="Arial"/>
          <w:b w:val="false"/>
          <w:bCs w:val="false"/>
          <w:sz w:val="20"/>
          <w:szCs w:val="20"/>
        </w:rPr>
        <w:t xml:space="preserve">PFAS manufacturing exit elevated costs as manufacturing concluded in 2025.</w:t>
      </w:r>
    </w:p>
    <w:p>
      <w:pPr>
        <w:pStyle w:val="ListParagraph"/>
        <w:numPr>
          <w:ilvl w:val="0"/>
          <w:numId w:val="2"/>
        </w:numPr>
        <w:spacing w:after="60"/>
      </w:pPr>
      <w:r>
        <w:rPr>
          <w:rFonts w:ascii="Arial" w:cs="Arial" w:eastAsia="Arial" w:hAnsi="Arial"/>
          <w:b w:val="false"/>
          <w:bCs w:val="false"/>
          <w:sz w:val="20"/>
          <w:szCs w:val="20"/>
        </w:rPr>
        <w:t xml:space="preserve">Net costs for significant litigation including site remediation obligation updates increased COGS.</w:t>
      </w:r>
    </w:p>
    <w:p>
      <w:pPr>
        <w:pStyle w:val="ListParagraph"/>
        <w:numPr>
          <w:ilvl w:val="0"/>
          <w:numId w:val="2"/>
        </w:numPr>
        <w:spacing w:after="60"/>
      </w:pPr>
      <w:r>
        <w:rPr>
          <w:rFonts w:ascii="Arial" w:cs="Arial" w:eastAsia="Arial" w:hAnsi="Arial"/>
          <w:b w:val="false"/>
          <w:bCs w:val="false"/>
          <w:sz w:val="20"/>
          <w:szCs w:val="20"/>
        </w:rPr>
        <w:t xml:space="preserve">Cost dis-synergies from PFAS manufacturing exit and April 2024 Solventum spin-off weighed on costs.</w:t>
      </w:r>
    </w:p>
    <w:p>
      <w:pPr>
        <w:spacing w:after="40" w:before="100"/>
      </w:pPr>
      <w:r>
        <w:rPr>
          <w:rFonts w:ascii="Arial" w:cs="Arial" w:eastAsia="Arial" w:hAnsi="Arial"/>
          <w:b/>
          <w:bCs/>
          <w:color w:val="000000"/>
          <w:sz w:val="20"/>
          <w:szCs w:val="20"/>
        </w:rPr>
        <w:t xml:space="preserve">Cost-reducing factors:</w:t>
      </w:r>
    </w:p>
    <w:p>
      <w:pPr>
        <w:pStyle w:val="ListParagraph"/>
        <w:numPr>
          <w:ilvl w:val="0"/>
          <w:numId w:val="2"/>
        </w:numPr>
        <w:spacing w:after="60"/>
      </w:pPr>
      <w:r>
        <w:rPr>
          <w:rFonts w:ascii="Arial" w:cs="Arial" w:eastAsia="Arial" w:hAnsi="Arial"/>
          <w:b w:val="false"/>
          <w:bCs w:val="false"/>
          <w:sz w:val="20"/>
          <w:szCs w:val="20"/>
        </w:rPr>
        <w:t xml:space="preserve">Ongoing procurement and logistics savings partially offset cost headwinds.</w:t>
      </w:r>
    </w:p>
    <w:p>
      <w:pPr>
        <w:pStyle w:val="ListParagraph"/>
        <w:numPr>
          <w:ilvl w:val="0"/>
          <w:numId w:val="2"/>
        </w:numPr>
        <w:spacing w:after="60"/>
      </w:pPr>
      <w:r>
        <w:rPr>
          <w:rFonts w:ascii="Arial" w:cs="Arial" w:eastAsia="Arial" w:hAnsi="Arial"/>
          <w:b w:val="false"/>
          <w:bCs w:val="false"/>
          <w:sz w:val="20"/>
          <w:szCs w:val="20"/>
        </w:rPr>
        <w:t xml:space="preserve">Quality cost improvements provided partial offset to cost increases.</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Gross Margin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FY2025</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Gross Profit</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$9,957.0M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$10,128.0M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($171.0M)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Gross Margin %</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$39.9M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$41.2M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($1.3M)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w:t>
            </w:r>
          </w:p>
        </w:tc>
      </w:tr>
    </w:tbl>
    <w:p>
      <w:pPr>
        <w:spacing w:after="80"/>
      </w:pPr>
    </w:p>
    <w:p>
      <w:pPr>
        <w:spacing w:after="40" w:before="100"/>
      </w:pPr>
      <w:r>
        <w:rPr>
          <w:rFonts w:ascii="Arial" w:cs="Arial" w:eastAsia="Arial" w:hAnsi="Arial"/>
          <w:b/>
          <w:bCs/>
          <w:color w:val="000000"/>
          <w:sz w:val="20"/>
          <w:szCs w:val="20"/>
        </w:rPr>
        <w:t xml:space="preserve">Commentary:</w:t>
      </w:r>
    </w:p>
    <w:p>
      <w:pPr>
        <w:pStyle w:val="ListParagraph"/>
        <w:numPr>
          <w:ilvl w:val="0"/>
          <w:numId w:val="2"/>
        </w:numPr>
        <w:spacing w:after="60"/>
      </w:pPr>
      <w:r>
        <w:rPr>
          <w:rFonts w:ascii="Arial" w:cs="Arial" w:eastAsia="Arial" w:hAnsi="Arial"/>
          <w:b w:val="false"/>
          <w:bCs w:val="false"/>
          <w:sz w:val="20"/>
          <w:szCs w:val="20"/>
        </w:rPr>
        <w:t xml:space="preserve">Gross margin declined approximately 130 basis points to ~39.9% in FY2025 from ~41.2% in FY2024.</w:t>
      </w:r>
    </w:p>
    <w:p>
      <w:pPr>
        <w:pStyle w:val="ListParagraph"/>
        <w:numPr>
          <w:ilvl w:val="0"/>
          <w:numId w:val="2"/>
        </w:numPr>
        <w:spacing w:after="60"/>
      </w:pPr>
      <w:r>
        <w:rPr>
          <w:rFonts w:ascii="Arial" w:cs="Arial" w:eastAsia="Arial" w:hAnsi="Arial"/>
          <w:b w:val="false"/>
          <w:bCs w:val="false"/>
          <w:sz w:val="20"/>
          <w:szCs w:val="20"/>
        </w:rPr>
        <w:t xml:space="preserve">Tariff impacts and foreign currency headwinds were primary drivers of margin compression.</w:t>
      </w:r>
    </w:p>
    <w:p>
      <w:pPr>
        <w:pStyle w:val="ListParagraph"/>
        <w:numPr>
          <w:ilvl w:val="0"/>
          <w:numId w:val="2"/>
        </w:numPr>
        <w:spacing w:after="60"/>
      </w:pPr>
      <w:r>
        <w:rPr>
          <w:rFonts w:ascii="Arial" w:cs="Arial" w:eastAsia="Arial" w:hAnsi="Arial"/>
          <w:b w:val="false"/>
          <w:bCs w:val="false"/>
          <w:sz w:val="20"/>
          <w:szCs w:val="20"/>
        </w:rPr>
        <w:t xml:space="preserve">PFAS manufacturing exit costs, including accelerated depreciation, pressured margins.</w:t>
      </w:r>
    </w:p>
    <w:p>
      <w:pPr>
        <w:pStyle w:val="ListParagraph"/>
        <w:numPr>
          <w:ilvl w:val="0"/>
          <w:numId w:val="2"/>
        </w:numPr>
        <w:spacing w:after="60"/>
      </w:pPr>
      <w:r>
        <w:rPr>
          <w:rFonts w:ascii="Arial" w:cs="Arial" w:eastAsia="Arial" w:hAnsi="Arial"/>
          <w:b w:val="false"/>
          <w:bCs w:val="false"/>
          <w:sz w:val="20"/>
          <w:szCs w:val="20"/>
        </w:rPr>
        <w:t xml:space="preserve">Cost dis-synergies from PFAS exit and Solventum separation weighed on gross margin.</w:t>
      </w:r>
    </w:p>
    <w:p>
      <w:pPr>
        <w:pStyle w:val="ListParagraph"/>
        <w:numPr>
          <w:ilvl w:val="0"/>
          <w:numId w:val="2"/>
        </w:numPr>
        <w:spacing w:after="60"/>
      </w:pPr>
      <w:r>
        <w:rPr>
          <w:rFonts w:ascii="Arial" w:cs="Arial" w:eastAsia="Arial" w:hAnsi="Arial"/>
          <w:b w:val="false"/>
          <w:bCs w:val="false"/>
          <w:sz w:val="20"/>
          <w:szCs w:val="20"/>
        </w:rPr>
        <w:t xml:space="preserve">Procurement and logistics savings and quality cost improvements partially offset margin decline.</w:t>
      </w:r>
    </w:p>
    <w:p>
      <w:pPr>
        <w:pStyle w:val="ListParagraph"/>
        <w:numPr>
          <w:ilvl w:val="0"/>
          <w:numId w:val="2"/>
        </w:numPr>
        <w:spacing w:after="60"/>
      </w:pPr>
      <w:r>
        <w:rPr>
          <w:rFonts w:ascii="Arial" w:cs="Arial" w:eastAsia="Arial" w:hAnsi="Arial"/>
          <w:b w:val="false"/>
          <w:bCs w:val="false"/>
          <w:sz w:val="20"/>
          <w:szCs w:val="20"/>
        </w:rPr>
        <w:t xml:space="preserve">FY2024 gross margin had benefited from manufacturing productivity and lower restructuring charges.</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EBITDA &amp; Profitability</w:t>
      </w:r>
    </w:p>
    <w:p>
      <w:pPr>
        <w:pStyle w:val="ListParagraph"/>
        <w:numPr>
          <w:ilvl w:val="0"/>
          <w:numId w:val="2"/>
        </w:numPr>
        <w:spacing w:after="60"/>
      </w:pPr>
      <w:r>
        <w:rPr>
          <w:rFonts w:ascii="Arial" w:cs="Arial" w:eastAsia="Arial" w:hAnsi="Arial"/>
          <w:b/>
          <w:bCs/>
          <w:sz w:val="20"/>
          <w:szCs w:val="20"/>
        </w:rPr>
        <w:t xml:space="preserve">EBITDA decreased (4%) YoY</w:t>
      </w:r>
      <w:r>
        <w:rPr>
          <w:rFonts w:ascii="Arial" w:cs="Arial" w:eastAsia="Arial" w:hAnsi="Arial"/>
          <w:b w:val="false"/>
          <w:bCs w:val="false"/>
          <w:sz w:val="20"/>
          <w:szCs w:val="20"/>
        </w:rPr>
        <w:t xml:space="preserve"> from $6,402.6M to $6,139.0M.</w:t>
      </w:r>
    </w:p>
    <w:p>
      <w:pPr>
        <w:pStyle w:val="ListParagraph"/>
        <w:numPr>
          <w:ilvl w:val="0"/>
          <w:numId w:val="2"/>
        </w:numPr>
        <w:spacing w:after="60"/>
      </w:pPr>
      <w:r>
        <w:rPr>
          <w:rFonts w:ascii="Arial" w:cs="Arial" w:eastAsia="Arial" w:hAnsi="Arial"/>
          <w:b w:val="false"/>
          <w:bCs w:val="false"/>
          <w:sz w:val="20"/>
          <w:szCs w:val="20"/>
        </w:rPr>
        <w:t xml:space="preserve">EBITDA margin contracted 1.4pp to 24.6% (FY2024: 26.1%).</w:t>
      </w:r>
    </w:p>
    <w:p>
      <w:pPr>
        <w:pStyle w:val="ListParagraph"/>
        <w:numPr>
          <w:ilvl w:val="0"/>
          <w:numId w:val="2"/>
        </w:numPr>
        <w:spacing w:after="60"/>
      </w:pPr>
      <w:r>
        <w:rPr>
          <w:rFonts w:ascii="Arial" w:cs="Arial" w:eastAsia="Arial" w:hAnsi="Arial"/>
          <w:b w:val="false"/>
          <w:bCs w:val="false"/>
          <w:sz w:val="20"/>
          <w:szCs w:val="20"/>
        </w:rPr>
        <w:t xml:space="preserve">Operating income decreased (4%) to $4,629.0M.</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Cash Flow</w:t>
      </w:r>
    </w:p>
    <w:p>
      <w:pPr>
        <w:pStyle w:val="ListParagraph"/>
        <w:numPr>
          <w:ilvl w:val="0"/>
          <w:numId w:val="2"/>
        </w:numPr>
        <w:spacing w:after="60"/>
      </w:pPr>
      <w:r>
        <w:rPr>
          <w:rFonts w:ascii="Arial" w:cs="Arial" w:eastAsia="Arial" w:hAnsi="Arial"/>
          <w:b/>
          <w:bCs/>
          <w:sz w:val="20"/>
          <w:szCs w:val="20"/>
        </w:rPr>
        <w:t xml:space="preserve">Operating cash flow (CFO) increased +27%</w:t>
      </w:r>
      <w:r>
        <w:rPr>
          <w:rFonts w:ascii="Arial" w:cs="Arial" w:eastAsia="Arial" w:hAnsi="Arial"/>
          <w:b w:val="false"/>
          <w:bCs w:val="false"/>
          <w:sz w:val="20"/>
          <w:szCs w:val="20"/>
        </w:rPr>
        <w:t xml:space="preserve"> from $1,819.0M to $2,306.0M.</w:t>
      </w:r>
    </w:p>
    <w:p>
      <w:pPr>
        <w:pStyle w:val="ListParagraph"/>
        <w:numPr>
          <w:ilvl w:val="0"/>
          <w:numId w:val="2"/>
        </w:numPr>
        <w:spacing w:after="60"/>
      </w:pPr>
      <w:r>
        <w:rPr>
          <w:rFonts w:ascii="Arial" w:cs="Arial" w:eastAsia="Arial" w:hAnsi="Arial"/>
          <w:b w:val="false"/>
          <w:bCs w:val="false"/>
          <w:sz w:val="20"/>
          <w:szCs w:val="20"/>
        </w:rPr>
        <w:t xml:space="preserve">CapEx decreased (23%) $910.0M (3.6% of revenue).</w:t>
      </w:r>
    </w:p>
    <w:p>
      <w:pPr>
        <w:pStyle w:val="ListParagraph"/>
        <w:numPr>
          <w:ilvl w:val="0"/>
          <w:numId w:val="2"/>
        </w:numPr>
        <w:spacing w:after="60"/>
      </w:pPr>
      <w:r>
        <w:rPr>
          <w:rFonts w:ascii="Arial" w:cs="Arial" w:eastAsia="Arial" w:hAnsi="Arial"/>
          <w:b/>
          <w:bCs/>
          <w:sz w:val="20"/>
          <w:szCs w:val="20"/>
        </w:rPr>
        <w:t xml:space="preserve">Free cash flow increased +119%</w:t>
      </w:r>
      <w:r>
        <w:rPr>
          <w:rFonts w:ascii="Arial" w:cs="Arial" w:eastAsia="Arial" w:hAnsi="Arial"/>
          <w:b w:val="false"/>
          <w:bCs w:val="false"/>
          <w:sz w:val="20"/>
          <w:szCs w:val="20"/>
        </w:rPr>
        <w:t xml:space="preserve"> to $1,396.0M (FY2024: $638.0M).</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Debt &amp; Capital Structure</w:t>
      </w:r>
    </w:p>
    <w:p>
      <w:pPr>
        <w:pStyle w:val="ListParagraph"/>
        <w:numPr>
          <w:ilvl w:val="0"/>
          <w:numId w:val="2"/>
        </w:numPr>
        <w:spacing w:after="60"/>
      </w:pPr>
      <w:r>
        <w:rPr>
          <w:rFonts w:ascii="Arial" w:cs="Arial" w:eastAsia="Arial" w:hAnsi="Arial"/>
          <w:b/>
          <w:bCs/>
          <w:sz w:val="20"/>
          <w:szCs w:val="20"/>
        </w:rPr>
        <w:t xml:space="preserve">Total debt decreased (3%)</w:t>
      </w:r>
      <w:r>
        <w:rPr>
          <w:rFonts w:ascii="Arial" w:cs="Arial" w:eastAsia="Arial" w:hAnsi="Arial"/>
          <w:b w:val="false"/>
          <w:bCs w:val="false"/>
          <w:sz w:val="20"/>
          <w:szCs w:val="20"/>
        </w:rPr>
        <w:t xml:space="preserve"> from $13,044.0M to $12,602.0M.</w:t>
      </w:r>
    </w:p>
    <w:p>
      <w:pPr>
        <w:pStyle w:val="ListParagraph"/>
        <w:numPr>
          <w:ilvl w:val="0"/>
          <w:numId w:val="2"/>
        </w:numPr>
        <w:spacing w:after="60"/>
      </w:pPr>
      <w:r>
        <w:rPr>
          <w:rFonts w:ascii="Arial" w:cs="Arial" w:eastAsia="Arial" w:hAnsi="Arial"/>
          <w:b/>
          <w:bCs/>
          <w:sz w:val="20"/>
          <w:szCs w:val="20"/>
        </w:rPr>
        <w:t xml:space="preserve">Leverage (Debt/EBITDA) deteriorated from 2.04x to 2.05x</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val="false"/>
          <w:bCs w:val="false"/>
          <w:sz w:val="20"/>
          <w:szCs w:val="20"/>
        </w:rPr>
        <w:t xml:space="preserve">FCC increased from 1.80x to 2.07x.</w:t>
      </w:r>
    </w:p>
    <w:p>
      <w:pPr>
        <w:pStyle w:val="ListParagraph"/>
        <w:numPr>
          <w:ilvl w:val="0"/>
          <w:numId w:val="2"/>
        </w:numPr>
        <w:spacing w:after="60"/>
      </w:pPr>
      <w:r>
        <w:rPr>
          <w:rFonts w:ascii="Arial" w:cs="Arial" w:eastAsia="Arial" w:hAnsi="Arial"/>
          <w:b w:val="false"/>
          <w:bCs w:val="false"/>
          <w:sz w:val="20"/>
          <w:szCs w:val="20"/>
        </w:rPr>
        <w:t xml:space="preserve">Cash decreased (7%) to $5,235.0M (FY2024: $5,600.0M).</w:t>
      </w:r>
    </w:p>
    <w:p>
      <w:r>
        <w:br w:type="page"/>
      </w:r>
    </w:p>
    <w:p>
      <w:pPr>
        <w:pBdr>
          <w:bottom w:val="single" w:color="001F5B" w:sz="8"/>
        </w:pBdr>
        <w:spacing w:after="80" w:before="300"/>
      </w:pPr>
      <w:r>
        <w:rPr>
          <w:rFonts w:ascii="Arial" w:cs="Arial" w:eastAsia="Arial" w:hAnsi="Arial"/>
          <w:b/>
          <w:bCs/>
          <w:color w:val="001F5B"/>
          <w:sz w:val="28"/>
          <w:szCs w:val="28"/>
        </w:rPr>
        <w:t xml:space="preserve">Segment Analysis</w:t>
      </w:r>
    </w:p>
    <w:p>
      <w:pPr>
        <w:spacing w:after="80"/>
      </w:pPr>
      <w:r>
        <w:rPr>
          <w:rFonts w:ascii="Arial" w:cs="Arial" w:eastAsia="Arial" w:hAnsi="Arial"/>
          <w:color w:val="555555"/>
          <w:sz w:val="20"/>
          <w:szCs w:val="20"/>
        </w:rPr>
        <w:t xml:space="preserve">Per-segment breakdown extracted from Management's Discussion &amp; Analysis. Verify all figures against the source 10-K.</w:t>
      </w:r>
    </w:p>
    <w:p>
      <w:pPr>
        <w:spacing w:after="100"/>
      </w:pPr>
    </w:p>
    <w:p>
      <w:pPr>
        <w:shd w:fill="001F5B" w:color="auto" w:val="clear"/>
        <w:spacing w:after="80" w:before="200"/>
      </w:pPr>
      <w:r>
        <w:rPr>
          <w:rFonts w:ascii="Arial" w:cs="Arial" w:eastAsia="Arial" w:hAnsi="Arial"/>
          <w:b/>
          <w:bCs/>
          <w:caps/>
          <w:color w:val="FFFFFF"/>
          <w:sz w:val="22"/>
          <w:szCs w:val="22"/>
        </w:rPr>
        <w:t xml:space="preserve">SEGMENT: SAFETY AND INDUSTRIAL</w:t>
      </w:r>
    </w:p>
    <w:p>
      <w:pPr>
        <w:spacing w:after="80" w:before="160"/>
      </w:pPr>
      <w:r>
        <w:rPr>
          <w:rFonts w:ascii="Arial" w:cs="Arial" w:eastAsia="Arial" w:hAnsi="Arial"/>
          <w:b/>
          <w:bCs/>
          <w:caps/>
          <w:color w:val="C09000"/>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FY2025</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$11,384.0M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$10,961.0M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+$423.0M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w:t>
            </w:r>
          </w:p>
        </w:tc>
      </w:tr>
    </w:tbl>
    <w:p>
      <w:pPr>
        <w:spacing w:after="80"/>
      </w:pPr>
    </w:p>
    <w:p>
      <w:pPr>
        <w:spacing w:after="40" w:before="100"/>
      </w:pPr>
      <w:r>
        <w:rPr>
          <w:rFonts w:ascii="Arial" w:cs="Arial" w:eastAsia="Arial" w:hAnsi="Arial"/>
          <w:b/>
          <w:bCs/>
          <w:color w:val="000000"/>
          <w:sz w:val="20"/>
          <w:szCs w:val="20"/>
        </w:rPr>
        <w:t xml:space="preserve">Drivers (negative):</w:t>
      </w:r>
    </w:p>
    <w:p>
      <w:pPr>
        <w:pStyle w:val="ListParagraph"/>
        <w:numPr>
          <w:ilvl w:val="0"/>
          <w:numId w:val="2"/>
        </w:numPr>
        <w:spacing w:after="60"/>
      </w:pPr>
      <w:r>
        <w:rPr>
          <w:rFonts w:ascii="Arial" w:cs="Arial" w:eastAsia="Arial" w:hAnsi="Arial"/>
          <w:b w:val="false"/>
          <w:bCs w:val="false"/>
          <w:sz w:val="20"/>
          <w:szCs w:val="20"/>
        </w:rPr>
        <w:t xml:space="preserve">Roofing granules weakness was a known negative organic impact on segment sales.</w:t>
      </w:r>
    </w:p>
    <w:p>
      <w:pPr>
        <w:pStyle w:val="ListParagraph"/>
        <w:numPr>
          <w:ilvl w:val="0"/>
          <w:numId w:val="2"/>
        </w:numPr>
        <w:spacing w:after="60"/>
      </w:pPr>
      <w:r>
        <w:rPr>
          <w:rFonts w:ascii="Arial" w:cs="Arial" w:eastAsia="Arial" w:hAnsi="Arial"/>
          <w:b w:val="false"/>
          <w:bCs w:val="false"/>
          <w:sz w:val="20"/>
          <w:szCs w:val="20"/>
        </w:rPr>
        <w:t xml:space="preserve">Automotive aftermarket softness was a primary drag on segment organic growth.</w:t>
      </w:r>
    </w:p>
    <w:p>
      <w:pPr>
        <w:spacing w:after="40" w:before="100"/>
      </w:pPr>
      <w:r>
        <w:rPr>
          <w:rFonts w:ascii="Arial" w:cs="Arial" w:eastAsia="Arial" w:hAnsi="Arial"/>
          <w:b/>
          <w:bCs/>
          <w:color w:val="000000"/>
          <w:sz w:val="20"/>
          <w:szCs w:val="20"/>
        </w:rPr>
        <w:t xml:space="preserve">Offsetting factors (positive):</w:t>
      </w:r>
    </w:p>
    <w:p>
      <w:pPr>
        <w:pStyle w:val="ListParagraph"/>
        <w:numPr>
          <w:ilvl w:val="0"/>
          <w:numId w:val="2"/>
        </w:numPr>
        <w:spacing w:after="60"/>
      </w:pPr>
      <w:r>
        <w:rPr>
          <w:rFonts w:ascii="Arial" w:cs="Arial" w:eastAsia="Arial" w:hAnsi="Arial"/>
          <w:b w:val="false"/>
          <w:bCs w:val="false"/>
          <w:sz w:val="20"/>
          <w:szCs w:val="20"/>
        </w:rPr>
        <w:t xml:space="preserve">Electrical markets, personal safety, abrasives, and industrial specialties drove organic growth of +3.2%.</w:t>
      </w:r>
    </w:p>
    <w:p>
      <w:pPr>
        <w:pStyle w:val="ListParagraph"/>
        <w:numPr>
          <w:ilvl w:val="0"/>
          <w:numId w:val="2"/>
        </w:numPr>
        <w:spacing w:after="60"/>
      </w:pPr>
      <w:r>
        <w:rPr>
          <w:rFonts w:ascii="Arial" w:cs="Arial" w:eastAsia="Arial" w:hAnsi="Arial"/>
          <w:b w:val="false"/>
          <w:bCs w:val="false"/>
          <w:sz w:val="20"/>
          <w:szCs w:val="20"/>
        </w:rPr>
        <w:t xml:space="preserve">Commercial excellence initiatives supported demand across key industrial end markets.</w:t>
      </w:r>
    </w:p>
    <w:p>
      <w:pPr>
        <w:pStyle w:val="ListParagraph"/>
        <w:numPr>
          <w:ilvl w:val="0"/>
          <w:numId w:val="2"/>
        </w:numPr>
        <w:spacing w:after="60"/>
      </w:pPr>
      <w:r>
        <w:rPr>
          <w:rFonts w:ascii="Arial" w:cs="Arial" w:eastAsia="Arial" w:hAnsi="Arial"/>
          <w:b w:val="false"/>
          <w:bCs w:val="false"/>
          <w:sz w:val="20"/>
          <w:szCs w:val="20"/>
        </w:rPr>
        <w:t xml:space="preserve">Foreign currency translation contributed a positive +0.7 percentage points (~$77M) to total sales growth.</w:t>
      </w:r>
    </w:p>
    <w:p>
      <w:pPr>
        <w:spacing w:after="80"/>
      </w:pPr>
    </w:p>
    <w:p>
      <w:pPr>
        <w:spacing w:after="80" w:before="160"/>
      </w:pPr>
      <w:r>
        <w:rPr>
          <w:rFonts w:ascii="Arial" w:cs="Arial" w:eastAsia="Arial" w:hAnsi="Arial"/>
          <w:b/>
          <w:bCs/>
          <w:caps/>
          <w:color w:val="C09000"/>
          <w:sz w:val="22"/>
          <w:szCs w:val="22"/>
        </w:rPr>
        <w:t xml:space="preserve">Cost of Goods Sold</w:t>
      </w:r>
    </w:p>
    <w:p>
      <w:pPr>
        <w:spacing w:after="40" w:before="100"/>
      </w:pPr>
      <w:r>
        <w:rPr>
          <w:rFonts w:ascii="Arial" w:cs="Arial" w:eastAsia="Arial" w:hAnsi="Arial"/>
          <w:b/>
          <w:bCs/>
          <w:color w:val="000000"/>
          <w:sz w:val="20"/>
          <w:szCs w:val="20"/>
        </w:rPr>
        <w:t xml:space="preserve">Drivers (cost-increasing):</w:t>
      </w:r>
    </w:p>
    <w:p>
      <w:pPr>
        <w:pStyle w:val="ListParagraph"/>
        <w:numPr>
          <w:ilvl w:val="0"/>
          <w:numId w:val="2"/>
        </w:numPr>
        <w:spacing w:after="60"/>
      </w:pPr>
      <w:r>
        <w:rPr>
          <w:rFonts w:ascii="Arial" w:cs="Arial" w:eastAsia="Arial" w:hAnsi="Arial"/>
          <w:b w:val="false"/>
          <w:bCs w:val="false"/>
          <w:sz w:val="20"/>
          <w:szCs w:val="20"/>
        </w:rPr>
        <w:t xml:space="preserve">Cost dis-synergies from PFAS manufacturing exit and Solventum spin increased segment costs.</w:t>
      </w:r>
    </w:p>
    <w:p>
      <w:pPr>
        <w:pStyle w:val="ListParagraph"/>
        <w:numPr>
          <w:ilvl w:val="0"/>
          <w:numId w:val="2"/>
        </w:numPr>
        <w:spacing w:after="60"/>
      </w:pPr>
      <w:r>
        <w:rPr>
          <w:rFonts w:ascii="Arial" w:cs="Arial" w:eastAsia="Arial" w:hAnsi="Arial"/>
          <w:b w:val="false"/>
          <w:bCs w:val="false"/>
          <w:sz w:val="20"/>
          <w:szCs w:val="20"/>
        </w:rPr>
        <w:t xml:space="preserve">Continued growth investments increased segment cost structure.</w:t>
      </w:r>
    </w:p>
    <w:p>
      <w:pPr>
        <w:spacing w:after="40" w:before="100"/>
      </w:pPr>
      <w:r>
        <w:rPr>
          <w:rFonts w:ascii="Arial" w:cs="Arial" w:eastAsia="Arial" w:hAnsi="Arial"/>
          <w:b/>
          <w:bCs/>
          <w:color w:val="000000"/>
          <w:sz w:val="20"/>
          <w:szCs w:val="20"/>
        </w:rPr>
        <w:t xml:space="preserve">Offsetting factors (cost-reducing):</w:t>
      </w:r>
    </w:p>
    <w:p>
      <w:pPr>
        <w:pStyle w:val="ListParagraph"/>
        <w:numPr>
          <w:ilvl w:val="0"/>
          <w:numId w:val="2"/>
        </w:numPr>
        <w:spacing w:after="60"/>
      </w:pPr>
      <w:r>
        <w:rPr>
          <w:rFonts w:ascii="Arial" w:cs="Arial" w:eastAsia="Arial" w:hAnsi="Arial"/>
          <w:b w:val="false"/>
          <w:bCs w:val="false"/>
          <w:sz w:val="20"/>
          <w:szCs w:val="20"/>
        </w:rPr>
        <w:t xml:space="preserve">Productivity improvements and lower restructuring costs reduced segment cost structure.</w:t>
      </w:r>
    </w:p>
    <w:p>
      <w:pPr>
        <w:pBdr>
          <w:bottom w:val="single" w:color="CCCCCC" w:sz="4"/>
        </w:pBdr>
        <w:spacing w:after="40" w:before="40"/>
      </w:pPr>
    </w:p>
    <w:p>
      <w:pPr>
        <w:spacing w:after="120"/>
      </w:pPr>
    </w:p>
    <w:p>
      <w:pPr>
        <w:shd w:fill="001F5B" w:color="auto" w:val="clear"/>
        <w:spacing w:after="80" w:before="200"/>
      </w:pPr>
      <w:r>
        <w:rPr>
          <w:rFonts w:ascii="Arial" w:cs="Arial" w:eastAsia="Arial" w:hAnsi="Arial"/>
          <w:b/>
          <w:bCs/>
          <w:caps/>
          <w:color w:val="FFFFFF"/>
          <w:sz w:val="22"/>
          <w:szCs w:val="22"/>
        </w:rPr>
        <w:t xml:space="preserve">SEGMENT: TRANSPORTATION AND ELECTRONICS</w:t>
      </w:r>
    </w:p>
    <w:p>
      <w:pPr>
        <w:spacing w:after="80" w:before="160"/>
      </w:pPr>
      <w:r>
        <w:rPr>
          <w:rFonts w:ascii="Arial" w:cs="Arial" w:eastAsia="Arial" w:hAnsi="Arial"/>
          <w:b/>
          <w:bCs/>
          <w:caps/>
          <w:color w:val="C09000"/>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FY2025</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Adjusted Net Sales (excl. PFAS)</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$7,603.0M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$7,435.0M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+$168.0M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$8,272.0M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$8,380.0M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($108.0M)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w:t>
            </w:r>
          </w:p>
        </w:tc>
      </w:tr>
    </w:tbl>
    <w:p>
      <w:pPr>
        <w:spacing w:after="80"/>
      </w:pPr>
    </w:p>
    <w:p>
      <w:pPr>
        <w:spacing w:after="40" w:before="100"/>
      </w:pPr>
      <w:r>
        <w:rPr>
          <w:rFonts w:ascii="Arial" w:cs="Arial" w:eastAsia="Arial" w:hAnsi="Arial"/>
          <w:b/>
          <w:bCs/>
          <w:color w:val="000000"/>
          <w:sz w:val="20"/>
          <w:szCs w:val="20"/>
        </w:rPr>
        <w:t xml:space="preserve">Drivers (negative):</w:t>
      </w:r>
    </w:p>
    <w:p>
      <w:pPr>
        <w:pStyle w:val="ListParagraph"/>
        <w:numPr>
          <w:ilvl w:val="0"/>
          <w:numId w:val="2"/>
        </w:numPr>
        <w:spacing w:after="60"/>
      </w:pPr>
      <w:r>
        <w:rPr>
          <w:rFonts w:ascii="Arial" w:cs="Arial" w:eastAsia="Arial" w:hAnsi="Arial"/>
          <w:b w:val="false"/>
          <w:bCs w:val="false"/>
          <w:sz w:val="20"/>
          <w:szCs w:val="20"/>
        </w:rPr>
        <w:t xml:space="preserve">PFAS product wind-down reduced reported segment sales by $669M in FY2025 vs. $945M in FY2024.</w:t>
      </w:r>
    </w:p>
    <w:p>
      <w:pPr>
        <w:pStyle w:val="ListParagraph"/>
        <w:numPr>
          <w:ilvl w:val="0"/>
          <w:numId w:val="2"/>
        </w:numPr>
        <w:spacing w:after="60"/>
      </w:pPr>
      <w:r>
        <w:rPr>
          <w:rFonts w:ascii="Arial" w:cs="Arial" w:eastAsia="Arial" w:hAnsi="Arial"/>
          <w:b w:val="false"/>
          <w:bCs w:val="false"/>
          <w:sz w:val="20"/>
          <w:szCs w:val="20"/>
        </w:rPr>
        <w:t xml:space="preserve">Advanced materials and electronics faced negative organic impact from PFAS-related headwinds.</w:t>
      </w:r>
    </w:p>
    <w:p>
      <w:pPr>
        <w:pStyle w:val="ListParagraph"/>
        <w:numPr>
          <w:ilvl w:val="0"/>
          <w:numId w:val="2"/>
        </w:numPr>
        <w:spacing w:after="60"/>
      </w:pPr>
      <w:r>
        <w:rPr>
          <w:rFonts w:ascii="Arial" w:cs="Arial" w:eastAsia="Arial" w:hAnsi="Arial"/>
          <w:b w:val="false"/>
          <w:bCs w:val="false"/>
          <w:sz w:val="20"/>
          <w:szCs w:val="20"/>
        </w:rPr>
        <w:t xml:space="preserve">Automotive OEM and commercial vehicle headwinds negatively impacted organic sales.</w:t>
      </w:r>
    </w:p>
    <w:p>
      <w:pPr>
        <w:pStyle w:val="ListParagraph"/>
        <w:numPr>
          <w:ilvl w:val="0"/>
          <w:numId w:val="2"/>
        </w:numPr>
        <w:spacing w:after="60"/>
      </w:pPr>
      <w:r>
        <w:rPr>
          <w:rFonts w:ascii="Arial" w:cs="Arial" w:eastAsia="Arial" w:hAnsi="Arial"/>
          <w:b w:val="false"/>
          <w:bCs w:val="false"/>
          <w:sz w:val="20"/>
          <w:szCs w:val="20"/>
        </w:rPr>
        <w:t xml:space="preserve">Divestiture reduced total sales by -0.1 percentage points.</w:t>
      </w:r>
    </w:p>
    <w:p>
      <w:pPr>
        <w:spacing w:after="40" w:before="100"/>
      </w:pPr>
      <w:r>
        <w:rPr>
          <w:rFonts w:ascii="Arial" w:cs="Arial" w:eastAsia="Arial" w:hAnsi="Arial"/>
          <w:b/>
          <w:bCs/>
          <w:color w:val="000000"/>
          <w:sz w:val="20"/>
          <w:szCs w:val="20"/>
        </w:rPr>
        <w:t xml:space="preserve">Offsetting factors (positive):</w:t>
      </w:r>
    </w:p>
    <w:p>
      <w:pPr>
        <w:pStyle w:val="ListParagraph"/>
        <w:numPr>
          <w:ilvl w:val="0"/>
          <w:numId w:val="2"/>
        </w:numPr>
        <w:spacing w:after="60"/>
      </w:pPr>
      <w:r>
        <w:rPr>
          <w:rFonts w:ascii="Arial" w:cs="Arial" w:eastAsia="Arial" w:hAnsi="Arial"/>
          <w:b w:val="false"/>
          <w:bCs w:val="false"/>
          <w:sz w:val="20"/>
          <w:szCs w:val="20"/>
        </w:rPr>
        <w:t xml:space="preserve">Commercial branding and transportation provided positive organic contribution.</w:t>
      </w:r>
    </w:p>
    <w:p>
      <w:pPr>
        <w:pStyle w:val="ListParagraph"/>
        <w:numPr>
          <w:ilvl w:val="0"/>
          <w:numId w:val="2"/>
        </w:numPr>
        <w:spacing w:after="60"/>
      </w:pPr>
      <w:r>
        <w:rPr>
          <w:rFonts w:ascii="Arial" w:cs="Arial" w:eastAsia="Arial" w:hAnsi="Arial"/>
          <w:b w:val="false"/>
          <w:bCs w:val="false"/>
          <w:sz w:val="20"/>
          <w:szCs w:val="20"/>
        </w:rPr>
        <w:t xml:space="preserve">Foreign currency translation contributed a positive +0.3 percentage points (~$25M) to total sales.</w:t>
      </w:r>
    </w:p>
    <w:p>
      <w:pPr>
        <w:pStyle w:val="ListParagraph"/>
        <w:numPr>
          <w:ilvl w:val="0"/>
          <w:numId w:val="2"/>
        </w:numPr>
        <w:spacing w:after="60"/>
      </w:pPr>
      <w:r>
        <w:rPr>
          <w:rFonts w:ascii="Arial" w:cs="Arial" w:eastAsia="Arial" w:hAnsi="Arial"/>
          <w:b w:val="false"/>
          <w:bCs w:val="false"/>
          <w:sz w:val="20"/>
          <w:szCs w:val="20"/>
        </w:rPr>
        <w:t xml:space="preserve">Adjusted sales grew +2.3% total and +2.0% organically excluding PFAS products.</w:t>
      </w:r>
    </w:p>
    <w:p>
      <w:pPr>
        <w:spacing w:after="80"/>
      </w:pPr>
    </w:p>
    <w:p>
      <w:pPr>
        <w:spacing w:after="80" w:before="160"/>
      </w:pPr>
      <w:r>
        <w:rPr>
          <w:rFonts w:ascii="Arial" w:cs="Arial" w:eastAsia="Arial" w:hAnsi="Arial"/>
          <w:b/>
          <w:bCs/>
          <w:caps/>
          <w:color w:val="C09000"/>
          <w:sz w:val="22"/>
          <w:szCs w:val="22"/>
        </w:rPr>
        <w:t xml:space="preserve">Cost of Goods Sold</w:t>
      </w:r>
    </w:p>
    <w:p>
      <w:pPr>
        <w:spacing w:after="40" w:before="100"/>
      </w:pPr>
      <w:r>
        <w:rPr>
          <w:rFonts w:ascii="Arial" w:cs="Arial" w:eastAsia="Arial" w:hAnsi="Arial"/>
          <w:b/>
          <w:bCs/>
          <w:color w:val="000000"/>
          <w:sz w:val="20"/>
          <w:szCs w:val="20"/>
        </w:rPr>
        <w:t xml:space="preserve">Drivers (cost-increasing):</w:t>
      </w:r>
    </w:p>
    <w:p>
      <w:pPr>
        <w:pStyle w:val="ListParagraph"/>
        <w:numPr>
          <w:ilvl w:val="0"/>
          <w:numId w:val="2"/>
        </w:numPr>
        <w:spacing w:after="60"/>
      </w:pPr>
      <w:r>
        <w:rPr>
          <w:rFonts w:ascii="Arial" w:cs="Arial" w:eastAsia="Arial" w:hAnsi="Arial"/>
          <w:b w:val="false"/>
          <w:bCs w:val="false"/>
          <w:sz w:val="20"/>
          <w:szCs w:val="20"/>
        </w:rPr>
        <w:t xml:space="preserve">PFAS manufacturing exit costs increased as manufacturing concluded in 2025, including asset write-downs.</w:t>
      </w:r>
    </w:p>
    <w:p>
      <w:pPr>
        <w:pStyle w:val="ListParagraph"/>
        <w:numPr>
          <w:ilvl w:val="0"/>
          <w:numId w:val="2"/>
        </w:numPr>
        <w:spacing w:after="60"/>
      </w:pPr>
      <w:r>
        <w:rPr>
          <w:rFonts w:ascii="Arial" w:cs="Arial" w:eastAsia="Arial" w:hAnsi="Arial"/>
          <w:b w:val="false"/>
          <w:bCs w:val="false"/>
          <w:sz w:val="20"/>
          <w:szCs w:val="20"/>
        </w:rPr>
        <w:t xml:space="preserve">Updated depreciable lives and salvage values of PFAS treatment assets increased depreciation charges.</w:t>
      </w:r>
    </w:p>
    <w:p>
      <w:pPr>
        <w:pStyle w:val="ListParagraph"/>
        <w:numPr>
          <w:ilvl w:val="0"/>
          <w:numId w:val="2"/>
        </w:numPr>
        <w:spacing w:after="60"/>
      </w:pPr>
      <w:r>
        <w:rPr>
          <w:rFonts w:ascii="Arial" w:cs="Arial" w:eastAsia="Arial" w:hAnsi="Arial"/>
          <w:b w:val="false"/>
          <w:bCs w:val="false"/>
          <w:sz w:val="20"/>
          <w:szCs w:val="20"/>
        </w:rPr>
        <w:t xml:space="preserve">Cost dis-synergies from PFAS exit and Solventum spin increased segment cost structure.</w:t>
      </w:r>
    </w:p>
    <w:p>
      <w:pPr>
        <w:spacing w:after="40" w:before="100"/>
      </w:pPr>
      <w:r>
        <w:rPr>
          <w:rFonts w:ascii="Arial" w:cs="Arial" w:eastAsia="Arial" w:hAnsi="Arial"/>
          <w:b/>
          <w:bCs/>
          <w:color w:val="000000"/>
          <w:sz w:val="20"/>
          <w:szCs w:val="20"/>
        </w:rPr>
        <w:t xml:space="preserve">Offsetting factors (cost-reducing):</w:t>
      </w:r>
    </w:p>
    <w:p>
      <w:pPr>
        <w:pStyle w:val="ListParagraph"/>
        <w:numPr>
          <w:ilvl w:val="0"/>
          <w:numId w:val="2"/>
        </w:numPr>
        <w:spacing w:after="60"/>
      </w:pPr>
      <w:r>
        <w:rPr>
          <w:rFonts w:ascii="Arial" w:cs="Arial" w:eastAsia="Arial" w:hAnsi="Arial"/>
          <w:b w:val="false"/>
          <w:bCs w:val="false"/>
          <w:sz w:val="20"/>
          <w:szCs w:val="20"/>
        </w:rPr>
        <w:t xml:space="preserve">Productivity improvements and lower restructuring costs partially offset cost headwinds.</w:t>
      </w:r>
    </w:p>
    <w:p>
      <w:pPr>
        <w:pBdr>
          <w:bottom w:val="single" w:color="CCCCCC" w:sz="4"/>
        </w:pBdr>
        <w:spacing w:after="40" w:before="40"/>
      </w:pPr>
    </w:p>
    <w:p>
      <w:pPr>
        <w:spacing w:after="120"/>
      </w:pPr>
    </w:p>
    <w:p>
      <w:pPr>
        <w:shd w:fill="001F5B" w:color="auto" w:val="clear"/>
        <w:spacing w:after="80" w:before="200"/>
      </w:pPr>
      <w:r>
        <w:rPr>
          <w:rFonts w:ascii="Arial" w:cs="Arial" w:eastAsia="Arial" w:hAnsi="Arial"/>
          <w:b/>
          <w:bCs/>
          <w:caps/>
          <w:color w:val="FFFFFF"/>
          <w:sz w:val="22"/>
          <w:szCs w:val="22"/>
        </w:rPr>
        <w:t xml:space="preserve">SEGMENT: CONSUMER</w:t>
      </w:r>
    </w:p>
    <w:p>
      <w:pPr>
        <w:spacing w:after="80" w:before="160"/>
      </w:pPr>
      <w:r>
        <w:rPr>
          <w:rFonts w:ascii="Arial" w:cs="Arial" w:eastAsia="Arial" w:hAnsi="Arial"/>
          <w:b/>
          <w:bCs/>
          <w:caps/>
          <w:color w:val="C09000"/>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FY2025</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$4,920.0M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$4,931.0M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($11.0M)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(0%)</w:t>
            </w:r>
          </w:p>
        </w:tc>
      </w:tr>
    </w:tbl>
    <w:p>
      <w:pPr>
        <w:spacing w:after="80"/>
      </w:pPr>
    </w:p>
    <w:p>
      <w:pPr>
        <w:spacing w:after="40" w:before="100"/>
      </w:pPr>
      <w:r>
        <w:rPr>
          <w:rFonts w:ascii="Arial" w:cs="Arial" w:eastAsia="Arial" w:hAnsi="Arial"/>
          <w:b/>
          <w:bCs/>
          <w:color w:val="000000"/>
          <w:sz w:val="20"/>
          <w:szCs w:val="20"/>
        </w:rPr>
        <w:t xml:space="preserve">Drivers (negative):</w:t>
      </w:r>
    </w:p>
    <w:p>
      <w:pPr>
        <w:pStyle w:val="ListParagraph"/>
        <w:numPr>
          <w:ilvl w:val="0"/>
          <w:numId w:val="2"/>
        </w:numPr>
        <w:spacing w:after="60"/>
      </w:pPr>
      <w:r>
        <w:rPr>
          <w:rFonts w:ascii="Arial" w:cs="Arial" w:eastAsia="Arial" w:hAnsi="Arial"/>
          <w:b w:val="false"/>
          <w:bCs w:val="false"/>
          <w:sz w:val="20"/>
          <w:szCs w:val="20"/>
        </w:rPr>
        <w:t xml:space="preserve">Soft consumer discretionary spending contributed to flat home improvement and declining packaging and expression sales.</w:t>
      </w:r>
    </w:p>
    <w:p>
      <w:pPr>
        <w:pStyle w:val="ListParagraph"/>
        <w:numPr>
          <w:ilvl w:val="0"/>
          <w:numId w:val="2"/>
        </w:numPr>
        <w:spacing w:after="60"/>
      </w:pPr>
      <w:r>
        <w:rPr>
          <w:rFonts w:ascii="Arial" w:cs="Arial" w:eastAsia="Arial" w:hAnsi="Arial"/>
          <w:b w:val="false"/>
          <w:bCs w:val="false"/>
          <w:sz w:val="20"/>
          <w:szCs w:val="20"/>
        </w:rPr>
        <w:t xml:space="preserve">Packaging and expression category posted negative organic impact.</w:t>
      </w:r>
    </w:p>
    <w:p>
      <w:pPr>
        <w:spacing w:after="40" w:before="100"/>
      </w:pPr>
      <w:r>
        <w:rPr>
          <w:rFonts w:ascii="Arial" w:cs="Arial" w:eastAsia="Arial" w:hAnsi="Arial"/>
          <w:b/>
          <w:bCs/>
          <w:color w:val="000000"/>
          <w:sz w:val="20"/>
          <w:szCs w:val="20"/>
        </w:rPr>
        <w:t xml:space="preserve">Offsetting factors (positive):</w:t>
      </w:r>
    </w:p>
    <w:p>
      <w:pPr>
        <w:pStyle w:val="ListParagraph"/>
        <w:numPr>
          <w:ilvl w:val="0"/>
          <w:numId w:val="2"/>
        </w:numPr>
        <w:spacing w:after="60"/>
      </w:pPr>
      <w:r>
        <w:rPr>
          <w:rFonts w:ascii="Arial" w:cs="Arial" w:eastAsia="Arial" w:hAnsi="Arial"/>
          <w:b w:val="false"/>
          <w:bCs w:val="false"/>
          <w:sz w:val="20"/>
          <w:szCs w:val="20"/>
        </w:rPr>
        <w:t xml:space="preserve">Consumer safety and well-being grew organically via new product launches and increased advertising investment.</w:t>
      </w:r>
    </w:p>
    <w:p>
      <w:pPr>
        <w:pStyle w:val="ListParagraph"/>
        <w:numPr>
          <w:ilvl w:val="0"/>
          <w:numId w:val="2"/>
        </w:numPr>
        <w:spacing w:after="60"/>
      </w:pPr>
      <w:r>
        <w:rPr>
          <w:rFonts w:ascii="Arial" w:cs="Arial" w:eastAsia="Arial" w:hAnsi="Arial"/>
          <w:b w:val="false"/>
          <w:bCs w:val="false"/>
          <w:sz w:val="20"/>
          <w:szCs w:val="20"/>
        </w:rPr>
        <w:t xml:space="preserve">Home and auto care grew organically driven by new product launches and service improvements.</w:t>
      </w:r>
    </w:p>
    <w:p>
      <w:pPr>
        <w:pStyle w:val="ListParagraph"/>
        <w:numPr>
          <w:ilvl w:val="0"/>
          <w:numId w:val="2"/>
        </w:numPr>
        <w:spacing w:after="60"/>
      </w:pPr>
      <w:r>
        <w:rPr>
          <w:rFonts w:ascii="Arial" w:cs="Arial" w:eastAsia="Arial" w:hAnsi="Arial"/>
          <w:b w:val="false"/>
          <w:bCs w:val="false"/>
          <w:sz w:val="20"/>
          <w:szCs w:val="20"/>
        </w:rPr>
        <w:t xml:space="preserve">Foreign currency translation contributed a positive +0.1 percentage points (~$5M) to total sales.</w:t>
      </w:r>
    </w:p>
    <w:p>
      <w:pPr>
        <w:spacing w:after="80"/>
      </w:pPr>
    </w:p>
    <w:p>
      <w:pPr>
        <w:spacing w:after="80" w:before="160"/>
      </w:pPr>
      <w:r>
        <w:rPr>
          <w:rFonts w:ascii="Arial" w:cs="Arial" w:eastAsia="Arial" w:hAnsi="Arial"/>
          <w:b/>
          <w:bCs/>
          <w:caps/>
          <w:color w:val="C09000"/>
          <w:sz w:val="22"/>
          <w:szCs w:val="22"/>
        </w:rPr>
        <w:t xml:space="preserve">Cost of Goods Sold</w:t>
      </w:r>
    </w:p>
    <w:p>
      <w:pPr>
        <w:spacing w:after="40" w:before="100"/>
      </w:pPr>
      <w:r>
        <w:rPr>
          <w:rFonts w:ascii="Arial" w:cs="Arial" w:eastAsia="Arial" w:hAnsi="Arial"/>
          <w:b/>
          <w:bCs/>
          <w:color w:val="000000"/>
          <w:sz w:val="20"/>
          <w:szCs w:val="20"/>
        </w:rPr>
        <w:t xml:space="preserve">Drivers (cost-increasing):</w:t>
      </w:r>
    </w:p>
    <w:p>
      <w:pPr>
        <w:pStyle w:val="ListParagraph"/>
        <w:numPr>
          <w:ilvl w:val="0"/>
          <w:numId w:val="2"/>
        </w:numPr>
        <w:spacing w:after="60"/>
      </w:pPr>
      <w:r>
        <w:rPr>
          <w:rFonts w:ascii="Arial" w:cs="Arial" w:eastAsia="Arial" w:hAnsi="Arial"/>
          <w:b w:val="false"/>
          <w:bCs w:val="false"/>
          <w:sz w:val="20"/>
          <w:szCs w:val="20"/>
        </w:rPr>
        <w:t xml:space="preserve">Cost dis-synergies from PFAS exit and Solventum spin negatively impacted segment cost structure.</w:t>
      </w:r>
    </w:p>
    <w:p>
      <w:pPr>
        <w:pStyle w:val="ListParagraph"/>
        <w:numPr>
          <w:ilvl w:val="0"/>
          <w:numId w:val="2"/>
        </w:numPr>
        <w:spacing w:after="60"/>
      </w:pPr>
      <w:r>
        <w:rPr>
          <w:rFonts w:ascii="Arial" w:cs="Arial" w:eastAsia="Arial" w:hAnsi="Arial"/>
          <w:b w:val="false"/>
          <w:bCs w:val="false"/>
          <w:sz w:val="20"/>
          <w:szCs w:val="20"/>
        </w:rPr>
        <w:t xml:space="preserve">Continued growth investments increased segment costs.</w:t>
      </w:r>
    </w:p>
    <w:p>
      <w:pPr>
        <w:spacing w:after="40" w:before="100"/>
      </w:pPr>
      <w:r>
        <w:rPr>
          <w:rFonts w:ascii="Arial" w:cs="Arial" w:eastAsia="Arial" w:hAnsi="Arial"/>
          <w:b/>
          <w:bCs/>
          <w:color w:val="000000"/>
          <w:sz w:val="20"/>
          <w:szCs w:val="20"/>
        </w:rPr>
        <w:t xml:space="preserve">Offsetting factors (cost-reducing):</w:t>
      </w:r>
    </w:p>
    <w:p>
      <w:pPr>
        <w:pStyle w:val="ListParagraph"/>
        <w:numPr>
          <w:ilvl w:val="0"/>
          <w:numId w:val="2"/>
        </w:numPr>
        <w:spacing w:after="60"/>
      </w:pPr>
      <w:r>
        <w:rPr>
          <w:rFonts w:ascii="Arial" w:cs="Arial" w:eastAsia="Arial" w:hAnsi="Arial"/>
          <w:b w:val="false"/>
          <w:bCs w:val="false"/>
          <w:sz w:val="20"/>
          <w:szCs w:val="20"/>
        </w:rPr>
        <w:t xml:space="preserve">Productivity actions and lower restructuring costs positively reduced segment cost structure.</w:t>
      </w:r>
    </w:p>
    <w:p>
      <w:pPr>
        <w:pBdr>
          <w:bottom w:val="single" w:color="CCCCCC" w:sz="4"/>
        </w:pBdr>
        <w:spacing w:after="40" w:before="40"/>
      </w:pPr>
    </w:p>
    <w:p>
      <w:pPr>
        <w:spacing w:after="120"/>
      </w:pPr>
    </w:p>
    <w:p>
      <w:r>
        <w:br w:type="page"/>
      </w:r>
    </w:p>
    <w:p>
      <w:pPr>
        <w:pBdr>
          <w:bottom w:val="single" w:color="001F5B" w:sz="8"/>
        </w:pBdr>
        <w:spacing w:after="80" w:before="300"/>
      </w:pPr>
      <w:r>
        <w:rPr>
          <w:rFonts w:ascii="Arial" w:cs="Arial" w:eastAsia="Arial" w:hAnsi="Arial"/>
          <w:b/>
          <w:bCs/>
          <w:color w:val="001F5B"/>
          <w:sz w:val="28"/>
          <w:szCs w:val="28"/>
        </w:rPr>
        <w:t xml:space="preserve">Revolver &amp; Liquidity</w:t>
      </w:r>
    </w:p>
    <w:p>
      <w:pPr>
        <w:spacing w:after="100"/>
      </w:pPr>
    </w:p>
    <w:p>
      <w:pPr>
        <w:spacing w:after="60" w:before="200"/>
      </w:pPr>
      <w:r>
        <w:rPr>
          <w:rFonts w:ascii="Arial" w:cs="Arial" w:eastAsia="Arial" w:hAnsi="Arial"/>
          <w:b/>
          <w:bCs/>
          <w:color w:val="1F497D"/>
          <w:sz w:val="24"/>
          <w:szCs w:val="24"/>
        </w:rPr>
        <w:t xml:space="preserve">FY2025</w:t>
      </w:r>
    </w:p>
    <w:p>
      <w:pPr>
        <w:pStyle w:val="ListParagraph"/>
        <w:numPr>
          <w:ilvl w:val="0"/>
          <w:numId w:val="2"/>
        </w:numPr>
        <w:spacing w:after="60"/>
      </w:pPr>
      <w:r>
        <w:rPr>
          <w:rFonts w:ascii="Arial" w:cs="Arial" w:eastAsia="Arial" w:hAnsi="Arial"/>
          <w:b/>
          <w:bCs/>
          <w:sz w:val="20"/>
          <w:szCs w:val="20"/>
        </w:rPr>
        <w:t xml:space="preserve">Cash on hand: </w:t>
      </w:r>
      <w:r>
        <w:rPr>
          <w:rFonts w:ascii="Arial" w:cs="Arial" w:eastAsia="Arial" w:hAnsi="Arial"/>
          <w:b w:val="false"/>
          <w:bCs w:val="false"/>
          <w:sz w:val="20"/>
          <w:szCs w:val="20"/>
        </w:rPr>
        <w:t xml:space="preserve">$5,235.0M</w:t>
      </w:r>
    </w:p>
    <w:p>
      <w:pPr>
        <w:spacing w:after="80"/>
      </w:pPr>
    </w:p>
    <w:p>
      <w:pPr>
        <w:spacing w:after="60" w:before="200"/>
      </w:pPr>
      <w:r>
        <w:rPr>
          <w:rFonts w:ascii="Arial" w:cs="Arial" w:eastAsia="Arial" w:hAnsi="Arial"/>
          <w:b/>
          <w:bCs/>
          <w:color w:val="1F497D"/>
          <w:sz w:val="24"/>
          <w:szCs w:val="24"/>
        </w:rPr>
        <w:t xml:space="preserve">FY2024</w:t>
      </w:r>
    </w:p>
    <w:p>
      <w:pPr>
        <w:pStyle w:val="ListParagraph"/>
        <w:numPr>
          <w:ilvl w:val="0"/>
          <w:numId w:val="2"/>
        </w:numPr>
        <w:spacing w:after="60"/>
      </w:pPr>
      <w:r>
        <w:rPr>
          <w:rFonts w:ascii="Arial" w:cs="Arial" w:eastAsia="Arial" w:hAnsi="Arial"/>
          <w:b/>
          <w:bCs/>
          <w:sz w:val="20"/>
          <w:szCs w:val="20"/>
        </w:rPr>
        <w:t xml:space="preserve">Cash on hand: </w:t>
      </w:r>
      <w:r>
        <w:rPr>
          <w:rFonts w:ascii="Arial" w:cs="Arial" w:eastAsia="Arial" w:hAnsi="Arial"/>
          <w:b w:val="false"/>
          <w:bCs w:val="false"/>
          <w:sz w:val="20"/>
          <w:szCs w:val="20"/>
        </w:rPr>
        <w:t xml:space="preserve">$5,600.0M</w:t>
      </w:r>
    </w:p>
    <w:p>
      <w:pPr>
        <w:spacing w:after="80"/>
      </w:pPr>
    </w:p>
    <w:p>
      <w:pPr>
        <w:spacing w:after="60" w:before="200"/>
      </w:pPr>
      <w:r>
        <w:rPr>
          <w:rFonts w:ascii="Arial" w:cs="Arial" w:eastAsia="Arial" w:hAnsi="Arial"/>
          <w:b/>
          <w:bCs/>
          <w:color w:val="1F497D"/>
          <w:sz w:val="24"/>
          <w:szCs w:val="24"/>
        </w:rPr>
        <w:t xml:space="preserve">FY2023</w:t>
      </w:r>
    </w:p>
    <w:p>
      <w:pPr>
        <w:pStyle w:val="ListParagraph"/>
        <w:numPr>
          <w:ilvl w:val="0"/>
          <w:numId w:val="2"/>
        </w:numPr>
        <w:spacing w:after="60"/>
      </w:pPr>
      <w:r>
        <w:rPr>
          <w:rFonts w:ascii="Arial" w:cs="Arial" w:eastAsia="Arial" w:hAnsi="Arial"/>
          <w:b/>
          <w:bCs/>
          <w:sz w:val="20"/>
          <w:szCs w:val="20"/>
        </w:rPr>
        <w:t xml:space="preserve">Cash on hand: </w:t>
      </w:r>
      <w:r>
        <w:rPr>
          <w:rFonts w:ascii="Arial" w:cs="Arial" w:eastAsia="Arial" w:hAnsi="Arial"/>
          <w:b w:val="false"/>
          <w:bCs w:val="false"/>
          <w:sz w:val="20"/>
          <w:szCs w:val="20"/>
        </w:rPr>
        <w:t xml:space="preserve">$5,933.0M</w:t>
      </w:r>
    </w:p>
    <w:p>
      <w:pPr>
        <w:spacing w:after="80"/>
      </w:pPr>
    </w:p>
    <w:p>
      <w:r>
        <w:br w:type="page"/>
      </w:r>
    </w:p>
    <w:p>
      <w:pPr>
        <w:pBdr>
          <w:bottom w:val="single" w:color="001F5B" w:sz="8"/>
        </w:pBdr>
        <w:spacing w:after="80" w:before="300"/>
      </w:pPr>
      <w:r>
        <w:rPr>
          <w:rFonts w:ascii="Arial" w:cs="Arial" w:eastAsia="Arial" w:hAnsi="Arial"/>
          <w:b/>
          <w:bCs/>
          <w:color w:val="001F5B"/>
          <w:sz w:val="28"/>
          <w:szCs w:val="28"/>
        </w:rPr>
        <w:t xml:space="preserve">Underwriting Memo</w:t>
      </w:r>
    </w:p>
    <w:p>
      <w:pPr>
        <w:spacing w:after="80"/>
      </w:pPr>
      <w:r>
        <w:rPr>
          <w:rFonts w:ascii="Arial" w:cs="Arial" w:eastAsia="Arial" w:hAnsi="Arial"/>
          <w:color w:val="CC0000"/>
          <w:sz w:val="20"/>
          <w:szCs w:val="20"/>
        </w:rPr>
        <w:t xml:space="preserve">AI-generated — analyst review and sign-off required before use in credit committee materials.</w:t>
      </w:r>
    </w:p>
    <w:p>
      <w:pPr>
        <w:spacing w:after="100"/>
      </w:pPr>
    </w:p>
    <w:p>
      <w:pPr>
        <w:spacing w:after="60" w:before="200"/>
      </w:pPr>
      <w:r>
        <w:rPr>
          <w:rFonts w:ascii="Arial" w:cs="Arial" w:eastAsia="Arial" w:hAnsi="Arial"/>
          <w:b/>
          <w:bCs/>
          <w:color w:val="1F497D"/>
          <w:sz w:val="24"/>
          <w:szCs w:val="24"/>
        </w:rPr>
        <w:t xml:space="preserve">Executive Summary</w:t>
      </w:r>
    </w:p>
    <w:p>
      <w:pPr>
        <w:spacing w:after="80"/>
      </w:pPr>
    </w:p>
    <w:p>
      <w:pPr>
        <w:pStyle w:val="ListParagraph"/>
        <w:numPr>
          <w:ilvl w:val="0"/>
          <w:numId w:val="2"/>
        </w:numPr>
        <w:spacing w:after="60"/>
      </w:pPr>
      <w:r>
        <w:rPr>
          <w:rFonts w:ascii="Arial" w:cs="Arial" w:eastAsia="Arial" w:hAnsi="Arial"/>
          <w:b w:val="false"/>
          <w:bCs w:val="false"/>
          <w:sz w:val="20"/>
          <w:szCs w:val="20"/>
        </w:rPr>
        <w:t xml:space="preserve">3M CO's overall credit quality is speculative, with a PD Score of 8/12 and an Altman Z-Score of 1.19, indicating financial distress.</w:t>
      </w:r>
    </w:p>
    <w:p>
      <w:pPr>
        <w:pStyle w:val="ListParagraph"/>
        <w:numPr>
          <w:ilvl w:val="0"/>
          <w:numId w:val="2"/>
        </w:numPr>
        <w:spacing w:after="60"/>
      </w:pPr>
      <w:r>
        <w:rPr>
          <w:rFonts w:ascii="Arial" w:cs="Arial" w:eastAsia="Arial" w:hAnsi="Arial"/>
          <w:b w:val="false"/>
          <w:bCs w:val="false"/>
          <w:sz w:val="20"/>
          <w:szCs w:val="20"/>
        </w:rPr>
        <w:t xml:space="preserve">Key performance metrics include a slight revenue increase of 1.5% YoY to **$24,948MM**, EBITDA decline of 4.1% to **$6,139MM**, and improved free cash flow of **$1,396MM** (+118.8% YoY).</w:t>
      </w:r>
    </w:p>
    <w:p>
      <w:pPr>
        <w:pStyle w:val="ListParagraph"/>
        <w:numPr>
          <w:ilvl w:val="0"/>
          <w:numId w:val="2"/>
        </w:numPr>
        <w:spacing w:after="60"/>
      </w:pPr>
      <w:r>
        <w:rPr>
          <w:rFonts w:ascii="Arial" w:cs="Arial" w:eastAsia="Arial" w:hAnsi="Arial"/>
          <w:b w:val="false"/>
          <w:bCs w:val="false"/>
          <w:sz w:val="20"/>
          <w:szCs w:val="20"/>
        </w:rPr>
        <w:t xml:space="preserve">Liquidity is constrained with cash at **$5,235MM** and no disclosed revolving credit facility availability.</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Credit Risk Assessment</w:t>
      </w:r>
    </w:p>
    <w:p>
      <w:pPr>
        <w:spacing w:after="80"/>
      </w:pPr>
    </w:p>
    <w:p>
      <w:pPr>
        <w:spacing w:after="60" w:before="200"/>
      </w:pPr>
      <w:r>
        <w:rPr>
          <w:rFonts w:ascii="Arial" w:cs="Arial" w:eastAsia="Arial" w:hAnsi="Arial"/>
          <w:b/>
          <w:bCs/>
          <w:color w:val="1F497D"/>
          <w:sz w:val="24"/>
          <w:szCs w:val="24"/>
        </w:rPr>
        <w:t xml:space="preserve">PD Score: 8/12 — Speculative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Scale: 1-3 Investment Grade | 4-6 Non-Investment Grade | 7-9 Speculative | 10-11 High Risk | 12 Default</w:t>
      </w:r>
    </w:p>
    <w:p>
      <w:pPr>
        <w:pStyle w:val="ListParagraph"/>
        <w:numPr>
          <w:ilvl w:val="0"/>
          <w:numId w:val="2"/>
        </w:numPr>
        <w:spacing w:after="60"/>
      </w:pPr>
      <w:r>
        <w:rPr>
          <w:rFonts w:ascii="Arial" w:cs="Arial" w:eastAsia="Arial" w:hAnsi="Arial"/>
          <w:b w:val="false"/>
          <w:bCs w:val="false"/>
          <w:sz w:val="20"/>
          <w:szCs w:val="20"/>
        </w:rPr>
        <w:t xml:space="preserve">Interpretation: 3M CO is considered speculative, indicating a higher risk of default compared to investment-grade entities.</w:t>
      </w:r>
    </w:p>
    <w:p>
      <w:pPr>
        <w:spacing w:after="80"/>
      </w:pPr>
    </w:p>
    <w:p>
      <w:pPr>
        <w:spacing w:after="60" w:before="200"/>
      </w:pPr>
      <w:r>
        <w:rPr>
          <w:rFonts w:ascii="Arial" w:cs="Arial" w:eastAsia="Arial" w:hAnsi="Arial"/>
          <w:b/>
          <w:bCs/>
          <w:color w:val="1F497D"/>
          <w:sz w:val="24"/>
          <w:szCs w:val="24"/>
        </w:rPr>
        <w:t xml:space="preserve">Altman Z-Score: 1.19</w:t>
      </w:r>
    </w:p>
    <w:p>
      <w:pPr>
        <w:spacing w:after="80"/>
      </w:pPr>
    </w:p>
    <w:p>
      <w:pPr>
        <w:pStyle w:val="ListParagraph"/>
        <w:numPr>
          <w:ilvl w:val="0"/>
          <w:numId w:val="2"/>
        </w:numPr>
        <w:spacing w:after="60"/>
      </w:pPr>
      <w:r>
        <w:rPr>
          <w:rFonts w:ascii="Arial" w:cs="Arial" w:eastAsia="Arial" w:hAnsi="Arial"/>
          <w:b w:val="false"/>
          <w:bCs w:val="false"/>
          <w:sz w:val="20"/>
          <w:szCs w:val="20"/>
        </w:rPr>
        <w:t xml:space="preserve">Zones: Z &gt; 2.9 Safe | 1.23–2.9 Grey | Z &lt; 1.23 Distress</w:t>
      </w:r>
    </w:p>
    <w:p>
      <w:pPr>
        <w:pStyle w:val="ListParagraph"/>
        <w:numPr>
          <w:ilvl w:val="0"/>
          <w:numId w:val="2"/>
        </w:numPr>
        <w:spacing w:after="60"/>
      </w:pPr>
      <w:r>
        <w:rPr>
          <w:rFonts w:ascii="Arial" w:cs="Arial" w:eastAsia="Arial" w:hAnsi="Arial"/>
          <w:b w:val="false"/>
          <w:bCs w:val="false"/>
          <w:sz w:val="20"/>
          <w:szCs w:val="20"/>
        </w:rPr>
        <w:t xml:space="preserve">Assessment: The Z-Score of 1.19 places 3M CO in the distress zone, suggesting potential financial difficulties.</w:t>
      </w:r>
    </w:p>
    <w:p>
      <w:pPr>
        <w:spacing w:after="80"/>
      </w:pPr>
    </w:p>
    <w:p>
      <w:pPr>
        <w:spacing w:after="60" w:before="200"/>
      </w:pPr>
      <w:r>
        <w:rPr>
          <w:rFonts w:ascii="Arial" w:cs="Arial" w:eastAsia="Arial" w:hAnsi="Arial"/>
          <w:b/>
          <w:bCs/>
          <w:color w:val="1F497D"/>
          <w:sz w:val="24"/>
          <w:szCs w:val="24"/>
        </w:rPr>
        <w:t xml:space="preserve">Key Credit Metrics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**Leverage:** 2.05x</w:t>
      </w:r>
    </w:p>
    <w:p>
      <w:pPr>
        <w:pStyle w:val="ListParagraph"/>
        <w:numPr>
          <w:ilvl w:val="0"/>
          <w:numId w:val="2"/>
        </w:numPr>
        <w:spacing w:after="60"/>
      </w:pPr>
      <w:r>
        <w:rPr>
          <w:rFonts w:ascii="Arial" w:cs="Arial" w:eastAsia="Arial" w:hAnsi="Arial"/>
          <w:b w:val="false"/>
          <w:bCs w:val="false"/>
          <w:sz w:val="20"/>
          <w:szCs w:val="20"/>
        </w:rPr>
        <w:t xml:space="preserve">**FCC:** 2.07x</w:t>
      </w:r>
    </w:p>
    <w:p>
      <w:pPr>
        <w:pStyle w:val="ListParagraph"/>
        <w:numPr>
          <w:ilvl w:val="0"/>
          <w:numId w:val="2"/>
        </w:numPr>
        <w:spacing w:after="60"/>
      </w:pPr>
      <w:r>
        <w:rPr>
          <w:rFonts w:ascii="Arial" w:cs="Arial" w:eastAsia="Arial" w:hAnsi="Arial"/>
          <w:b w:val="false"/>
          <w:bCs w:val="false"/>
          <w:sz w:val="20"/>
          <w:szCs w:val="20"/>
        </w:rPr>
        <w:t xml:space="preserve">**EBITDA Margin:** 24.6%</w:t>
      </w:r>
    </w:p>
    <w:p>
      <w:pPr>
        <w:pStyle w:val="ListParagraph"/>
        <w:numPr>
          <w:ilvl w:val="0"/>
          <w:numId w:val="2"/>
        </w:numPr>
        <w:spacing w:after="60"/>
      </w:pPr>
      <w:r>
        <w:rPr>
          <w:rFonts w:ascii="Arial" w:cs="Arial" w:eastAsia="Arial" w:hAnsi="Arial"/>
          <w:b w:val="false"/>
          <w:bCs w:val="false"/>
          <w:sz w:val="20"/>
          <w:szCs w:val="20"/>
        </w:rPr>
        <w:t xml:space="preserve">**Liquidity:** Cash **$5,235MM** + N/A revolver availability = N/A total</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Financial Performance Analysis</w:t>
      </w:r>
    </w:p>
    <w:p>
      <w:pPr>
        <w:spacing w:after="80"/>
      </w:pPr>
    </w:p>
    <w:p>
      <w:pPr>
        <w:spacing w:after="60" w:before="200"/>
      </w:pPr>
      <w:r>
        <w:rPr>
          <w:rFonts w:ascii="Arial" w:cs="Arial" w:eastAsia="Arial" w:hAnsi="Arial"/>
          <w:b/>
          <w:bCs/>
          <w:color w:val="1F497D"/>
          <w:sz w:val="24"/>
          <w:szCs w:val="24"/>
        </w:rPr>
        <w:t xml:space="preserve">Revenue</w:t>
      </w:r>
    </w:p>
    <w:p>
      <w:pPr>
        <w:spacing w:after="80"/>
      </w:pPr>
    </w:p>
    <w:p>
      <w:pPr>
        <w:spacing w:after="80"/>
      </w:pPr>
      <w:r>
        <w:rPr>
          <w:rFonts w:ascii="Arial" w:cs="Arial" w:eastAsia="Arial" w:hAnsi="Arial"/>
          <w:b w:val="false"/>
          <w:bCs w:val="false"/>
          <w:sz w:val="20"/>
          <w:szCs w:val="20"/>
        </w:rPr>
        <w:t xml:space="preserve">Revenue increased 1.5% YoY from </w:t>
      </w:r>
      <w:r>
        <w:rPr>
          <w:rFonts w:ascii="Arial" w:cs="Arial" w:eastAsia="Arial" w:hAnsi="Arial"/>
          <w:b/>
          <w:bCs/>
          <w:sz w:val="20"/>
          <w:szCs w:val="20"/>
        </w:rPr>
        <w:t xml:space="preserve">$24,575MM</w:t>
      </w:r>
      <w:r>
        <w:rPr>
          <w:rFonts w:ascii="Arial" w:cs="Arial" w:eastAsia="Arial" w:hAnsi="Arial"/>
          <w:b w:val="false"/>
          <w:bCs w:val="false"/>
          <w:sz w:val="20"/>
          <w:szCs w:val="20"/>
        </w:rPr>
        <w:t xml:space="preserve"> to </w:t>
      </w:r>
      <w:r>
        <w:rPr>
          <w:rFonts w:ascii="Arial" w:cs="Arial" w:eastAsia="Arial" w:hAnsi="Arial"/>
          <w:b/>
          <w:bCs/>
          <w:sz w:val="20"/>
          <w:szCs w:val="20"/>
        </w:rPr>
        <w:t xml:space="preserve">$24,948MM</w:t>
      </w:r>
      <w:r>
        <w:rPr>
          <w:rFonts w:ascii="Arial" w:cs="Arial" w:eastAsia="Arial" w:hAnsi="Arial"/>
          <w:b w:val="false"/>
          <w:bCs w:val="false"/>
          <w:sz w:val="20"/>
          <w:szCs w:val="20"/>
        </w:rPr>
        <w:t xml:space="preserve">.</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Drivers: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Organic sales growth of 0.9% contributed to the increase.</w:t>
      </w:r>
    </w:p>
    <w:p>
      <w:pPr>
        <w:pStyle w:val="ListParagraph"/>
        <w:numPr>
          <w:ilvl w:val="0"/>
          <w:numId w:val="2"/>
        </w:numPr>
        <w:spacing w:after="60"/>
      </w:pPr>
      <w:r>
        <w:rPr>
          <w:rFonts w:ascii="Arial" w:cs="Arial" w:eastAsia="Arial" w:hAnsi="Arial"/>
          <w:b w:val="false"/>
          <w:bCs w:val="false"/>
          <w:sz w:val="20"/>
          <w:szCs w:val="20"/>
        </w:rPr>
        <w:t xml:space="preserve">Strength in safety and general industrial end markets.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Offsetting Factors: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Softness in auto aftermarket and consumer discretionary categories.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Segment Analysis:</w:t>
      </w:r>
      <w:r>
        <w:rPr>
          <w:rFonts w:ascii="Arial" w:cs="Arial" w:eastAsia="Arial" w:hAnsi="Arial"/>
          <w:b w:val="false"/>
          <w:bCs w:val="false"/>
          <w:sz w:val="20"/>
          <w:szCs w:val="20"/>
        </w:rPr>
        <w:t xml:space="preserve"/>
      </w:r>
    </w:p>
    <w:p>
      <w:pPr>
        <w:spacing w:after="80"/>
      </w:pPr>
    </w:p>
    <w:p>
      <w:pPr>
        <w:spacing w:after="80"/>
      </w:pPr>
      <w:r>
        <w:rPr>
          <w:rFonts w:ascii="Arial" w:cs="Arial" w:eastAsia="Arial" w:hAnsi="Arial"/>
          <w:b w:val="false"/>
          <w:bCs w:val="false"/>
          <w:sz w:val="20"/>
          <w:szCs w:val="20"/>
        </w:rPr>
        <w:t xml:space="preserve">#### Safety and Industrial</w:t>
      </w:r>
    </w:p>
    <w:p>
      <w:pPr>
        <w:spacing w:after="80"/>
      </w:pPr>
    </w:p>
    <w:p>
      <w:pPr>
        <w:pStyle w:val="ListParagraph"/>
        <w:numPr>
          <w:ilvl w:val="0"/>
          <w:numId w:val="2"/>
        </w:numPr>
        <w:spacing w:after="60"/>
      </w:pPr>
      <w:r>
        <w:rPr>
          <w:rFonts w:ascii="Arial" w:cs="Arial" w:eastAsia="Arial" w:hAnsi="Arial"/>
          <w:b w:val="false"/>
          <w:bCs w:val="false"/>
          <w:sz w:val="20"/>
          <w:szCs w:val="20"/>
        </w:rPr>
        <w:t xml:space="preserve">Revenue: **$11,384MM** vs **$10,961MM** (change of **$423MM**)</w:t>
      </w:r>
    </w:p>
    <w:p>
      <w:pPr>
        <w:pStyle w:val="ListParagraph"/>
        <w:numPr>
          <w:ilvl w:val="0"/>
          <w:numId w:val="2"/>
        </w:numPr>
        <w:spacing w:after="60"/>
      </w:pPr>
      <w:r>
        <w:rPr>
          <w:rFonts w:ascii="Arial" w:cs="Arial" w:eastAsia="Arial" w:hAnsi="Arial"/>
          <w:b w:val="false"/>
          <w:bCs w:val="false"/>
          <w:sz w:val="20"/>
          <w:szCs w:val="20"/>
        </w:rPr>
        <w:t xml:space="preserve">Electrical markets demand and commercial excellence: Positive impact.</w:t>
      </w:r>
    </w:p>
    <w:p>
      <w:pPr>
        <w:pStyle w:val="ListParagraph"/>
        <w:numPr>
          <w:ilvl w:val="0"/>
          <w:numId w:val="2"/>
        </w:numPr>
        <w:spacing w:after="60"/>
      </w:pPr>
      <w:r>
        <w:rPr>
          <w:rFonts w:ascii="Arial" w:cs="Arial" w:eastAsia="Arial" w:hAnsi="Arial"/>
          <w:b w:val="false"/>
          <w:bCs w:val="false"/>
          <w:sz w:val="20"/>
          <w:szCs w:val="20"/>
        </w:rPr>
        <w:t xml:space="preserve">Foreign currency translation: Positive impact of approximately **$77MM**.</w:t>
      </w:r>
    </w:p>
    <w:p>
      <w:pPr>
        <w:pStyle w:val="ListParagraph"/>
        <w:numPr>
          <w:ilvl w:val="0"/>
          <w:numId w:val="2"/>
        </w:numPr>
        <w:spacing w:after="60"/>
      </w:pPr>
      <w:r>
        <w:rPr>
          <w:rFonts w:ascii="Arial" w:cs="Arial" w:eastAsia="Arial" w:hAnsi="Arial"/>
          <w:b w:val="false"/>
          <w:bCs w:val="false"/>
          <w:sz w:val="20"/>
          <w:szCs w:val="20"/>
        </w:rPr>
        <w:t xml:space="preserve">Offsetting: Roofing granules weakness.</w:t>
      </w:r>
    </w:p>
    <w:p>
      <w:pPr>
        <w:spacing w:after="80"/>
      </w:pPr>
    </w:p>
    <w:p>
      <w:pPr>
        <w:spacing w:after="80"/>
      </w:pPr>
      <w:r>
        <w:rPr>
          <w:rFonts w:ascii="Arial" w:cs="Arial" w:eastAsia="Arial" w:hAnsi="Arial"/>
          <w:b w:val="false"/>
          <w:bCs w:val="false"/>
          <w:sz w:val="20"/>
          <w:szCs w:val="20"/>
        </w:rPr>
        <w:t xml:space="preserve">#### Transportation and Electronics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Revenue: **$8,272MM** vs **$8,380MM** (change of **-$108MM**)</w:t>
      </w:r>
    </w:p>
    <w:p>
      <w:pPr>
        <w:pStyle w:val="ListParagraph"/>
        <w:numPr>
          <w:ilvl w:val="0"/>
          <w:numId w:val="2"/>
        </w:numPr>
        <w:spacing w:after="60"/>
      </w:pPr>
      <w:r>
        <w:rPr>
          <w:rFonts w:ascii="Arial" w:cs="Arial" w:eastAsia="Arial" w:hAnsi="Arial"/>
          <w:b w:val="false"/>
          <w:bCs w:val="false"/>
          <w:sz w:val="20"/>
          <w:szCs w:val="20"/>
        </w:rPr>
        <w:t xml:space="preserve">Commercial branding and transportation: Positive contribution.</w:t>
      </w:r>
    </w:p>
    <w:p>
      <w:pPr>
        <w:pStyle w:val="ListParagraph"/>
        <w:numPr>
          <w:ilvl w:val="0"/>
          <w:numId w:val="2"/>
        </w:numPr>
        <w:spacing w:after="60"/>
      </w:pPr>
      <w:r>
        <w:rPr>
          <w:rFonts w:ascii="Arial" w:cs="Arial" w:eastAsia="Arial" w:hAnsi="Arial"/>
          <w:b w:val="false"/>
          <w:bCs w:val="false"/>
          <w:sz w:val="20"/>
          <w:szCs w:val="20"/>
        </w:rPr>
        <w:t xml:space="preserve">Offsetting: Manufactured PFAS products wind-down.</w:t>
      </w:r>
    </w:p>
    <w:p>
      <w:pPr>
        <w:spacing w:after="80"/>
      </w:pPr>
    </w:p>
    <w:p>
      <w:pPr>
        <w:spacing w:after="80"/>
      </w:pPr>
      <w:r>
        <w:rPr>
          <w:rFonts w:ascii="Arial" w:cs="Arial" w:eastAsia="Arial" w:hAnsi="Arial"/>
          <w:b w:val="false"/>
          <w:bCs w:val="false"/>
          <w:sz w:val="20"/>
          <w:szCs w:val="20"/>
        </w:rPr>
        <w:t xml:space="preserve">#### Consumer</w:t>
      </w:r>
    </w:p>
    <w:p>
      <w:pPr>
        <w:spacing w:after="80"/>
      </w:pPr>
    </w:p>
    <w:p>
      <w:pPr>
        <w:pStyle w:val="ListParagraph"/>
        <w:numPr>
          <w:ilvl w:val="0"/>
          <w:numId w:val="2"/>
        </w:numPr>
        <w:spacing w:after="60"/>
      </w:pPr>
      <w:r>
        <w:rPr>
          <w:rFonts w:ascii="Arial" w:cs="Arial" w:eastAsia="Arial" w:hAnsi="Arial"/>
          <w:b w:val="false"/>
          <w:bCs w:val="false"/>
          <w:sz w:val="20"/>
          <w:szCs w:val="20"/>
        </w:rPr>
        <w:t xml:space="preserve">Revenue: **$4,920MM** vs **$4,931MM** (change of **-$11MM**)</w:t>
      </w:r>
    </w:p>
    <w:p>
      <w:pPr>
        <w:pStyle w:val="ListParagraph"/>
        <w:numPr>
          <w:ilvl w:val="0"/>
          <w:numId w:val="2"/>
        </w:numPr>
        <w:spacing w:after="60"/>
      </w:pPr>
      <w:r>
        <w:rPr>
          <w:rFonts w:ascii="Arial" w:cs="Arial" w:eastAsia="Arial" w:hAnsi="Arial"/>
          <w:b w:val="false"/>
          <w:bCs w:val="false"/>
          <w:sz w:val="20"/>
          <w:szCs w:val="20"/>
        </w:rPr>
        <w:t xml:space="preserve">Consumer safety and well-being: Positive contribution.</w:t>
      </w:r>
    </w:p>
    <w:p>
      <w:pPr>
        <w:pStyle w:val="ListParagraph"/>
        <w:numPr>
          <w:ilvl w:val="0"/>
          <w:numId w:val="2"/>
        </w:numPr>
        <w:spacing w:after="60"/>
      </w:pPr>
      <w:r>
        <w:rPr>
          <w:rFonts w:ascii="Arial" w:cs="Arial" w:eastAsia="Arial" w:hAnsi="Arial"/>
          <w:b w:val="false"/>
          <w:bCs w:val="false"/>
          <w:sz w:val="20"/>
          <w:szCs w:val="20"/>
        </w:rPr>
        <w:t xml:space="preserve">Offsetting: Soft consumer discretionary spending.</w:t>
      </w:r>
    </w:p>
    <w:p>
      <w:pPr>
        <w:spacing w:after="80"/>
      </w:pPr>
    </w:p>
    <w:p>
      <w:pPr>
        <w:spacing w:after="60" w:before="200"/>
      </w:pPr>
      <w:r>
        <w:rPr>
          <w:rFonts w:ascii="Arial" w:cs="Arial" w:eastAsia="Arial" w:hAnsi="Arial"/>
          <w:b/>
          <w:bCs/>
          <w:color w:val="1F497D"/>
          <w:sz w:val="24"/>
          <w:szCs w:val="24"/>
        </w:rPr>
        <w:t xml:space="preserve">Cost of Goods Sold</w:t>
      </w:r>
    </w:p>
    <w:p>
      <w:pPr>
        <w:spacing w:after="80"/>
      </w:pPr>
    </w:p>
    <w:p>
      <w:pPr>
        <w:spacing w:after="80"/>
      </w:pPr>
      <w:r>
        <w:rPr>
          <w:rFonts w:ascii="Arial" w:cs="Arial" w:eastAsia="Arial" w:hAnsi="Arial"/>
          <w:b w:val="false"/>
          <w:bCs w:val="false"/>
          <w:sz w:val="20"/>
          <w:szCs w:val="20"/>
        </w:rPr>
        <w:t xml:space="preserve">COGS increased from </w:t>
      </w:r>
      <w:r>
        <w:rPr>
          <w:rFonts w:ascii="Arial" w:cs="Arial" w:eastAsia="Arial" w:hAnsi="Arial"/>
          <w:b/>
          <w:bCs/>
          <w:sz w:val="20"/>
          <w:szCs w:val="20"/>
        </w:rPr>
        <w:t xml:space="preserve">$14,447MM</w:t>
      </w:r>
      <w:r>
        <w:rPr>
          <w:rFonts w:ascii="Arial" w:cs="Arial" w:eastAsia="Arial" w:hAnsi="Arial"/>
          <w:b w:val="false"/>
          <w:bCs w:val="false"/>
          <w:sz w:val="20"/>
          <w:szCs w:val="20"/>
        </w:rPr>
        <w:t xml:space="preserve"> to </w:t>
      </w:r>
      <w:r>
        <w:rPr>
          <w:rFonts w:ascii="Arial" w:cs="Arial" w:eastAsia="Arial" w:hAnsi="Arial"/>
          <w:b/>
          <w:bCs/>
          <w:sz w:val="20"/>
          <w:szCs w:val="20"/>
        </w:rPr>
        <w:t xml:space="preserve">$14,991MM</w:t>
      </w:r>
      <w:r>
        <w:rPr>
          <w:rFonts w:ascii="Arial" w:cs="Arial" w:eastAsia="Arial" w:hAnsi="Arial"/>
          <w:b w:val="false"/>
          <w:bCs w:val="false"/>
          <w:sz w:val="20"/>
          <w:szCs w:val="20"/>
        </w:rPr>
        <w:t xml:space="preserve">.</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Drivers: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Foreign currency impacts and tariff headwinds.</w:t>
      </w:r>
    </w:p>
    <w:p>
      <w:pPr>
        <w:pStyle w:val="ListParagraph"/>
        <w:numPr>
          <w:ilvl w:val="0"/>
          <w:numId w:val="2"/>
        </w:numPr>
        <w:spacing w:after="60"/>
      </w:pPr>
      <w:r>
        <w:rPr>
          <w:rFonts w:ascii="Arial" w:cs="Arial" w:eastAsia="Arial" w:hAnsi="Arial"/>
          <w:b w:val="false"/>
          <w:bCs w:val="false"/>
          <w:sz w:val="20"/>
          <w:szCs w:val="20"/>
        </w:rPr>
        <w:t xml:space="preserve">Exit of manufactured PFAS products.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Offsetting Factors: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Procurement and logistics savings.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Segment Analysis:</w:t>
      </w:r>
      <w:r>
        <w:rPr>
          <w:rFonts w:ascii="Arial" w:cs="Arial" w:eastAsia="Arial" w:hAnsi="Arial"/>
          <w:b w:val="false"/>
          <w:bCs w:val="false"/>
          <w:sz w:val="20"/>
          <w:szCs w:val="20"/>
        </w:rPr>
        <w:t xml:space="preserve"/>
      </w:r>
    </w:p>
    <w:p>
      <w:pPr>
        <w:spacing w:after="80"/>
      </w:pPr>
    </w:p>
    <w:p>
      <w:pPr>
        <w:spacing w:after="80"/>
      </w:pPr>
      <w:r>
        <w:rPr>
          <w:rFonts w:ascii="Arial" w:cs="Arial" w:eastAsia="Arial" w:hAnsi="Arial"/>
          <w:b w:val="false"/>
          <w:bCs w:val="false"/>
          <w:sz w:val="20"/>
          <w:szCs w:val="20"/>
        </w:rPr>
        <w:t xml:space="preserve">#### Safety and Industrial</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COGS: Not separately disclosed.</w:t>
      </w:r>
    </w:p>
    <w:p>
      <w:pPr>
        <w:pStyle w:val="ListParagraph"/>
        <w:numPr>
          <w:ilvl w:val="0"/>
          <w:numId w:val="2"/>
        </w:numPr>
        <w:spacing w:after="60"/>
      </w:pPr>
      <w:r>
        <w:rPr>
          <w:rFonts w:ascii="Arial" w:cs="Arial" w:eastAsia="Arial" w:hAnsi="Arial"/>
          <w:b w:val="false"/>
          <w:bCs w:val="false"/>
          <w:sz w:val="20"/>
          <w:szCs w:val="20"/>
        </w:rPr>
        <w:t xml:space="preserve">Cost dis-synergies from PFAS exit.</w:t>
      </w:r>
    </w:p>
    <w:p>
      <w:pPr>
        <w:pStyle w:val="ListParagraph"/>
        <w:numPr>
          <w:ilvl w:val="0"/>
          <w:numId w:val="2"/>
        </w:numPr>
        <w:spacing w:after="60"/>
      </w:pPr>
      <w:r>
        <w:rPr>
          <w:rFonts w:ascii="Arial" w:cs="Arial" w:eastAsia="Arial" w:hAnsi="Arial"/>
          <w:b w:val="false"/>
          <w:bCs w:val="false"/>
          <w:sz w:val="20"/>
          <w:szCs w:val="20"/>
        </w:rPr>
        <w:t xml:space="preserve">Growth investments.</w:t>
      </w:r>
    </w:p>
    <w:p>
      <w:pPr>
        <w:pStyle w:val="ListParagraph"/>
        <w:numPr>
          <w:ilvl w:val="0"/>
          <w:numId w:val="2"/>
        </w:numPr>
        <w:spacing w:after="60"/>
      </w:pPr>
      <w:r>
        <w:rPr>
          <w:rFonts w:ascii="Arial" w:cs="Arial" w:eastAsia="Arial" w:hAnsi="Arial"/>
          <w:b w:val="false"/>
          <w:bCs w:val="false"/>
          <w:sz w:val="20"/>
          <w:szCs w:val="20"/>
        </w:rPr>
        <w:t xml:space="preserve">Offsetting: Productivity and lower restructuring costs.</w:t>
      </w:r>
    </w:p>
    <w:p>
      <w:pPr>
        <w:spacing w:after="80"/>
      </w:pPr>
    </w:p>
    <w:p>
      <w:pPr>
        <w:spacing w:after="80"/>
      </w:pPr>
      <w:r>
        <w:rPr>
          <w:rFonts w:ascii="Arial" w:cs="Arial" w:eastAsia="Arial" w:hAnsi="Arial"/>
          <w:b w:val="false"/>
          <w:bCs w:val="false"/>
          <w:sz w:val="20"/>
          <w:szCs w:val="20"/>
        </w:rPr>
        <w:t xml:space="preserve">#### Transportation and Electronics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COGS: Not separately disclosed.</w:t>
      </w:r>
    </w:p>
    <w:p>
      <w:pPr>
        <w:spacing w:after="80"/>
      </w:pPr>
    </w:p>
    <w:p>
      <w:pPr>
        <w:spacing w:after="80"/>
      </w:pPr>
      <w:r>
        <w:rPr>
          <w:rFonts w:ascii="Arial" w:cs="Arial" w:eastAsia="Arial" w:hAnsi="Arial"/>
          <w:b w:val="false"/>
          <w:bCs w:val="false"/>
          <w:sz w:val="20"/>
          <w:szCs w:val="20"/>
        </w:rPr>
        <w:t xml:space="preserve">#### Consumer</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COGS: Not separately disclosed.</w:t>
      </w:r>
    </w:p>
    <w:p>
      <w:pPr>
        <w:spacing w:after="80"/>
      </w:pPr>
    </w:p>
    <w:p>
      <w:pPr>
        <w:spacing w:after="60" w:before="200"/>
      </w:pPr>
      <w:r>
        <w:rPr>
          <w:rFonts w:ascii="Arial" w:cs="Arial" w:eastAsia="Arial" w:hAnsi="Arial"/>
          <w:b/>
          <w:bCs/>
          <w:color w:val="1F497D"/>
          <w:sz w:val="24"/>
          <w:szCs w:val="24"/>
        </w:rPr>
        <w:t xml:space="preserve">Gross Margin</w:t>
      </w:r>
    </w:p>
    <w:p>
      <w:pPr>
        <w:spacing w:after="80"/>
      </w:pPr>
    </w:p>
    <w:p>
      <w:pPr>
        <w:spacing w:after="80"/>
      </w:pPr>
      <w:r>
        <w:rPr>
          <w:rFonts w:ascii="Arial" w:cs="Arial" w:eastAsia="Arial" w:hAnsi="Arial"/>
          <w:b w:val="false"/>
          <w:bCs w:val="false"/>
          <w:sz w:val="20"/>
          <w:szCs w:val="20"/>
        </w:rPr>
        <w:t xml:space="preserve">Gross margin compressed from approximately 41.2% to approximately 39.9% (-1.3pp).</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Drivers: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Tariff impacts and foreign currency headwinds.</w:t>
      </w:r>
    </w:p>
    <w:p>
      <w:pPr>
        <w:pStyle w:val="ListParagraph"/>
        <w:numPr>
          <w:ilvl w:val="0"/>
          <w:numId w:val="2"/>
        </w:numPr>
        <w:spacing w:after="60"/>
      </w:pPr>
      <w:r>
        <w:rPr>
          <w:rFonts w:ascii="Arial" w:cs="Arial" w:eastAsia="Arial" w:hAnsi="Arial"/>
          <w:b w:val="false"/>
          <w:bCs w:val="false"/>
          <w:sz w:val="20"/>
          <w:szCs w:val="20"/>
        </w:rPr>
        <w:t xml:space="preserve">PFAS manufacturing exit costs.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Offsetting Factors: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Procurement and logistics savings.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Segment Analysis:</w:t>
      </w:r>
      <w:r>
        <w:rPr>
          <w:rFonts w:ascii="Arial" w:cs="Arial" w:eastAsia="Arial" w:hAnsi="Arial"/>
          <w:b w:val="false"/>
          <w:bCs w:val="false"/>
          <w:sz w:val="20"/>
          <w:szCs w:val="20"/>
        </w:rPr>
        <w:t xml:space="preserve"/>
      </w:r>
    </w:p>
    <w:p>
      <w:pPr>
        <w:spacing w:after="80"/>
      </w:pPr>
    </w:p>
    <w:p>
      <w:pPr>
        <w:spacing w:after="80"/>
      </w:pPr>
      <w:r>
        <w:rPr>
          <w:rFonts w:ascii="Arial" w:cs="Arial" w:eastAsia="Arial" w:hAnsi="Arial"/>
          <w:b w:val="false"/>
          <w:bCs w:val="false"/>
          <w:sz w:val="20"/>
          <w:szCs w:val="20"/>
        </w:rPr>
        <w:t xml:space="preserve">#### Safety and Industrial</w:t>
      </w:r>
    </w:p>
    <w:p>
      <w:pPr>
        <w:spacing w:after="80"/>
      </w:pPr>
    </w:p>
    <w:p>
      <w:pPr>
        <w:pStyle w:val="ListParagraph"/>
        <w:numPr>
          <w:ilvl w:val="0"/>
          <w:numId w:val="2"/>
        </w:numPr>
        <w:spacing w:after="60"/>
      </w:pPr>
      <w:r>
        <w:rPr>
          <w:rFonts w:ascii="Arial" w:cs="Arial" w:eastAsia="Arial" w:hAnsi="Arial"/>
          <w:b w:val="false"/>
          <w:bCs w:val="false"/>
          <w:sz w:val="20"/>
          <w:szCs w:val="20"/>
        </w:rPr>
        <w:t xml:space="preserve">Gross Margin: Not separately disclosed.</w:t>
      </w:r>
    </w:p>
    <w:p>
      <w:pPr>
        <w:pStyle w:val="ListParagraph"/>
        <w:numPr>
          <w:ilvl w:val="0"/>
          <w:numId w:val="2"/>
        </w:numPr>
        <w:spacing w:after="60"/>
      </w:pPr>
      <w:r>
        <w:rPr>
          <w:rFonts w:ascii="Arial" w:cs="Arial" w:eastAsia="Arial" w:hAnsi="Arial"/>
          <w:b w:val="false"/>
          <w:bCs w:val="false"/>
          <w:sz w:val="20"/>
          <w:szCs w:val="20"/>
        </w:rPr>
        <w:t xml:space="preserve">Volume growth and productivity.</w:t>
      </w:r>
    </w:p>
    <w:p>
      <w:pPr>
        <w:pStyle w:val="ListParagraph"/>
        <w:numPr>
          <w:ilvl w:val="0"/>
          <w:numId w:val="2"/>
        </w:numPr>
        <w:spacing w:after="60"/>
      </w:pPr>
      <w:r>
        <w:rPr>
          <w:rFonts w:ascii="Arial" w:cs="Arial" w:eastAsia="Arial" w:hAnsi="Arial"/>
          <w:b w:val="false"/>
          <w:bCs w:val="false"/>
          <w:sz w:val="20"/>
          <w:szCs w:val="20"/>
        </w:rPr>
        <w:t xml:space="preserve">Lower restructuring costs.</w:t>
      </w:r>
    </w:p>
    <w:p>
      <w:pPr>
        <w:pStyle w:val="ListParagraph"/>
        <w:numPr>
          <w:ilvl w:val="0"/>
          <w:numId w:val="2"/>
        </w:numPr>
        <w:spacing w:after="60"/>
      </w:pPr>
      <w:r>
        <w:rPr>
          <w:rFonts w:ascii="Arial" w:cs="Arial" w:eastAsia="Arial" w:hAnsi="Arial"/>
          <w:b w:val="false"/>
          <w:bCs w:val="false"/>
          <w:sz w:val="20"/>
          <w:szCs w:val="20"/>
        </w:rPr>
        <w:t xml:space="preserve">Offsetting: Net costs for significant litigation.</w:t>
      </w:r>
    </w:p>
    <w:p>
      <w:pPr>
        <w:spacing w:after="80"/>
      </w:pPr>
    </w:p>
    <w:p>
      <w:pPr>
        <w:spacing w:after="80"/>
      </w:pPr>
      <w:r>
        <w:rPr>
          <w:rFonts w:ascii="Arial" w:cs="Arial" w:eastAsia="Arial" w:hAnsi="Arial"/>
          <w:b w:val="false"/>
          <w:bCs w:val="false"/>
          <w:sz w:val="20"/>
          <w:szCs w:val="20"/>
        </w:rPr>
        <w:t xml:space="preserve">#### Transportation and Electronics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Gross Margin: Not separately disclosed.</w:t>
      </w:r>
    </w:p>
    <w:p>
      <w:pPr>
        <w:spacing w:after="80"/>
      </w:pPr>
    </w:p>
    <w:p>
      <w:pPr>
        <w:spacing w:after="80"/>
      </w:pPr>
      <w:r>
        <w:rPr>
          <w:rFonts w:ascii="Arial" w:cs="Arial" w:eastAsia="Arial" w:hAnsi="Arial"/>
          <w:b w:val="false"/>
          <w:bCs w:val="false"/>
          <w:sz w:val="20"/>
          <w:szCs w:val="20"/>
        </w:rPr>
        <w:t xml:space="preserve">#### Consumer</w:t>
      </w:r>
    </w:p>
    <w:p>
      <w:pPr>
        <w:spacing w:after="80"/>
      </w:pPr>
    </w:p>
    <w:p>
      <w:pPr>
        <w:pStyle w:val="ListParagraph"/>
        <w:numPr>
          <w:ilvl w:val="0"/>
          <w:numId w:val="2"/>
        </w:numPr>
        <w:spacing w:after="60"/>
      </w:pPr>
      <w:r>
        <w:rPr>
          <w:rFonts w:ascii="Arial" w:cs="Arial" w:eastAsia="Arial" w:hAnsi="Arial"/>
          <w:b w:val="false"/>
          <w:bCs w:val="false"/>
          <w:sz w:val="20"/>
          <w:szCs w:val="20"/>
        </w:rPr>
        <w:t xml:space="preserve">Gross Margin: Not separately disclosed.</w:t>
      </w:r>
    </w:p>
    <w:p>
      <w:pPr>
        <w:spacing w:after="80"/>
      </w:pPr>
    </w:p>
    <w:p>
      <w:pPr>
        <w:spacing w:after="60" w:before="200"/>
      </w:pPr>
      <w:r>
        <w:rPr>
          <w:rFonts w:ascii="Arial" w:cs="Arial" w:eastAsia="Arial" w:hAnsi="Arial"/>
          <w:b/>
          <w:bCs/>
          <w:color w:val="1F497D"/>
          <w:sz w:val="24"/>
          <w:szCs w:val="24"/>
        </w:rPr>
        <w:t xml:space="preserve">EBITDA and Margins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**EBITDA:** **$6,139MM** vs **$6,403MM** (-4.1% YoY)</w:t>
      </w:r>
    </w:p>
    <w:p>
      <w:pPr>
        <w:pStyle w:val="ListParagraph"/>
        <w:numPr>
          <w:ilvl w:val="0"/>
          <w:numId w:val="2"/>
        </w:numPr>
        <w:spacing w:after="60"/>
      </w:pPr>
      <w:r>
        <w:rPr>
          <w:rFonts w:ascii="Arial" w:cs="Arial" w:eastAsia="Arial" w:hAnsi="Arial"/>
          <w:b w:val="false"/>
          <w:bCs w:val="false"/>
          <w:sz w:val="20"/>
          <w:szCs w:val="20"/>
        </w:rPr>
        <w:t xml:space="preserve">**EBITDA Margin:** 24.6% vs 26.1% (-1.4pp)</w:t>
      </w:r>
    </w:p>
    <w:p>
      <w:pPr>
        <w:pStyle w:val="ListParagraph"/>
        <w:numPr>
          <w:ilvl w:val="0"/>
          <w:numId w:val="2"/>
        </w:numPr>
        <w:spacing w:after="60"/>
      </w:pPr>
      <w:r>
        <w:rPr>
          <w:rFonts w:ascii="Arial" w:cs="Arial" w:eastAsia="Arial" w:hAnsi="Arial"/>
          <w:b w:val="false"/>
          <w:bCs w:val="false"/>
          <w:sz w:val="20"/>
          <w:szCs w:val="20"/>
        </w:rPr>
        <w:t xml:space="preserve">Key EBITDA driver: Decline driven by PFAS-related headwinds and litigation costs.</w:t>
      </w:r>
    </w:p>
    <w:p>
      <w:pPr>
        <w:spacing w:after="80"/>
      </w:pPr>
    </w:p>
    <w:p>
      <w:pPr>
        <w:spacing w:after="60" w:before="200"/>
      </w:pPr>
      <w:r>
        <w:rPr>
          <w:rFonts w:ascii="Arial" w:cs="Arial" w:eastAsia="Arial" w:hAnsi="Arial"/>
          <w:b/>
          <w:bCs/>
          <w:color w:val="1F497D"/>
          <w:sz w:val="24"/>
          <w:szCs w:val="24"/>
        </w:rPr>
        <w:t xml:space="preserve">SG&amp;A</w:t>
      </w:r>
    </w:p>
    <w:p>
      <w:pPr>
        <w:spacing w:after="80"/>
      </w:pPr>
    </w:p>
    <w:p>
      <w:pPr>
        <w:pStyle w:val="ListParagraph"/>
        <w:numPr>
          <w:ilvl w:val="0"/>
          <w:numId w:val="2"/>
        </w:numPr>
        <w:spacing w:after="60"/>
      </w:pPr>
      <w:r>
        <w:rPr>
          <w:rFonts w:ascii="Arial" w:cs="Arial" w:eastAsia="Arial" w:hAnsi="Arial"/>
          <w:b w:val="false"/>
          <w:bCs w:val="false"/>
          <w:sz w:val="20"/>
          <w:szCs w:val="20"/>
        </w:rPr>
        <w:t xml:space="preserve">**SG&amp;A:** **$3,997MM** vs **$4,221MM** (-5.3% YoY)</w:t>
      </w:r>
    </w:p>
    <w:p>
      <w:pPr>
        <w:pStyle w:val="ListParagraph"/>
        <w:numPr>
          <w:ilvl w:val="0"/>
          <w:numId w:val="2"/>
        </w:numPr>
        <w:spacing w:after="60"/>
      </w:pPr>
      <w:r>
        <w:rPr>
          <w:rFonts w:ascii="Arial" w:cs="Arial" w:eastAsia="Arial" w:hAnsi="Arial"/>
          <w:b w:val="false"/>
          <w:bCs w:val="false"/>
          <w:sz w:val="20"/>
          <w:szCs w:val="20"/>
        </w:rPr>
        <w:t xml:space="preserve">SG&amp;A trend: Reduction reflects cost control measures.</w:t>
      </w:r>
    </w:p>
    <w:p>
      <w:pPr>
        <w:spacing w:after="80"/>
      </w:pPr>
    </w:p>
    <w:p>
      <w:pPr>
        <w:spacing w:after="60" w:before="200"/>
      </w:pPr>
      <w:r>
        <w:rPr>
          <w:rFonts w:ascii="Arial" w:cs="Arial" w:eastAsia="Arial" w:hAnsi="Arial"/>
          <w:b/>
          <w:bCs/>
          <w:color w:val="1F497D"/>
          <w:sz w:val="24"/>
          <w:szCs w:val="24"/>
        </w:rPr>
        <w:t xml:space="preserve">Cash Flow</w:t>
      </w:r>
    </w:p>
    <w:p>
      <w:pPr>
        <w:spacing w:after="80"/>
      </w:pPr>
    </w:p>
    <w:p>
      <w:pPr>
        <w:pStyle w:val="ListParagraph"/>
        <w:numPr>
          <w:ilvl w:val="0"/>
          <w:numId w:val="2"/>
        </w:numPr>
        <w:spacing w:after="60"/>
      </w:pPr>
      <w:r>
        <w:rPr>
          <w:rFonts w:ascii="Arial" w:cs="Arial" w:eastAsia="Arial" w:hAnsi="Arial"/>
          <w:b w:val="false"/>
          <w:bCs w:val="false"/>
          <w:sz w:val="20"/>
          <w:szCs w:val="20"/>
        </w:rPr>
        <w:t xml:space="preserve">**Operating Cash Flow:** **$2,306MM** vs **$1,819MM** (+26.8% YoY)</w:t>
      </w:r>
    </w:p>
    <w:p>
      <w:pPr>
        <w:pStyle w:val="ListParagraph"/>
        <w:numPr>
          <w:ilvl w:val="0"/>
          <w:numId w:val="2"/>
        </w:numPr>
        <w:spacing w:after="60"/>
      </w:pPr>
      <w:r>
        <w:rPr>
          <w:rFonts w:ascii="Arial" w:cs="Arial" w:eastAsia="Arial" w:hAnsi="Arial"/>
          <w:b w:val="false"/>
          <w:bCs w:val="false"/>
          <w:sz w:val="20"/>
          <w:szCs w:val="20"/>
        </w:rPr>
        <w:t xml:space="preserve">**Capex:** **$910MM** vs **$1,181MM** (-22.9% YoY)</w:t>
      </w:r>
    </w:p>
    <w:p>
      <w:pPr>
        <w:pStyle w:val="ListParagraph"/>
        <w:numPr>
          <w:ilvl w:val="0"/>
          <w:numId w:val="2"/>
        </w:numPr>
        <w:spacing w:after="60"/>
      </w:pPr>
      <w:r>
        <w:rPr>
          <w:rFonts w:ascii="Arial" w:cs="Arial" w:eastAsia="Arial" w:hAnsi="Arial"/>
          <w:b w:val="false"/>
          <w:bCs w:val="false"/>
          <w:sz w:val="20"/>
          <w:szCs w:val="20"/>
        </w:rPr>
        <w:t xml:space="preserve">**Free Cash Flow:** **$1,396MM** vs **$638MM** (+118.8% YoY)</w:t>
      </w:r>
    </w:p>
    <w:p>
      <w:pPr>
        <w:spacing w:after="80"/>
      </w:pPr>
    </w:p>
    <w:p>
      <w:pPr>
        <w:spacing w:after="60" w:before="200"/>
      </w:pPr>
      <w:r>
        <w:rPr>
          <w:rFonts w:ascii="Arial" w:cs="Arial" w:eastAsia="Arial" w:hAnsi="Arial"/>
          <w:b/>
          <w:bCs/>
          <w:color w:val="1F497D"/>
          <w:sz w:val="24"/>
          <w:szCs w:val="24"/>
        </w:rPr>
        <w:t xml:space="preserve">Leverage and Debt Service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**Total Debt:** **$12,602MM** vs **$13,044MM** (-3.4% YoY)</w:t>
      </w:r>
    </w:p>
    <w:p>
      <w:pPr>
        <w:pStyle w:val="ListParagraph"/>
        <w:numPr>
          <w:ilvl w:val="0"/>
          <w:numId w:val="2"/>
        </w:numPr>
        <w:spacing w:after="60"/>
      </w:pPr>
      <w:r>
        <w:rPr>
          <w:rFonts w:ascii="Arial" w:cs="Arial" w:eastAsia="Arial" w:hAnsi="Arial"/>
          <w:b w:val="false"/>
          <w:bCs w:val="false"/>
          <w:sz w:val="20"/>
          <w:szCs w:val="20"/>
        </w:rPr>
        <w:t xml:space="preserve">**Leverage:** 2.04x → 2.05x</w:t>
      </w:r>
    </w:p>
    <w:p>
      <w:pPr>
        <w:pStyle w:val="ListParagraph"/>
        <w:numPr>
          <w:ilvl w:val="0"/>
          <w:numId w:val="2"/>
        </w:numPr>
        <w:spacing w:after="60"/>
      </w:pPr>
      <w:r>
        <w:rPr>
          <w:rFonts w:ascii="Arial" w:cs="Arial" w:eastAsia="Arial" w:hAnsi="Arial"/>
          <w:b w:val="false"/>
          <w:bCs w:val="false"/>
          <w:sz w:val="20"/>
          <w:szCs w:val="20"/>
        </w:rPr>
        <w:t xml:space="preserve">**FCC:** 1.80x → 2.07x</w:t>
      </w:r>
    </w:p>
    <w:p>
      <w:pPr>
        <w:spacing w:after="80"/>
      </w:pPr>
    </w:p>
    <w:p>
      <w:pPr>
        <w:spacing w:after="60" w:before="200"/>
      </w:pPr>
      <w:r>
        <w:rPr>
          <w:rFonts w:ascii="Arial" w:cs="Arial" w:eastAsia="Arial" w:hAnsi="Arial"/>
          <w:b/>
          <w:bCs/>
          <w:color w:val="1F497D"/>
          <w:sz w:val="24"/>
          <w:szCs w:val="24"/>
        </w:rPr>
        <w:t xml:space="preserve">Liquidity</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**Cash:** **$5,235MM** vs **$5,600MM** (-6.5% YoY)</w:t>
      </w:r>
    </w:p>
    <w:p>
      <w:pPr>
        <w:pStyle w:val="ListParagraph"/>
        <w:numPr>
          <w:ilvl w:val="0"/>
          <w:numId w:val="2"/>
        </w:numPr>
        <w:spacing w:after="60"/>
      </w:pPr>
      <w:r>
        <w:rPr>
          <w:rFonts w:ascii="Arial" w:cs="Arial" w:eastAsia="Arial" w:hAnsi="Arial"/>
          <w:b w:val="false"/>
          <w:bCs w:val="false"/>
          <w:sz w:val="20"/>
          <w:szCs w:val="20"/>
        </w:rPr>
        <w:t xml:space="preserve">**Revolving Credit Facility:**</w:t>
      </w:r>
    </w:p>
    <w:p>
      <w:pPr>
        <w:pStyle w:val="ListParagraph"/>
        <w:numPr>
          <w:ilvl w:val="0"/>
          <w:numId w:val="2"/>
        </w:numPr>
        <w:spacing w:after="60"/>
      </w:pPr>
      <w:r>
        <w:rPr>
          <w:rFonts w:ascii="Arial" w:cs="Arial" w:eastAsia="Arial" w:hAnsi="Arial"/>
          <w:b w:val="false"/>
          <w:bCs w:val="false"/>
          <w:sz w:val="20"/>
          <w:szCs w:val="20"/>
        </w:rPr>
        <w:t xml:space="preserve">Facility Size: N/A</w:t>
      </w:r>
    </w:p>
    <w:p>
      <w:pPr>
        <w:pStyle w:val="ListParagraph"/>
        <w:numPr>
          <w:ilvl w:val="0"/>
          <w:numId w:val="2"/>
        </w:numPr>
        <w:spacing w:after="60"/>
      </w:pPr>
      <w:r>
        <w:rPr>
          <w:rFonts w:ascii="Arial" w:cs="Arial" w:eastAsia="Arial" w:hAnsi="Arial"/>
          <w:b w:val="false"/>
          <w:bCs w:val="false"/>
          <w:sz w:val="20"/>
          <w:szCs w:val="20"/>
        </w:rPr>
        <w:t xml:space="preserve">Borrowings: N/A</w:t>
      </w:r>
    </w:p>
    <w:p>
      <w:pPr>
        <w:pStyle w:val="ListParagraph"/>
        <w:numPr>
          <w:ilvl w:val="0"/>
          <w:numId w:val="2"/>
        </w:numPr>
        <w:spacing w:after="60"/>
      </w:pPr>
      <w:r>
        <w:rPr>
          <w:rFonts w:ascii="Arial" w:cs="Arial" w:eastAsia="Arial" w:hAnsi="Arial"/>
          <w:b w:val="false"/>
          <w:bCs w:val="false"/>
          <w:sz w:val="20"/>
          <w:szCs w:val="20"/>
        </w:rPr>
        <w:t xml:space="preserve">Available Capacity: N/A</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Credit Risks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PFAS manufacturing exit resulted in a **$292MM** operating loss.</w:t>
      </w:r>
    </w:p>
    <w:p>
      <w:pPr>
        <w:pStyle w:val="ListParagraph"/>
        <w:numPr>
          <w:ilvl w:val="0"/>
          <w:numId w:val="2"/>
        </w:numPr>
        <w:spacing w:after="60"/>
      </w:pPr>
      <w:r>
        <w:rPr>
          <w:rFonts w:ascii="Arial" w:cs="Arial" w:eastAsia="Arial" w:hAnsi="Arial"/>
          <w:b w:val="false"/>
          <w:bCs w:val="false"/>
          <w:sz w:val="20"/>
          <w:szCs w:val="20"/>
        </w:rPr>
        <w:t xml:space="preserve">Significant litigation costs increased by **$460MM** YoY.</w:t>
      </w:r>
    </w:p>
    <w:p>
      <w:pPr>
        <w:pStyle w:val="ListParagraph"/>
        <w:numPr>
          <w:ilvl w:val="0"/>
          <w:numId w:val="2"/>
        </w:numPr>
        <w:spacing w:after="60"/>
      </w:pPr>
      <w:r>
        <w:rPr>
          <w:rFonts w:ascii="Arial" w:cs="Arial" w:eastAsia="Arial" w:hAnsi="Arial"/>
          <w:b w:val="false"/>
          <w:bCs w:val="false"/>
          <w:sz w:val="20"/>
          <w:szCs w:val="20"/>
        </w:rPr>
        <w:t xml:space="preserve">Solventum separation dis-synergies impacted margins across segments.</w:t>
      </w:r>
    </w:p>
    <w:p>
      <w:pPr>
        <w:spacing w:after="80"/>
      </w:pPr>
    </w:p>
    <w:p>
      <w:pPr>
        <w:spacing w:after="60" w:before="200"/>
      </w:pPr>
      <w:r>
        <w:rPr>
          <w:rFonts w:ascii="Arial" w:cs="Arial" w:eastAsia="Arial" w:hAnsi="Arial"/>
          <w:b/>
          <w:bCs/>
          <w:color w:val="1F497D"/>
          <w:sz w:val="24"/>
          <w:szCs w:val="24"/>
        </w:rPr>
        <w:t xml:space="preserve">Mitigants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Strong cash flow generation with FCF increasing by **118.8%** YoY.</w:t>
      </w:r>
    </w:p>
    <w:p>
      <w:pPr>
        <w:pStyle w:val="ListParagraph"/>
        <w:numPr>
          <w:ilvl w:val="0"/>
          <w:numId w:val="2"/>
        </w:numPr>
        <w:spacing w:after="60"/>
      </w:pPr>
      <w:r>
        <w:rPr>
          <w:rFonts w:ascii="Arial" w:cs="Arial" w:eastAsia="Arial" w:hAnsi="Arial"/>
          <w:b w:val="false"/>
          <w:bCs w:val="false"/>
          <w:sz w:val="20"/>
          <w:szCs w:val="20"/>
        </w:rPr>
        <w:t xml:space="preserve">Reduction in total debt by **3.4%** YoY.</w:t>
      </w:r>
    </w:p>
    <w:p>
      <w:pPr>
        <w:pStyle w:val="ListParagraph"/>
        <w:numPr>
          <w:ilvl w:val="0"/>
          <w:numId w:val="2"/>
        </w:numPr>
        <w:spacing w:after="60"/>
      </w:pPr>
      <w:r>
        <w:rPr>
          <w:rFonts w:ascii="Arial" w:cs="Arial" w:eastAsia="Arial" w:hAnsi="Arial"/>
          <w:b w:val="false"/>
          <w:bCs w:val="false"/>
          <w:sz w:val="20"/>
          <w:szCs w:val="20"/>
        </w:rPr>
        <w:t xml:space="preserve">Improved FCC ratio to **2.07x**.</w:t>
      </w:r>
    </w:p>
    <w:p>
      <w:pPr>
        <w:spacing w:after="80"/>
      </w:pPr>
    </w:p>
    <w:p>
      <w:pPr>
        <w:spacing w:after="60" w:before="200"/>
      </w:pPr>
      <w:r>
        <w:rPr>
          <w:rFonts w:ascii="Arial" w:cs="Arial" w:eastAsia="Arial" w:hAnsi="Arial"/>
          <w:b/>
          <w:bCs/>
          <w:color w:val="1F497D"/>
          <w:sz w:val="24"/>
          <w:szCs w:val="24"/>
        </w:rPr>
        <w:t xml:space="preserve">Covenant Compliance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**Leverage:** 2.05x vs max not specified — Compliance status unknown due to unspecified covenant.</w:t>
      </w:r>
    </w:p>
    <w:p>
      <w:pPr>
        <w:pStyle w:val="ListParagraph"/>
        <w:numPr>
          <w:ilvl w:val="0"/>
          <w:numId w:val="2"/>
        </w:numPr>
        <w:spacing w:after="60"/>
      </w:pPr>
      <w:r>
        <w:rPr>
          <w:rFonts w:ascii="Arial" w:cs="Arial" w:eastAsia="Arial" w:hAnsi="Arial"/>
          <w:b w:val="false"/>
          <w:bCs w:val="false"/>
          <w:sz w:val="20"/>
          <w:szCs w:val="20"/>
        </w:rPr>
        <w:t xml:space="preserve">**FCC:** 2.07x vs min not specified — Compliance status unknown due to unspecified covenant.</w:t>
      </w:r>
    </w:p>
    <w:p>
      <w:pPr>
        <w:spacing w:after="80"/>
      </w:pPr>
    </w:p>
    <w:p>
      <w:pPr>
        <w:spacing w:after="60" w:before="200"/>
      </w:pPr>
      <w:r>
        <w:rPr>
          <w:rFonts w:ascii="Arial" w:cs="Arial" w:eastAsia="Arial" w:hAnsi="Arial"/>
          <w:b/>
          <w:bCs/>
          <w:color w:val="1F497D"/>
          <w:sz w:val="24"/>
          <w:szCs w:val="24"/>
        </w:rPr>
        <w:t xml:space="preserve">Recommendation</w:t>
      </w:r>
    </w:p>
    <w:p>
      <w:pPr>
        <w:spacing w:after="80"/>
      </w:pPr>
    </w:p>
    <w:p>
      <w:pPr>
        <w:spacing w:after="80"/>
      </w:pPr>
      <w:r>
        <w:rPr>
          <w:rFonts w:ascii="Arial" w:cs="Arial" w:eastAsia="Arial" w:hAnsi="Arial"/>
          <w:b w:val="false"/>
          <w:bCs w:val="false"/>
          <w:sz w:val="20"/>
          <w:szCs w:val="20"/>
        </w:rPr>
        <w:t xml:space="preserve">Approve with conditions: Given the speculative credit quality and financial distress indicators, approval should be contingent upon improved liquidity measures and detailed covenant compliance monitoring. The borrower demonstrates strong cash flow generation and debt reduction, which are positive signs for future financial stability.</w:t>
      </w:r>
    </w:p>
    <w:p>
      <w:pPr>
        <w:spacing w:after="80"/>
      </w:pPr>
    </w:p>
    <w:p>
      <w:pPr>
        <w:spacing w:after="60" w:before="200"/>
      </w:pPr>
      <w:r>
        <w:rPr>
          <w:rFonts w:ascii="Arial" w:cs="Arial" w:eastAsia="Arial" w:hAnsi="Arial"/>
          <w:b/>
          <w:bCs/>
          <w:color w:val="1F497D"/>
          <w:sz w:val="24"/>
          <w:szCs w:val="24"/>
        </w:rPr>
        <w:t xml:space="preserve">Data Gaps and Limitations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Lack of specific covenant thresholds for leverage and FCC.</w:t>
      </w:r>
    </w:p>
    <w:p>
      <w:pPr>
        <w:pStyle w:val="ListParagraph"/>
        <w:numPr>
          <w:ilvl w:val="0"/>
          <w:numId w:val="2"/>
        </w:numPr>
        <w:spacing w:after="60"/>
      </w:pPr>
      <w:r>
        <w:rPr>
          <w:rFonts w:ascii="Arial" w:cs="Arial" w:eastAsia="Arial" w:hAnsi="Arial"/>
          <w:b w:val="false"/>
          <w:bCs w:val="false"/>
          <w:sz w:val="20"/>
          <w:szCs w:val="20"/>
        </w:rPr>
        <w:t xml:space="preserve">Unspecified revolving credit facility details.</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Extracted Financial Data</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Statement Basis:</w:t>
      </w:r>
      <w:r>
        <w:rPr>
          <w:rFonts w:ascii="Arial" w:cs="Arial" w:eastAsia="Arial" w:hAnsi="Arial"/>
          <w:b w:val="false"/>
          <w:bCs w:val="false"/>
          <w:sz w:val="20"/>
          <w:szCs w:val="20"/>
        </w:rPr>
        <w:t xml:space="preserve"> millions</w:t>
      </w:r>
    </w:p>
    <w:p>
      <w:pPr>
        <w:spacing w:after="80"/>
      </w:pPr>
    </w:p>
    <w:p>
      <w:pPr>
        <w:spacing w:after="60" w:before="200"/>
      </w:pPr>
      <w:r>
        <w:rPr>
          <w:rFonts w:ascii="Arial" w:cs="Arial" w:eastAsia="Arial" w:hAnsi="Arial"/>
          <w:b/>
          <w:bCs/>
          <w:color w:val="1F497D"/>
          <w:sz w:val="24"/>
          <w:szCs w:val="24"/>
        </w:rPr>
        <w:t xml:space="preserve">FY2025</w:t>
      </w:r>
    </w:p>
    <w:p>
      <w:pPr>
        <w:spacing w:after="80"/>
      </w:pPr>
    </w:p>
    <w:p>
      <w:pPr>
        <w:spacing w:after="80"/>
      </w:pPr>
      <w:r>
        <w:rPr>
          <w:rFonts w:ascii="Arial" w:cs="Arial" w:eastAsia="Arial" w:hAnsi="Arial"/>
          <w:b w:val="false"/>
          <w:bCs w:val="false"/>
          <w:sz w:val="20"/>
          <w:szCs w:val="20"/>
        </w:rPr>
        <w:t xml:space="preserve">#### Income Statement</w:t>
      </w:r>
    </w:p>
    <w:p>
      <w:pPr>
        <w:pStyle w:val="ListParagraph"/>
        <w:numPr>
          <w:ilvl w:val="0"/>
          <w:numId w:val="2"/>
        </w:numPr>
        <w:spacing w:after="60"/>
      </w:pPr>
      <w:r>
        <w:rPr>
          <w:rFonts w:ascii="Arial" w:cs="Arial" w:eastAsia="Arial" w:hAnsi="Arial"/>
          <w:b w:val="false"/>
          <w:bCs w:val="false"/>
          <w:sz w:val="20"/>
          <w:szCs w:val="20"/>
        </w:rPr>
        <w:t xml:space="preserve">Revenue: $24,948MM</w:t>
      </w:r>
    </w:p>
    <w:p>
      <w:pPr>
        <w:pStyle w:val="ListParagraph"/>
        <w:numPr>
          <w:ilvl w:val="0"/>
          <w:numId w:val="2"/>
        </w:numPr>
        <w:spacing w:after="60"/>
      </w:pPr>
      <w:r>
        <w:rPr>
          <w:rFonts w:ascii="Arial" w:cs="Arial" w:eastAsia="Arial" w:hAnsi="Arial"/>
          <w:b w:val="false"/>
          <w:bCs w:val="false"/>
          <w:sz w:val="20"/>
          <w:szCs w:val="20"/>
        </w:rPr>
        <w:t xml:space="preserve">Cost of Sales: $14,991MM</w:t>
      </w:r>
    </w:p>
    <w:p>
      <w:pPr>
        <w:pStyle w:val="ListParagraph"/>
        <w:numPr>
          <w:ilvl w:val="0"/>
          <w:numId w:val="2"/>
        </w:numPr>
        <w:spacing w:after="60"/>
      </w:pPr>
      <w:r>
        <w:rPr>
          <w:rFonts w:ascii="Arial" w:cs="Arial" w:eastAsia="Arial" w:hAnsi="Arial"/>
          <w:b w:val="false"/>
          <w:bCs w:val="false"/>
          <w:sz w:val="20"/>
          <w:szCs w:val="20"/>
        </w:rPr>
        <w:t xml:space="preserve">SG&amp;A: $3,997MM</w:t>
      </w:r>
    </w:p>
    <w:p>
      <w:pPr>
        <w:pStyle w:val="ListParagraph"/>
        <w:numPr>
          <w:ilvl w:val="0"/>
          <w:numId w:val="2"/>
        </w:numPr>
        <w:spacing w:after="60"/>
      </w:pPr>
      <w:r>
        <w:rPr>
          <w:rFonts w:ascii="Arial" w:cs="Arial" w:eastAsia="Arial" w:hAnsi="Arial"/>
          <w:b w:val="false"/>
          <w:bCs w:val="false"/>
          <w:sz w:val="20"/>
          <w:szCs w:val="20"/>
        </w:rPr>
        <w:t xml:space="preserve">Operating Income: $4,629MM</w:t>
      </w:r>
    </w:p>
    <w:p>
      <w:pPr>
        <w:pStyle w:val="ListParagraph"/>
        <w:numPr>
          <w:ilvl w:val="0"/>
          <w:numId w:val="2"/>
        </w:numPr>
        <w:spacing w:after="60"/>
      </w:pPr>
      <w:r>
        <w:rPr>
          <w:rFonts w:ascii="Arial" w:cs="Arial" w:eastAsia="Arial" w:hAnsi="Arial"/>
          <w:b w:val="false"/>
          <w:bCs w:val="false"/>
          <w:sz w:val="20"/>
          <w:szCs w:val="20"/>
        </w:rPr>
        <w:t xml:space="preserve">EBITDA: $6,139MM</w:t>
      </w:r>
    </w:p>
    <w:p>
      <w:pPr>
        <w:pStyle w:val="ListParagraph"/>
        <w:numPr>
          <w:ilvl w:val="0"/>
          <w:numId w:val="2"/>
        </w:numPr>
        <w:spacing w:after="60"/>
      </w:pPr>
      <w:r>
        <w:rPr>
          <w:rFonts w:ascii="Arial" w:cs="Arial" w:eastAsia="Arial" w:hAnsi="Arial"/>
          <w:b w:val="false"/>
          <w:bCs w:val="false"/>
          <w:sz w:val="20"/>
          <w:szCs w:val="20"/>
        </w:rPr>
        <w:t xml:space="preserve">Net Income: $3,250MM</w:t>
      </w:r>
    </w:p>
    <w:p>
      <w:pPr>
        <w:pStyle w:val="ListParagraph"/>
        <w:numPr>
          <w:ilvl w:val="0"/>
          <w:numId w:val="2"/>
        </w:numPr>
        <w:spacing w:after="60"/>
      </w:pPr>
      <w:r>
        <w:rPr>
          <w:rFonts w:ascii="Arial" w:cs="Arial" w:eastAsia="Arial" w:hAnsi="Arial"/>
          <w:b w:val="false"/>
          <w:bCs w:val="false"/>
          <w:sz w:val="20"/>
          <w:szCs w:val="20"/>
        </w:rPr>
        <w:t xml:space="preserve">Interest Expense: $946MM</w:t>
      </w:r>
    </w:p>
    <w:p>
      <w:pPr>
        <w:pStyle w:val="ListParagraph"/>
        <w:numPr>
          <w:ilvl w:val="0"/>
          <w:numId w:val="2"/>
        </w:numPr>
        <w:spacing w:after="60"/>
      </w:pPr>
      <w:r>
        <w:rPr>
          <w:rFonts w:ascii="Arial" w:cs="Arial" w:eastAsia="Arial" w:hAnsi="Arial"/>
          <w:b w:val="false"/>
          <w:bCs w:val="false"/>
          <w:sz w:val="20"/>
          <w:szCs w:val="20"/>
        </w:rPr>
        <w:t xml:space="preserve">Income Tax: $1,003MM</w:t>
      </w:r>
    </w:p>
    <w:p>
      <w:pPr>
        <w:pStyle w:val="ListParagraph"/>
        <w:numPr>
          <w:ilvl w:val="0"/>
          <w:numId w:val="2"/>
        </w:numPr>
        <w:spacing w:after="60"/>
      </w:pPr>
      <w:r>
        <w:rPr>
          <w:rFonts w:ascii="Arial" w:cs="Arial" w:eastAsia="Arial" w:hAnsi="Arial"/>
          <w:b w:val="false"/>
          <w:bCs w:val="false"/>
          <w:sz w:val="20"/>
          <w:szCs w:val="20"/>
        </w:rPr>
        <w:t xml:space="preserve">D&amp;A: $1,308MM</w:t>
      </w:r>
    </w:p>
    <w:p>
      <w:pPr>
        <w:pStyle w:val="ListParagraph"/>
        <w:numPr>
          <w:ilvl w:val="0"/>
          <w:numId w:val="2"/>
        </w:numPr>
        <w:spacing w:after="60"/>
      </w:pPr>
      <w:r>
        <w:rPr>
          <w:rFonts w:ascii="Arial" w:cs="Arial" w:eastAsia="Arial" w:hAnsi="Arial"/>
          <w:b w:val="false"/>
          <w:bCs w:val="false"/>
          <w:sz w:val="20"/>
          <w:szCs w:val="20"/>
        </w:rPr>
        <w:t xml:space="preserve">Rent Expense: $202MM</w:t>
      </w:r>
    </w:p>
    <w:p>
      <w:pPr>
        <w:spacing w:after="80"/>
      </w:pPr>
    </w:p>
    <w:p>
      <w:pPr>
        <w:spacing w:after="80"/>
      </w:pPr>
      <w:r>
        <w:rPr>
          <w:rFonts w:ascii="Arial" w:cs="Arial" w:eastAsia="Arial" w:hAnsi="Arial"/>
          <w:b w:val="false"/>
          <w:bCs w:val="false"/>
          <w:sz w:val="20"/>
          <w:szCs w:val="20"/>
        </w:rPr>
        <w:t xml:space="preserve">#### Balance Sheet</w:t>
      </w:r>
    </w:p>
    <w:p>
      <w:pPr>
        <w:pStyle w:val="ListParagraph"/>
        <w:numPr>
          <w:ilvl w:val="0"/>
          <w:numId w:val="2"/>
        </w:numPr>
        <w:spacing w:after="60"/>
      </w:pPr>
      <w:r>
        <w:rPr>
          <w:rFonts w:ascii="Arial" w:cs="Arial" w:eastAsia="Arial" w:hAnsi="Arial"/>
          <w:b w:val="false"/>
          <w:bCs w:val="false"/>
          <w:sz w:val="20"/>
          <w:szCs w:val="20"/>
        </w:rPr>
        <w:t xml:space="preserve">Cash: $5,235MM</w:t>
      </w:r>
    </w:p>
    <w:p>
      <w:pPr>
        <w:pStyle w:val="ListParagraph"/>
        <w:numPr>
          <w:ilvl w:val="0"/>
          <w:numId w:val="2"/>
        </w:numPr>
        <w:spacing w:after="60"/>
      </w:pPr>
      <w:r>
        <w:rPr>
          <w:rFonts w:ascii="Arial" w:cs="Arial" w:eastAsia="Arial" w:hAnsi="Arial"/>
          <w:b w:val="false"/>
          <w:bCs w:val="false"/>
          <w:sz w:val="20"/>
          <w:szCs w:val="20"/>
        </w:rPr>
        <w:t xml:space="preserve">Total Assets: $37,733MM</w:t>
      </w:r>
    </w:p>
    <w:p>
      <w:pPr>
        <w:pStyle w:val="ListParagraph"/>
        <w:numPr>
          <w:ilvl w:val="0"/>
          <w:numId w:val="2"/>
        </w:numPr>
        <w:spacing w:after="60"/>
      </w:pPr>
      <w:r>
        <w:rPr>
          <w:rFonts w:ascii="Arial" w:cs="Arial" w:eastAsia="Arial" w:hAnsi="Arial"/>
          <w:b w:val="false"/>
          <w:bCs w:val="false"/>
          <w:sz w:val="20"/>
          <w:szCs w:val="20"/>
        </w:rPr>
        <w:t xml:space="preserve">Total Liabilities: $32,986MM</w:t>
      </w:r>
    </w:p>
    <w:p>
      <w:pPr>
        <w:pStyle w:val="ListParagraph"/>
        <w:numPr>
          <w:ilvl w:val="0"/>
          <w:numId w:val="2"/>
        </w:numPr>
        <w:spacing w:after="60"/>
      </w:pPr>
      <w:r>
        <w:rPr>
          <w:rFonts w:ascii="Arial" w:cs="Arial" w:eastAsia="Arial" w:hAnsi="Arial"/>
          <w:b w:val="false"/>
          <w:bCs w:val="false"/>
          <w:sz w:val="20"/>
          <w:szCs w:val="20"/>
        </w:rPr>
        <w:t xml:space="preserve">Total Equity: $4,747MM</w:t>
      </w:r>
    </w:p>
    <w:p>
      <w:pPr>
        <w:pStyle w:val="ListParagraph"/>
        <w:numPr>
          <w:ilvl w:val="0"/>
          <w:numId w:val="2"/>
        </w:numPr>
        <w:spacing w:after="60"/>
      </w:pPr>
      <w:r>
        <w:rPr>
          <w:rFonts w:ascii="Arial" w:cs="Arial" w:eastAsia="Arial" w:hAnsi="Arial"/>
          <w:b w:val="false"/>
          <w:bCs w:val="false"/>
          <w:sz w:val="20"/>
          <w:szCs w:val="20"/>
        </w:rPr>
        <w:t xml:space="preserve">Total Debt: $12,602MM</w:t>
      </w:r>
    </w:p>
    <w:p>
      <w:pPr>
        <w:pStyle w:val="ListParagraph"/>
        <w:numPr>
          <w:ilvl w:val="0"/>
          <w:numId w:val="2"/>
        </w:numPr>
        <w:spacing w:after="60"/>
      </w:pPr>
      <w:r>
        <w:rPr>
          <w:rFonts w:ascii="Arial" w:cs="Arial" w:eastAsia="Arial" w:hAnsi="Arial"/>
          <w:b w:val="false"/>
          <w:bCs w:val="false"/>
          <w:sz w:val="20"/>
          <w:szCs w:val="20"/>
        </w:rPr>
        <w:t xml:space="preserve">Long-term Debt: $10,932MM</w:t>
      </w:r>
    </w:p>
    <w:p>
      <w:pPr>
        <w:pStyle w:val="ListParagraph"/>
        <w:numPr>
          <w:ilvl w:val="0"/>
          <w:numId w:val="2"/>
        </w:numPr>
        <w:spacing w:after="60"/>
      </w:pPr>
      <w:r>
        <w:rPr>
          <w:rFonts w:ascii="Arial" w:cs="Arial" w:eastAsia="Arial" w:hAnsi="Arial"/>
          <w:b w:val="false"/>
          <w:bCs w:val="false"/>
          <w:sz w:val="20"/>
          <w:szCs w:val="20"/>
        </w:rPr>
        <w:t xml:space="preserve">Current Portion LTD: $1,670MM</w:t>
      </w:r>
    </w:p>
    <w:p>
      <w:pPr>
        <w:spacing w:after="80"/>
      </w:pPr>
    </w:p>
    <w:p>
      <w:pPr>
        <w:spacing w:after="80"/>
      </w:pPr>
      <w:r>
        <w:rPr>
          <w:rFonts w:ascii="Arial" w:cs="Arial" w:eastAsia="Arial" w:hAnsi="Arial"/>
          <w:b w:val="false"/>
          <w:bCs w:val="false"/>
          <w:sz w:val="20"/>
          <w:szCs w:val="20"/>
        </w:rPr>
        <w:t xml:space="preserve">#### Cash Flow Statement</w:t>
      </w:r>
    </w:p>
    <w:p>
      <w:pPr>
        <w:pStyle w:val="ListParagraph"/>
        <w:numPr>
          <w:ilvl w:val="0"/>
          <w:numId w:val="2"/>
        </w:numPr>
        <w:spacing w:after="60"/>
      </w:pPr>
      <w:r>
        <w:rPr>
          <w:rFonts w:ascii="Arial" w:cs="Arial" w:eastAsia="Arial" w:hAnsi="Arial"/>
          <w:b w:val="false"/>
          <w:bCs w:val="false"/>
          <w:sz w:val="20"/>
          <w:szCs w:val="20"/>
        </w:rPr>
        <w:t xml:space="preserve">Operating Cash Flow: $2,306MM</w:t>
      </w:r>
    </w:p>
    <w:p>
      <w:pPr>
        <w:pStyle w:val="ListParagraph"/>
        <w:numPr>
          <w:ilvl w:val="0"/>
          <w:numId w:val="2"/>
        </w:numPr>
        <w:spacing w:after="60"/>
      </w:pPr>
      <w:r>
        <w:rPr>
          <w:rFonts w:ascii="Arial" w:cs="Arial" w:eastAsia="Arial" w:hAnsi="Arial"/>
          <w:b w:val="false"/>
          <w:bCs w:val="false"/>
          <w:sz w:val="20"/>
          <w:szCs w:val="20"/>
        </w:rPr>
        <w:t xml:space="preserve">Investing Cash Flow: $1,350MM</w:t>
      </w:r>
    </w:p>
    <w:p>
      <w:pPr>
        <w:pStyle w:val="ListParagraph"/>
        <w:numPr>
          <w:ilvl w:val="0"/>
          <w:numId w:val="2"/>
        </w:numPr>
        <w:spacing w:after="60"/>
      </w:pPr>
      <w:r>
        <w:rPr>
          <w:rFonts w:ascii="Arial" w:cs="Arial" w:eastAsia="Arial" w:hAnsi="Arial"/>
          <w:b w:val="false"/>
          <w:bCs w:val="false"/>
          <w:sz w:val="20"/>
          <w:szCs w:val="20"/>
        </w:rPr>
        <w:t xml:space="preserve">Financing Cash Flow: $-4,016MM</w:t>
      </w:r>
    </w:p>
    <w:p>
      <w:pPr>
        <w:pStyle w:val="ListParagraph"/>
        <w:numPr>
          <w:ilvl w:val="0"/>
          <w:numId w:val="2"/>
        </w:numPr>
        <w:spacing w:after="60"/>
      </w:pPr>
      <w:r>
        <w:rPr>
          <w:rFonts w:ascii="Arial" w:cs="Arial" w:eastAsia="Arial" w:hAnsi="Arial"/>
          <w:b w:val="false"/>
          <w:bCs w:val="false"/>
          <w:sz w:val="20"/>
          <w:szCs w:val="20"/>
        </w:rPr>
        <w:t xml:space="preserve">Capex: $910MM</w:t>
      </w:r>
    </w:p>
    <w:p>
      <w:pPr>
        <w:pStyle w:val="ListParagraph"/>
        <w:numPr>
          <w:ilvl w:val="0"/>
          <w:numId w:val="2"/>
        </w:numPr>
        <w:spacing w:after="60"/>
      </w:pPr>
      <w:r>
        <w:rPr>
          <w:rFonts w:ascii="Arial" w:cs="Arial" w:eastAsia="Arial" w:hAnsi="Arial"/>
          <w:b w:val="false"/>
          <w:bCs w:val="false"/>
          <w:sz w:val="20"/>
          <w:szCs w:val="20"/>
        </w:rPr>
        <w:t xml:space="preserve">Cash Paid for Interest: $467MM</w:t>
      </w:r>
    </w:p>
    <w:p>
      <w:pPr>
        <w:pStyle w:val="ListParagraph"/>
        <w:numPr>
          <w:ilvl w:val="0"/>
          <w:numId w:val="2"/>
        </w:numPr>
        <w:spacing w:after="60"/>
      </w:pPr>
      <w:r>
        <w:rPr>
          <w:rFonts w:ascii="Arial" w:cs="Arial" w:eastAsia="Arial" w:hAnsi="Arial"/>
          <w:b w:val="false"/>
          <w:bCs w:val="false"/>
          <w:sz w:val="20"/>
          <w:szCs w:val="20"/>
        </w:rPr>
        <w:t xml:space="preserve">Cash Paid for Taxes: $800MM</w:t>
      </w:r>
    </w:p>
    <w:p>
      <w:pPr>
        <w:pStyle w:val="ListParagraph"/>
        <w:numPr>
          <w:ilvl w:val="0"/>
          <w:numId w:val="2"/>
        </w:numPr>
        <w:spacing w:after="60"/>
      </w:pPr>
      <w:r>
        <w:rPr>
          <w:rFonts w:ascii="Arial" w:cs="Arial" w:eastAsia="Arial" w:hAnsi="Arial"/>
          <w:b w:val="false"/>
          <w:bCs w:val="false"/>
          <w:sz w:val="20"/>
          <w:szCs w:val="20"/>
        </w:rPr>
        <w:t xml:space="preserve">Dividends Paid: $1,562MM</w:t>
      </w:r>
    </w:p>
    <w:p>
      <w:pPr>
        <w:spacing w:after="80"/>
      </w:pPr>
    </w:p>
    <w:p>
      <w:pPr>
        <w:spacing w:after="80"/>
      </w:pPr>
      <w:r>
        <w:rPr>
          <w:rFonts w:ascii="Arial" w:cs="Arial" w:eastAsia="Arial" w:hAnsi="Arial"/>
          <w:b w:val="false"/>
          <w:bCs w:val="false"/>
          <w:sz w:val="20"/>
          <w:szCs w:val="20"/>
        </w:rPr>
        <w:t xml:space="preserve">#### Computed Metrics</w:t>
      </w:r>
    </w:p>
    <w:p>
      <w:pPr>
        <w:pStyle w:val="ListParagraph"/>
        <w:numPr>
          <w:ilvl w:val="0"/>
          <w:numId w:val="2"/>
        </w:numPr>
        <w:spacing w:after="60"/>
      </w:pPr>
      <w:r>
        <w:rPr>
          <w:rFonts w:ascii="Arial" w:cs="Arial" w:eastAsia="Arial" w:hAnsi="Arial"/>
          <w:b w:val="false"/>
          <w:bCs w:val="false"/>
          <w:sz w:val="20"/>
          <w:szCs w:val="20"/>
        </w:rPr>
        <w:t xml:space="preserve">EBITDA (Computed): $6,139MM</w:t>
      </w:r>
    </w:p>
    <w:p>
      <w:pPr>
        <w:pStyle w:val="ListParagraph"/>
        <w:numPr>
          <w:ilvl w:val="0"/>
          <w:numId w:val="2"/>
        </w:numPr>
        <w:spacing w:after="60"/>
      </w:pPr>
      <w:r>
        <w:rPr>
          <w:rFonts w:ascii="Arial" w:cs="Arial" w:eastAsia="Arial" w:hAnsi="Arial"/>
          <w:b w:val="false"/>
          <w:bCs w:val="false"/>
          <w:sz w:val="20"/>
          <w:szCs w:val="20"/>
        </w:rPr>
        <w:t xml:space="preserve">EBITDA Margin: 24.6%</w:t>
      </w:r>
    </w:p>
    <w:p>
      <w:pPr>
        <w:pStyle w:val="ListParagraph"/>
        <w:numPr>
          <w:ilvl w:val="0"/>
          <w:numId w:val="2"/>
        </w:numPr>
        <w:spacing w:after="60"/>
      </w:pPr>
      <w:r>
        <w:rPr>
          <w:rFonts w:ascii="Arial" w:cs="Arial" w:eastAsia="Arial" w:hAnsi="Arial"/>
          <w:b w:val="false"/>
          <w:bCs w:val="false"/>
          <w:sz w:val="20"/>
          <w:szCs w:val="20"/>
        </w:rPr>
        <w:t xml:space="preserve">Leverage (Debt/EBITDA): 2.05x</w:t>
      </w:r>
    </w:p>
    <w:p>
      <w:pPr>
        <w:pStyle w:val="ListParagraph"/>
        <w:numPr>
          <w:ilvl w:val="0"/>
          <w:numId w:val="2"/>
        </w:numPr>
        <w:spacing w:after="60"/>
      </w:pPr>
      <w:r>
        <w:rPr>
          <w:rFonts w:ascii="Arial" w:cs="Arial" w:eastAsia="Arial" w:hAnsi="Arial"/>
          <w:b w:val="false"/>
          <w:bCs w:val="false"/>
          <w:sz w:val="20"/>
          <w:szCs w:val="20"/>
        </w:rPr>
        <w:t xml:space="preserve">FCC: 2.07x</w:t>
      </w:r>
    </w:p>
    <w:p>
      <w:pPr>
        <w:pStyle w:val="ListParagraph"/>
        <w:numPr>
          <w:ilvl w:val="0"/>
          <w:numId w:val="2"/>
        </w:numPr>
        <w:spacing w:after="60"/>
      </w:pPr>
      <w:r>
        <w:rPr>
          <w:rFonts w:ascii="Arial" w:cs="Arial" w:eastAsia="Arial" w:hAnsi="Arial"/>
          <w:b w:val="false"/>
          <w:bCs w:val="false"/>
          <w:sz w:val="20"/>
          <w:szCs w:val="20"/>
        </w:rPr>
        <w:t xml:space="preserve">Free Cash Flow: $1,396MM</w:t>
      </w:r>
    </w:p>
    <w:p>
      <w:pPr>
        <w:pStyle w:val="ListParagraph"/>
        <w:numPr>
          <w:ilvl w:val="0"/>
          <w:numId w:val="2"/>
        </w:numPr>
        <w:spacing w:after="60"/>
      </w:pPr>
      <w:r>
        <w:rPr>
          <w:rFonts w:ascii="Arial" w:cs="Arial" w:eastAsia="Arial" w:hAnsi="Arial"/>
          <w:b w:val="false"/>
          <w:bCs w:val="false"/>
          <w:sz w:val="20"/>
          <w:szCs w:val="20"/>
        </w:rPr>
        <w:t xml:space="preserve">FCC Numerator: $4,429MM</w:t>
      </w:r>
    </w:p>
    <w:p>
      <w:pPr>
        <w:pStyle w:val="ListParagraph"/>
        <w:numPr>
          <w:ilvl w:val="0"/>
          <w:numId w:val="2"/>
        </w:numPr>
        <w:spacing w:after="60"/>
      </w:pPr>
      <w:r>
        <w:rPr>
          <w:rFonts w:ascii="Arial" w:cs="Arial" w:eastAsia="Arial" w:hAnsi="Arial"/>
          <w:b w:val="false"/>
          <w:bCs w:val="false"/>
          <w:sz w:val="20"/>
          <w:szCs w:val="20"/>
        </w:rPr>
        <w:t xml:space="preserve">FCC Denominator: $2,137MM</w:t>
      </w:r>
    </w:p>
    <w:p>
      <w:pPr>
        <w:pStyle w:val="ListParagraph"/>
        <w:numPr>
          <w:ilvl w:val="0"/>
          <w:numId w:val="2"/>
        </w:numPr>
        <w:spacing w:after="60"/>
      </w:pPr>
      <w:r>
        <w:rPr>
          <w:rFonts w:ascii="Arial" w:cs="Arial" w:eastAsia="Arial" w:hAnsi="Arial"/>
          <w:b w:val="false"/>
          <w:bCs w:val="false"/>
          <w:sz w:val="20"/>
          <w:szCs w:val="20"/>
        </w:rPr>
        <w:t xml:space="preserve">Altman Z-Score: 1.19</w:t>
      </w:r>
    </w:p>
    <w:p>
      <w:pPr>
        <w:pStyle w:val="ListParagraph"/>
        <w:numPr>
          <w:ilvl w:val="0"/>
          <w:numId w:val="2"/>
        </w:numPr>
        <w:spacing w:after="60"/>
      </w:pPr>
      <w:r>
        <w:rPr>
          <w:rFonts w:ascii="Arial" w:cs="Arial" w:eastAsia="Arial" w:hAnsi="Arial"/>
          <w:b w:val="false"/>
          <w:bCs w:val="false"/>
          <w:sz w:val="20"/>
          <w:szCs w:val="20"/>
        </w:rPr>
        <w:t xml:space="preserve">PD Score: 8/12</w:t>
      </w:r>
    </w:p>
    <w:p>
      <w:pPr>
        <w:pStyle w:val="ListParagraph"/>
        <w:numPr>
          <w:ilvl w:val="0"/>
          <w:numId w:val="2"/>
        </w:numPr>
        <w:spacing w:after="60"/>
      </w:pPr>
      <w:r>
        <w:rPr>
          <w:rFonts w:ascii="Arial" w:cs="Arial" w:eastAsia="Arial" w:hAnsi="Arial"/>
          <w:b w:val="false"/>
          <w:bCs w:val="false"/>
          <w:sz w:val="20"/>
          <w:szCs w:val="20"/>
        </w:rPr>
        <w:t xml:space="preserve">Credit Rating: Speculative</w:t>
      </w:r>
    </w:p>
    <w:p>
      <w:pPr>
        <w:spacing w:after="80"/>
      </w:pPr>
    </w:p>
    <w:p>
      <w:pPr>
        <w:spacing w:after="60" w:before="200"/>
      </w:pPr>
      <w:r>
        <w:rPr>
          <w:rFonts w:ascii="Arial" w:cs="Arial" w:eastAsia="Arial" w:hAnsi="Arial"/>
          <w:b/>
          <w:bCs/>
          <w:color w:val="1F497D"/>
          <w:sz w:val="24"/>
          <w:szCs w:val="24"/>
        </w:rPr>
        <w:t xml:space="preserve">FY2024</w:t>
      </w:r>
    </w:p>
    <w:p>
      <w:pPr>
        <w:spacing w:after="80"/>
      </w:pPr>
    </w:p>
    <w:p>
      <w:pPr>
        <w:spacing w:after="80"/>
      </w:pPr>
      <w:r>
        <w:rPr>
          <w:rFonts w:ascii="Arial" w:cs="Arial" w:eastAsia="Arial" w:hAnsi="Arial"/>
          <w:b w:val="false"/>
          <w:bCs w:val="false"/>
          <w:sz w:val="20"/>
          <w:szCs w:val="20"/>
        </w:rPr>
        <w:t xml:space="preserve">#### Income Statement</w:t>
      </w:r>
    </w:p>
    <w:p>
      <w:pPr>
        <w:pStyle w:val="ListParagraph"/>
        <w:numPr>
          <w:ilvl w:val="0"/>
          <w:numId w:val="2"/>
        </w:numPr>
        <w:spacing w:after="60"/>
      </w:pPr>
      <w:r>
        <w:rPr>
          <w:rFonts w:ascii="Arial" w:cs="Arial" w:eastAsia="Arial" w:hAnsi="Arial"/>
          <w:b w:val="false"/>
          <w:bCs w:val="false"/>
          <w:sz w:val="20"/>
          <w:szCs w:val="20"/>
        </w:rPr>
        <w:t xml:space="preserve">Revenue: $24,575MM</w:t>
      </w:r>
    </w:p>
    <w:p>
      <w:pPr>
        <w:pStyle w:val="ListParagraph"/>
        <w:numPr>
          <w:ilvl w:val="0"/>
          <w:numId w:val="2"/>
        </w:numPr>
        <w:spacing w:after="60"/>
      </w:pPr>
      <w:r>
        <w:rPr>
          <w:rFonts w:ascii="Arial" w:cs="Arial" w:eastAsia="Arial" w:hAnsi="Arial"/>
          <w:b w:val="false"/>
          <w:bCs w:val="false"/>
          <w:sz w:val="20"/>
          <w:szCs w:val="20"/>
        </w:rPr>
        <w:t xml:space="preserve">Cost of Sales: $14,447MM</w:t>
      </w:r>
    </w:p>
    <w:p>
      <w:pPr>
        <w:pStyle w:val="ListParagraph"/>
        <w:numPr>
          <w:ilvl w:val="0"/>
          <w:numId w:val="2"/>
        </w:numPr>
        <w:spacing w:after="60"/>
      </w:pPr>
      <w:r>
        <w:rPr>
          <w:rFonts w:ascii="Arial" w:cs="Arial" w:eastAsia="Arial" w:hAnsi="Arial"/>
          <w:b w:val="false"/>
          <w:bCs w:val="false"/>
          <w:sz w:val="20"/>
          <w:szCs w:val="20"/>
        </w:rPr>
        <w:t xml:space="preserve">SG&amp;A: $4,221MM</w:t>
      </w:r>
    </w:p>
    <w:p>
      <w:pPr>
        <w:pStyle w:val="ListParagraph"/>
        <w:numPr>
          <w:ilvl w:val="0"/>
          <w:numId w:val="2"/>
        </w:numPr>
        <w:spacing w:after="60"/>
      </w:pPr>
      <w:r>
        <w:rPr>
          <w:rFonts w:ascii="Arial" w:cs="Arial" w:eastAsia="Arial" w:hAnsi="Arial"/>
          <w:b w:val="false"/>
          <w:bCs w:val="false"/>
          <w:sz w:val="20"/>
          <w:szCs w:val="20"/>
        </w:rPr>
        <w:t xml:space="preserve">Operating Income: $4,822MM</w:t>
      </w:r>
    </w:p>
    <w:p>
      <w:pPr>
        <w:pStyle w:val="ListParagraph"/>
        <w:numPr>
          <w:ilvl w:val="0"/>
          <w:numId w:val="2"/>
        </w:numPr>
        <w:spacing w:after="60"/>
      </w:pPr>
      <w:r>
        <w:rPr>
          <w:rFonts w:ascii="Arial" w:cs="Arial" w:eastAsia="Arial" w:hAnsi="Arial"/>
          <w:b w:val="false"/>
          <w:bCs w:val="false"/>
          <w:sz w:val="20"/>
          <w:szCs w:val="20"/>
        </w:rPr>
        <w:t xml:space="preserve">EBITDA: $6,403MM</w:t>
      </w:r>
    </w:p>
    <w:p>
      <w:pPr>
        <w:pStyle w:val="ListParagraph"/>
        <w:numPr>
          <w:ilvl w:val="0"/>
          <w:numId w:val="2"/>
        </w:numPr>
        <w:spacing w:after="60"/>
      </w:pPr>
      <w:r>
        <w:rPr>
          <w:rFonts w:ascii="Arial" w:cs="Arial" w:eastAsia="Arial" w:hAnsi="Arial"/>
          <w:b w:val="false"/>
          <w:bCs w:val="false"/>
          <w:sz w:val="20"/>
          <w:szCs w:val="20"/>
        </w:rPr>
        <w:t xml:space="preserve">Net Income: $4,173MM</w:t>
      </w:r>
    </w:p>
    <w:p>
      <w:pPr>
        <w:pStyle w:val="ListParagraph"/>
        <w:numPr>
          <w:ilvl w:val="0"/>
          <w:numId w:val="2"/>
        </w:numPr>
        <w:spacing w:after="60"/>
      </w:pPr>
      <w:r>
        <w:rPr>
          <w:rFonts w:ascii="Arial" w:cs="Arial" w:eastAsia="Arial" w:hAnsi="Arial"/>
          <w:b w:val="false"/>
          <w:bCs w:val="false"/>
          <w:sz w:val="20"/>
          <w:szCs w:val="20"/>
        </w:rPr>
        <w:t xml:space="preserve">Interest Expense: $1,191MM</w:t>
      </w:r>
    </w:p>
    <w:p>
      <w:pPr>
        <w:pStyle w:val="ListParagraph"/>
        <w:numPr>
          <w:ilvl w:val="0"/>
          <w:numId w:val="2"/>
        </w:numPr>
        <w:spacing w:after="60"/>
      </w:pPr>
      <w:r>
        <w:rPr>
          <w:rFonts w:ascii="Arial" w:cs="Arial" w:eastAsia="Arial" w:hAnsi="Arial"/>
          <w:b w:val="false"/>
          <w:bCs w:val="false"/>
          <w:sz w:val="20"/>
          <w:szCs w:val="20"/>
        </w:rPr>
        <w:t xml:space="preserve">Income Tax: $804MM</w:t>
      </w:r>
    </w:p>
    <w:p>
      <w:pPr>
        <w:pStyle w:val="ListParagraph"/>
        <w:numPr>
          <w:ilvl w:val="0"/>
          <w:numId w:val="2"/>
        </w:numPr>
        <w:spacing w:after="60"/>
      </w:pPr>
      <w:r>
        <w:rPr>
          <w:rFonts w:ascii="Arial" w:cs="Arial" w:eastAsia="Arial" w:hAnsi="Arial"/>
          <w:b w:val="false"/>
          <w:bCs w:val="false"/>
          <w:sz w:val="20"/>
          <w:szCs w:val="20"/>
        </w:rPr>
        <w:t xml:space="preserve">D&amp;A: $1,363MM</w:t>
      </w:r>
    </w:p>
    <w:p>
      <w:pPr>
        <w:pStyle w:val="ListParagraph"/>
        <w:numPr>
          <w:ilvl w:val="0"/>
          <w:numId w:val="2"/>
        </w:numPr>
        <w:spacing w:after="60"/>
      </w:pPr>
      <w:r>
        <w:rPr>
          <w:rFonts w:ascii="Arial" w:cs="Arial" w:eastAsia="Arial" w:hAnsi="Arial"/>
          <w:b w:val="false"/>
          <w:bCs w:val="false"/>
          <w:sz w:val="20"/>
          <w:szCs w:val="20"/>
        </w:rPr>
        <w:t xml:space="preserve">Rent Expense: $218MM</w:t>
      </w:r>
    </w:p>
    <w:p>
      <w:pPr>
        <w:spacing w:after="80"/>
      </w:pPr>
    </w:p>
    <w:p>
      <w:pPr>
        <w:spacing w:after="80"/>
      </w:pPr>
      <w:r>
        <w:rPr>
          <w:rFonts w:ascii="Arial" w:cs="Arial" w:eastAsia="Arial" w:hAnsi="Arial"/>
          <w:b w:val="false"/>
          <w:bCs w:val="false"/>
          <w:sz w:val="20"/>
          <w:szCs w:val="20"/>
        </w:rPr>
        <w:t xml:space="preserve">#### Balance Sheet</w:t>
      </w:r>
    </w:p>
    <w:p>
      <w:pPr>
        <w:pStyle w:val="ListParagraph"/>
        <w:numPr>
          <w:ilvl w:val="0"/>
          <w:numId w:val="2"/>
        </w:numPr>
        <w:spacing w:after="60"/>
      </w:pPr>
      <w:r>
        <w:rPr>
          <w:rFonts w:ascii="Arial" w:cs="Arial" w:eastAsia="Arial" w:hAnsi="Arial"/>
          <w:b w:val="false"/>
          <w:bCs w:val="false"/>
          <w:sz w:val="20"/>
          <w:szCs w:val="20"/>
        </w:rPr>
        <w:t xml:space="preserve">Cash: $5,600MM</w:t>
      </w:r>
    </w:p>
    <w:p>
      <w:pPr>
        <w:pStyle w:val="ListParagraph"/>
        <w:numPr>
          <w:ilvl w:val="0"/>
          <w:numId w:val="2"/>
        </w:numPr>
        <w:spacing w:after="60"/>
      </w:pPr>
      <w:r>
        <w:rPr>
          <w:rFonts w:ascii="Arial" w:cs="Arial" w:eastAsia="Arial" w:hAnsi="Arial"/>
          <w:b w:val="false"/>
          <w:bCs w:val="false"/>
          <w:sz w:val="20"/>
          <w:szCs w:val="20"/>
        </w:rPr>
        <w:t xml:space="preserve">Total Assets: $39,868MM</w:t>
      </w:r>
    </w:p>
    <w:p>
      <w:pPr>
        <w:pStyle w:val="ListParagraph"/>
        <w:numPr>
          <w:ilvl w:val="0"/>
          <w:numId w:val="2"/>
        </w:numPr>
        <w:spacing w:after="60"/>
      </w:pPr>
      <w:r>
        <w:rPr>
          <w:rFonts w:ascii="Arial" w:cs="Arial" w:eastAsia="Arial" w:hAnsi="Arial"/>
          <w:b w:val="false"/>
          <w:bCs w:val="false"/>
          <w:sz w:val="20"/>
          <w:szCs w:val="20"/>
        </w:rPr>
        <w:t xml:space="preserve">Total Liabilities: $35,974MM</w:t>
      </w:r>
    </w:p>
    <w:p>
      <w:pPr>
        <w:pStyle w:val="ListParagraph"/>
        <w:numPr>
          <w:ilvl w:val="0"/>
          <w:numId w:val="2"/>
        </w:numPr>
        <w:spacing w:after="60"/>
      </w:pPr>
      <w:r>
        <w:rPr>
          <w:rFonts w:ascii="Arial" w:cs="Arial" w:eastAsia="Arial" w:hAnsi="Arial"/>
          <w:b w:val="false"/>
          <w:bCs w:val="false"/>
          <w:sz w:val="20"/>
          <w:szCs w:val="20"/>
        </w:rPr>
        <w:t xml:space="preserve">Total Equity: $3,894MM</w:t>
      </w:r>
    </w:p>
    <w:p>
      <w:pPr>
        <w:pStyle w:val="ListParagraph"/>
        <w:numPr>
          <w:ilvl w:val="0"/>
          <w:numId w:val="2"/>
        </w:numPr>
        <w:spacing w:after="60"/>
      </w:pPr>
      <w:r>
        <w:rPr>
          <w:rFonts w:ascii="Arial" w:cs="Arial" w:eastAsia="Arial" w:hAnsi="Arial"/>
          <w:b w:val="false"/>
          <w:bCs w:val="false"/>
          <w:sz w:val="20"/>
          <w:szCs w:val="20"/>
        </w:rPr>
        <w:t xml:space="preserve">Total Debt: $13,044MM</w:t>
      </w:r>
    </w:p>
    <w:p>
      <w:pPr>
        <w:pStyle w:val="ListParagraph"/>
        <w:numPr>
          <w:ilvl w:val="0"/>
          <w:numId w:val="2"/>
        </w:numPr>
        <w:spacing w:after="60"/>
      </w:pPr>
      <w:r>
        <w:rPr>
          <w:rFonts w:ascii="Arial" w:cs="Arial" w:eastAsia="Arial" w:hAnsi="Arial"/>
          <w:b w:val="false"/>
          <w:bCs w:val="false"/>
          <w:sz w:val="20"/>
          <w:szCs w:val="20"/>
        </w:rPr>
        <w:t xml:space="preserve">Long-term Debt: $11,125MM</w:t>
      </w:r>
    </w:p>
    <w:p>
      <w:pPr>
        <w:pStyle w:val="ListParagraph"/>
        <w:numPr>
          <w:ilvl w:val="0"/>
          <w:numId w:val="2"/>
        </w:numPr>
        <w:spacing w:after="60"/>
      </w:pPr>
      <w:r>
        <w:rPr>
          <w:rFonts w:ascii="Arial" w:cs="Arial" w:eastAsia="Arial" w:hAnsi="Arial"/>
          <w:b w:val="false"/>
          <w:bCs w:val="false"/>
          <w:sz w:val="20"/>
          <w:szCs w:val="20"/>
        </w:rPr>
        <w:t xml:space="preserve">Current Portion LTD: $1,919MM</w:t>
      </w:r>
    </w:p>
    <w:p>
      <w:pPr>
        <w:spacing w:after="80"/>
      </w:pPr>
    </w:p>
    <w:p>
      <w:pPr>
        <w:spacing w:after="80"/>
      </w:pPr>
      <w:r>
        <w:rPr>
          <w:rFonts w:ascii="Arial" w:cs="Arial" w:eastAsia="Arial" w:hAnsi="Arial"/>
          <w:b w:val="false"/>
          <w:bCs w:val="false"/>
          <w:sz w:val="20"/>
          <w:szCs w:val="20"/>
        </w:rPr>
        <w:t xml:space="preserve">#### Cash Flow Statement</w:t>
      </w:r>
    </w:p>
    <w:p>
      <w:pPr>
        <w:pStyle w:val="ListParagraph"/>
        <w:numPr>
          <w:ilvl w:val="0"/>
          <w:numId w:val="2"/>
        </w:numPr>
        <w:spacing w:after="60"/>
      </w:pPr>
      <w:r>
        <w:rPr>
          <w:rFonts w:ascii="Arial" w:cs="Arial" w:eastAsia="Arial" w:hAnsi="Arial"/>
          <w:b w:val="false"/>
          <w:bCs w:val="false"/>
          <w:sz w:val="20"/>
          <w:szCs w:val="20"/>
        </w:rPr>
        <w:t xml:space="preserve">Operating Cash Flow: $1,819MM</w:t>
      </w:r>
    </w:p>
    <w:p>
      <w:pPr>
        <w:pStyle w:val="ListParagraph"/>
        <w:numPr>
          <w:ilvl w:val="0"/>
          <w:numId w:val="2"/>
        </w:numPr>
        <w:spacing w:after="60"/>
      </w:pPr>
      <w:r>
        <w:rPr>
          <w:rFonts w:ascii="Arial" w:cs="Arial" w:eastAsia="Arial" w:hAnsi="Arial"/>
          <w:b w:val="false"/>
          <w:bCs w:val="false"/>
          <w:sz w:val="20"/>
          <w:szCs w:val="20"/>
        </w:rPr>
        <w:t xml:space="preserve">Investing Cash Flow: $-3,206MM</w:t>
      </w:r>
    </w:p>
    <w:p>
      <w:pPr>
        <w:pStyle w:val="ListParagraph"/>
        <w:numPr>
          <w:ilvl w:val="0"/>
          <w:numId w:val="2"/>
        </w:numPr>
        <w:spacing w:after="60"/>
      </w:pPr>
      <w:r>
        <w:rPr>
          <w:rFonts w:ascii="Arial" w:cs="Arial" w:eastAsia="Arial" w:hAnsi="Arial"/>
          <w:b w:val="false"/>
          <w:bCs w:val="false"/>
          <w:sz w:val="20"/>
          <w:szCs w:val="20"/>
        </w:rPr>
        <w:t xml:space="preserve">Financing Cash Flow: $1,098MM</w:t>
      </w:r>
    </w:p>
    <w:p>
      <w:pPr>
        <w:pStyle w:val="ListParagraph"/>
        <w:numPr>
          <w:ilvl w:val="0"/>
          <w:numId w:val="2"/>
        </w:numPr>
        <w:spacing w:after="60"/>
      </w:pPr>
      <w:r>
        <w:rPr>
          <w:rFonts w:ascii="Arial" w:cs="Arial" w:eastAsia="Arial" w:hAnsi="Arial"/>
          <w:b w:val="false"/>
          <w:bCs w:val="false"/>
          <w:sz w:val="20"/>
          <w:szCs w:val="20"/>
        </w:rPr>
        <w:t xml:space="preserve">Capex: $1,181MM</w:t>
      </w:r>
    </w:p>
    <w:p>
      <w:pPr>
        <w:pStyle w:val="ListParagraph"/>
        <w:numPr>
          <w:ilvl w:val="0"/>
          <w:numId w:val="2"/>
        </w:numPr>
        <w:spacing w:after="60"/>
      </w:pPr>
      <w:r>
        <w:rPr>
          <w:rFonts w:ascii="Arial" w:cs="Arial" w:eastAsia="Arial" w:hAnsi="Arial"/>
          <w:b w:val="false"/>
          <w:bCs w:val="false"/>
          <w:sz w:val="20"/>
          <w:szCs w:val="20"/>
        </w:rPr>
        <w:t xml:space="preserve">Cash Paid for Interest: $505MM</w:t>
      </w:r>
    </w:p>
    <w:p>
      <w:pPr>
        <w:pStyle w:val="ListParagraph"/>
        <w:numPr>
          <w:ilvl w:val="0"/>
          <w:numId w:val="2"/>
        </w:numPr>
        <w:spacing w:after="60"/>
      </w:pPr>
      <w:r>
        <w:rPr>
          <w:rFonts w:ascii="Arial" w:cs="Arial" w:eastAsia="Arial" w:hAnsi="Arial"/>
          <w:b w:val="false"/>
          <w:bCs w:val="false"/>
          <w:sz w:val="20"/>
          <w:szCs w:val="20"/>
        </w:rPr>
        <w:t xml:space="preserve">Cash Paid for Taxes: $852MM</w:t>
      </w:r>
    </w:p>
    <w:p>
      <w:pPr>
        <w:pStyle w:val="ListParagraph"/>
        <w:numPr>
          <w:ilvl w:val="0"/>
          <w:numId w:val="2"/>
        </w:numPr>
        <w:spacing w:after="60"/>
      </w:pPr>
      <w:r>
        <w:rPr>
          <w:rFonts w:ascii="Arial" w:cs="Arial" w:eastAsia="Arial" w:hAnsi="Arial"/>
          <w:b w:val="false"/>
          <w:bCs w:val="false"/>
          <w:sz w:val="20"/>
          <w:szCs w:val="20"/>
        </w:rPr>
        <w:t xml:space="preserve">Dividends Paid: $1,982MM</w:t>
      </w:r>
    </w:p>
    <w:p>
      <w:pPr>
        <w:spacing w:after="80"/>
      </w:pPr>
    </w:p>
    <w:p>
      <w:pPr>
        <w:spacing w:after="80"/>
      </w:pPr>
      <w:r>
        <w:rPr>
          <w:rFonts w:ascii="Arial" w:cs="Arial" w:eastAsia="Arial" w:hAnsi="Arial"/>
          <w:b w:val="false"/>
          <w:bCs w:val="false"/>
          <w:sz w:val="20"/>
          <w:szCs w:val="20"/>
        </w:rPr>
        <w:t xml:space="preserve">#### Computed Metrics</w:t>
      </w:r>
    </w:p>
    <w:p>
      <w:pPr>
        <w:pStyle w:val="ListParagraph"/>
        <w:numPr>
          <w:ilvl w:val="0"/>
          <w:numId w:val="2"/>
        </w:numPr>
        <w:spacing w:after="60"/>
      </w:pPr>
      <w:r>
        <w:rPr>
          <w:rFonts w:ascii="Arial" w:cs="Arial" w:eastAsia="Arial" w:hAnsi="Arial"/>
          <w:b w:val="false"/>
          <w:bCs w:val="false"/>
          <w:sz w:val="20"/>
          <w:szCs w:val="20"/>
        </w:rPr>
        <w:t xml:space="preserve">EBITDA (Computed): $6,403MM</w:t>
      </w:r>
    </w:p>
    <w:p>
      <w:pPr>
        <w:pStyle w:val="ListParagraph"/>
        <w:numPr>
          <w:ilvl w:val="0"/>
          <w:numId w:val="2"/>
        </w:numPr>
        <w:spacing w:after="60"/>
      </w:pPr>
      <w:r>
        <w:rPr>
          <w:rFonts w:ascii="Arial" w:cs="Arial" w:eastAsia="Arial" w:hAnsi="Arial"/>
          <w:b w:val="false"/>
          <w:bCs w:val="false"/>
          <w:sz w:val="20"/>
          <w:szCs w:val="20"/>
        </w:rPr>
        <w:t xml:space="preserve">EBITDA Margin: 26.1%</w:t>
      </w:r>
    </w:p>
    <w:p>
      <w:pPr>
        <w:pStyle w:val="ListParagraph"/>
        <w:numPr>
          <w:ilvl w:val="0"/>
          <w:numId w:val="2"/>
        </w:numPr>
        <w:spacing w:after="60"/>
      </w:pPr>
      <w:r>
        <w:rPr>
          <w:rFonts w:ascii="Arial" w:cs="Arial" w:eastAsia="Arial" w:hAnsi="Arial"/>
          <w:b w:val="false"/>
          <w:bCs w:val="false"/>
          <w:sz w:val="20"/>
          <w:szCs w:val="20"/>
        </w:rPr>
        <w:t xml:space="preserve">Leverage (Debt/EBITDA): 2.04x</w:t>
      </w:r>
    </w:p>
    <w:p>
      <w:pPr>
        <w:pStyle w:val="ListParagraph"/>
        <w:numPr>
          <w:ilvl w:val="0"/>
          <w:numId w:val="2"/>
        </w:numPr>
        <w:spacing w:after="60"/>
      </w:pPr>
      <w:r>
        <w:rPr>
          <w:rFonts w:ascii="Arial" w:cs="Arial" w:eastAsia="Arial" w:hAnsi="Arial"/>
          <w:b w:val="false"/>
          <w:bCs w:val="false"/>
          <w:sz w:val="20"/>
          <w:szCs w:val="20"/>
        </w:rPr>
        <w:t xml:space="preserve">FCC: 1.80x</w:t>
      </w:r>
    </w:p>
    <w:p>
      <w:pPr>
        <w:pStyle w:val="ListParagraph"/>
        <w:numPr>
          <w:ilvl w:val="0"/>
          <w:numId w:val="2"/>
        </w:numPr>
        <w:spacing w:after="60"/>
      </w:pPr>
      <w:r>
        <w:rPr>
          <w:rFonts w:ascii="Arial" w:cs="Arial" w:eastAsia="Arial" w:hAnsi="Arial"/>
          <w:b w:val="false"/>
          <w:bCs w:val="false"/>
          <w:sz w:val="20"/>
          <w:szCs w:val="20"/>
        </w:rPr>
        <w:t xml:space="preserve">Free Cash Flow: $638MM</w:t>
      </w:r>
    </w:p>
    <w:p>
      <w:pPr>
        <w:pStyle w:val="ListParagraph"/>
        <w:numPr>
          <w:ilvl w:val="0"/>
          <w:numId w:val="2"/>
        </w:numPr>
        <w:spacing w:after="60"/>
      </w:pPr>
      <w:r>
        <w:rPr>
          <w:rFonts w:ascii="Arial" w:cs="Arial" w:eastAsia="Arial" w:hAnsi="Arial"/>
          <w:b w:val="false"/>
          <w:bCs w:val="false"/>
          <w:sz w:val="20"/>
          <w:szCs w:val="20"/>
        </w:rPr>
        <w:t xml:space="preserve">FCC Numerator: $4,370MM</w:t>
      </w:r>
    </w:p>
    <w:p>
      <w:pPr>
        <w:pStyle w:val="ListParagraph"/>
        <w:numPr>
          <w:ilvl w:val="0"/>
          <w:numId w:val="2"/>
        </w:numPr>
        <w:spacing w:after="60"/>
      </w:pPr>
      <w:r>
        <w:rPr>
          <w:rFonts w:ascii="Arial" w:cs="Arial" w:eastAsia="Arial" w:hAnsi="Arial"/>
          <w:b w:val="false"/>
          <w:bCs w:val="false"/>
          <w:sz w:val="20"/>
          <w:szCs w:val="20"/>
        </w:rPr>
        <w:t xml:space="preserve">FCC Denominator: $2,424MM</w:t>
      </w:r>
    </w:p>
    <w:p>
      <w:pPr>
        <w:pStyle w:val="ListParagraph"/>
        <w:numPr>
          <w:ilvl w:val="0"/>
          <w:numId w:val="2"/>
        </w:numPr>
        <w:spacing w:after="60"/>
      </w:pPr>
      <w:r>
        <w:rPr>
          <w:rFonts w:ascii="Arial" w:cs="Arial" w:eastAsia="Arial" w:hAnsi="Arial"/>
          <w:b w:val="false"/>
          <w:bCs w:val="false"/>
          <w:sz w:val="20"/>
          <w:szCs w:val="20"/>
        </w:rPr>
        <w:t xml:space="preserve">Altman Z-Score: 1.11</w:t>
      </w:r>
    </w:p>
    <w:p>
      <w:pPr>
        <w:pStyle w:val="ListParagraph"/>
        <w:numPr>
          <w:ilvl w:val="0"/>
          <w:numId w:val="2"/>
        </w:numPr>
        <w:spacing w:after="60"/>
      </w:pPr>
      <w:r>
        <w:rPr>
          <w:rFonts w:ascii="Arial" w:cs="Arial" w:eastAsia="Arial" w:hAnsi="Arial"/>
          <w:b w:val="false"/>
          <w:bCs w:val="false"/>
          <w:sz w:val="20"/>
          <w:szCs w:val="20"/>
        </w:rPr>
        <w:t xml:space="preserve">PD Score: 10/12</w:t>
      </w:r>
    </w:p>
    <w:p>
      <w:pPr>
        <w:pStyle w:val="ListParagraph"/>
        <w:numPr>
          <w:ilvl w:val="0"/>
          <w:numId w:val="2"/>
        </w:numPr>
        <w:spacing w:after="60"/>
      </w:pPr>
      <w:r>
        <w:rPr>
          <w:rFonts w:ascii="Arial" w:cs="Arial" w:eastAsia="Arial" w:hAnsi="Arial"/>
          <w:b w:val="false"/>
          <w:bCs w:val="false"/>
          <w:sz w:val="20"/>
          <w:szCs w:val="20"/>
        </w:rPr>
        <w:t xml:space="preserve">Credit Rating: High Risk</w:t>
      </w:r>
    </w:p>
    <w:p>
      <w:pPr>
        <w:spacing w:after="80"/>
      </w:pPr>
    </w:p>
    <w:p>
      <w:pPr>
        <w:spacing w:after="60" w:before="200"/>
      </w:pPr>
      <w:r>
        <w:rPr>
          <w:rFonts w:ascii="Arial" w:cs="Arial" w:eastAsia="Arial" w:hAnsi="Arial"/>
          <w:b/>
          <w:bCs/>
          <w:color w:val="1F497D"/>
          <w:sz w:val="24"/>
          <w:szCs w:val="24"/>
        </w:rPr>
        <w:t xml:space="preserve">FY2023</w:t>
      </w:r>
    </w:p>
    <w:p>
      <w:pPr>
        <w:spacing w:after="80"/>
      </w:pPr>
    </w:p>
    <w:p>
      <w:pPr>
        <w:spacing w:after="80"/>
      </w:pPr>
      <w:r>
        <w:rPr>
          <w:rFonts w:ascii="Arial" w:cs="Arial" w:eastAsia="Arial" w:hAnsi="Arial"/>
          <w:b w:val="false"/>
          <w:bCs w:val="false"/>
          <w:sz w:val="20"/>
          <w:szCs w:val="20"/>
        </w:rPr>
        <w:t xml:space="preserve">#### Income Statement</w:t>
      </w:r>
    </w:p>
    <w:p>
      <w:pPr>
        <w:pStyle w:val="ListParagraph"/>
        <w:numPr>
          <w:ilvl w:val="0"/>
          <w:numId w:val="2"/>
        </w:numPr>
        <w:spacing w:after="60"/>
      </w:pPr>
      <w:r>
        <w:rPr>
          <w:rFonts w:ascii="Arial" w:cs="Arial" w:eastAsia="Arial" w:hAnsi="Arial"/>
          <w:b w:val="false"/>
          <w:bCs w:val="false"/>
          <w:sz w:val="20"/>
          <w:szCs w:val="20"/>
        </w:rPr>
        <w:t xml:space="preserve">Revenue: $24,610MM</w:t>
      </w:r>
    </w:p>
    <w:p>
      <w:pPr>
        <w:pStyle w:val="ListParagraph"/>
        <w:numPr>
          <w:ilvl w:val="0"/>
          <w:numId w:val="2"/>
        </w:numPr>
        <w:spacing w:after="60"/>
      </w:pPr>
      <w:r>
        <w:rPr>
          <w:rFonts w:ascii="Arial" w:cs="Arial" w:eastAsia="Arial" w:hAnsi="Arial"/>
          <w:b w:val="false"/>
          <w:bCs w:val="false"/>
          <w:sz w:val="20"/>
          <w:szCs w:val="20"/>
        </w:rPr>
        <w:t xml:space="preserve">Cost of Sales: $14,983MM</w:t>
      </w:r>
    </w:p>
    <w:p>
      <w:pPr>
        <w:pStyle w:val="ListParagraph"/>
        <w:numPr>
          <w:ilvl w:val="0"/>
          <w:numId w:val="2"/>
        </w:numPr>
        <w:spacing w:after="60"/>
      </w:pPr>
      <w:r>
        <w:rPr>
          <w:rFonts w:ascii="Arial" w:cs="Arial" w:eastAsia="Arial" w:hAnsi="Arial"/>
          <w:b w:val="false"/>
          <w:bCs w:val="false"/>
          <w:sz w:val="20"/>
          <w:szCs w:val="20"/>
        </w:rPr>
        <w:t xml:space="preserve">SG&amp;A: $19,198MM</w:t>
      </w:r>
    </w:p>
    <w:p>
      <w:pPr>
        <w:pStyle w:val="ListParagraph"/>
        <w:numPr>
          <w:ilvl w:val="0"/>
          <w:numId w:val="2"/>
        </w:numPr>
        <w:spacing w:after="60"/>
      </w:pPr>
      <w:r>
        <w:rPr>
          <w:rFonts w:ascii="Arial" w:cs="Arial" w:eastAsia="Arial" w:hAnsi="Arial"/>
          <w:b w:val="false"/>
          <w:bCs w:val="false"/>
          <w:sz w:val="20"/>
          <w:szCs w:val="20"/>
        </w:rPr>
        <w:t xml:space="preserve">Operating Income: $-10,689MM</w:t>
      </w:r>
    </w:p>
    <w:p>
      <w:pPr>
        <w:pStyle w:val="ListParagraph"/>
        <w:numPr>
          <w:ilvl w:val="0"/>
          <w:numId w:val="2"/>
        </w:numPr>
        <w:spacing w:after="60"/>
      </w:pPr>
      <w:r>
        <w:rPr>
          <w:rFonts w:ascii="Arial" w:cs="Arial" w:eastAsia="Arial" w:hAnsi="Arial"/>
          <w:b w:val="false"/>
          <w:bCs w:val="false"/>
          <w:sz w:val="20"/>
          <w:szCs w:val="20"/>
        </w:rPr>
        <w:t xml:space="preserve">EBITDA: $-8,678MM</w:t>
      </w:r>
    </w:p>
    <w:p>
      <w:pPr>
        <w:pStyle w:val="ListParagraph"/>
        <w:numPr>
          <w:ilvl w:val="0"/>
          <w:numId w:val="2"/>
        </w:numPr>
        <w:spacing w:after="60"/>
      </w:pPr>
      <w:r>
        <w:rPr>
          <w:rFonts w:ascii="Arial" w:cs="Arial" w:eastAsia="Arial" w:hAnsi="Arial"/>
          <w:b w:val="false"/>
          <w:bCs w:val="false"/>
          <w:sz w:val="20"/>
          <w:szCs w:val="20"/>
        </w:rPr>
        <w:t xml:space="preserve">Net Income: $-6,995MM</w:t>
      </w:r>
    </w:p>
    <w:p>
      <w:pPr>
        <w:pStyle w:val="ListParagraph"/>
        <w:numPr>
          <w:ilvl w:val="0"/>
          <w:numId w:val="2"/>
        </w:numPr>
        <w:spacing w:after="60"/>
      </w:pPr>
      <w:r>
        <w:rPr>
          <w:rFonts w:ascii="Arial" w:cs="Arial" w:eastAsia="Arial" w:hAnsi="Arial"/>
          <w:b w:val="false"/>
          <w:bCs w:val="false"/>
          <w:sz w:val="20"/>
          <w:szCs w:val="20"/>
        </w:rPr>
        <w:t xml:space="preserve">Interest Expense: $941MM</w:t>
      </w:r>
    </w:p>
    <w:p>
      <w:pPr>
        <w:pStyle w:val="ListParagraph"/>
        <w:numPr>
          <w:ilvl w:val="0"/>
          <w:numId w:val="2"/>
        </w:numPr>
        <w:spacing w:after="60"/>
      </w:pPr>
      <w:r>
        <w:rPr>
          <w:rFonts w:ascii="Arial" w:cs="Arial" w:eastAsia="Arial" w:hAnsi="Arial"/>
          <w:b w:val="false"/>
          <w:bCs w:val="false"/>
          <w:sz w:val="20"/>
          <w:szCs w:val="20"/>
        </w:rPr>
        <w:t xml:space="preserve">Income Tax: $-2,867MM</w:t>
      </w:r>
    </w:p>
    <w:p>
      <w:pPr>
        <w:pStyle w:val="ListParagraph"/>
        <w:numPr>
          <w:ilvl w:val="0"/>
          <w:numId w:val="2"/>
        </w:numPr>
        <w:spacing w:after="60"/>
      </w:pPr>
      <w:r>
        <w:rPr>
          <w:rFonts w:ascii="Arial" w:cs="Arial" w:eastAsia="Arial" w:hAnsi="Arial"/>
          <w:b w:val="false"/>
          <w:bCs w:val="false"/>
          <w:sz w:val="20"/>
          <w:szCs w:val="20"/>
        </w:rPr>
        <w:t xml:space="preserve">D&amp;A: $1,987MM</w:t>
      </w:r>
    </w:p>
    <w:p>
      <w:pPr>
        <w:pStyle w:val="ListParagraph"/>
        <w:numPr>
          <w:ilvl w:val="0"/>
          <w:numId w:val="2"/>
        </w:numPr>
        <w:spacing w:after="60"/>
      </w:pPr>
      <w:r>
        <w:rPr>
          <w:rFonts w:ascii="Arial" w:cs="Arial" w:eastAsia="Arial" w:hAnsi="Arial"/>
          <w:b w:val="false"/>
          <w:bCs w:val="false"/>
          <w:sz w:val="20"/>
          <w:szCs w:val="20"/>
        </w:rPr>
        <w:t xml:space="preserve">Rent Expense: $24MM</w:t>
      </w:r>
    </w:p>
    <w:p>
      <w:pPr>
        <w:spacing w:after="80"/>
      </w:pPr>
    </w:p>
    <w:p>
      <w:pPr>
        <w:spacing w:after="80"/>
      </w:pPr>
      <w:r>
        <w:rPr>
          <w:rFonts w:ascii="Arial" w:cs="Arial" w:eastAsia="Arial" w:hAnsi="Arial"/>
          <w:b w:val="false"/>
          <w:bCs w:val="false"/>
          <w:sz w:val="20"/>
          <w:szCs w:val="20"/>
        </w:rPr>
        <w:t xml:space="preserve">#### Balance Sheet</w:t>
      </w:r>
    </w:p>
    <w:p>
      <w:pPr>
        <w:pStyle w:val="ListParagraph"/>
        <w:numPr>
          <w:ilvl w:val="0"/>
          <w:numId w:val="2"/>
        </w:numPr>
        <w:spacing w:after="60"/>
      </w:pPr>
      <w:r>
        <w:rPr>
          <w:rFonts w:ascii="Arial" w:cs="Arial" w:eastAsia="Arial" w:hAnsi="Arial"/>
          <w:b w:val="false"/>
          <w:bCs w:val="false"/>
          <w:sz w:val="20"/>
          <w:szCs w:val="20"/>
        </w:rPr>
        <w:t xml:space="preserve">Cash: $5,933MM</w:t>
      </w:r>
    </w:p>
    <w:p>
      <w:pPr>
        <w:pStyle w:val="ListParagraph"/>
        <w:numPr>
          <w:ilvl w:val="0"/>
          <w:numId w:val="2"/>
        </w:numPr>
        <w:spacing w:after="60"/>
      </w:pPr>
      <w:r>
        <w:rPr>
          <w:rFonts w:ascii="Arial" w:cs="Arial" w:eastAsia="Arial" w:hAnsi="Arial"/>
          <w:b w:val="false"/>
          <w:bCs w:val="false"/>
          <w:sz w:val="20"/>
          <w:szCs w:val="20"/>
        </w:rPr>
        <w:t xml:space="preserve">Current Portion LTD: $0MM</w:t>
      </w:r>
    </w:p>
    <w:p>
      <w:pPr>
        <w:spacing w:after="80"/>
      </w:pPr>
    </w:p>
    <w:p>
      <w:pPr>
        <w:spacing w:after="80"/>
      </w:pPr>
      <w:r>
        <w:rPr>
          <w:rFonts w:ascii="Arial" w:cs="Arial" w:eastAsia="Arial" w:hAnsi="Arial"/>
          <w:b w:val="false"/>
          <w:bCs w:val="false"/>
          <w:sz w:val="20"/>
          <w:szCs w:val="20"/>
        </w:rPr>
        <w:t xml:space="preserve">#### Cash Flow Statement</w:t>
      </w:r>
    </w:p>
    <w:p>
      <w:pPr>
        <w:pStyle w:val="ListParagraph"/>
        <w:numPr>
          <w:ilvl w:val="0"/>
          <w:numId w:val="2"/>
        </w:numPr>
        <w:spacing w:after="60"/>
      </w:pPr>
      <w:r>
        <w:rPr>
          <w:rFonts w:ascii="Arial" w:cs="Arial" w:eastAsia="Arial" w:hAnsi="Arial"/>
          <w:b w:val="false"/>
          <w:bCs w:val="false"/>
          <w:sz w:val="20"/>
          <w:szCs w:val="20"/>
        </w:rPr>
        <w:t xml:space="preserve">Operating Cash Flow: $6,680MM</w:t>
      </w:r>
    </w:p>
    <w:p>
      <w:pPr>
        <w:pStyle w:val="ListParagraph"/>
        <w:numPr>
          <w:ilvl w:val="0"/>
          <w:numId w:val="2"/>
        </w:numPr>
        <w:spacing w:after="60"/>
      </w:pPr>
      <w:r>
        <w:rPr>
          <w:rFonts w:ascii="Arial" w:cs="Arial" w:eastAsia="Arial" w:hAnsi="Arial"/>
          <w:b w:val="false"/>
          <w:bCs w:val="false"/>
          <w:sz w:val="20"/>
          <w:szCs w:val="20"/>
        </w:rPr>
        <w:t xml:space="preserve">Investing Cash Flow: $-1,207MM</w:t>
      </w:r>
    </w:p>
    <w:p>
      <w:pPr>
        <w:pStyle w:val="ListParagraph"/>
        <w:numPr>
          <w:ilvl w:val="0"/>
          <w:numId w:val="2"/>
        </w:numPr>
        <w:spacing w:after="60"/>
      </w:pPr>
      <w:r>
        <w:rPr>
          <w:rFonts w:ascii="Arial" w:cs="Arial" w:eastAsia="Arial" w:hAnsi="Arial"/>
          <w:b w:val="false"/>
          <w:bCs w:val="false"/>
          <w:sz w:val="20"/>
          <w:szCs w:val="20"/>
        </w:rPr>
        <w:t xml:space="preserve">Financing Cash Flow: $-3,147MM</w:t>
      </w:r>
    </w:p>
    <w:p>
      <w:pPr>
        <w:pStyle w:val="ListParagraph"/>
        <w:numPr>
          <w:ilvl w:val="0"/>
          <w:numId w:val="2"/>
        </w:numPr>
        <w:spacing w:after="60"/>
      </w:pPr>
      <w:r>
        <w:rPr>
          <w:rFonts w:ascii="Arial" w:cs="Arial" w:eastAsia="Arial" w:hAnsi="Arial"/>
          <w:b w:val="false"/>
          <w:bCs w:val="false"/>
          <w:sz w:val="20"/>
          <w:szCs w:val="20"/>
        </w:rPr>
        <w:t xml:space="preserve">Capex: $1,615MM</w:t>
      </w:r>
    </w:p>
    <w:p>
      <w:pPr>
        <w:pStyle w:val="ListParagraph"/>
        <w:numPr>
          <w:ilvl w:val="0"/>
          <w:numId w:val="2"/>
        </w:numPr>
        <w:spacing w:after="60"/>
      </w:pPr>
      <w:r>
        <w:rPr>
          <w:rFonts w:ascii="Arial" w:cs="Arial" w:eastAsia="Arial" w:hAnsi="Arial"/>
          <w:b w:val="false"/>
          <w:bCs w:val="false"/>
          <w:sz w:val="20"/>
          <w:szCs w:val="20"/>
        </w:rPr>
        <w:t xml:space="preserve">Cash Paid for Interest: $520MM</w:t>
      </w:r>
    </w:p>
    <w:p>
      <w:pPr>
        <w:pStyle w:val="ListParagraph"/>
        <w:numPr>
          <w:ilvl w:val="0"/>
          <w:numId w:val="2"/>
        </w:numPr>
        <w:spacing w:after="60"/>
      </w:pPr>
      <w:r>
        <w:rPr>
          <w:rFonts w:ascii="Arial" w:cs="Arial" w:eastAsia="Arial" w:hAnsi="Arial"/>
          <w:b w:val="false"/>
          <w:bCs w:val="false"/>
          <w:sz w:val="20"/>
          <w:szCs w:val="20"/>
        </w:rPr>
        <w:t xml:space="preserve">Cash Paid for Taxes: $1,384MM</w:t>
      </w:r>
    </w:p>
    <w:p>
      <w:pPr>
        <w:pStyle w:val="ListParagraph"/>
        <w:numPr>
          <w:ilvl w:val="0"/>
          <w:numId w:val="2"/>
        </w:numPr>
        <w:spacing w:after="60"/>
      </w:pPr>
      <w:r>
        <w:rPr>
          <w:rFonts w:ascii="Arial" w:cs="Arial" w:eastAsia="Arial" w:hAnsi="Arial"/>
          <w:b w:val="false"/>
          <w:bCs w:val="false"/>
          <w:sz w:val="20"/>
          <w:szCs w:val="20"/>
        </w:rPr>
        <w:t xml:space="preserve">Dividends Paid: $3,311MM</w:t>
      </w:r>
    </w:p>
    <w:p>
      <w:pPr>
        <w:spacing w:after="80"/>
      </w:pPr>
    </w:p>
    <w:p>
      <w:pPr>
        <w:spacing w:after="80"/>
      </w:pPr>
      <w:r>
        <w:rPr>
          <w:rFonts w:ascii="Arial" w:cs="Arial" w:eastAsia="Arial" w:hAnsi="Arial"/>
          <w:b w:val="false"/>
          <w:bCs w:val="false"/>
          <w:sz w:val="20"/>
          <w:szCs w:val="20"/>
        </w:rPr>
        <w:t xml:space="preserve">#### Computed Metrics</w:t>
      </w:r>
    </w:p>
    <w:p>
      <w:pPr>
        <w:pStyle w:val="ListParagraph"/>
        <w:numPr>
          <w:ilvl w:val="0"/>
          <w:numId w:val="2"/>
        </w:numPr>
        <w:spacing w:after="60"/>
      </w:pPr>
      <w:r>
        <w:rPr>
          <w:rFonts w:ascii="Arial" w:cs="Arial" w:eastAsia="Arial" w:hAnsi="Arial"/>
          <w:b w:val="false"/>
          <w:bCs w:val="false"/>
          <w:sz w:val="20"/>
          <w:szCs w:val="20"/>
        </w:rPr>
        <w:t xml:space="preserve">EBITDA (Computed): $-8,678MM</w:t>
      </w:r>
    </w:p>
    <w:p>
      <w:pPr>
        <w:pStyle w:val="ListParagraph"/>
        <w:numPr>
          <w:ilvl w:val="0"/>
          <w:numId w:val="2"/>
        </w:numPr>
        <w:spacing w:after="60"/>
      </w:pPr>
      <w:r>
        <w:rPr>
          <w:rFonts w:ascii="Arial" w:cs="Arial" w:eastAsia="Arial" w:hAnsi="Arial"/>
          <w:b w:val="false"/>
          <w:bCs w:val="false"/>
          <w:sz w:val="20"/>
          <w:szCs w:val="20"/>
        </w:rPr>
        <w:t xml:space="preserve">EBITDA Margin: -35.3%</w:t>
      </w:r>
    </w:p>
    <w:p>
      <w:pPr>
        <w:pStyle w:val="ListParagraph"/>
        <w:numPr>
          <w:ilvl w:val="0"/>
          <w:numId w:val="2"/>
        </w:numPr>
        <w:spacing w:after="60"/>
      </w:pPr>
      <w:r>
        <w:rPr>
          <w:rFonts w:ascii="Arial" w:cs="Arial" w:eastAsia="Arial" w:hAnsi="Arial"/>
          <w:b w:val="false"/>
          <w:bCs w:val="false"/>
          <w:sz w:val="20"/>
          <w:szCs w:val="20"/>
        </w:rPr>
        <w:t xml:space="preserve">FCC: -22.46x</w:t>
      </w:r>
    </w:p>
    <w:p>
      <w:pPr>
        <w:pStyle w:val="ListParagraph"/>
        <w:numPr>
          <w:ilvl w:val="0"/>
          <w:numId w:val="2"/>
        </w:numPr>
        <w:spacing w:after="60"/>
      </w:pPr>
      <w:r>
        <w:rPr>
          <w:rFonts w:ascii="Arial" w:cs="Arial" w:eastAsia="Arial" w:hAnsi="Arial"/>
          <w:b w:val="false"/>
          <w:bCs w:val="false"/>
          <w:sz w:val="20"/>
          <w:szCs w:val="20"/>
        </w:rPr>
        <w:t xml:space="preserve">Free Cash Flow: $5,065MM</w:t>
      </w:r>
    </w:p>
    <w:p>
      <w:pPr>
        <w:pStyle w:val="ListParagraph"/>
        <w:numPr>
          <w:ilvl w:val="0"/>
          <w:numId w:val="2"/>
        </w:numPr>
        <w:spacing w:after="60"/>
      </w:pPr>
      <w:r>
        <w:rPr>
          <w:rFonts w:ascii="Arial" w:cs="Arial" w:eastAsia="Arial" w:hAnsi="Arial"/>
          <w:b w:val="false"/>
          <w:bCs w:val="false"/>
          <w:sz w:val="20"/>
          <w:szCs w:val="20"/>
        </w:rPr>
        <w:t xml:space="preserve">FCC Numerator: $-11,677MM</w:t>
      </w:r>
    </w:p>
    <w:p>
      <w:pPr>
        <w:pStyle w:val="ListParagraph"/>
        <w:numPr>
          <w:ilvl w:val="0"/>
          <w:numId w:val="2"/>
        </w:numPr>
        <w:spacing w:after="60"/>
      </w:pPr>
      <w:r>
        <w:rPr>
          <w:rFonts w:ascii="Arial" w:cs="Arial" w:eastAsia="Arial" w:hAnsi="Arial"/>
          <w:b w:val="false"/>
          <w:bCs w:val="false"/>
          <w:sz w:val="20"/>
          <w:szCs w:val="20"/>
        </w:rPr>
        <w:t xml:space="preserve">FCC Denominator: $520MM</w:t>
      </w:r>
    </w:p>
    <w:p>
      <w:pPr>
        <w:pStyle w:val="ListParagraph"/>
        <w:numPr>
          <w:ilvl w:val="0"/>
          <w:numId w:val="2"/>
        </w:numPr>
        <w:spacing w:after="60"/>
      </w:pPr>
      <w:r>
        <w:rPr>
          <w:rFonts w:ascii="Arial" w:cs="Arial" w:eastAsia="Arial" w:hAnsi="Arial"/>
          <w:b w:val="false"/>
          <w:bCs w:val="false"/>
          <w:sz w:val="20"/>
          <w:szCs w:val="20"/>
        </w:rPr>
        <w:t xml:space="preserve">PD Score: 12/12</w:t>
      </w:r>
    </w:p>
    <w:p>
      <w:pPr>
        <w:pStyle w:val="ListParagraph"/>
        <w:numPr>
          <w:ilvl w:val="0"/>
          <w:numId w:val="2"/>
        </w:numPr>
        <w:spacing w:after="60"/>
      </w:pPr>
      <w:r>
        <w:rPr>
          <w:rFonts w:ascii="Arial" w:cs="Arial" w:eastAsia="Arial" w:hAnsi="Arial"/>
          <w:b w:val="false"/>
          <w:bCs w:val="false"/>
          <w:sz w:val="20"/>
          <w:szCs w:val="20"/>
        </w:rPr>
        <w:t xml:space="preserve">Credit Rating: Default/Distressed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396" w:hanging="396"/>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2026-09-03T17:22:32.094Z</dcterms:created>
  <dcterms:modified xsi:type="dcterms:W3CDTF">2026-09-03T17:22:32.095Z</dcterms:modified>
</cp:coreProperties>
</file>

<file path=docProps/custom.xml><?xml version="1.0" encoding="utf-8"?>
<Properties xmlns="http://schemas.openxmlformats.org/officeDocument/2006/custom-properties" xmlns:vt="http://schemas.openxmlformats.org/officeDocument/2006/docPropsVTypes"/>
</file>