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36"/>
          <w:szCs w:val="36"/>
        </w:rPr>
        <w:t xml:space="preserve">ACUERDO DE LICENCIA DE USUARIO FINAL</w:t>
      </w:r>
    </w:p>
    <w:p>
      <w:pPr>
        <w:spacing w:before="0" w:after="60"/>
        <w:jc w:val="center"/>
      </w:pPr>
      <w:r>
        <w:rPr>
          <w:rFonts w:ascii="Arial" w:cs="Arial" w:eastAsia="Arial" w:hAnsi="Arial"/>
          <w:b/>
          <w:bCs/>
          <w:color w:val="2E75B6"/>
          <w:sz w:val="28"/>
          <w:szCs w:val="28"/>
        </w:rPr>
        <w:t xml:space="preserve">EULA — Sistema de Fichas Técnicas</w:t>
      </w:r>
    </w:p>
    <w:p>
      <w:pPr>
        <w:spacing w:before="0" w:after="480"/>
        <w:jc w:val="center"/>
      </w:pPr>
      <w:r>
        <w:rPr>
          <w:rFonts w:ascii="Arial" w:cs="Arial" w:eastAsia="Arial" w:hAnsi="Arial"/>
          <w:i/>
          <w:iCs/>
          <w:color w:val="888888"/>
          <w:sz w:val="20"/>
          <w:szCs w:val="20"/>
        </w:rPr>
        <w:t xml:space="preserve">Versión 1.0 — 9 de marzo de 2026</w:t>
      </w:r>
    </w:p>
    <w:p>
      <w:pPr>
        <w:pBdr>
          <w:top w:val="single" w:color="2E75B6" w:sz="4"/>
          <w:bottom w:val="single" w:color="2E75B6" w:sz="4"/>
          <w:left w:val="single" w:color="2E75B6" w:sz="12"/>
          <w:right w:val="none"/>
        </w:pBdr>
        <w:spacing w:before="160" w:after="160"/>
        <w:ind w:left="360"/>
        <w:jc w:val="both"/>
      </w:pPr>
      <w:r>
        <w:rPr>
          <w:rFonts w:ascii="Arial" w:cs="Arial" w:eastAsia="Arial" w:hAnsi="Arial"/>
          <w:b/>
          <w:bCs/>
          <w:color w:val="1F4E79"/>
          <w:sz w:val="22"/>
          <w:szCs w:val="22"/>
        </w:rPr>
        <w:t xml:space="preserve">AVISO IMPORTANTE: </w:t>
      </w:r>
      <w:r>
        <w:rPr>
          <w:rFonts w:ascii="Arial" w:cs="Arial" w:eastAsia="Arial" w:hAnsi="Arial"/>
          <w:sz w:val="22"/>
          <w:szCs w:val="22"/>
        </w:rPr>
        <w:t xml:space="preserve">Lea detenidamente este Acuerdo antes de acceder o utilizar el Software. Al registrarse, activar su suscripción o hacer uso del Sistema, usted acepta quedar vinculado por los términos y condiciones aquí establecidos. Si no acepta estos términos, no utilice el Software.</w:t>
      </w:r>
    </w:p>
    <w:p>
      <w:pPr>
        <w:spacing w:before="60" w:after="60"/>
      </w:pPr>
      <w:r>
        <w:t xml:space="preserve"/>
      </w:r>
    </w:p>
    <w:p>
      <w:pPr>
        <w:pStyle w:val="Heading1"/>
        <w:spacing w:before="360" w:after="120"/>
      </w:pPr>
      <w:r>
        <w:rPr>
          <w:rFonts w:ascii="Arial" w:cs="Arial" w:eastAsia="Arial" w:hAnsi="Arial"/>
          <w:b/>
          <w:bCs/>
          <w:color w:val="1F4E79"/>
          <w:sz w:val="26"/>
          <w:szCs w:val="26"/>
        </w:rPr>
        <w:t xml:space="preserve">1. PARTES DEL ACUERDO</w:t>
      </w:r>
    </w:p>
    <w:p>
      <w:pPr>
        <w:spacing w:before="80" w:after="80"/>
        <w:jc w:val="both"/>
      </w:pPr>
      <w:r>
        <w:rPr>
          <w:rFonts w:ascii="Arial" w:cs="Arial" w:eastAsia="Arial" w:hAnsi="Arial"/>
          <w:sz w:val="22"/>
          <w:szCs w:val="22"/>
        </w:rPr>
        <w:t xml:space="preserve">El presente Acuerdo de Licencia de Usuario Final (en adelante, “EULA” o “Acuerdo”) se celebra entre:</w:t>
      </w:r>
    </w:p>
    <w:p>
      <w:pPr>
        <w:spacing w:before="60" w:after="60"/>
      </w:pPr>
      <w:r>
        <w:t xml:space="preserve"/>
      </w:r>
    </w:p>
    <w:p>
      <w:pPr>
        <w:spacing w:before="80" w:after="80"/>
        <w:jc w:val="both"/>
      </w:pPr>
      <w:r>
        <w:rPr>
          <w:rFonts w:ascii="Arial" w:cs="Arial" w:eastAsia="Arial" w:hAnsi="Arial"/>
          <w:sz w:val="22"/>
          <w:szCs w:val="22"/>
        </w:rPr>
        <w:t xml:space="preserve">▶  LICENCIANTE: El titular y desarrollador del Sistema de Fichas Técnicas (en adelante, “El Proveedor”), con domicilio en España y sujeto a la legislación española vigente.</w:t>
      </w:r>
    </w:p>
    <w:p>
      <w:pPr>
        <w:spacing w:before="60" w:after="60"/>
      </w:pPr>
      <w:r>
        <w:t xml:space="preserve"/>
      </w:r>
    </w:p>
    <w:p>
      <w:pPr>
        <w:spacing w:before="80" w:after="80"/>
        <w:jc w:val="both"/>
      </w:pPr>
      <w:r>
        <w:rPr>
          <w:rFonts w:ascii="Arial" w:cs="Arial" w:eastAsia="Arial" w:hAnsi="Arial"/>
          <w:sz w:val="22"/>
          <w:szCs w:val="22"/>
        </w:rPr>
        <w:t xml:space="preserve">▶  LICENCIATARIO: Cualquier persona física (consumidor particular) o persona jurídica (empresa, autónomo u organización) que contrate una suscripción y acceda al Software (en adelante, “El Cliente” o “Usuario”).</w:t>
      </w:r>
    </w:p>
    <w:p>
      <w:pPr>
        <w:spacing w:before="60" w:after="60"/>
      </w:pPr>
      <w:r>
        <w:t xml:space="preserve"/>
      </w:r>
    </w:p>
    <w:p>
      <w:pPr>
        <w:pStyle w:val="Heading1"/>
        <w:spacing w:before="360" w:after="120"/>
      </w:pPr>
      <w:r>
        <w:rPr>
          <w:rFonts w:ascii="Arial" w:cs="Arial" w:eastAsia="Arial" w:hAnsi="Arial"/>
          <w:b/>
          <w:bCs/>
          <w:color w:val="1F4E79"/>
          <w:sz w:val="26"/>
          <w:szCs w:val="26"/>
        </w:rPr>
        <w:t xml:space="preserve">2. DEFINICIONES</w:t>
      </w:r>
    </w:p>
    <w:p>
      <w:pPr>
        <w:spacing w:before="80" w:after="80"/>
        <w:jc w:val="both"/>
      </w:pPr>
      <w:r>
        <w:rPr>
          <w:rFonts w:ascii="Arial" w:cs="Arial" w:eastAsia="Arial" w:hAnsi="Arial"/>
          <w:sz w:val="22"/>
          <w:szCs w:val="22"/>
        </w:rPr>
        <w:t xml:space="preserve">A los efectos del presente Acuerdo, se entiende por:</w:t>
      </w:r>
    </w:p>
    <w:p>
      <w:pPr>
        <w:pStyle w:val="ListParagraph"/>
        <w:numPr>
          <w:ilvl w:val="0"/>
          <w:numId w:val="2"/>
        </w:numPr>
        <w:spacing w:before="60" w:after="60"/>
      </w:pPr>
      <w:r>
        <w:rPr>
          <w:rFonts w:ascii="Arial" w:cs="Arial" w:eastAsia="Arial" w:hAnsi="Arial"/>
          <w:sz w:val="22"/>
          <w:szCs w:val="22"/>
        </w:rPr>
        <w:t xml:space="preserve">“Software” o “Sistema”: La aplicación web de gestión de fichas técnicas, incluyendo todas sus funcionalidades, interfaces, bases de datos, actualizaciones y documentación asociada.</w:t>
      </w:r>
    </w:p>
    <w:p>
      <w:pPr>
        <w:pStyle w:val="ListParagraph"/>
        <w:numPr>
          <w:ilvl w:val="0"/>
          <w:numId w:val="2"/>
        </w:numPr>
        <w:spacing w:before="60" w:after="60"/>
      </w:pPr>
      <w:r>
        <w:rPr>
          <w:rFonts w:ascii="Arial" w:cs="Arial" w:eastAsia="Arial" w:hAnsi="Arial"/>
          <w:sz w:val="22"/>
          <w:szCs w:val="22"/>
        </w:rPr>
        <w:t xml:space="preserve">“Suscripción”: El derecho de acceso temporal y remunerado al Software, según el plan contratado.</w:t>
      </w:r>
    </w:p>
    <w:p>
      <w:pPr>
        <w:pStyle w:val="ListParagraph"/>
        <w:numPr>
          <w:ilvl w:val="0"/>
          <w:numId w:val="2"/>
        </w:numPr>
        <w:spacing w:before="60" w:after="60"/>
      </w:pPr>
      <w:r>
        <w:rPr>
          <w:rFonts w:ascii="Arial" w:cs="Arial" w:eastAsia="Arial" w:hAnsi="Arial"/>
          <w:sz w:val="22"/>
          <w:szCs w:val="22"/>
        </w:rPr>
        <w:t xml:space="preserve">“Usuario Autorizado”: Toda persona con credenciales de acceso válidas creadas bajo la cuenta del Cliente.</w:t>
      </w:r>
    </w:p>
    <w:p>
      <w:pPr>
        <w:pStyle w:val="ListParagraph"/>
        <w:numPr>
          <w:ilvl w:val="0"/>
          <w:numId w:val="2"/>
        </w:numPr>
        <w:spacing w:before="60" w:after="60"/>
      </w:pPr>
      <w:r>
        <w:rPr>
          <w:rFonts w:ascii="Arial" w:cs="Arial" w:eastAsia="Arial" w:hAnsi="Arial"/>
          <w:sz w:val="22"/>
          <w:szCs w:val="22"/>
        </w:rPr>
        <w:t xml:space="preserve">“Contenido del Cliente”: Los datos, fichas técnicas, imágenes y demás información introducida por el Usuario en el Sistema.</w:t>
      </w:r>
    </w:p>
    <w:p>
      <w:pPr>
        <w:pStyle w:val="ListParagraph"/>
        <w:numPr>
          <w:ilvl w:val="0"/>
          <w:numId w:val="2"/>
        </w:numPr>
        <w:spacing w:before="60" w:after="60"/>
      </w:pPr>
      <w:r>
        <w:rPr>
          <w:rFonts w:ascii="Arial" w:cs="Arial" w:eastAsia="Arial" w:hAnsi="Arial"/>
          <w:sz w:val="22"/>
          <w:szCs w:val="22"/>
        </w:rPr>
        <w:t xml:space="preserve">“Soporte Técnico”: El servicio de asistencia incluido en la suscripción para resolver incidencias relacionadas con el funcionamiento del Software.</w:t>
      </w:r>
    </w:p>
    <w:p>
      <w:pPr>
        <w:spacing w:before="60" w:after="60"/>
      </w:pPr>
      <w:r>
        <w:t xml:space="preserve"/>
      </w:r>
    </w:p>
    <w:p>
      <w:pPr>
        <w:pStyle w:val="Heading1"/>
        <w:spacing w:before="360" w:after="120"/>
      </w:pPr>
      <w:r>
        <w:rPr>
          <w:rFonts w:ascii="Arial" w:cs="Arial" w:eastAsia="Arial" w:hAnsi="Arial"/>
          <w:b/>
          <w:bCs/>
          <w:color w:val="1F4E79"/>
          <w:sz w:val="26"/>
          <w:szCs w:val="26"/>
        </w:rPr>
        <w:t xml:space="preserve">3. OBJETO DE LA LICENCIA</w:t>
      </w:r>
    </w:p>
    <w:p>
      <w:pPr>
        <w:spacing w:before="80" w:after="80"/>
        <w:jc w:val="both"/>
      </w:pPr>
      <w:r>
        <w:rPr>
          <w:rFonts w:ascii="Arial" w:cs="Arial" w:eastAsia="Arial" w:hAnsi="Arial"/>
          <w:sz w:val="22"/>
          <w:szCs w:val="22"/>
        </w:rPr>
        <w:t xml:space="preserve">El Proveedor otorga al Cliente una licencia de uso no exclusiva, intransferible, limitada y revocable para acceder y utilizar el Software únicamente a través de los medios habilitados (acceso web) y durante el período de vigencia de la suscripción contratada.</w:t>
      </w:r>
    </w:p>
    <w:p>
      <w:pPr>
        <w:spacing w:before="60" w:after="60"/>
      </w:pPr>
      <w:r>
        <w:t xml:space="preserve"/>
      </w:r>
    </w:p>
    <w:p>
      <w:pPr>
        <w:spacing w:before="80" w:after="80"/>
        <w:jc w:val="both"/>
      </w:pPr>
      <w:r>
        <w:rPr>
          <w:rFonts w:ascii="Arial" w:cs="Arial" w:eastAsia="Arial" w:hAnsi="Arial"/>
          <w:sz w:val="22"/>
          <w:szCs w:val="22"/>
        </w:rPr>
        <w:t xml:space="preserve">Esta licencia no implica en ningún caso la transmisión de la titularidad del Software ni de ninguno de sus componentes. El Proveedor conserva todos los derechos de propiedad intelectual e industrial sobre el Sistema.</w:t>
      </w:r>
    </w:p>
    <w:p>
      <w:pPr>
        <w:spacing w:before="60" w:after="60"/>
      </w:pPr>
      <w:r>
        <w:t xml:space="preserve"/>
      </w:r>
    </w:p>
    <w:p>
      <w:pPr>
        <w:pStyle w:val="Heading1"/>
        <w:spacing w:before="360" w:after="120"/>
      </w:pPr>
      <w:r>
        <w:rPr>
          <w:rFonts w:ascii="Arial" w:cs="Arial" w:eastAsia="Arial" w:hAnsi="Arial"/>
          <w:b/>
          <w:bCs/>
          <w:color w:val="1F4E79"/>
          <w:sz w:val="26"/>
          <w:szCs w:val="26"/>
        </w:rPr>
        <w:t xml:space="preserve">4. MODALIDADES DE SUSCRIPCIÓN</w:t>
      </w:r>
    </w:p>
    <w:p>
      <w:pPr>
        <w:spacing w:before="80" w:after="80"/>
        <w:jc w:val="both"/>
      </w:pPr>
      <w:r>
        <w:rPr>
          <w:rFonts w:ascii="Arial" w:cs="Arial" w:eastAsia="Arial" w:hAnsi="Arial"/>
          <w:sz w:val="22"/>
          <w:szCs w:val="22"/>
        </w:rPr>
        <w:t xml:space="preserve">El acceso al Software se rige bajo un modelo de suscripción que podrá ofrecerse en distintos planes (mensual, anual u otros). Cada plan podrá incluir diferentes niveles de funcionalidades, número de usuarios, capacidad de almacenamiento y condiciones de soporte. Las características específicas de cada plan están detalladas en la página web oficial del Proveedor y pueden estar sujetas a cambios con previo aviso.</w:t>
      </w:r>
    </w:p>
    <w:p>
      <w:pPr>
        <w:spacing w:before="60" w:after="60"/>
      </w:pPr>
      <w:r>
        <w:t xml:space="preserve"/>
      </w:r>
    </w:p>
    <w:p>
      <w:pPr>
        <w:spacing w:before="80" w:after="80"/>
        <w:jc w:val="both"/>
      </w:pPr>
      <w:r>
        <w:rPr>
          <w:rFonts w:ascii="Arial" w:cs="Arial" w:eastAsia="Arial" w:hAnsi="Arial"/>
          <w:sz w:val="22"/>
          <w:szCs w:val="22"/>
        </w:rPr>
        <w:t xml:space="preserve">La suscripción incluye los siguientes servicios:</w:t>
      </w:r>
    </w:p>
    <w:p>
      <w:pPr>
        <w:pStyle w:val="ListParagraph"/>
        <w:numPr>
          <w:ilvl w:val="0"/>
          <w:numId w:val="2"/>
        </w:numPr>
        <w:spacing w:before="60" w:after="60"/>
      </w:pPr>
      <w:r>
        <w:rPr>
          <w:rFonts w:ascii="Arial" w:cs="Arial" w:eastAsia="Arial" w:hAnsi="Arial"/>
          <w:sz w:val="22"/>
          <w:szCs w:val="22"/>
        </w:rPr>
        <w:t xml:space="preserve">Acceso completo al Sistema de Fichas Técnicas según el plan contratado.</w:t>
      </w:r>
    </w:p>
    <w:p>
      <w:pPr>
        <w:pStyle w:val="ListParagraph"/>
        <w:numPr>
          <w:ilvl w:val="0"/>
          <w:numId w:val="2"/>
        </w:numPr>
        <w:spacing w:before="60" w:after="60"/>
      </w:pPr>
      <w:r>
        <w:rPr>
          <w:rFonts w:ascii="Arial" w:cs="Arial" w:eastAsia="Arial" w:hAnsi="Arial"/>
          <w:sz w:val="22"/>
          <w:szCs w:val="22"/>
        </w:rPr>
        <w:t xml:space="preserve">Descarga del software o acceso a versiones instalables, si así se ofrece en el plan.</w:t>
      </w:r>
    </w:p>
    <w:p>
      <w:pPr>
        <w:pStyle w:val="ListParagraph"/>
        <w:numPr>
          <w:ilvl w:val="0"/>
          <w:numId w:val="2"/>
        </w:numPr>
        <w:spacing w:before="60" w:after="60"/>
      </w:pPr>
      <w:r>
        <w:rPr>
          <w:rFonts w:ascii="Arial" w:cs="Arial" w:eastAsia="Arial" w:hAnsi="Arial"/>
          <w:sz w:val="22"/>
          <w:szCs w:val="22"/>
        </w:rPr>
        <w:t xml:space="preserve">Soporte técnico por los canales habilitados (correo electrónico, chat u otros).</w:t>
      </w:r>
    </w:p>
    <w:p>
      <w:pPr>
        <w:pStyle w:val="ListParagraph"/>
        <w:numPr>
          <w:ilvl w:val="0"/>
          <w:numId w:val="2"/>
        </w:numPr>
        <w:spacing w:before="60" w:after="60"/>
      </w:pPr>
      <w:r>
        <w:rPr>
          <w:rFonts w:ascii="Arial" w:cs="Arial" w:eastAsia="Arial" w:hAnsi="Arial"/>
          <w:sz w:val="22"/>
          <w:szCs w:val="22"/>
        </w:rPr>
        <w:t xml:space="preserve">Actualizaciones y mejoras publicadas durante el período activo de suscripción.</w:t>
      </w:r>
    </w:p>
    <w:p>
      <w:pPr>
        <w:spacing w:before="60" w:after="60"/>
      </w:pPr>
      <w:r>
        <w:t xml:space="preserve"/>
      </w:r>
    </w:p>
    <w:p>
      <w:pPr>
        <w:pStyle w:val="Heading1"/>
        <w:spacing w:before="360" w:after="120"/>
      </w:pPr>
      <w:r>
        <w:rPr>
          <w:rFonts w:ascii="Arial" w:cs="Arial" w:eastAsia="Arial" w:hAnsi="Arial"/>
          <w:b/>
          <w:bCs/>
          <w:color w:val="1F4E79"/>
          <w:sz w:val="26"/>
          <w:szCs w:val="26"/>
        </w:rPr>
        <w:t xml:space="preserve">5. CONDICIONES ECONÓMICAS Y PAGO</w:t>
      </w:r>
    </w:p>
    <w:p>
      <w:pPr>
        <w:spacing w:before="80" w:after="80"/>
        <w:jc w:val="both"/>
      </w:pPr>
      <w:r>
        <w:rPr>
          <w:rFonts w:ascii="Arial" w:cs="Arial" w:eastAsia="Arial" w:hAnsi="Arial"/>
          <w:sz w:val="22"/>
          <w:szCs w:val="22"/>
        </w:rPr>
        <w:t xml:space="preserve">El Cliente se obliga al pago de la tarifa correspondiente al plan de suscripción seleccionado. Los precios incluyen el IVA aplicable conforme a la normativa española, salvo que se indique expresamente lo contrario.</w:t>
      </w:r>
    </w:p>
    <w:p>
      <w:pPr>
        <w:spacing w:before="60" w:after="60"/>
      </w:pPr>
      <w:r>
        <w:t xml:space="preserve"/>
      </w:r>
    </w:p>
    <w:p>
      <w:pPr>
        <w:spacing w:before="80" w:after="80"/>
        <w:jc w:val="both"/>
      </w:pPr>
      <w:r>
        <w:rPr>
          <w:rFonts w:ascii="Arial" w:cs="Arial" w:eastAsia="Arial" w:hAnsi="Arial"/>
          <w:sz w:val="22"/>
          <w:szCs w:val="22"/>
        </w:rPr>
        <w:t xml:space="preserve">El impago o el rechazo del cargo dará lugar a la suspensión inmediata del acceso al Software. Transcurridos 15 días desde la suspensión sin regularización del pago, el Proveedor podrá proceder a la rescisión definitiva del Acuerdo.</w:t>
      </w:r>
    </w:p>
    <w:p>
      <w:pPr>
        <w:spacing w:before="60" w:after="60"/>
      </w:pPr>
      <w:r>
        <w:t xml:space="preserve"/>
      </w:r>
    </w:p>
    <w:p>
      <w:pPr>
        <w:spacing w:before="80" w:after="80"/>
        <w:jc w:val="both"/>
      </w:pPr>
      <w:r>
        <w:rPr>
          <w:rFonts w:ascii="Arial" w:cs="Arial" w:eastAsia="Arial" w:hAnsi="Arial"/>
          <w:sz w:val="22"/>
          <w:szCs w:val="22"/>
        </w:rPr>
        <w:t xml:space="preserve">Las tarifas podrán ser modificadas por el Proveedor con un preaviso mínimo de 30 días. En caso de no aceptación, el Cliente podrá resolver el contrato sin penalización antes de la entrada en vigor del nuevo precio.</w:t>
      </w:r>
    </w:p>
    <w:p>
      <w:pPr>
        <w:spacing w:before="60" w:after="60"/>
      </w:pPr>
      <w:r>
        <w:t xml:space="preserve"/>
      </w:r>
    </w:p>
    <w:p>
      <w:pPr>
        <w:pStyle w:val="Heading1"/>
        <w:spacing w:before="360" w:after="120"/>
      </w:pPr>
      <w:r>
        <w:rPr>
          <w:rFonts w:ascii="Arial" w:cs="Arial" w:eastAsia="Arial" w:hAnsi="Arial"/>
          <w:b/>
          <w:bCs/>
          <w:color w:val="1F4E79"/>
          <w:sz w:val="26"/>
          <w:szCs w:val="26"/>
        </w:rPr>
        <w:t xml:space="preserve">6. DERECHOS Y RESTRICCIONES DE USO</w:t>
      </w:r>
    </w:p>
    <w:p>
      <w:pPr>
        <w:pStyle w:val="Heading2"/>
        <w:spacing w:before="240" w:after="80"/>
      </w:pPr>
      <w:r>
        <w:rPr>
          <w:rFonts w:ascii="Arial" w:cs="Arial" w:eastAsia="Arial" w:hAnsi="Arial"/>
          <w:b/>
          <w:bCs/>
          <w:color w:val="2E75B6"/>
          <w:sz w:val="24"/>
          <w:szCs w:val="24"/>
        </w:rPr>
        <w:t xml:space="preserve">6.1. Usos permitidos</w:t>
      </w:r>
    </w:p>
    <w:p>
      <w:pPr>
        <w:pStyle w:val="ListParagraph"/>
        <w:numPr>
          <w:ilvl w:val="0"/>
          <w:numId w:val="2"/>
        </w:numPr>
        <w:spacing w:before="60" w:after="60"/>
      </w:pPr>
      <w:r>
        <w:rPr>
          <w:rFonts w:ascii="Arial" w:cs="Arial" w:eastAsia="Arial" w:hAnsi="Arial"/>
          <w:sz w:val="22"/>
          <w:szCs w:val="22"/>
        </w:rPr>
        <w:t xml:space="preserve">Acceder al Software con las credenciales proporcionadas.</w:t>
      </w:r>
    </w:p>
    <w:p>
      <w:pPr>
        <w:pStyle w:val="ListParagraph"/>
        <w:numPr>
          <w:ilvl w:val="0"/>
          <w:numId w:val="2"/>
        </w:numPr>
        <w:spacing w:before="60" w:after="60"/>
      </w:pPr>
      <w:r>
        <w:rPr>
          <w:rFonts w:ascii="Arial" w:cs="Arial" w:eastAsia="Arial" w:hAnsi="Arial"/>
          <w:sz w:val="22"/>
          <w:szCs w:val="22"/>
        </w:rPr>
        <w:t xml:space="preserve">Crear, editar y gestionar fichas técnicas dentro del Sistema.</w:t>
      </w:r>
    </w:p>
    <w:p>
      <w:pPr>
        <w:pStyle w:val="ListParagraph"/>
        <w:numPr>
          <w:ilvl w:val="0"/>
          <w:numId w:val="2"/>
        </w:numPr>
        <w:spacing w:before="60" w:after="60"/>
      </w:pPr>
      <w:r>
        <w:rPr>
          <w:rFonts w:ascii="Arial" w:cs="Arial" w:eastAsia="Arial" w:hAnsi="Arial"/>
          <w:sz w:val="22"/>
          <w:szCs w:val="22"/>
        </w:rPr>
        <w:t xml:space="preserve">Exportar el Contenido del Cliente en los formatos disponibles.</w:t>
      </w:r>
    </w:p>
    <w:p>
      <w:pPr>
        <w:pStyle w:val="ListParagraph"/>
        <w:numPr>
          <w:ilvl w:val="0"/>
          <w:numId w:val="2"/>
        </w:numPr>
        <w:spacing w:before="60" w:after="60"/>
      </w:pPr>
      <w:r>
        <w:rPr>
          <w:rFonts w:ascii="Arial" w:cs="Arial" w:eastAsia="Arial" w:hAnsi="Arial"/>
          <w:sz w:val="22"/>
          <w:szCs w:val="22"/>
        </w:rPr>
        <w:t xml:space="preserve">Ceder el acceso a Usuarios Autorizados dentro del límite del plan contratado.</w:t>
      </w:r>
    </w:p>
    <w:p>
      <w:pPr>
        <w:spacing w:before="60" w:after="60"/>
      </w:pPr>
      <w:r>
        <w:t xml:space="preserve"/>
      </w:r>
    </w:p>
    <w:p>
      <w:pPr>
        <w:pStyle w:val="Heading2"/>
        <w:spacing w:before="240" w:after="80"/>
      </w:pPr>
      <w:r>
        <w:rPr>
          <w:rFonts w:ascii="Arial" w:cs="Arial" w:eastAsia="Arial" w:hAnsi="Arial"/>
          <w:b/>
          <w:bCs/>
          <w:color w:val="2E75B6"/>
          <w:sz w:val="24"/>
          <w:szCs w:val="24"/>
        </w:rPr>
        <w:t xml:space="preserve">6.2. Usos prohibidos</w:t>
      </w:r>
    </w:p>
    <w:p>
      <w:pPr>
        <w:spacing w:before="80" w:after="80"/>
        <w:jc w:val="both"/>
      </w:pPr>
      <w:r>
        <w:rPr>
          <w:rFonts w:ascii="Arial" w:cs="Arial" w:eastAsia="Arial" w:hAnsi="Arial"/>
          <w:sz w:val="22"/>
          <w:szCs w:val="22"/>
        </w:rPr>
        <w:t xml:space="preserve">Queda expresamente prohibido:</w:t>
      </w:r>
    </w:p>
    <w:p>
      <w:pPr>
        <w:pStyle w:val="ListParagraph"/>
        <w:numPr>
          <w:ilvl w:val="0"/>
          <w:numId w:val="2"/>
        </w:numPr>
        <w:spacing w:before="60" w:after="60"/>
      </w:pPr>
      <w:r>
        <w:rPr>
          <w:rFonts w:ascii="Arial" w:cs="Arial" w:eastAsia="Arial" w:hAnsi="Arial"/>
          <w:sz w:val="22"/>
          <w:szCs w:val="22"/>
        </w:rPr>
        <w:t xml:space="preserve">Copiar, reproducir, modificar, traducir o crear obras derivadas del Software.</w:t>
      </w:r>
    </w:p>
    <w:p>
      <w:pPr>
        <w:pStyle w:val="ListParagraph"/>
        <w:numPr>
          <w:ilvl w:val="0"/>
          <w:numId w:val="2"/>
        </w:numPr>
        <w:spacing w:before="60" w:after="60"/>
      </w:pPr>
      <w:r>
        <w:rPr>
          <w:rFonts w:ascii="Arial" w:cs="Arial" w:eastAsia="Arial" w:hAnsi="Arial"/>
          <w:sz w:val="22"/>
          <w:szCs w:val="22"/>
        </w:rPr>
        <w:t xml:space="preserve">Descompilar, aplicar ingeniería inversa, desensamblar o intentar acceder al código fuente.</w:t>
      </w:r>
    </w:p>
    <w:p>
      <w:pPr>
        <w:pStyle w:val="ListParagraph"/>
        <w:numPr>
          <w:ilvl w:val="0"/>
          <w:numId w:val="2"/>
        </w:numPr>
        <w:spacing w:before="60" w:after="60"/>
      </w:pPr>
      <w:r>
        <w:rPr>
          <w:rFonts w:ascii="Arial" w:cs="Arial" w:eastAsia="Arial" w:hAnsi="Arial"/>
          <w:sz w:val="22"/>
          <w:szCs w:val="22"/>
        </w:rPr>
        <w:t xml:space="preserve">Sublicenciar, vender, alquilar, ceder o transferir el acceso a terceros no autorizados.</w:t>
      </w:r>
    </w:p>
    <w:p>
      <w:pPr>
        <w:pStyle w:val="ListParagraph"/>
        <w:numPr>
          <w:ilvl w:val="0"/>
          <w:numId w:val="2"/>
        </w:numPr>
        <w:spacing w:before="60" w:after="60"/>
      </w:pPr>
      <w:r>
        <w:rPr>
          <w:rFonts w:ascii="Arial" w:cs="Arial" w:eastAsia="Arial" w:hAnsi="Arial"/>
          <w:sz w:val="22"/>
          <w:szCs w:val="22"/>
        </w:rPr>
        <w:t xml:space="preserve">Utilizar el Software para fines ilícitos, fraudulentos o que vulneren derechos de terceros.</w:t>
      </w:r>
    </w:p>
    <w:p>
      <w:pPr>
        <w:pStyle w:val="ListParagraph"/>
        <w:numPr>
          <w:ilvl w:val="0"/>
          <w:numId w:val="2"/>
        </w:numPr>
        <w:spacing w:before="60" w:after="60"/>
      </w:pPr>
      <w:r>
        <w:rPr>
          <w:rFonts w:ascii="Arial" w:cs="Arial" w:eastAsia="Arial" w:hAnsi="Arial"/>
          <w:sz w:val="22"/>
          <w:szCs w:val="22"/>
        </w:rPr>
        <w:t xml:space="preserve">Sobrecargar, interferir o dañar la infraestructura técnica del Proveedor.</w:t>
      </w:r>
    </w:p>
    <w:p>
      <w:pPr>
        <w:pStyle w:val="ListParagraph"/>
        <w:numPr>
          <w:ilvl w:val="0"/>
          <w:numId w:val="2"/>
        </w:numPr>
        <w:spacing w:before="60" w:after="60"/>
      </w:pPr>
      <w:r>
        <w:rPr>
          <w:rFonts w:ascii="Arial" w:cs="Arial" w:eastAsia="Arial" w:hAnsi="Arial"/>
          <w:sz w:val="22"/>
          <w:szCs w:val="22"/>
        </w:rPr>
        <w:t xml:space="preserve">Intentar acceder a áreas restringidas o cuentas de otros usuarios.</w:t>
      </w:r>
    </w:p>
    <w:p>
      <w:pPr>
        <w:spacing w:before="60" w:after="60"/>
      </w:pPr>
      <w:r>
        <w:t xml:space="preserve"/>
      </w:r>
    </w:p>
    <w:p>
      <w:pPr>
        <w:pStyle w:val="Heading1"/>
        <w:spacing w:before="360" w:after="120"/>
      </w:pPr>
      <w:r>
        <w:rPr>
          <w:rFonts w:ascii="Arial" w:cs="Arial" w:eastAsia="Arial" w:hAnsi="Arial"/>
          <w:b/>
          <w:bCs/>
          <w:color w:val="1F4E79"/>
          <w:sz w:val="26"/>
          <w:szCs w:val="26"/>
        </w:rPr>
        <w:t xml:space="preserve">7. PROPIEDAD INTELECTUAL</w:t>
      </w:r>
    </w:p>
    <w:p>
      <w:pPr>
        <w:spacing w:before="80" w:after="80"/>
        <w:jc w:val="both"/>
      </w:pPr>
      <w:r>
        <w:rPr>
          <w:rFonts w:ascii="Arial" w:cs="Arial" w:eastAsia="Arial" w:hAnsi="Arial"/>
          <w:sz w:val="22"/>
          <w:szCs w:val="22"/>
        </w:rPr>
        <w:t xml:space="preserve">El Software, su diseño, estructura, código fuente, interfaces, marcas, logotipos, denominaciones y cualquier elemento del Sistema son propiedad exclusiva del Proveedor y están protegidos por la Ley de Propiedad Intelectual (Real Decreto Legislativo 1/1996), la Ley de Marcas (Ley 17/2001) y demás normativa aplicable.</w:t>
      </w:r>
    </w:p>
    <w:p>
      <w:pPr>
        <w:spacing w:before="60" w:after="60"/>
      </w:pPr>
      <w:r>
        <w:t xml:space="preserve"/>
      </w:r>
    </w:p>
    <w:p>
      <w:pPr>
        <w:spacing w:before="80" w:after="80"/>
        <w:jc w:val="both"/>
      </w:pPr>
      <w:r>
        <w:rPr>
          <w:rFonts w:ascii="Arial" w:cs="Arial" w:eastAsia="Arial" w:hAnsi="Arial"/>
          <w:sz w:val="22"/>
          <w:szCs w:val="22"/>
        </w:rPr>
        <w:t xml:space="preserve">El Contenido del Cliente permanece en todo momento bajo la propiedad del Cliente. El Proveedor no reclama ningún derecho de propiedad sobre dicho contenido, aunque sí dispone de los permisos técnicos necesarios para alojar, procesar y mostrar dicho contenido en el marco de la prestación del servicio.</w:t>
      </w:r>
    </w:p>
    <w:p>
      <w:pPr>
        <w:spacing w:before="60" w:after="60"/>
      </w:pPr>
      <w:r>
        <w:t xml:space="preserve"/>
      </w:r>
    </w:p>
    <w:p>
      <w:pPr>
        <w:pStyle w:val="Heading1"/>
        <w:spacing w:before="360" w:after="120"/>
      </w:pPr>
      <w:r>
        <w:rPr>
          <w:rFonts w:ascii="Arial" w:cs="Arial" w:eastAsia="Arial" w:hAnsi="Arial"/>
          <w:b/>
          <w:bCs/>
          <w:color w:val="1F4E79"/>
          <w:sz w:val="26"/>
          <w:szCs w:val="26"/>
        </w:rPr>
        <w:t xml:space="preserve">8. PROTECCIÓN DE DATOS PERSONALES</w:t>
      </w:r>
    </w:p>
    <w:p>
      <w:pPr>
        <w:spacing w:before="80" w:after="80"/>
        <w:jc w:val="both"/>
      </w:pPr>
      <w:r>
        <w:rPr>
          <w:rFonts w:ascii="Arial" w:cs="Arial" w:eastAsia="Arial" w:hAnsi="Arial"/>
          <w:sz w:val="22"/>
          <w:szCs w:val="22"/>
        </w:rPr>
        <w:t xml:space="preserve">El tratamiento de datos personales derivado del uso del Software se regirá por lo dispuesto en el Reglamento (UE) 2016/679 (RGPD) y en la Ley Orgánica 3/2018, de Protección de Datos Personales y Garantía de los Derechos Digitales (LOPDGDD).</w:t>
      </w:r>
    </w:p>
    <w:p>
      <w:pPr>
        <w:spacing w:before="60" w:after="60"/>
      </w:pPr>
      <w:r>
        <w:t xml:space="preserve"/>
      </w:r>
    </w:p>
    <w:p>
      <w:pPr>
        <w:spacing w:before="80" w:after="80"/>
        <w:jc w:val="both"/>
      </w:pPr>
      <w:r>
        <w:rPr>
          <w:rFonts w:ascii="Arial" w:cs="Arial" w:eastAsia="Arial" w:hAnsi="Arial"/>
          <w:sz w:val="22"/>
          <w:szCs w:val="22"/>
        </w:rPr>
        <w:t xml:space="preserve">El Proveedor actuará como responsable del tratamiento de los datos de los Usuarios. El Cliente, cuando introduzca datos de terceros en el Sistema, actuará como responsable del tratamiento y el Proveedor como encargado del tratamiento, debîndo suscribirse el correspondiente Acuerdo de Encargado de Tratamiento si fuera necesario.</w:t>
      </w:r>
    </w:p>
    <w:p>
      <w:pPr>
        <w:spacing w:before="60" w:after="60"/>
      </w:pPr>
      <w:r>
        <w:t xml:space="preserve"/>
      </w:r>
    </w:p>
    <w:p>
      <w:pPr>
        <w:spacing w:before="80" w:after="80"/>
        <w:jc w:val="both"/>
      </w:pPr>
      <w:r>
        <w:rPr>
          <w:rFonts w:ascii="Arial" w:cs="Arial" w:eastAsia="Arial" w:hAnsi="Arial"/>
          <w:sz w:val="22"/>
          <w:szCs w:val="22"/>
        </w:rPr>
        <w:t xml:space="preserve">Los datos recabados se utilizarán exclusivamente para la gestión de la relación contractual, la prestación del servicio y el envío de comunicaciones relacionadas. No se cederán a terceros salvo obligación legal.</w:t>
      </w:r>
    </w:p>
    <w:p>
      <w:pPr>
        <w:spacing w:before="60" w:after="60"/>
      </w:pPr>
      <w:r>
        <w:t xml:space="preserve"/>
      </w:r>
    </w:p>
    <w:p>
      <w:pPr>
        <w:pStyle w:val="Heading1"/>
        <w:spacing w:before="360" w:after="120"/>
      </w:pPr>
      <w:r>
        <w:rPr>
          <w:rFonts w:ascii="Arial" w:cs="Arial" w:eastAsia="Arial" w:hAnsi="Arial"/>
          <w:b/>
          <w:bCs/>
          <w:color w:val="1F4E79"/>
          <w:sz w:val="26"/>
          <w:szCs w:val="26"/>
        </w:rPr>
        <w:t xml:space="preserve">9. SOPORTE TÉCNICO</w:t>
      </w:r>
    </w:p>
    <w:p>
      <w:pPr>
        <w:spacing w:before="80" w:after="80"/>
        <w:jc w:val="both"/>
      </w:pPr>
      <w:r>
        <w:rPr>
          <w:rFonts w:ascii="Arial" w:cs="Arial" w:eastAsia="Arial" w:hAnsi="Arial"/>
          <w:sz w:val="22"/>
          <w:szCs w:val="22"/>
        </w:rPr>
        <w:t xml:space="preserve">El Proveedor ofrecerá soporte técnico al Cliente a través de los canales y en los horarios indicados en cada plan de suscripción. El soporte comprende la resolución de incidencias técnicas relacionadas con el funcionamiento del Software y no incluye la formación general ni la personalización del sistema salvo que se acuerde expresamente.</w:t>
      </w:r>
    </w:p>
    <w:p>
      <w:pPr>
        <w:spacing w:before="60" w:after="60"/>
      </w:pPr>
      <w:r>
        <w:t xml:space="preserve"/>
      </w:r>
    </w:p>
    <w:p>
      <w:pPr>
        <w:spacing w:before="80" w:after="80"/>
        <w:jc w:val="both"/>
      </w:pPr>
      <w:r>
        <w:rPr>
          <w:rFonts w:ascii="Arial" w:cs="Arial" w:eastAsia="Arial" w:hAnsi="Arial"/>
          <w:sz w:val="22"/>
          <w:szCs w:val="22"/>
        </w:rPr>
        <w:t xml:space="preserve">El Proveedor se compromete a mantener una disponibilidad del servicio del 99% mensual, salvo por mantenimientos programados (con previo aviso) o causas de fuerza mayor.</w:t>
      </w:r>
    </w:p>
    <w:p>
      <w:pPr>
        <w:spacing w:before="60" w:after="60"/>
      </w:pPr>
      <w:r>
        <w:t xml:space="preserve"/>
      </w:r>
    </w:p>
    <w:p>
      <w:pPr>
        <w:pStyle w:val="Heading1"/>
        <w:spacing w:before="360" w:after="120"/>
      </w:pPr>
      <w:r>
        <w:rPr>
          <w:rFonts w:ascii="Arial" w:cs="Arial" w:eastAsia="Arial" w:hAnsi="Arial"/>
          <w:b/>
          <w:bCs/>
          <w:color w:val="1F4E79"/>
          <w:sz w:val="26"/>
          <w:szCs w:val="26"/>
        </w:rPr>
        <w:t xml:space="preserve">10. LIMITACIÓN DE RESPONSABILIDAD</w:t>
      </w:r>
    </w:p>
    <w:p>
      <w:pPr>
        <w:spacing w:before="80" w:after="80"/>
        <w:jc w:val="both"/>
      </w:pPr>
      <w:r>
        <w:rPr>
          <w:rFonts w:ascii="Arial" w:cs="Arial" w:eastAsia="Arial" w:hAnsi="Arial"/>
          <w:sz w:val="22"/>
          <w:szCs w:val="22"/>
        </w:rPr>
        <w:t xml:space="preserve">El Software se proporciona “tal cual”. El Proveedor no garantiza que el Sistema esté libre de errores o que su funcionamiento sea ininterrumpido. En ningún caso el Proveedor será responsable de daños indirectos, lucro cesante, pérdida de datos o daños derivados del uso o imposibilidad de uso del Software, siempre dentro de los límites establecidos por la legislación española de consumidores y usuarios.</w:t>
      </w:r>
    </w:p>
    <w:p>
      <w:pPr>
        <w:spacing w:before="60" w:after="60"/>
      </w:pPr>
      <w:r>
        <w:t xml:space="preserve"/>
      </w:r>
    </w:p>
    <w:p>
      <w:pPr>
        <w:spacing w:before="80" w:after="80"/>
        <w:jc w:val="both"/>
      </w:pPr>
      <w:r>
        <w:rPr>
          <w:rFonts w:ascii="Arial" w:cs="Arial" w:eastAsia="Arial" w:hAnsi="Arial"/>
          <w:sz w:val="22"/>
          <w:szCs w:val="22"/>
        </w:rPr>
        <w:t xml:space="preserve">La responsabilidad máxima del Proveedor frente al Cliente, por cualquier causa, no excederá del importe total abonado por el Cliente durante los últimos 12 meses de suscripción.</w:t>
      </w:r>
    </w:p>
    <w:p>
      <w:pPr>
        <w:spacing w:before="60" w:after="60"/>
      </w:pPr>
      <w:r>
        <w:t xml:space="preserve"/>
      </w:r>
    </w:p>
    <w:p>
      <w:pPr>
        <w:pStyle w:val="Heading1"/>
        <w:spacing w:before="360" w:after="120"/>
      </w:pPr>
      <w:r>
        <w:rPr>
          <w:rFonts w:ascii="Arial" w:cs="Arial" w:eastAsia="Arial" w:hAnsi="Arial"/>
          <w:b/>
          <w:bCs/>
          <w:color w:val="1F4E79"/>
          <w:sz w:val="26"/>
          <w:szCs w:val="26"/>
        </w:rPr>
        <w:t xml:space="preserve">11. DURACIÓN Y TERMINACIÓN</w:t>
      </w:r>
    </w:p>
    <w:p>
      <w:pPr>
        <w:spacing w:before="80" w:after="80"/>
        <w:jc w:val="both"/>
      </w:pPr>
      <w:r>
        <w:rPr>
          <w:rFonts w:ascii="Arial" w:cs="Arial" w:eastAsia="Arial" w:hAnsi="Arial"/>
          <w:sz w:val="22"/>
          <w:szCs w:val="22"/>
        </w:rPr>
        <w:t xml:space="preserve">El presente Acuerdo tendrá vigencia mientras el Cliente mantenga una suscripción activa. Se renovará automáticamente al final de cada período, salvo que el Cliente notifique su cancelación con al menos 7 días de antelación a la fecha de renovación.</w:t>
      </w:r>
    </w:p>
    <w:p>
      <w:pPr>
        <w:spacing w:before="60" w:after="60"/>
      </w:pPr>
      <w:r>
        <w:t xml:space="preserve"/>
      </w:r>
    </w:p>
    <w:p>
      <w:pPr>
        <w:spacing w:before="80" w:after="80"/>
        <w:jc w:val="both"/>
      </w:pPr>
      <w:r>
        <w:rPr>
          <w:rFonts w:ascii="Arial" w:cs="Arial" w:eastAsia="Arial" w:hAnsi="Arial"/>
          <w:sz w:val="22"/>
          <w:szCs w:val="22"/>
        </w:rPr>
        <w:t xml:space="preserve">El Proveedor podrá resolver el Acuerdo de forma inmediata y sin compensación en caso de incumplimiento grave por parte del Cliente, especialmente en los supuestos contemplados en la cláusula 6.2.</w:t>
      </w:r>
    </w:p>
    <w:p>
      <w:pPr>
        <w:spacing w:before="60" w:after="60"/>
      </w:pPr>
      <w:r>
        <w:t xml:space="preserve"/>
      </w:r>
    </w:p>
    <w:p>
      <w:pPr>
        <w:spacing w:before="80" w:after="80"/>
        <w:jc w:val="both"/>
      </w:pPr>
      <w:r>
        <w:rPr>
          <w:rFonts w:ascii="Arial" w:cs="Arial" w:eastAsia="Arial" w:hAnsi="Arial"/>
          <w:sz w:val="22"/>
          <w:szCs w:val="22"/>
        </w:rPr>
        <w:t xml:space="preserve">Tras la terminación, el Cliente dispondrá de un plazo de 30 días para exportar su Contenido, transcurrido el cual el Proveedor podrá eliminar definitivamente los datos almacenados.</w:t>
      </w:r>
    </w:p>
    <w:p>
      <w:pPr>
        <w:spacing w:before="60" w:after="60"/>
      </w:pPr>
      <w:r>
        <w:t xml:space="preserve"/>
      </w:r>
    </w:p>
    <w:p>
      <w:pPr>
        <w:pStyle w:val="Heading1"/>
        <w:spacing w:before="360" w:after="120"/>
      </w:pPr>
      <w:r>
        <w:rPr>
          <w:rFonts w:ascii="Arial" w:cs="Arial" w:eastAsia="Arial" w:hAnsi="Arial"/>
          <w:b/>
          <w:bCs/>
          <w:color w:val="1F4E79"/>
          <w:sz w:val="26"/>
          <w:szCs w:val="26"/>
        </w:rPr>
        <w:t xml:space="preserve">12. DERECHOS ESPECIALES DE CONSUMIDORES</w:t>
      </w:r>
    </w:p>
    <w:p>
      <w:pPr>
        <w:spacing w:before="80" w:after="80"/>
        <w:jc w:val="both"/>
      </w:pPr>
      <w:r>
        <w:rPr>
          <w:rFonts w:ascii="Arial" w:cs="Arial" w:eastAsia="Arial" w:hAnsi="Arial"/>
          <w:sz w:val="22"/>
          <w:szCs w:val="22"/>
        </w:rPr>
        <w:t xml:space="preserve">Para los Clientes que tengan la condición de consumidores conforme al Real Decreto Legislativo 1/2007 (Texto Refundido de la Ley General para la Defensa de los Consumidores y Usuarios), se reconocen los siguientes derechos:</w:t>
      </w:r>
    </w:p>
    <w:p>
      <w:pPr>
        <w:pStyle w:val="ListParagraph"/>
        <w:numPr>
          <w:ilvl w:val="0"/>
          <w:numId w:val="2"/>
        </w:numPr>
        <w:spacing w:before="60" w:after="60"/>
      </w:pPr>
      <w:r>
        <w:rPr>
          <w:rFonts w:ascii="Arial" w:cs="Arial" w:eastAsia="Arial" w:hAnsi="Arial"/>
          <w:sz w:val="22"/>
          <w:szCs w:val="22"/>
        </w:rPr>
        <w:t xml:space="preserve">Derecho de desistimiento de 14 días naturales desde la contratación, salvo que el servicio haya comenzado a prestarse con consentimiento expreso del consumidor.</w:t>
      </w:r>
    </w:p>
    <w:p>
      <w:pPr>
        <w:pStyle w:val="ListParagraph"/>
        <w:numPr>
          <w:ilvl w:val="0"/>
          <w:numId w:val="2"/>
        </w:numPr>
        <w:spacing w:before="60" w:after="60"/>
      </w:pPr>
      <w:r>
        <w:rPr>
          <w:rFonts w:ascii="Arial" w:cs="Arial" w:eastAsia="Arial" w:hAnsi="Arial"/>
          <w:sz w:val="22"/>
          <w:szCs w:val="22"/>
        </w:rPr>
        <w:t xml:space="preserve">Derecho a recibir información precontractual clara y completa.</w:t>
      </w:r>
    </w:p>
    <w:p>
      <w:pPr>
        <w:pStyle w:val="ListParagraph"/>
        <w:numPr>
          <w:ilvl w:val="0"/>
          <w:numId w:val="2"/>
        </w:numPr>
        <w:spacing w:before="60" w:after="60"/>
      </w:pPr>
      <w:r>
        <w:rPr>
          <w:rFonts w:ascii="Arial" w:cs="Arial" w:eastAsia="Arial" w:hAnsi="Arial"/>
          <w:sz w:val="22"/>
          <w:szCs w:val="22"/>
        </w:rPr>
        <w:t xml:space="preserve">Derecho a resolver el contrato en caso de modificaciones sustanciales desfavorables.</w:t>
      </w:r>
    </w:p>
    <w:p>
      <w:pPr>
        <w:spacing w:before="60" w:after="60"/>
      </w:pPr>
      <w:r>
        <w:t xml:space="preserve"/>
      </w:r>
    </w:p>
    <w:p>
      <w:pPr>
        <w:pStyle w:val="Heading1"/>
        <w:spacing w:before="360" w:after="120"/>
      </w:pPr>
      <w:r>
        <w:rPr>
          <w:rFonts w:ascii="Arial" w:cs="Arial" w:eastAsia="Arial" w:hAnsi="Arial"/>
          <w:b/>
          <w:bCs/>
          <w:color w:val="1F4E79"/>
          <w:sz w:val="26"/>
          <w:szCs w:val="26"/>
        </w:rPr>
        <w:t xml:space="preserve">13. LEY APLICABLE Y JURISDICCIÓN</w:t>
      </w:r>
    </w:p>
    <w:p>
      <w:pPr>
        <w:spacing w:before="80" w:after="80"/>
        <w:jc w:val="both"/>
      </w:pPr>
      <w:r>
        <w:rPr>
          <w:rFonts w:ascii="Arial" w:cs="Arial" w:eastAsia="Arial" w:hAnsi="Arial"/>
          <w:sz w:val="22"/>
          <w:szCs w:val="22"/>
        </w:rPr>
        <w:t xml:space="preserve">El presente Acuerdo se rige por la legislación española vigente. Para la resolución de cualquier controversia derivada de este Acuerdo, las partes se someten a los Juzgados y Tribunales competentes conforme a la normativa procesal española.</w:t>
      </w:r>
    </w:p>
    <w:p>
      <w:pPr>
        <w:spacing w:before="60" w:after="60"/>
      </w:pPr>
      <w:r>
        <w:t xml:space="preserve"/>
      </w:r>
    </w:p>
    <w:p>
      <w:pPr>
        <w:spacing w:before="80" w:after="80"/>
        <w:jc w:val="both"/>
      </w:pPr>
      <w:r>
        <w:rPr>
          <w:rFonts w:ascii="Arial" w:cs="Arial" w:eastAsia="Arial" w:hAnsi="Arial"/>
          <w:sz w:val="22"/>
          <w:szCs w:val="22"/>
        </w:rPr>
        <w:t xml:space="preserve">Para los Clientes con la condición de consumidores, se reconoce la competencia de los tribunales del domicilio del consumidor. Asimismo, la Comisión Europea dispone de una plataforma de resolución de litigios en línea accesible en: https://ec.europa.eu/consumers/odr</w:t>
      </w:r>
    </w:p>
    <w:p>
      <w:pPr>
        <w:spacing w:before="60" w:after="60"/>
      </w:pPr>
      <w:r>
        <w:t xml:space="preserve"/>
      </w:r>
    </w:p>
    <w:p>
      <w:pPr>
        <w:pStyle w:val="Heading1"/>
        <w:spacing w:before="360" w:after="120"/>
      </w:pPr>
      <w:r>
        <w:rPr>
          <w:rFonts w:ascii="Arial" w:cs="Arial" w:eastAsia="Arial" w:hAnsi="Arial"/>
          <w:b/>
          <w:bCs/>
          <w:color w:val="1F4E79"/>
          <w:sz w:val="26"/>
          <w:szCs w:val="26"/>
        </w:rPr>
        <w:t xml:space="preserve">14. MODIFICACIONES DEL ACUERDO</w:t>
      </w:r>
    </w:p>
    <w:p>
      <w:pPr>
        <w:spacing w:before="80" w:after="80"/>
        <w:jc w:val="both"/>
      </w:pPr>
      <w:r>
        <w:rPr>
          <w:rFonts w:ascii="Arial" w:cs="Arial" w:eastAsia="Arial" w:hAnsi="Arial"/>
          <w:sz w:val="22"/>
          <w:szCs w:val="22"/>
        </w:rPr>
        <w:t xml:space="preserve">El Proveedor se reserva el derecho a modificar el presente EULA. Las modificaciones serán notificadas al Cliente con al menos 30 días de antelación por correo electrónico o a través del propio Sistema. Si el Cliente continúa utilizando el Software tras la entrada en vigor de las modificaciones, se entenderá que las acepta. En caso contrario, podrá resolver el contrato sin penalización.</w:t>
      </w:r>
    </w:p>
    <w:p>
      <w:pPr>
        <w:spacing w:before="60" w:after="60"/>
      </w:pPr>
      <w:r>
        <w:t xml:space="preserve"/>
      </w:r>
    </w:p>
    <w:p>
      <w:pPr>
        <w:pStyle w:val="Heading1"/>
        <w:spacing w:before="360" w:after="120"/>
      </w:pPr>
      <w:r>
        <w:rPr>
          <w:rFonts w:ascii="Arial" w:cs="Arial" w:eastAsia="Arial" w:hAnsi="Arial"/>
          <w:b/>
          <w:bCs/>
          <w:color w:val="1F4E79"/>
          <w:sz w:val="26"/>
          <w:szCs w:val="26"/>
        </w:rPr>
        <w:t xml:space="preserve">15. DISPOSICIONES FINALES</w:t>
      </w:r>
    </w:p>
    <w:p>
      <w:pPr>
        <w:spacing w:before="80" w:after="80"/>
        <w:jc w:val="both"/>
      </w:pPr>
      <w:r>
        <w:rPr>
          <w:rFonts w:ascii="Arial" w:cs="Arial" w:eastAsia="Arial" w:hAnsi="Arial"/>
          <w:sz w:val="22"/>
          <w:szCs w:val="22"/>
        </w:rPr>
        <w:t xml:space="preserve">Si alguna cláusula del presente Acuerdo fuera declarada nula o inaplicable, las demás cláusulas mantendrán su plena vigencia. La no exigencia por el Proveedor del cumplimiento de alguna disposición no constituirá renuncia a su cumplimiento futuro.</w:t>
      </w:r>
    </w:p>
    <w:p>
      <w:pPr>
        <w:spacing w:before="60" w:after="60"/>
      </w:pPr>
      <w:r>
        <w:t xml:space="preserve"/>
      </w:r>
    </w:p>
    <w:p>
      <w:pPr>
        <w:spacing w:before="80" w:after="80"/>
        <w:jc w:val="both"/>
      </w:pPr>
      <w:r>
        <w:rPr>
          <w:rFonts w:ascii="Arial" w:cs="Arial" w:eastAsia="Arial" w:hAnsi="Arial"/>
          <w:sz w:val="22"/>
          <w:szCs w:val="22"/>
        </w:rPr>
        <w:t xml:space="preserve">El presente Acuerdo constituye el acuerdo completo entre las partes en relación con el objeto aquí regulado y sustituye cualquier acuerdo previo, verbal o escrito.</w:t>
      </w:r>
    </w:p>
    <w:p>
      <w:pPr>
        <w:spacing w:before="60" w:after="60"/>
      </w:pPr>
      <w:r>
        <w:t xml:space="preserve"/>
      </w:r>
    </w:p>
    <w:p>
      <w:pPr>
        <w:spacing w:before="60" w:after="60"/>
      </w:pPr>
      <w:r>
        <w:t xml:space="preserve"/>
      </w:r>
    </w:p>
    <w:p>
      <w:pPr>
        <w:pBdr>
          <w:top w:val="single" w:color="2E75B6" w:sz="6" w:space="1"/>
        </w:pBdr>
        <w:spacing w:before="360" w:after="120"/>
      </w:pPr>
      <w:r>
        <w:rPr>
          <w:rFonts w:ascii="Arial" w:cs="Arial" w:eastAsia="Arial" w:hAnsi="Arial"/>
          <w:b/>
          <w:bCs/>
          <w:color w:val="1F4E79"/>
          <w:sz w:val="24"/>
          <w:szCs w:val="24"/>
        </w:rPr>
        <w:t xml:space="preserve">ACEPTACIÓN</w:t>
      </w:r>
    </w:p>
    <w:p>
      <w:pPr>
        <w:spacing w:before="80" w:after="80"/>
        <w:jc w:val="both"/>
      </w:pPr>
      <w:r>
        <w:rPr>
          <w:rFonts w:ascii="Arial" w:cs="Arial" w:eastAsia="Arial" w:hAnsi="Arial"/>
          <w:sz w:val="22"/>
          <w:szCs w:val="22"/>
        </w:rPr>
        <w:t xml:space="preserve">Al contratar la suscripción, el Cliente declara haber leído, comprendido y aceptado en su totalidad los términos y condiciones del presente Acuerdo de Licencia de Usuario Final.</w:t>
      </w:r>
    </w:p>
    <w:p>
      <w:pPr>
        <w:spacing w:before="60" w:after="60"/>
      </w:pPr>
      <w:r>
        <w:t xml:space="preserve"/>
      </w:r>
    </w:p>
    <w:p>
      <w:pPr>
        <w:spacing w:before="60" w:after="60"/>
      </w:pPr>
      <w:r>
        <w:t xml:space="preserve"/>
      </w:r>
    </w:p>
    <w:p>
      <w:pPr>
        <w:tabs>
          <w:tab w:val="center" w:pos="4680"/>
        </w:tabs>
        <w:spacing w:before="480" w:after="80"/>
      </w:pPr>
      <w:r>
        <w:rPr>
          <w:rFonts w:ascii="Arial" w:cs="Arial" w:eastAsia="Arial" w:hAnsi="Arial"/>
          <w:sz w:val="22"/>
          <w:szCs w:val="22"/>
        </w:rPr>
        <w:t xml:space="preserve">_______________________________</w:t>
      </w:r>
      <w:r>
        <w:rPr>
          <w:rFonts w:ascii="Arial" w:cs="Arial" w:eastAsia="Arial" w:hAnsi="Arial"/>
          <w:sz w:val="22"/>
          <w:szCs w:val="22"/>
        </w:rPr>
        <w:t xml:space="preserve">	_______________________________</w:t>
      </w:r>
    </w:p>
    <w:p>
      <w:pPr>
        <w:tabs>
          <w:tab w:val="center" w:pos="4680"/>
        </w:tabs>
      </w:pPr>
      <w:r>
        <w:rPr>
          <w:rFonts w:ascii="Arial" w:cs="Arial" w:eastAsia="Arial" w:hAnsi="Arial"/>
          <w:b/>
          <w:bCs/>
          <w:sz w:val="20"/>
          <w:szCs w:val="20"/>
        </w:rPr>
        <w:t xml:space="preserve">El Proveedor</w:t>
      </w:r>
      <w:r>
        <w:rPr>
          <w:rFonts w:ascii="Arial" w:cs="Arial" w:eastAsia="Arial" w:hAnsi="Arial"/>
          <w:b/>
          <w:bCs/>
          <w:sz w:val="20"/>
          <w:szCs w:val="20"/>
        </w:rPr>
        <w:t xml:space="preserve">	El Cliente</w:t>
      </w:r>
    </w:p>
    <w:p>
      <w:pPr>
        <w:tabs>
          <w:tab w:val="center" w:pos="4680"/>
        </w:tabs>
      </w:pPr>
      <w:r>
        <w:rPr>
          <w:rFonts w:ascii="Arial" w:cs="Arial" w:eastAsia="Arial" w:hAnsi="Arial"/>
          <w:color w:val="888888"/>
          <w:sz w:val="20"/>
          <w:szCs w:val="20"/>
        </w:rPr>
        <w:t xml:space="preserve">Fecha: ___________________</w:t>
      </w:r>
      <w:r>
        <w:rPr>
          <w:rFonts w:ascii="Arial" w:cs="Arial" w:eastAsia="Arial" w:hAnsi="Arial"/>
          <w:color w:val="888888"/>
          <w:sz w:val="20"/>
          <w:szCs w:val="20"/>
        </w:rPr>
        <w:t xml:space="preserve">	Fecha: ___________________</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8"/>
        <w:szCs w:val="18"/>
      </w:rPr>
      <w:t xml:space="preserve">Documento confidencial — Todos los derechos reservados</w:t>
    </w:r>
    <w:r>
      <w:rPr>
        <w:rFonts w:ascii="Arial" w:cs="Arial" w:eastAsia="Arial" w:hAnsi="Arial"/>
        <w:color w:val="888888"/>
        <w:sz w:val="18"/>
        <w:szCs w:val="18"/>
      </w:rPr>
      <w:t xml:space="preserve">	Página — Sistema de Fichas Técnicas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2E75B6"/>
        <w:sz w:val="18"/>
        <w:szCs w:val="18"/>
      </w:rPr>
      <w:t xml:space="preserve">ACUERDO DE LICENCIA DE USUARIO FINAL (EULA) — SISTEMA DE FICHAS TÉCNICAS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2026-03-09T20:10:15.202Z</dcterms:created>
  <dcterms:modified xsi:type="dcterms:W3CDTF">2026-03-09T20:10:15.202Z</dcterms:modified>
</cp:coreProperties>
</file>

<file path=docProps/custom.xml><?xml version="1.0" encoding="utf-8"?>
<Properties xmlns="http://schemas.openxmlformats.org/officeDocument/2006/custom-properties" xmlns:vt="http://schemas.openxmlformats.org/officeDocument/2006/docPropsVTypes"/>
</file>