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Georgia" w:hAnsi="Georgia"/>
          <w:b/>
          <w:color w:val="191A17"/>
          <w:sz w:val="58"/>
        </w:rPr>
        <w:t>JOHN SWAROOP</w:t>
      </w:r>
    </w:p>
    <w:p>
      <w:pPr>
        <w:spacing w:after="180"/>
      </w:pPr>
      <w:r>
        <w:rPr>
          <w:color w:val="6354E8"/>
          <w:sz w:val="22"/>
        </w:rPr>
        <w:t>Founder · Full-Stack Engineer · Applied AI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004"/>
        <w:gridCol w:w="5004"/>
      </w:tblGrid>
      <w:tr>
        <w:tc>
          <w:tcPr>
            <w:tcW w:type="dxa" w:w="5004"/>
            <w:shd w:fill="F0EEE8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r>
              <w:rPr>
                <w:color w:val="4B4D48"/>
                <w:sz w:val="15"/>
              </w:rPr>
              <w:t>Hyderabad, India  ·  +91 9618788956  ·  johnswaroop28@gmail.com</w:t>
            </w:r>
          </w:p>
        </w:tc>
        <w:tc>
          <w:tcPr>
            <w:tcW w:type="dxa" w:w="5004"/>
            <w:shd w:fill="F0EEE8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jc w:val="right"/>
            </w:pPr>
            <w:r>
              <w:rPr>
                <w:color w:val="4B4D48"/>
                <w:sz w:val="15"/>
              </w:rPr>
              <w:t>github.com/johnswaroop  ·  linkedin.com/in/john-swaroop-4389961b7  ·  dcernx.com</w:t>
            </w:r>
          </w:p>
        </w:tc>
      </w:tr>
    </w:tbl>
    <w:p>
      <w:pPr>
        <w:keepNext/>
        <w:spacing w:before="240" w:after="140"/>
        <w:pBdr>
          <w:bottom w:val="single" w:sz="5" w:space="4" w:color="D8D6CF"/>
        </w:pBdr>
      </w:pPr>
      <w:r>
        <w:rPr>
          <w:rFonts w:ascii="Aptos" w:hAnsi="Aptos"/>
          <w:b/>
          <w:color w:val="6354E8"/>
          <w:sz w:val="17"/>
        </w:rPr>
        <w:t>PROFILE</w:t>
      </w:r>
    </w:p>
    <w:p>
      <w:pPr>
        <w:spacing w:after="100" w:line="274" w:lineRule="auto"/>
      </w:pPr>
      <w:r>
        <w:rPr>
          <w:sz w:val="19"/>
        </w:rPr>
        <w:t>Full-stack engineer and founder with 5+ years taking products from early ideas to production. Works across TypeScript, Python, React/Next.js, Node.js, data and infrastructure, with production experience in agentic workflows, RAG, document intelligence and realtime voice. Comfortable in zero-to-one environments that require product judgment, system architecture and hands-on execution.</w:t>
      </w:r>
    </w:p>
    <w:p>
      <w:pPr>
        <w:keepNext/>
        <w:spacing w:before="240" w:after="140"/>
        <w:pBdr>
          <w:bottom w:val="single" w:sz="5" w:space="4" w:color="D8D6CF"/>
        </w:pBdr>
      </w:pPr>
      <w:r>
        <w:rPr>
          <w:rFonts w:ascii="Aptos" w:hAnsi="Aptos"/>
          <w:b/>
          <w:color w:val="6354E8"/>
          <w:sz w:val="17"/>
        </w:rPr>
        <w:t>CORE STRENGTHS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336"/>
        <w:gridCol w:w="3336"/>
        <w:gridCol w:w="3336"/>
      </w:tblGrid>
      <w:tr>
        <w:tc>
          <w:tcPr>
            <w:tcW w:type="dxa" w:w="3336"/>
            <w:shd w:fill="F4F2ED"/>
            <w:tcMar>
              <w:top w:w="140" w:type="dxa"/>
              <w:start w:w="120" w:type="dxa"/>
              <w:bottom w:w="140" w:type="dxa"/>
              <w:end w:w="120" w:type="dxa"/>
            </w:tcMar>
          </w:tcPr>
          <w:p>
            <w:pPr>
              <w:spacing w:after="40"/>
            </w:pPr>
            <w:r>
              <w:rPr>
                <w:b/>
                <w:color w:val="6354E8"/>
                <w:sz w:val="15"/>
              </w:rPr>
              <w:t>ZERO-TO-ONE PRODUCT</w:t>
            </w:r>
          </w:p>
          <w:p>
            <w:pPr>
              <w:spacing w:after="0" w:line="252" w:lineRule="auto"/>
            </w:pPr>
            <w:r>
              <w:rPr>
                <w:sz w:val="16"/>
              </w:rPr>
              <w:t>Product strategy · architecture · prototyping · technical leadership · launch</w:t>
            </w:r>
          </w:p>
        </w:tc>
        <w:tc>
          <w:tcPr>
            <w:tcW w:type="dxa" w:w="3336"/>
            <w:shd w:fill="F4F2ED"/>
            <w:tcMar>
              <w:top w:w="140" w:type="dxa"/>
              <w:start w:w="120" w:type="dxa"/>
              <w:bottom w:w="140" w:type="dxa"/>
              <w:end w:w="120" w:type="dxa"/>
            </w:tcMar>
          </w:tcPr>
          <w:p>
            <w:pPr>
              <w:spacing w:after="40"/>
            </w:pPr>
            <w:r>
              <w:rPr>
                <w:b/>
                <w:color w:val="6354E8"/>
                <w:sz w:val="15"/>
              </w:rPr>
              <w:t>FULL-STACK ENGINEERING</w:t>
            </w:r>
          </w:p>
          <w:p>
            <w:pPr>
              <w:spacing w:after="0" w:line="252" w:lineRule="auto"/>
            </w:pPr>
            <w:r>
              <w:rPr>
                <w:sz w:val="16"/>
              </w:rPr>
              <w:t>TypeScript · Python · React/Next.js · Node.js · APIs · data · infrastructure</w:t>
            </w:r>
          </w:p>
        </w:tc>
        <w:tc>
          <w:tcPr>
            <w:tcW w:type="dxa" w:w="3336"/>
            <w:shd w:fill="F4F2ED"/>
            <w:tcMar>
              <w:top w:w="140" w:type="dxa"/>
              <w:start w:w="120" w:type="dxa"/>
              <w:bottom w:w="140" w:type="dxa"/>
              <w:end w:w="120" w:type="dxa"/>
            </w:tcMar>
          </w:tcPr>
          <w:p>
            <w:pPr>
              <w:spacing w:after="40"/>
            </w:pPr>
            <w:r>
              <w:rPr>
                <w:b/>
                <w:color w:val="6354E8"/>
                <w:sz w:val="15"/>
              </w:rPr>
              <w:t>APPLIED AI SYSTEMS</w:t>
            </w:r>
          </w:p>
          <w:p>
            <w:pPr>
              <w:spacing w:after="0" w:line="252" w:lineRule="auto"/>
            </w:pPr>
            <w:r>
              <w:rPr>
                <w:sz w:val="16"/>
              </w:rPr>
              <w:t>Agents · RAG · voice · document intelligence · tool calling · model routing</w:t>
            </w:r>
          </w:p>
        </w:tc>
      </w:tr>
    </w:tbl>
    <w:p>
      <w:pPr>
        <w:keepNext/>
        <w:spacing w:before="240" w:after="140"/>
        <w:pBdr>
          <w:bottom w:val="single" w:sz="5" w:space="4" w:color="D8D6CF"/>
        </w:pBdr>
      </w:pPr>
      <w:r>
        <w:rPr>
          <w:rFonts w:ascii="Aptos" w:hAnsi="Aptos"/>
          <w:b/>
          <w:color w:val="6354E8"/>
          <w:sz w:val="17"/>
        </w:rPr>
        <w:t>PROFESSIONAL EXPERIENCE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632"/>
        <w:gridCol w:w="2304"/>
      </w:tblGrid>
      <w:tr>
        <w:tc>
          <w:tcPr>
            <w:tcW w:type="dxa" w:w="5004"/>
            <w:tcMar>
              <w:top w:w="40" w:type="dxa"/>
              <w:start w:w="0" w:type="dxa"/>
              <w:bottom w:w="40" w:type="dxa"/>
              <w:end w:w="0" w:type="dxa"/>
            </w:tcMar>
          </w:tcPr>
          <w:p>
            <w:pPr>
              <w:spacing w:after="0"/>
            </w:pPr>
            <w:r>
              <w:rPr>
                <w:b/>
                <w:color w:val="191A17"/>
                <w:sz w:val="21"/>
              </w:rPr>
              <w:t>Founder &amp; CTO</w:t>
            </w:r>
            <w:r>
              <w:rPr>
                <w:color w:val="4A4C46"/>
                <w:sz w:val="20"/>
              </w:rPr>
              <w:t xml:space="preserve">  ·  DcernX</w:t>
            </w:r>
          </w:p>
        </w:tc>
        <w:tc>
          <w:tcPr>
            <w:tcW w:type="dxa" w:w="5004"/>
            <w:tcMar>
              <w:top w:w="40" w:type="dxa"/>
              <w:start w:w="0" w:type="dxa"/>
              <w:bottom w:w="40" w:type="dxa"/>
              <w:end w:w="0" w:type="dxa"/>
            </w:tcMar>
          </w:tcPr>
          <w:p>
            <w:pPr>
              <w:spacing w:after="0"/>
              <w:jc w:val="right"/>
            </w:pPr>
            <w:r>
              <w:rPr>
                <w:color w:val="62655E"/>
                <w:sz w:val="16"/>
              </w:rPr>
              <w:t>2025 — Present</w:t>
            </w:r>
          </w:p>
        </w:tc>
      </w:tr>
    </w:tbl>
    <w:p>
      <w:pPr>
        <w:pStyle w:val="ListBullet"/>
        <w:spacing w:after="64" w:line="259" w:lineRule="auto"/>
        <w:ind w:left="259" w:hanging="173"/>
      </w:pPr>
      <w:r>
        <w:rPr>
          <w:color w:val="373934"/>
          <w:sz w:val="18"/>
        </w:rPr>
        <w:t>Building an AI operating system for venture capital, private equity and investment teams in partnership with a UK-based accelerator, centered on agentic research, document intelligence and collaborative diligence.</w:t>
      </w:r>
    </w:p>
    <w:p>
      <w:pPr>
        <w:pStyle w:val="ListBullet"/>
        <w:spacing w:after="64" w:line="259" w:lineRule="auto"/>
        <w:ind w:left="259" w:hanging="173"/>
      </w:pPr>
      <w:r>
        <w:rPr>
          <w:color w:val="373934"/>
          <w:sz w:val="18"/>
        </w:rPr>
        <w:t>Designed multi-agent research workflows that coordinate web search, uploaded documents, specialized agents, tool calls and structured outputs through stateful orchestration.</w:t>
      </w:r>
    </w:p>
    <w:p>
      <w:pPr>
        <w:pStyle w:val="ListBullet"/>
        <w:spacing w:after="64" w:line="259" w:lineRule="auto"/>
        <w:ind w:left="259" w:hanging="173"/>
      </w:pPr>
      <w:r>
        <w:rPr>
          <w:color w:val="373934"/>
          <w:sz w:val="18"/>
        </w:rPr>
        <w:t>Built evidence-backed analysis with citation grounding, claim-to-evidence mapping, risk extraction and multi-document reasoning.</w:t>
      </w:r>
    </w:p>
    <w:p>
      <w:pPr>
        <w:pStyle w:val="ListBullet"/>
        <w:spacing w:after="64" w:line="259" w:lineRule="auto"/>
        <w:ind w:left="259" w:hanging="173"/>
      </w:pPr>
      <w:r>
        <w:rPr>
          <w:color w:val="373934"/>
          <w:sz w:val="18"/>
        </w:rPr>
        <w:t>Developed ingestion and retrieval pipelines using Docling, PageIndex, RAG and hierarchical/vector retrieval strategies.</w:t>
      </w:r>
    </w:p>
    <w:p>
      <w:pPr>
        <w:pStyle w:val="ListBullet"/>
        <w:spacing w:after="64" w:line="259" w:lineRule="auto"/>
        <w:ind w:left="259" w:hanging="173"/>
      </w:pPr>
      <w:r>
        <w:rPr>
          <w:color w:val="373934"/>
          <w:sz w:val="18"/>
        </w:rPr>
        <w:t>Own product and technical architecture across the Next.js/TypeScript application, Python AI workflows, data infrastructure, model/provider routing and deployment.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632"/>
        <w:gridCol w:w="2304"/>
      </w:tblGrid>
      <w:tr>
        <w:tc>
          <w:tcPr>
            <w:tcW w:type="dxa" w:w="5004"/>
            <w:tcMar>
              <w:top w:w="40" w:type="dxa"/>
              <w:start w:w="0" w:type="dxa"/>
              <w:bottom w:w="40" w:type="dxa"/>
              <w:end w:w="0" w:type="dxa"/>
            </w:tcMar>
          </w:tcPr>
          <w:p>
            <w:pPr>
              <w:spacing w:after="0"/>
            </w:pPr>
            <w:r>
              <w:rPr>
                <w:b/>
                <w:color w:val="191A17"/>
                <w:sz w:val="21"/>
              </w:rPr>
              <w:t>Founder / Product &amp; Engineering Lead</w:t>
            </w:r>
            <w:r>
              <w:rPr>
                <w:color w:val="4A4C46"/>
                <w:sz w:val="20"/>
              </w:rPr>
              <w:t xml:space="preserve">  ·  P101 Labs</w:t>
            </w:r>
          </w:p>
        </w:tc>
        <w:tc>
          <w:tcPr>
            <w:tcW w:type="dxa" w:w="5004"/>
            <w:tcMar>
              <w:top w:w="40" w:type="dxa"/>
              <w:start w:w="0" w:type="dxa"/>
              <w:bottom w:w="40" w:type="dxa"/>
              <w:end w:w="0" w:type="dxa"/>
            </w:tcMar>
          </w:tcPr>
          <w:p>
            <w:pPr>
              <w:spacing w:after="0"/>
              <w:jc w:val="right"/>
            </w:pPr>
            <w:r>
              <w:rPr>
                <w:color w:val="62655E"/>
                <w:sz w:val="16"/>
              </w:rPr>
              <w:t>2024 — Present</w:t>
            </w:r>
          </w:p>
        </w:tc>
      </w:tr>
    </w:tbl>
    <w:p>
      <w:pPr>
        <w:pStyle w:val="ListBullet"/>
        <w:spacing w:after="64" w:line="259" w:lineRule="auto"/>
        <w:ind w:left="259" w:hanging="173"/>
      </w:pPr>
      <w:r>
        <w:rPr>
          <w:color w:val="373934"/>
          <w:sz w:val="18"/>
        </w:rPr>
        <w:t>Built and shipped AI and full-stack products for startups and SMEs across voice, chat, interview automation, document intelligence and workflow automation.</w:t>
      </w:r>
    </w:p>
    <w:p>
      <w:pPr>
        <w:pStyle w:val="ListBullet"/>
        <w:spacing w:after="64" w:line="259" w:lineRule="auto"/>
        <w:ind w:left="259" w:hanging="173"/>
      </w:pPr>
      <w:r>
        <w:rPr>
          <w:color w:val="373934"/>
          <w:sz w:val="18"/>
        </w:rPr>
        <w:t>Partnered directly with founders to translate ambiguous operational problems into product scope, architecture and production-ready software.</w:t>
      </w:r>
    </w:p>
    <w:p>
      <w:pPr>
        <w:pStyle w:val="ListBullet"/>
        <w:spacing w:after="64" w:line="259" w:lineRule="auto"/>
        <w:ind w:left="259" w:hanging="173"/>
      </w:pPr>
      <w:r>
        <w:rPr>
          <w:color w:val="373934"/>
          <w:sz w:val="18"/>
        </w:rPr>
        <w:t>Owned interfaces, APIs, data models, integrations, streaming and asynchronous workflows alongside the AI systems embedded in each product.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632"/>
        <w:gridCol w:w="2304"/>
      </w:tblGrid>
      <w:tr>
        <w:tc>
          <w:tcPr>
            <w:tcW w:type="dxa" w:w="5004"/>
            <w:tcMar>
              <w:top w:w="40" w:type="dxa"/>
              <w:start w:w="0" w:type="dxa"/>
              <w:bottom w:w="40" w:type="dxa"/>
              <w:end w:w="0" w:type="dxa"/>
            </w:tcMar>
          </w:tcPr>
          <w:p>
            <w:pPr>
              <w:spacing w:after="0"/>
            </w:pPr>
            <w:r>
              <w:rPr>
                <w:b/>
                <w:color w:val="191A17"/>
                <w:sz w:val="21"/>
              </w:rPr>
              <w:t>Independent Consultant — Full-Stack &amp; AI</w:t>
            </w:r>
            <w:r>
              <w:rPr>
                <w:color w:val="4A4C46"/>
                <w:sz w:val="20"/>
              </w:rPr>
              <w:t xml:space="preserve">  ·  Selected engagements</w:t>
            </w:r>
          </w:p>
        </w:tc>
        <w:tc>
          <w:tcPr>
            <w:tcW w:type="dxa" w:w="5004"/>
            <w:tcMar>
              <w:top w:w="40" w:type="dxa"/>
              <w:start w:w="0" w:type="dxa"/>
              <w:bottom w:w="40" w:type="dxa"/>
              <w:end w:w="0" w:type="dxa"/>
            </w:tcMar>
          </w:tcPr>
          <w:p>
            <w:pPr>
              <w:spacing w:after="0"/>
              <w:jc w:val="right"/>
            </w:pPr>
            <w:r>
              <w:rPr>
                <w:color w:val="62655E"/>
                <w:sz w:val="16"/>
              </w:rPr>
              <w:t>2023 — Present · Concurrent</w:t>
            </w:r>
          </w:p>
        </w:tc>
      </w:tr>
    </w:tbl>
    <w:p>
      <w:pPr>
        <w:pStyle w:val="ListBullet"/>
        <w:spacing w:after="64" w:line="259" w:lineRule="auto"/>
        <w:ind w:left="259" w:hanging="173"/>
      </w:pPr>
      <w:r>
        <w:rPr>
          <w:color w:val="373934"/>
          <w:sz w:val="18"/>
        </w:rPr>
        <w:t>Partnered with startups and SMEs on product architecture, rapid prototyping and production engineering across operations, customer support and document intelligence.</w:t>
      </w:r>
    </w:p>
    <w:p>
      <w:pPr>
        <w:pStyle w:val="ListBullet"/>
        <w:spacing w:after="64" w:line="259" w:lineRule="auto"/>
        <w:ind w:left="259" w:hanging="173"/>
      </w:pPr>
      <w:r>
        <w:rPr>
          <w:color w:val="373934"/>
          <w:sz w:val="18"/>
        </w:rPr>
        <w:t>Contributed across product definition, frontend, backend, integrations and deployment based on the needs of each engagement.</w:t>
      </w:r>
    </w:p>
    <w:p>
      <w:r>
        <w:br w:type="page"/>
      </w:r>
    </w:p>
    <w:p>
      <w:pPr>
        <w:spacing w:after="40"/>
      </w:pPr>
      <w:r>
        <w:rPr>
          <w:rFonts w:ascii="Georgia" w:hAnsi="Georgia"/>
          <w:color w:val="191A17"/>
          <w:sz w:val="40"/>
        </w:rPr>
        <w:t>SELECTED WORK &amp; TECHNICAL DEPTH</w:t>
      </w:r>
    </w:p>
    <w:p>
      <w:pPr>
        <w:spacing w:after="80"/>
      </w:pPr>
      <w:r>
        <w:rPr>
          <w:color w:val="62655E"/>
          <w:sz w:val="18"/>
        </w:rPr>
        <w:t>A closer look at selected product work and the systems behind it.</w:t>
      </w:r>
    </w:p>
    <w:p>
      <w:pPr>
        <w:keepNext/>
        <w:spacing w:before="240" w:after="140"/>
        <w:pBdr>
          <w:bottom w:val="single" w:sz="5" w:space="4" w:color="D8D6CF"/>
        </w:pBdr>
      </w:pPr>
      <w:r>
        <w:rPr>
          <w:rFonts w:ascii="Aptos" w:hAnsi="Aptos"/>
          <w:b/>
          <w:color w:val="6354E8"/>
          <w:sz w:val="17"/>
        </w:rPr>
        <w:t>SELECTED PRODUCT WORK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004"/>
        <w:gridCol w:w="5004"/>
      </w:tblGrid>
      <w:tr>
        <w:tc>
          <w:tcPr>
            <w:tcW w:type="dxa" w:w="5004"/>
            <w:shd w:fill="F4F2ED"/>
            <w:tcMar>
              <w:top w:w="150" w:type="dxa"/>
              <w:start w:w="150" w:type="dxa"/>
              <w:bottom w:w="150" w:type="dxa"/>
              <w:end w:w="150" w:type="dxa"/>
            </w:tcMar>
          </w:tcPr>
          <w:p>
            <w:pPr>
              <w:spacing w:after="100"/>
            </w:pPr>
            <w:r>
              <w:rPr>
                <w:b/>
                <w:color w:val="6354E8"/>
                <w:sz w:val="14"/>
              </w:rPr>
              <w:t>INTERACTIVE DESIGN PLATFORM</w:t>
            </w:r>
          </w:p>
          <w:p>
            <w:pPr>
              <w:spacing w:after="120"/>
            </w:pPr>
            <w:r>
              <w:rPr>
                <w:rFonts w:ascii="Georgia" w:hAnsi="Georgia"/>
                <w:b/>
                <w:sz w:val="24"/>
              </w:rPr>
              <w:t>3D Garden &amp; Home Designer</w:t>
            </w:r>
          </w:p>
          <w:p>
            <w:pPr>
              <w:spacing w:after="100" w:line="259" w:lineRule="auto"/>
            </w:pPr>
            <w:r>
              <w:rPr>
                <w:sz w:val="17"/>
              </w:rPr>
              <w:t>A visual product that helps users create polished 3D garden and home mockups through an approachable design workflow.</w:t>
            </w:r>
          </w:p>
          <w:p>
            <w:pPr>
              <w:spacing w:after="0" w:line="259" w:lineRule="auto"/>
            </w:pPr>
            <w:r>
              <w:rPr>
                <w:color w:val="53554F"/>
                <w:sz w:val="16"/>
              </w:rPr>
              <w:t>Worked across the interactive product experience and supporting platform, helping translate specialist 3D-design concepts into a tool for everyday users.</w:t>
            </w:r>
          </w:p>
        </w:tc>
        <w:tc>
          <w:tcPr>
            <w:tcW w:type="dxa" w:w="5004"/>
            <w:shd w:fill="F4F2ED"/>
            <w:tcMar>
              <w:top w:w="150" w:type="dxa"/>
              <w:start w:w="150" w:type="dxa"/>
              <w:bottom w:w="150" w:type="dxa"/>
              <w:end w:w="150" w:type="dxa"/>
            </w:tcMar>
          </w:tcPr>
          <w:p>
            <w:pPr>
              <w:spacing w:after="100"/>
            </w:pPr>
            <w:r>
              <w:rPr>
                <w:b/>
                <w:color w:val="6354E8"/>
                <w:sz w:val="14"/>
              </w:rPr>
              <w:t>GOVTECH · WORKFLOW AUTOMATION</w:t>
            </w:r>
          </w:p>
          <w:p>
            <w:pPr>
              <w:spacing w:after="120"/>
            </w:pPr>
            <w:r>
              <w:rPr>
                <w:rFonts w:ascii="Georgia" w:hAnsi="Georgia"/>
                <w:b/>
                <w:sz w:val="24"/>
              </w:rPr>
              <w:t>Krooki Management System</w:t>
            </w:r>
          </w:p>
          <w:p>
            <w:pPr>
              <w:spacing w:after="100" w:line="259" w:lineRule="auto"/>
            </w:pPr>
            <w:r>
              <w:rPr>
                <w:sz w:val="17"/>
              </w:rPr>
              <w:t>A management platform supporting the Government of Oman in digitizing construction application and approval processes.</w:t>
            </w:r>
          </w:p>
          <w:p>
            <w:pPr>
              <w:spacing w:after="0" w:line="259" w:lineRule="auto"/>
            </w:pPr>
            <w:r>
              <w:rPr>
                <w:color w:val="53554F"/>
                <w:sz w:val="16"/>
              </w:rPr>
              <w:t>Helped turn a multi-stage operational process into a structured digital workflow for application management, reviews, approvals and stakeholder coordination.</w:t>
            </w:r>
          </w:p>
        </w:tc>
      </w:tr>
    </w:tbl>
    <w:p>
      <w:pPr>
        <w:keepNext/>
        <w:spacing w:before="240" w:after="140"/>
        <w:pBdr>
          <w:bottom w:val="single" w:sz="5" w:space="4" w:color="D8D6CF"/>
        </w:pBdr>
      </w:pPr>
      <w:r>
        <w:rPr>
          <w:rFonts w:ascii="Aptos" w:hAnsi="Aptos"/>
          <w:b/>
          <w:color w:val="6354E8"/>
          <w:sz w:val="17"/>
        </w:rPr>
        <w:t>EARLIER EXPERIENCE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632"/>
        <w:gridCol w:w="2304"/>
      </w:tblGrid>
      <w:tr>
        <w:tc>
          <w:tcPr>
            <w:tcW w:type="dxa" w:w="5004"/>
            <w:tcMar>
              <w:top w:w="40" w:type="dxa"/>
              <w:start w:w="0" w:type="dxa"/>
              <w:bottom w:w="40" w:type="dxa"/>
              <w:end w:w="0" w:type="dxa"/>
            </w:tcMar>
          </w:tcPr>
          <w:p>
            <w:pPr>
              <w:spacing w:after="0"/>
            </w:pPr>
            <w:r>
              <w:rPr>
                <w:b/>
                <w:color w:val="191A17"/>
                <w:sz w:val="21"/>
              </w:rPr>
              <w:t>Founding Full-Stack Engineer</w:t>
            </w:r>
            <w:r>
              <w:rPr>
                <w:color w:val="4A4C46"/>
                <w:sz w:val="20"/>
              </w:rPr>
              <w:t xml:space="preserve">  ·  CultureCo</w:t>
            </w:r>
          </w:p>
        </w:tc>
        <w:tc>
          <w:tcPr>
            <w:tcW w:type="dxa" w:w="5004"/>
            <w:tcMar>
              <w:top w:w="40" w:type="dxa"/>
              <w:start w:w="0" w:type="dxa"/>
              <w:bottom w:w="40" w:type="dxa"/>
              <w:end w:w="0" w:type="dxa"/>
            </w:tcMar>
          </w:tcPr>
          <w:p>
            <w:pPr>
              <w:spacing w:after="0"/>
              <w:jc w:val="right"/>
            </w:pPr>
            <w:r>
              <w:rPr>
                <w:color w:val="62655E"/>
                <w:sz w:val="16"/>
              </w:rPr>
              <w:t>Sep 2024 — Dec 2024</w:t>
            </w:r>
          </w:p>
        </w:tc>
      </w:tr>
    </w:tbl>
    <w:p>
      <w:pPr>
        <w:pStyle w:val="ListBullet"/>
        <w:spacing w:after="64" w:line="259" w:lineRule="auto"/>
        <w:ind w:left="259" w:hanging="173"/>
      </w:pPr>
      <w:r>
        <w:rPr>
          <w:color w:val="373934"/>
          <w:sz w:val="18"/>
        </w:rPr>
        <w:t>Built the full-stack creator commerce platform enabling creators to sell products, manage communities and grow their businesses.</w:t>
      </w:r>
    </w:p>
    <w:p>
      <w:pPr>
        <w:pStyle w:val="ListBullet"/>
        <w:spacing w:after="64" w:line="259" w:lineRule="auto"/>
        <w:ind w:left="259" w:hanging="173"/>
      </w:pPr>
      <w:r>
        <w:rPr>
          <w:color w:val="373934"/>
          <w:sz w:val="18"/>
        </w:rPr>
        <w:t>Contributed across product development, frontend, backend and integrations in an early-stage, zero-to-one environment.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632"/>
        <w:gridCol w:w="2304"/>
      </w:tblGrid>
      <w:tr>
        <w:tc>
          <w:tcPr>
            <w:tcW w:type="dxa" w:w="5004"/>
            <w:tcMar>
              <w:top w:w="40" w:type="dxa"/>
              <w:start w:w="0" w:type="dxa"/>
              <w:bottom w:w="40" w:type="dxa"/>
              <w:end w:w="0" w:type="dxa"/>
            </w:tcMar>
          </w:tcPr>
          <w:p>
            <w:pPr>
              <w:spacing w:after="0"/>
            </w:pPr>
            <w:r>
              <w:rPr>
                <w:b/>
                <w:color w:val="191A17"/>
                <w:sz w:val="21"/>
              </w:rPr>
              <w:t>Founding Engineer</w:t>
            </w:r>
            <w:r>
              <w:rPr>
                <w:color w:val="4A4C46"/>
                <w:sz w:val="20"/>
              </w:rPr>
              <w:t xml:space="preserve">  ·  Truts</w:t>
            </w:r>
          </w:p>
        </w:tc>
        <w:tc>
          <w:tcPr>
            <w:tcW w:type="dxa" w:w="5004"/>
            <w:tcMar>
              <w:top w:w="40" w:type="dxa"/>
              <w:start w:w="0" w:type="dxa"/>
              <w:bottom w:w="40" w:type="dxa"/>
              <w:end w:w="0" w:type="dxa"/>
            </w:tcMar>
          </w:tcPr>
          <w:p>
            <w:pPr>
              <w:spacing w:after="0"/>
              <w:jc w:val="right"/>
            </w:pPr>
            <w:r>
              <w:rPr>
                <w:color w:val="62655E"/>
                <w:sz w:val="16"/>
              </w:rPr>
              <w:t>Dec 2021 — Mar 2024</w:t>
            </w:r>
          </w:p>
        </w:tc>
      </w:tr>
    </w:tbl>
    <w:p>
      <w:pPr>
        <w:pStyle w:val="ListBullet"/>
        <w:spacing w:after="64" w:line="259" w:lineRule="auto"/>
        <w:ind w:left="259" w:hanging="173"/>
      </w:pPr>
      <w:r>
        <w:rPr>
          <w:color w:val="373934"/>
          <w:sz w:val="18"/>
        </w:rPr>
        <w:t>Built a Web3 discovery and quest platform from the ground up across frontend, backend, blockchain integrations and product development.</w:t>
      </w:r>
    </w:p>
    <w:p>
      <w:pPr>
        <w:pStyle w:val="ListBullet"/>
        <w:spacing w:after="64" w:line="259" w:lineRule="auto"/>
        <w:ind w:left="259" w:hanging="173"/>
      </w:pPr>
      <w:r>
        <w:rPr>
          <w:color w:val="373934"/>
          <w:sz w:val="18"/>
        </w:rPr>
        <w:t>Owned broad engineering scope as an early team member, taking product capabilities from concept through production release.</w:t>
      </w:r>
    </w:p>
    <w:p>
      <w:pPr>
        <w:keepNext/>
        <w:spacing w:before="240" w:after="140"/>
        <w:pBdr>
          <w:bottom w:val="single" w:sz="5" w:space="4" w:color="D8D6CF"/>
        </w:pBdr>
      </w:pPr>
      <w:r>
        <w:rPr>
          <w:rFonts w:ascii="Aptos" w:hAnsi="Aptos"/>
          <w:b/>
          <w:color w:val="6354E8"/>
          <w:sz w:val="17"/>
        </w:rPr>
        <w:t>SELECTED APPLIED AI SYSTEMS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004"/>
        <w:gridCol w:w="5004"/>
      </w:tblGrid>
      <w:tr>
        <w:tc>
          <w:tcPr>
            <w:tcW w:type="dxa" w:w="5004"/>
            <w:tcMar>
              <w:top w:w="110" w:type="dxa"/>
              <w:start w:w="120" w:type="dxa"/>
              <w:bottom w:w="110" w:type="dxa"/>
              <w:end w:w="120" w:type="dxa"/>
            </w:tcMar>
            <w:shd w:fill="F4F2ED"/>
          </w:tcPr>
          <w:p>
            <w:pPr>
              <w:spacing w:after="40"/>
            </w:pPr>
            <w:r>
              <w:rPr>
                <w:b/>
                <w:sz w:val="17"/>
              </w:rPr>
              <w:t>Deep research &amp; diligence</w:t>
            </w:r>
          </w:p>
          <w:p>
            <w:pPr>
              <w:spacing w:after="0" w:line="259" w:lineRule="auto"/>
            </w:pPr>
            <w:r>
              <w:rPr>
                <w:color w:val="53554F"/>
                <w:sz w:val="16"/>
              </w:rPr>
              <w:t>Multi-agent research across documents, web sources and structured data, producing grounded findings, citations, claim/evidence links and risk analysis.</w:t>
            </w:r>
          </w:p>
        </w:tc>
        <w:tc>
          <w:tcPr>
            <w:tcW w:type="dxa" w:w="5004"/>
            <w:tcMar>
              <w:top w:w="110" w:type="dxa"/>
              <w:start w:w="120" w:type="dxa"/>
              <w:bottom w:w="110" w:type="dxa"/>
              <w:end w:w="120" w:type="dxa"/>
            </w:tcMar>
            <w:shd w:fill="F4F2ED"/>
          </w:tcPr>
          <w:p>
            <w:pPr>
              <w:spacing w:after="40"/>
            </w:pPr>
            <w:r>
              <w:rPr>
                <w:b/>
                <w:sz w:val="17"/>
              </w:rPr>
              <w:t>Realtime voice agents</w:t>
            </w:r>
          </w:p>
          <w:p>
            <w:pPr>
              <w:spacing w:after="0" w:line="259" w:lineRule="auto"/>
            </w:pPr>
            <w:r>
              <w:rPr>
                <w:color w:val="53554F"/>
                <w:sz w:val="16"/>
              </w:rPr>
              <w:t>Streaming STT → LLM → TTS systems with VAD, tool execution, LiveKit Agents, Whisper and production integration workflows.</w:t>
            </w:r>
          </w:p>
        </w:tc>
      </w:tr>
      <w:tr>
        <w:tc>
          <w:tcPr>
            <w:tcW w:type="dxa" w:w="5004"/>
            <w:tcMar>
              <w:top w:w="110" w:type="dxa"/>
              <w:start w:w="120" w:type="dxa"/>
              <w:bottom w:w="110" w:type="dxa"/>
              <w:end w:w="120" w:type="dxa"/>
            </w:tcMar>
            <w:shd w:fill="F4F2ED"/>
          </w:tcPr>
          <w:p>
            <w:pPr>
              <w:spacing w:after="40"/>
            </w:pPr>
            <w:r>
              <w:rPr>
                <w:b/>
                <w:sz w:val="17"/>
              </w:rPr>
              <w:t>AI interview systems</w:t>
            </w:r>
          </w:p>
          <w:p>
            <w:pPr>
              <w:spacing w:after="0" w:line="259" w:lineRule="auto"/>
            </w:pPr>
            <w:r>
              <w:rPr>
                <w:color w:val="53554F"/>
                <w:sz w:val="16"/>
              </w:rPr>
              <w:t>Interview and screening products spanning question generation, response analysis, scoring, evaluation and video-introduction assessment.</w:t>
            </w:r>
          </w:p>
        </w:tc>
        <w:tc>
          <w:tcPr>
            <w:tcW w:type="dxa" w:w="5004"/>
            <w:tcMar>
              <w:top w:w="110" w:type="dxa"/>
              <w:start w:w="120" w:type="dxa"/>
              <w:bottom w:w="110" w:type="dxa"/>
              <w:end w:w="120" w:type="dxa"/>
            </w:tcMar>
            <w:shd w:fill="F4F2ED"/>
          </w:tcPr>
          <w:p>
            <w:pPr>
              <w:spacing w:after="40"/>
            </w:pPr>
            <w:r>
              <w:rPr>
                <w:b/>
                <w:sz w:val="17"/>
              </w:rPr>
              <w:t>Chatbots &amp; workflow agents</w:t>
            </w:r>
          </w:p>
          <w:p>
            <w:pPr>
              <w:spacing w:after="0" w:line="259" w:lineRule="auto"/>
            </w:pPr>
            <w:r>
              <w:rPr>
                <w:color w:val="53554F"/>
                <w:sz w:val="16"/>
              </w:rPr>
              <w:t>Knowledge-grounded, tool-enabled experiences with multi-turn state, external actions, configurable workflows and customer-support automation.</w:t>
            </w:r>
          </w:p>
        </w:tc>
      </w:tr>
    </w:tbl>
    <w:p>
      <w:pPr>
        <w:keepNext/>
        <w:spacing w:before="240" w:after="140"/>
        <w:pBdr>
          <w:bottom w:val="single" w:sz="5" w:space="4" w:color="D8D6CF"/>
        </w:pBdr>
      </w:pPr>
      <w:r>
        <w:rPr>
          <w:rFonts w:ascii="Aptos" w:hAnsi="Aptos"/>
          <w:b/>
          <w:color w:val="6354E8"/>
          <w:sz w:val="17"/>
        </w:rPr>
        <w:t>TECHNICAL STACK</w:t>
      </w:r>
    </w:p>
    <w:p>
      <w:pPr>
        <w:spacing w:after="90"/>
      </w:pPr>
      <w:r>
        <w:rPr>
          <w:b/>
          <w:sz w:val="16"/>
        </w:rPr>
        <w:t xml:space="preserve">Product &amp; frontend: </w:t>
      </w:r>
      <w:r>
        <w:rPr>
          <w:color w:val="484A45"/>
          <w:sz w:val="16"/>
        </w:rPr>
        <w:t>TypeScript · React · Next.js · Tailwind · React Query · Zustand · interaction design</w:t>
      </w:r>
    </w:p>
    <w:p>
      <w:pPr>
        <w:spacing w:after="90"/>
      </w:pPr>
      <w:r>
        <w:rPr>
          <w:b/>
          <w:sz w:val="16"/>
        </w:rPr>
        <w:t xml:space="preserve">Backend &amp; realtime: </w:t>
      </w:r>
      <w:r>
        <w:rPr>
          <w:color w:val="484A45"/>
          <w:sz w:val="16"/>
        </w:rPr>
        <w:t>Python · Node.js · Express · REST APIs · WebSockets/SSE · async workflows · system design</w:t>
      </w:r>
    </w:p>
    <w:p>
      <w:pPr>
        <w:spacing w:after="90"/>
      </w:pPr>
      <w:r>
        <w:rPr>
          <w:b/>
          <w:sz w:val="16"/>
        </w:rPr>
        <w:t xml:space="preserve">Applied AI: </w:t>
      </w:r>
      <w:r>
        <w:rPr>
          <w:color w:val="484A45"/>
          <w:sz w:val="16"/>
        </w:rPr>
        <w:t>LangGraph · Vercel AI SDK · LangChain · LiveKit Agents · RAG · tool calling · structured outputs</w:t>
      </w:r>
    </w:p>
    <w:p>
      <w:pPr>
        <w:spacing w:after="90"/>
      </w:pPr>
      <w:r>
        <w:rPr>
          <w:b/>
          <w:sz w:val="16"/>
        </w:rPr>
        <w:t xml:space="preserve">Models: </w:t>
      </w:r>
      <w:r>
        <w:rPr>
          <w:color w:val="484A45"/>
          <w:sz w:val="16"/>
        </w:rPr>
        <w:t>OpenAI · Claude · Gemini · DeepSeek · Qwen · Fireworks AI · open-weight inference · provider routing</w:t>
      </w:r>
    </w:p>
    <w:p>
      <w:pPr>
        <w:spacing w:after="90"/>
      </w:pPr>
      <w:r>
        <w:rPr>
          <w:b/>
          <w:sz w:val="16"/>
        </w:rPr>
        <w:t xml:space="preserve">Data &amp; infrastructure: </w:t>
      </w:r>
      <w:r>
        <w:rPr>
          <w:color w:val="484A45"/>
          <w:sz w:val="16"/>
        </w:rPr>
        <w:t>PostgreSQL · MongoDB · Convex · Supabase · Redis · AWS · Docker · Cloudflare · Railway · Coolify · Linux</w:t>
      </w:r>
    </w:p>
    <w:sectPr w:rsidR="00FC693F" w:rsidRPr="0006063C" w:rsidSect="00034616">
      <w:pgSz w:w="11909" w:h="16834"/>
      <w:pgMar w:top="893" w:right="950" w:bottom="893" w:left="9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191A17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