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40"/>
        <w:gridCol w:w="4440"/>
      </w:tblGrid>
      <w:tr>
        <w:tc>
          <w:tcPr>
            <w:tcW w:type="dxa" w:w="56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128587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85875" cy="533400"/>
                          </a:xfrm>
                          <a:prstGeom prst="rect">
                            <a:avLst/>
                          </a:prstGeom>
                        </pic:spPr>
                      </pic:pic>
                    </a:graphicData>
                  </a:graphic>
                </wp:inline>
              </w:drawing>
            </w:r>
          </w:p>
        </w:tc>
        <w:tc>
          <w:tcPr>
            <w:tcW w:type="dxa" w:w="44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
              <w:jc w:val="right"/>
            </w:pPr>
            <w:r>
              <w:rPr>
                <w:b/>
                <w:bCs/>
                <w:color w:val="1A1A1A"/>
                <w:sz w:val="19"/>
                <w:szCs w:val="19"/>
              </w:rPr>
              <w:t xml:space="preserve">Harmonia Strategy Inc</w:t>
            </w:r>
          </w:p>
          <w:p>
            <w:pPr>
              <w:spacing w:after="2"/>
              <w:jc w:val="right"/>
            </w:pPr>
            <w:r>
              <w:rPr>
                <w:color w:val="1A1A1A"/>
                <w:sz w:val="17"/>
                <w:szCs w:val="17"/>
              </w:rPr>
              <w:t xml:space="preserve">baamreview.com</w:t>
            </w:r>
          </w:p>
          <w:p>
            <w:pPr>
              <w:jc w:val="right"/>
            </w:pPr>
            <w:r>
              <w:rPr>
                <w:color w:val="1A1A1A"/>
                <w:sz w:val="15"/>
                <w:szCs w:val="15"/>
              </w:rPr>
              <w:t xml:space="preserve">90 North St, Suite 206, Middletown, NY 10940</w:t>
            </w:r>
          </w:p>
        </w:tc>
      </w:tr>
    </w:tbl>
    <w:p>
      <w:pPr>
        <w:pBdr>
          <w:bottom w:val="single" w:color="27324F" w:sz="8" w:space="8"/>
        </w:pBdr>
        <w:spacing w:after="200" w:before="220"/>
        <w:jc w:val="center"/>
      </w:pPr>
      <w:r>
        <w:rPr>
          <w:b/>
          <w:bCs/>
          <w:color w:val="27324F"/>
          <w:sz w:val="28"/>
          <w:szCs w:val="28"/>
        </w:rPr>
        <w:t xml:space="preserve">BAAM REVIEW — SERVICE AGREEMENT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50"/>
        <w:gridCol w:w="2790"/>
        <w:gridCol w:w="400"/>
        <w:gridCol w:w="1620"/>
        <w:gridCol w:w="3220"/>
      </w:tblGrid>
      <w:tr>
        <w:tc>
          <w:tcPr>
            <w:tcW w:type="dxa" w:w="2050"/>
            <w:tcBorders>
              <w:top w:val="none" w:color="FFFFFF" w:sz="0"/>
              <w:left w:val="none" w:color="FFFFFF" w:sz="0"/>
              <w:bottom w:val="none" w:color="FFFFFF" w:sz="0"/>
              <w:right w:val="none" w:color="FFFFFF" w:sz="0"/>
            </w:tcBorders>
            <w:tcMar>
              <w:top w:type="dxa" w:w="60"/>
              <w:left w:type="dxa" w:w="0"/>
              <w:bottom w:type="dxa" w:w="60"/>
              <w:right w:type="dxa" w:w="90"/>
            </w:tcMar>
            <w:vAlign w:val="bottom"/>
          </w:tcPr>
          <w:p>
            <w:r>
              <w:rPr>
                <w:color w:val="1A1A1A"/>
                <w:sz w:val="18"/>
                <w:szCs w:val="18"/>
              </w:rPr>
              <w:t xml:space="preserve">Client Legal Name</w:t>
            </w:r>
          </w:p>
        </w:tc>
        <w:tc>
          <w:tcPr>
            <w:tcW w:type="dxa" w:w="2790"/>
            <w:gridSpan w:val="1"/>
            <w:tcBorders>
              <w:top w:val="none" w:color="FFFFFF" w:sz="0"/>
              <w:left w:val="none" w:color="FFFFFF" w:sz="0"/>
              <w:bottom w:val="single" w:color="27324F" w:sz="4"/>
              <w:right w:val="none" w:color="FFFFFF" w:sz="0"/>
            </w:tcBorders>
            <w:tcMar>
              <w:top w:type="dxa" w:w="60"/>
              <w:left w:type="dxa" w:w="0"/>
              <w:bottom w:type="dxa" w:w="60"/>
              <w:right w:type="dxa" w:w="90"/>
            </w:tcMar>
            <w:vAlign w:val="bottom"/>
          </w:tcPr>
          <w:p>
            <w:r>
              <w:rPr>
                <w:sz w:val="18"/>
                <w:szCs w:val="18"/>
              </w:rPr>
              <w:t xml:space="preserve"> </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r>
              <w:rPr>
                <w:sz w:val="16"/>
                <w:szCs w:val="16"/>
              </w:rPr>
              <w:t xml:space="preserve"> </w:t>
            </w:r>
          </w:p>
        </w:tc>
        <w:tc>
          <w:tcPr>
            <w:tcW w:type="dxa" w:w="1620"/>
            <w:tcBorders>
              <w:top w:val="none" w:color="FFFFFF" w:sz="0"/>
              <w:left w:val="none" w:color="FFFFFF" w:sz="0"/>
              <w:bottom w:val="none" w:color="FFFFFF" w:sz="0"/>
              <w:right w:val="none" w:color="FFFFFF" w:sz="0"/>
            </w:tcBorders>
            <w:tcMar>
              <w:top w:type="dxa" w:w="60"/>
              <w:left w:type="dxa" w:w="0"/>
              <w:bottom w:type="dxa" w:w="60"/>
              <w:right w:type="dxa" w:w="90"/>
            </w:tcMar>
            <w:vAlign w:val="bottom"/>
          </w:tcPr>
          <w:p>
            <w:r>
              <w:rPr>
                <w:color w:val="1A1A1A"/>
                <w:sz w:val="18"/>
                <w:szCs w:val="18"/>
              </w:rPr>
              <w:t xml:space="preserve">Contact Person</w:t>
            </w:r>
          </w:p>
        </w:tc>
        <w:tc>
          <w:tcPr>
            <w:tcW w:type="dxa" w:w="3220"/>
            <w:gridSpan w:val="1"/>
            <w:tcBorders>
              <w:top w:val="none" w:color="FFFFFF" w:sz="0"/>
              <w:left w:val="none" w:color="FFFFFF" w:sz="0"/>
              <w:bottom w:val="single" w:color="27324F" w:sz="4"/>
              <w:right w:val="none" w:color="FFFFFF" w:sz="0"/>
            </w:tcBorders>
            <w:tcMar>
              <w:top w:type="dxa" w:w="60"/>
              <w:left w:type="dxa" w:w="0"/>
              <w:bottom w:type="dxa" w:w="60"/>
              <w:right w:type="dxa" w:w="90"/>
            </w:tcMar>
            <w:vAlign w:val="bottom"/>
          </w:tcPr>
          <w:p>
            <w:r>
              <w:rPr>
                <w:sz w:val="18"/>
                <w:szCs w:val="18"/>
              </w:rPr>
              <w:t xml:space="preserve"> </w:t>
            </w:r>
          </w:p>
        </w:tc>
      </w:tr>
      <w:tr>
        <w:tc>
          <w:tcPr>
            <w:tcW w:type="dxa" w:w="2050"/>
            <w:tcBorders>
              <w:top w:val="none" w:color="FFFFFF" w:sz="0"/>
              <w:left w:val="none" w:color="FFFFFF" w:sz="0"/>
              <w:bottom w:val="none" w:color="FFFFFF" w:sz="0"/>
              <w:right w:val="none" w:color="FFFFFF" w:sz="0"/>
            </w:tcBorders>
            <w:tcMar>
              <w:top w:type="dxa" w:w="60"/>
              <w:left w:type="dxa" w:w="0"/>
              <w:bottom w:type="dxa" w:w="60"/>
              <w:right w:type="dxa" w:w="90"/>
            </w:tcMar>
            <w:vAlign w:val="bottom"/>
          </w:tcPr>
          <w:p>
            <w:r>
              <w:rPr>
                <w:color w:val="1A1A1A"/>
                <w:sz w:val="18"/>
                <w:szCs w:val="18"/>
              </w:rPr>
              <w:t xml:space="preserve">Business Address</w:t>
            </w:r>
          </w:p>
        </w:tc>
        <w:tc>
          <w:tcPr>
            <w:tcW w:type="dxa" w:w="8030"/>
            <w:gridSpan w:val="4"/>
            <w:tcBorders>
              <w:top w:val="none" w:color="FFFFFF" w:sz="0"/>
              <w:left w:val="none" w:color="FFFFFF" w:sz="0"/>
              <w:bottom w:val="single" w:color="27324F" w:sz="4"/>
              <w:right w:val="none" w:color="FFFFFF" w:sz="0"/>
            </w:tcBorders>
            <w:tcMar>
              <w:top w:type="dxa" w:w="60"/>
              <w:left w:type="dxa" w:w="0"/>
              <w:bottom w:type="dxa" w:w="60"/>
              <w:right w:type="dxa" w:w="90"/>
            </w:tcMar>
            <w:vAlign w:val="bottom"/>
          </w:tcPr>
          <w:p>
            <w:r>
              <w:rPr>
                <w:sz w:val="18"/>
                <w:szCs w:val="18"/>
              </w:rPr>
              <w:t xml:space="preserve"> </w:t>
            </w:r>
          </w:p>
        </w:tc>
      </w:tr>
      <w:tr>
        <w:tc>
          <w:tcPr>
            <w:tcW w:type="dxa" w:w="2050"/>
            <w:tcBorders>
              <w:top w:val="none" w:color="FFFFFF" w:sz="0"/>
              <w:left w:val="none" w:color="FFFFFF" w:sz="0"/>
              <w:bottom w:val="none" w:color="FFFFFF" w:sz="0"/>
              <w:right w:val="none" w:color="FFFFFF" w:sz="0"/>
            </w:tcBorders>
            <w:tcMar>
              <w:top w:type="dxa" w:w="60"/>
              <w:left w:type="dxa" w:w="0"/>
              <w:bottom w:type="dxa" w:w="60"/>
              <w:right w:type="dxa" w:w="90"/>
            </w:tcMar>
            <w:vAlign w:val="bottom"/>
          </w:tcPr>
          <w:p>
            <w:r>
              <w:rPr>
                <w:color w:val="1A1A1A"/>
                <w:sz w:val="18"/>
                <w:szCs w:val="18"/>
              </w:rPr>
              <w:t xml:space="preserve">Website Address</w:t>
            </w:r>
          </w:p>
        </w:tc>
        <w:tc>
          <w:tcPr>
            <w:tcW w:type="dxa" w:w="8030"/>
            <w:gridSpan w:val="4"/>
            <w:tcBorders>
              <w:top w:val="none" w:color="FFFFFF" w:sz="0"/>
              <w:left w:val="none" w:color="FFFFFF" w:sz="0"/>
              <w:bottom w:val="single" w:color="27324F" w:sz="4"/>
              <w:right w:val="none" w:color="FFFFFF" w:sz="0"/>
            </w:tcBorders>
            <w:tcMar>
              <w:top w:type="dxa" w:w="60"/>
              <w:left w:type="dxa" w:w="0"/>
              <w:bottom w:type="dxa" w:w="60"/>
              <w:right w:type="dxa" w:w="90"/>
            </w:tcMar>
            <w:vAlign w:val="bottom"/>
          </w:tcPr>
          <w:p>
            <w:r>
              <w:rPr>
                <w:sz w:val="18"/>
                <w:szCs w:val="18"/>
              </w:rPr>
              <w:t xml:space="preserve"> </w:t>
            </w:r>
          </w:p>
        </w:tc>
      </w:tr>
      <w:tr>
        <w:tc>
          <w:tcPr>
            <w:tcW w:type="dxa" w:w="2050"/>
            <w:tcBorders>
              <w:top w:val="none" w:color="FFFFFF" w:sz="0"/>
              <w:left w:val="none" w:color="FFFFFF" w:sz="0"/>
              <w:bottom w:val="none" w:color="FFFFFF" w:sz="0"/>
              <w:right w:val="none" w:color="FFFFFF" w:sz="0"/>
            </w:tcBorders>
            <w:tcMar>
              <w:top w:type="dxa" w:w="60"/>
              <w:left w:type="dxa" w:w="0"/>
              <w:bottom w:type="dxa" w:w="60"/>
              <w:right w:type="dxa" w:w="90"/>
            </w:tcMar>
            <w:vAlign w:val="bottom"/>
          </w:tcPr>
          <w:p>
            <w:r>
              <w:rPr>
                <w:color w:val="1A1A1A"/>
                <w:sz w:val="18"/>
                <w:szCs w:val="18"/>
              </w:rPr>
              <w:t xml:space="preserve">Tel / Phone</w:t>
            </w:r>
          </w:p>
        </w:tc>
        <w:tc>
          <w:tcPr>
            <w:tcW w:type="dxa" w:w="2790"/>
            <w:gridSpan w:val="1"/>
            <w:tcBorders>
              <w:top w:val="none" w:color="FFFFFF" w:sz="0"/>
              <w:left w:val="none" w:color="FFFFFF" w:sz="0"/>
              <w:bottom w:val="single" w:color="27324F" w:sz="4"/>
              <w:right w:val="none" w:color="FFFFFF" w:sz="0"/>
            </w:tcBorders>
            <w:tcMar>
              <w:top w:type="dxa" w:w="60"/>
              <w:left w:type="dxa" w:w="0"/>
              <w:bottom w:type="dxa" w:w="60"/>
              <w:right w:type="dxa" w:w="90"/>
            </w:tcMar>
            <w:vAlign w:val="bottom"/>
          </w:tcPr>
          <w:p>
            <w:r>
              <w:rPr>
                <w:sz w:val="18"/>
                <w:szCs w:val="18"/>
              </w:rPr>
              <w:t xml:space="preserve"> </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r>
              <w:rPr>
                <w:sz w:val="16"/>
                <w:szCs w:val="16"/>
              </w:rPr>
              <w:t xml:space="preserve"> </w:t>
            </w:r>
          </w:p>
        </w:tc>
        <w:tc>
          <w:tcPr>
            <w:tcW w:type="dxa" w:w="1620"/>
            <w:tcBorders>
              <w:top w:val="none" w:color="FFFFFF" w:sz="0"/>
              <w:left w:val="none" w:color="FFFFFF" w:sz="0"/>
              <w:bottom w:val="none" w:color="FFFFFF" w:sz="0"/>
              <w:right w:val="none" w:color="FFFFFF" w:sz="0"/>
            </w:tcBorders>
            <w:tcMar>
              <w:top w:type="dxa" w:w="60"/>
              <w:left w:type="dxa" w:w="0"/>
              <w:bottom w:type="dxa" w:w="60"/>
              <w:right w:type="dxa" w:w="90"/>
            </w:tcMar>
            <w:vAlign w:val="bottom"/>
          </w:tcPr>
          <w:p>
            <w:r>
              <w:rPr>
                <w:color w:val="1A1A1A"/>
                <w:sz w:val="18"/>
                <w:szCs w:val="18"/>
              </w:rPr>
              <w:t xml:space="preserve">Email</w:t>
            </w:r>
          </w:p>
        </w:tc>
        <w:tc>
          <w:tcPr>
            <w:tcW w:type="dxa" w:w="3220"/>
            <w:gridSpan w:val="1"/>
            <w:tcBorders>
              <w:top w:val="none" w:color="FFFFFF" w:sz="0"/>
              <w:left w:val="none" w:color="FFFFFF" w:sz="0"/>
              <w:bottom w:val="single" w:color="27324F" w:sz="4"/>
              <w:right w:val="none" w:color="FFFFFF" w:sz="0"/>
            </w:tcBorders>
            <w:tcMar>
              <w:top w:type="dxa" w:w="60"/>
              <w:left w:type="dxa" w:w="0"/>
              <w:bottom w:type="dxa" w:w="60"/>
              <w:right w:type="dxa" w:w="90"/>
            </w:tcMar>
            <w:vAlign w:val="bottom"/>
          </w:tcPr>
          <w:p>
            <w:r>
              <w:rPr>
                <w:sz w:val="18"/>
                <w:szCs w:val="18"/>
              </w:rPr>
              <w:t xml:space="preserve"> </w:t>
            </w:r>
          </w:p>
        </w:tc>
      </w:tr>
      <w:tr>
        <w:tc>
          <w:tcPr>
            <w:tcW w:type="dxa" w:w="2050"/>
            <w:tcBorders>
              <w:top w:val="none" w:color="FFFFFF" w:sz="0"/>
              <w:left w:val="none" w:color="FFFFFF" w:sz="0"/>
              <w:bottom w:val="none" w:color="FFFFFF" w:sz="0"/>
              <w:right w:val="none" w:color="FFFFFF" w:sz="0"/>
            </w:tcBorders>
            <w:tcMar>
              <w:top w:type="dxa" w:w="60"/>
              <w:left w:type="dxa" w:w="0"/>
              <w:bottom w:type="dxa" w:w="60"/>
              <w:right w:type="dxa" w:w="90"/>
            </w:tcMar>
            <w:vAlign w:val="bottom"/>
          </w:tcPr>
          <w:p>
            <w:r>
              <w:rPr>
                <w:color w:val="1A1A1A"/>
                <w:sz w:val="18"/>
                <w:szCs w:val="18"/>
              </w:rPr>
              <w:t xml:space="preserve">Contract Term     From</w:t>
            </w:r>
          </w:p>
        </w:tc>
        <w:tc>
          <w:tcPr>
            <w:tcW w:type="dxa" w:w="2790"/>
            <w:gridSpan w:val="1"/>
            <w:tcBorders>
              <w:top w:val="none" w:color="FFFFFF" w:sz="0"/>
              <w:left w:val="none" w:color="FFFFFF" w:sz="0"/>
              <w:bottom w:val="single" w:color="27324F" w:sz="4"/>
              <w:right w:val="none" w:color="FFFFFF" w:sz="0"/>
            </w:tcBorders>
            <w:tcMar>
              <w:top w:type="dxa" w:w="60"/>
              <w:left w:type="dxa" w:w="0"/>
              <w:bottom w:type="dxa" w:w="60"/>
              <w:right w:type="dxa" w:w="90"/>
            </w:tcMar>
            <w:vAlign w:val="bottom"/>
          </w:tcPr>
          <w:p>
            <w:r>
              <w:rPr>
                <w:sz w:val="18"/>
                <w:szCs w:val="18"/>
              </w:rPr>
              <w:t xml:space="preserve"> </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r>
              <w:rPr>
                <w:sz w:val="16"/>
                <w:szCs w:val="16"/>
              </w:rPr>
              <w:t xml:space="preserve"> </w:t>
            </w:r>
          </w:p>
        </w:tc>
        <w:tc>
          <w:tcPr>
            <w:tcW w:type="dxa" w:w="1620"/>
            <w:tcBorders>
              <w:top w:val="none" w:color="FFFFFF" w:sz="0"/>
              <w:left w:val="none" w:color="FFFFFF" w:sz="0"/>
              <w:bottom w:val="none" w:color="FFFFFF" w:sz="0"/>
              <w:right w:val="none" w:color="FFFFFF" w:sz="0"/>
            </w:tcBorders>
            <w:tcMar>
              <w:top w:type="dxa" w:w="60"/>
              <w:left w:type="dxa" w:w="0"/>
              <w:bottom w:type="dxa" w:w="60"/>
              <w:right w:type="dxa" w:w="90"/>
            </w:tcMar>
            <w:vAlign w:val="bottom"/>
          </w:tcPr>
          <w:p>
            <w:r>
              <w:rPr>
                <w:color w:val="1A1A1A"/>
                <w:sz w:val="18"/>
                <w:szCs w:val="18"/>
              </w:rPr>
              <w:t xml:space="preserve">To</w:t>
            </w:r>
          </w:p>
        </w:tc>
        <w:tc>
          <w:tcPr>
            <w:tcW w:type="dxa" w:w="3220"/>
            <w:gridSpan w:val="1"/>
            <w:tcBorders>
              <w:top w:val="none" w:color="FFFFFF" w:sz="0"/>
              <w:left w:val="none" w:color="FFFFFF" w:sz="0"/>
              <w:bottom w:val="single" w:color="27324F" w:sz="4"/>
              <w:right w:val="none" w:color="FFFFFF" w:sz="0"/>
            </w:tcBorders>
            <w:tcMar>
              <w:top w:type="dxa" w:w="60"/>
              <w:left w:type="dxa" w:w="0"/>
              <w:bottom w:type="dxa" w:w="60"/>
              <w:right w:type="dxa" w:w="90"/>
            </w:tcMar>
            <w:vAlign w:val="bottom"/>
          </w:tcPr>
          <w:p>
            <w:r>
              <w:rPr>
                <w:sz w:val="18"/>
                <w:szCs w:val="18"/>
              </w:rPr>
              <w:t xml:space="preserve"> </w:t>
            </w:r>
          </w:p>
        </w:tc>
      </w:tr>
    </w:tbl>
    <w:p>
      <w:pPr>
        <w:spacing w:before="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300"/>
        <w:gridCol w:w="2780"/>
      </w:tblGrid>
      <w:tr>
        <w:trPr>
          <w:tblHeader/>
        </w:trPr>
        <w:tc>
          <w:tcPr>
            <w:tcW w:type="dxa" w:w="7300"/>
            <w:tcBorders>
              <w:top w:val="single" w:color="B9BEC9" w:sz="2"/>
              <w:left w:val="single" w:color="B9BEC9" w:sz="2"/>
              <w:bottom w:val="single" w:color="B9BEC9" w:sz="2"/>
              <w:right w:val="single" w:color="B9BEC9" w:sz="2"/>
            </w:tcBorders>
            <w:shd w:fill="27324F" w:val="clear"/>
            <w:tcMar>
              <w:top w:type="dxa" w:w="90"/>
              <w:left w:type="dxa" w:w="150"/>
              <w:bottom w:type="dxa" w:w="90"/>
              <w:right w:type="dxa" w:w="120"/>
            </w:tcMar>
            <w:vAlign w:val="center"/>
          </w:tcPr>
          <w:p>
            <w:pPr>
              <w:jc w:val="left"/>
            </w:pPr>
            <w:r>
              <w:rPr>
                <w:b/>
                <w:bCs/>
                <w:color w:val="FFFFFF"/>
                <w:sz w:val="19"/>
                <w:szCs w:val="19"/>
              </w:rPr>
              <w:t xml:space="preserve">Service Order Form</w:t>
            </w:r>
          </w:p>
        </w:tc>
        <w:tc>
          <w:tcPr>
            <w:tcW w:type="dxa" w:w="2780"/>
            <w:tcBorders>
              <w:top w:val="single" w:color="B9BEC9" w:sz="2"/>
              <w:left w:val="single" w:color="B9BEC9" w:sz="2"/>
              <w:bottom w:val="single" w:color="B9BEC9" w:sz="2"/>
              <w:right w:val="single" w:color="B9BEC9" w:sz="2"/>
            </w:tcBorders>
            <w:shd w:fill="27324F" w:val="clear"/>
            <w:tcMar>
              <w:top w:type="dxa" w:w="90"/>
              <w:left w:type="dxa" w:w="150"/>
              <w:bottom w:type="dxa" w:w="90"/>
              <w:right w:type="dxa" w:w="120"/>
            </w:tcMar>
            <w:vAlign w:val="center"/>
          </w:tcPr>
          <w:p>
            <w:pPr>
              <w:jc w:val="left"/>
            </w:pPr>
            <w:r>
              <w:rPr>
                <w:b/>
                <w:bCs/>
                <w:color w:val="FFFFFF"/>
                <w:sz w:val="19"/>
                <w:szCs w:val="19"/>
              </w:rPr>
              <w:t xml:space="preserve">Service Fee</w:t>
            </w:r>
          </w:p>
        </w:tc>
      </w:tr>
      <w:tr>
        <w:tc>
          <w:tcPr>
            <w:tcW w:type="dxa" w:w="7300"/>
            <w:tcBorders>
              <w:top w:val="single" w:color="B9BEC9" w:sz="2"/>
              <w:left w:val="single" w:color="B9BEC9" w:sz="2"/>
              <w:bottom w:val="single" w:color="B9BEC9" w:sz="2"/>
              <w:right w:val="single" w:color="B9BEC9" w:sz="2"/>
            </w:tcBorders>
            <w:tcMar>
              <w:top w:type="dxa" w:w="110"/>
              <w:left w:type="dxa" w:w="150"/>
              <w:bottom w:type="dxa" w:w="120"/>
              <w:right w:type="dxa" w:w="120"/>
            </w:tcMar>
          </w:tcPr>
          <w:p>
            <w:pPr>
              <w:spacing w:after="70"/>
            </w:pPr>
            <w:r>
              <w:rPr>
                <w:b/>
                <w:bCs/>
                <w:color w:val="27324F"/>
                <w:sz w:val="20"/>
                <w:szCs w:val="20"/>
              </w:rPr>
              <w:t xml:space="preserve">BAAM Review — Review Management</w:t>
            </w:r>
          </w:p>
          <w:p>
            <w:pPr>
              <w:spacing w:after="50"/>
            </w:pPr>
            <w:r>
              <w:rPr>
                <w:sz w:val="19"/>
                <w:szCs w:val="19"/>
              </w:rPr>
              <w:t xml:space="preserve">☐   Self-Service Plan — $99 / month</w:t>
            </w:r>
            <w:r>
              <w:rPr>
                <w:i/>
                <w:iCs/>
                <w:color w:val="1A1A1A"/>
                <w:sz w:val="16"/>
                <w:szCs w:val="16"/>
              </w:rPr>
              <w:t xml:space="preserve">   (Client operates the Platform)</w:t>
            </w:r>
          </w:p>
          <w:p>
            <w:pPr>
              <w:spacing w:after="70"/>
            </w:pPr>
            <w:r>
              <w:rPr>
                <w:sz w:val="19"/>
                <w:szCs w:val="19"/>
              </w:rPr>
              <w:t xml:space="preserve">☐   Fully Managed Service — $399 / month</w:t>
            </w:r>
            <w:r>
              <w:rPr>
                <w:i/>
                <w:iCs/>
                <w:color w:val="1A1A1A"/>
                <w:sz w:val="16"/>
                <w:szCs w:val="16"/>
              </w:rPr>
              <w:t xml:space="preserve">   (BAAM runs it for you)</w:t>
            </w:r>
          </w:p>
          <w:p>
            <w:r>
              <w:rPr>
                <w:i/>
                <w:iCs/>
                <w:color w:val="1A1A1A"/>
                <w:sz w:val="16"/>
                <w:szCs w:val="16"/>
              </w:rPr>
              <w:t xml:space="preserve">Review collection, monitoring, AI-assisted responses, private feedback capture, and monthly reporting.</w:t>
            </w:r>
          </w:p>
        </w:tc>
        <w:tc>
          <w:tcPr>
            <w:tcW w:type="dxa" w:w="2780"/>
            <w:tcBorders>
              <w:top w:val="single" w:color="B9BEC9" w:sz="2"/>
              <w:left w:val="single" w:color="B9BEC9" w:sz="2"/>
              <w:bottom w:val="single" w:color="B9BEC9" w:sz="2"/>
              <w:right w:val="single" w:color="B9BEC9" w:sz="2"/>
            </w:tcBorders>
            <w:tcMar>
              <w:top w:type="dxa" w:w="110"/>
              <w:left w:type="dxa" w:w="130"/>
              <w:bottom w:type="dxa" w:w="120"/>
              <w:right w:type="dxa" w:w="120"/>
            </w:tcMar>
            <w:vAlign w:val="center"/>
          </w:tcPr>
          <w:p>
            <w:pPr>
              <w:spacing w:after="120"/>
            </w:pPr>
            <w:r>
              <w:rPr>
                <w:sz w:val="19"/>
                <w:szCs w:val="19"/>
              </w:rPr>
              <w:t xml:space="preserve">$ ____________</w:t>
            </w:r>
          </w:p>
          <w:p>
            <w:r>
              <w:rPr>
                <w:color w:val="1A1A1A"/>
                <w:sz w:val="16"/>
                <w:szCs w:val="16"/>
              </w:rPr>
              <w:t xml:space="preserve">Billed:</w:t>
            </w:r>
          </w:p>
          <w:p>
            <w:r>
              <w:rPr>
                <w:sz w:val="17"/>
                <w:szCs w:val="17"/>
              </w:rPr>
              <w:t xml:space="preserve">☐ Monthly   ☐ Annual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80"/>
        <w:gridCol w:w="1820"/>
        <w:gridCol w:w="2280"/>
      </w:tblGrid>
      <w:tr>
        <w:tc>
          <w:tcPr>
            <w:tcW w:type="dxa" w:w="5980"/>
            <w:vMerge w:val="restart"/>
            <w:tcBorders>
              <w:top w:val="single" w:color="B9BEC9" w:sz="2"/>
              <w:left w:val="single" w:color="B9BEC9" w:sz="2"/>
              <w:bottom w:val="single" w:color="B9BEC9" w:sz="2"/>
              <w:right w:val="single" w:color="B9BEC9" w:sz="2"/>
            </w:tcBorders>
            <w:tcMar>
              <w:top w:type="dxa" w:w="90"/>
              <w:left w:type="dxa" w:w="150"/>
              <w:bottom w:type="dxa" w:w="90"/>
              <w:right w:type="dxa" w:w="120"/>
            </w:tcMar>
            <w:vAlign w:val="top"/>
          </w:tcPr>
          <w:p>
            <w:r>
              <w:rPr>
                <w:b/>
                <w:bCs/>
                <w:color w:val="27324F"/>
                <w:sz w:val="17"/>
                <w:szCs w:val="17"/>
              </w:rPr>
              <w:t xml:space="preserve">Notes</w:t>
            </w:r>
          </w:p>
        </w:tc>
        <w:tc>
          <w:tcPr>
            <w:tcW w:type="dxa" w:w="1820"/>
            <w:tcBorders>
              <w:top w:val="single" w:color="B9BEC9" w:sz="2"/>
              <w:left w:val="single" w:color="B9BEC9" w:sz="2"/>
              <w:bottom w:val="single" w:color="B9BEC9" w:sz="2"/>
              <w:right w:val="single" w:color="B9BEC9" w:sz="2"/>
            </w:tcBorders>
            <w:shd w:fill="EEF0F4" w:val="clear"/>
            <w:tcMar>
              <w:top w:type="dxa" w:w="80"/>
              <w:left w:type="dxa" w:w="120"/>
              <w:bottom w:type="dxa" w:w="80"/>
              <w:right w:type="dxa" w:w="90"/>
            </w:tcMar>
            <w:vAlign w:val="center"/>
          </w:tcPr>
          <w:p>
            <w:r>
              <w:rPr>
                <w:b/>
                <w:bCs/>
                <w:color w:val="27324F"/>
                <w:sz w:val="17"/>
                <w:szCs w:val="17"/>
              </w:rPr>
              <w:t xml:space="preserve">Total Amount</w:t>
            </w:r>
          </w:p>
        </w:tc>
        <w:tc>
          <w:tcPr>
            <w:tcW w:type="dxa" w:w="2280"/>
            <w:tcBorders>
              <w:top w:val="single" w:color="B9BEC9" w:sz="2"/>
              <w:left w:val="single" w:color="B9BEC9" w:sz="2"/>
              <w:bottom w:val="single" w:color="B9BEC9" w:sz="2"/>
              <w:right w:val="single" w:color="B9BEC9" w:sz="2"/>
            </w:tcBorders>
            <w:tcMar>
              <w:top w:type="dxa" w:w="80"/>
              <w:left w:type="dxa" w:w="120"/>
              <w:bottom w:type="dxa" w:w="80"/>
              <w:right w:type="dxa" w:w="90"/>
            </w:tcMar>
            <w:vAlign w:val="center"/>
          </w:tcPr>
          <w:p>
            <w:r>
              <w:rPr>
                <w:sz w:val="19"/>
                <w:szCs w:val="19"/>
              </w:rPr>
              <w:t xml:space="preserve">$</w:t>
            </w:r>
          </w:p>
        </w:tc>
      </w:tr>
      <w:tr>
        <w:tc>
          <w:tcPr>
            <w:vMerge w:val="continue"/>
            <w:tcBorders>
              <w:top w:val="single" w:color="B9BEC9" w:sz="2"/>
              <w:left w:val="single" w:color="B9BEC9" w:sz="2"/>
              <w:bottom w:val="single" w:color="B9BEC9" w:sz="2"/>
              <w:right w:val="single" w:color="B9BEC9" w:sz="2"/>
            </w:tcBorders>
          </w:tcPr>
          <w:p/>
        </w:tc>
        <w:tc>
          <w:tcPr>
            <w:tcW w:type="dxa" w:w="1820"/>
            <w:tcBorders>
              <w:top w:val="single" w:color="B9BEC9" w:sz="2"/>
              <w:left w:val="single" w:color="B9BEC9" w:sz="2"/>
              <w:bottom w:val="single" w:color="B9BEC9" w:sz="2"/>
              <w:right w:val="single" w:color="B9BEC9" w:sz="2"/>
            </w:tcBorders>
            <w:shd w:fill="EEF0F4" w:val="clear"/>
            <w:tcMar>
              <w:top w:type="dxa" w:w="80"/>
              <w:left w:type="dxa" w:w="120"/>
              <w:bottom w:type="dxa" w:w="80"/>
              <w:right w:type="dxa" w:w="90"/>
            </w:tcMar>
            <w:vAlign w:val="center"/>
          </w:tcPr>
          <w:p>
            <w:r>
              <w:rPr>
                <w:b/>
                <w:bCs/>
                <w:color w:val="27324F"/>
                <w:sz w:val="17"/>
                <w:szCs w:val="17"/>
              </w:rPr>
              <w:t xml:space="preserve">Initial Deposit</w:t>
            </w:r>
          </w:p>
        </w:tc>
        <w:tc>
          <w:tcPr>
            <w:tcW w:type="dxa" w:w="2280"/>
            <w:tcBorders>
              <w:top w:val="single" w:color="B9BEC9" w:sz="2"/>
              <w:left w:val="single" w:color="B9BEC9" w:sz="2"/>
              <w:bottom w:val="single" w:color="B9BEC9" w:sz="2"/>
              <w:right w:val="single" w:color="B9BEC9" w:sz="2"/>
            </w:tcBorders>
            <w:tcMar>
              <w:top w:type="dxa" w:w="80"/>
              <w:left w:type="dxa" w:w="120"/>
              <w:bottom w:type="dxa" w:w="80"/>
              <w:right w:type="dxa" w:w="90"/>
            </w:tcMar>
            <w:vAlign w:val="center"/>
          </w:tcPr>
          <w:p>
            <w:r>
              <w:rPr>
                <w:sz w:val="19"/>
                <w:szCs w:val="19"/>
              </w:rPr>
              <w:t xml:space="preserve">$</w:t>
            </w:r>
          </w:p>
        </w:tc>
      </w:tr>
      <w:tr>
        <w:tc>
          <w:tcPr>
            <w:vMerge w:val="continue"/>
            <w:tcBorders>
              <w:top w:val="single" w:color="B9BEC9" w:sz="2"/>
              <w:left w:val="single" w:color="B9BEC9" w:sz="2"/>
              <w:bottom w:val="single" w:color="B9BEC9" w:sz="2"/>
              <w:right w:val="single" w:color="B9BEC9" w:sz="2"/>
            </w:tcBorders>
          </w:tcPr>
          <w:p/>
        </w:tc>
        <w:tc>
          <w:tcPr>
            <w:tcW w:type="dxa" w:w="1820"/>
            <w:tcBorders>
              <w:top w:val="single" w:color="B9BEC9" w:sz="2"/>
              <w:left w:val="single" w:color="B9BEC9" w:sz="2"/>
              <w:bottom w:val="single" w:color="B9BEC9" w:sz="2"/>
              <w:right w:val="single" w:color="B9BEC9" w:sz="2"/>
            </w:tcBorders>
            <w:shd w:fill="EEF0F4" w:val="clear"/>
            <w:tcMar>
              <w:top w:type="dxa" w:w="80"/>
              <w:left w:type="dxa" w:w="120"/>
              <w:bottom w:type="dxa" w:w="80"/>
              <w:right w:type="dxa" w:w="90"/>
            </w:tcMar>
            <w:vAlign w:val="center"/>
          </w:tcPr>
          <w:p>
            <w:r>
              <w:rPr>
                <w:b/>
                <w:bCs/>
                <w:color w:val="27324F"/>
                <w:sz w:val="17"/>
                <w:szCs w:val="17"/>
              </w:rPr>
              <w:t xml:space="preserve">Balance Due</w:t>
            </w:r>
          </w:p>
        </w:tc>
        <w:tc>
          <w:tcPr>
            <w:tcW w:type="dxa" w:w="2280"/>
            <w:tcBorders>
              <w:top w:val="single" w:color="B9BEC9" w:sz="2"/>
              <w:left w:val="single" w:color="B9BEC9" w:sz="2"/>
              <w:bottom w:val="single" w:color="B9BEC9" w:sz="2"/>
              <w:right w:val="single" w:color="B9BEC9" w:sz="2"/>
            </w:tcBorders>
            <w:tcMar>
              <w:top w:type="dxa" w:w="80"/>
              <w:left w:type="dxa" w:w="120"/>
              <w:bottom w:type="dxa" w:w="80"/>
              <w:right w:type="dxa" w:w="90"/>
            </w:tcMar>
            <w:vAlign w:val="center"/>
          </w:tcPr>
          <w:p>
            <w:r>
              <w:rPr>
                <w:sz w:val="19"/>
                <w:szCs w:val="19"/>
              </w:rPr>
              <w:t xml:space="preserve">$</w:t>
            </w:r>
          </w:p>
        </w:tc>
      </w:tr>
    </w:tbl>
    <w:p>
      <w:pPr>
        <w:spacing w:after="100" w:before="150"/>
      </w:pPr>
      <w:r>
        <w:rPr>
          <w:b/>
          <w:bCs/>
          <w:sz w:val="18"/>
          <w:szCs w:val="18"/>
        </w:rPr>
        <w:t xml:space="preserve">Payment Method:    </w:t>
      </w:r>
      <w:r>
        <w:rPr>
          <w:sz w:val="18"/>
          <w:szCs w:val="18"/>
        </w:rPr>
        <w:t xml:space="preserve">☐ Cash      ☐ Check      ☐ Credit Card</w:t>
      </w:r>
    </w:p>
    <w:p>
      <w:pPr>
        <w:tabs>
          <w:tab w:val="left" w:pos="300"/>
        </w:tabs>
        <w:spacing w:after="80"/>
        <w:ind w:left="300" w:hanging="300"/>
      </w:pPr>
      <w:r>
        <w:rPr>
          <w:b/>
          <w:bCs/>
          <w:sz w:val="17"/>
          <w:szCs w:val="17"/>
        </w:rPr>
        <w:t xml:space="preserve">1.	</w:t>
      </w:r>
      <w:r>
        <w:rPr>
          <w:sz w:val="17"/>
          <w:szCs w:val="17"/>
        </w:rPr>
        <w:t xml:space="preserve">Review rewards, if offered, must reward an </w:t>
      </w:r>
      <w:r>
        <w:rPr>
          <w:b/>
          <w:bCs/>
          <w:sz w:val="17"/>
          <w:szCs w:val="17"/>
        </w:rPr>
        <w:t xml:space="preserve">honest review of any rating</w:t>
      </w:r>
      <w:r>
        <w:rPr>
          <w:sz w:val="17"/>
          <w:szCs w:val="17"/>
        </w:rPr>
        <w:t xml:space="preserve"> and may never be conditioned on a positive or five-star review, consistent with Google’s review policies (see Clause 4).</w:t>
      </w:r>
    </w:p>
    <w:p>
      <w:pPr>
        <w:tabs>
          <w:tab w:val="left" w:pos="300"/>
        </w:tabs>
        <w:spacing w:after="80"/>
        <w:ind w:left="300" w:hanging="300"/>
      </w:pPr>
      <w:r>
        <w:rPr>
          <w:b/>
          <w:bCs/>
          <w:sz w:val="17"/>
          <w:szCs w:val="17"/>
        </w:rPr>
        <w:t xml:space="preserve">2.	</w:t>
      </w:r>
      <w:r>
        <w:rPr>
          <w:sz w:val="17"/>
          <w:szCs w:val="17"/>
        </w:rPr>
        <w:t xml:space="preserve">Client to provide: Google Business Profile (GBP) Manager access for BAAM; and, for the Fully Managed Service, a weekly list of consenting customers (spreadsheet, Excel, or CSV).</w:t>
      </w:r>
    </w:p>
    <w:p>
      <w:pPr>
        <w:pBdr>
          <w:bottom w:val="single" w:color="27324F" w:sz="8" w:space="6"/>
        </w:pBdr>
        <w:spacing w:after="60" w:before="400"/>
      </w:pPr>
      <w:r>
        <w:rPr>
          <w:rFonts w:ascii="Arial" w:eastAsia="Noto Sans CJK TC"/>
          <w:b/>
          <w:bCs/>
          <w:color w:val="27324F"/>
          <w:sz w:val="22"/>
          <w:szCs w:val="22"/>
        </w:rPr>
        <w:t xml:space="preserve">SIGNATURES  簽署</w:t>
      </w:r>
    </w:p>
    <w:p>
      <w:pPr>
        <w:spacing w:after="60" w:before="80"/>
      </w:pPr>
      <w:r>
        <w:rPr>
          <w:sz w:val="18"/>
          <w:szCs w:val="18"/>
        </w:rPr>
        <w:t xml:space="preserve">By signing below, the parties acknowledge they have read, understood, and agreed to the Service Order Form above and all terms set forth in the Service Agreement on the following pages.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300"/>
            </w:tcMar>
          </w:tcPr>
          <w:p>
            <w:pPr>
              <w:spacing w:after="0"/>
            </w:pPr>
            <w:r>
              <w:rPr>
                <w:rFonts w:ascii="Arial" w:eastAsia="Noto Sans CJK TC"/>
                <w:b/>
                <w:bCs/>
                <w:color w:val="27324F"/>
                <w:sz w:val="20"/>
                <w:szCs w:val="20"/>
              </w:rPr>
              <w:t xml:space="preserve">Signatory for BAAM  簽字人 – BAAM</w:t>
            </w:r>
          </w:p>
          <w:p>
            <w:pPr>
              <w:pBdr>
                <w:bottom w:val="single" w:color="1A1A1A" w:sz="6" w:space="2"/>
              </w:pBdr>
              <w:spacing w:after="0" w:before="385"/>
            </w:pPr>
            <w:r>
              <w:rPr>
                <w:sz w:val="18"/>
                <w:szCs w:val="18"/>
              </w:rPr>
              <w:t xml:space="preserve"> </w:t>
            </w:r>
          </w:p>
          <w:p>
            <w:pPr>
              <w:spacing w:after="0" w:before="42"/>
            </w:pPr>
            <w:r>
              <w:rPr>
                <w:rFonts w:ascii="Arial" w:eastAsia="Noto Sans CJK TC"/>
                <w:color w:val="1A1A1A"/>
                <w:sz w:val="17"/>
                <w:szCs w:val="17"/>
              </w:rPr>
              <w:t xml:space="preserve">Signature  簽字</w:t>
            </w:r>
          </w:p>
          <w:p>
            <w:pPr>
              <w:pBdr>
                <w:bottom w:val="single" w:color="1A1A1A" w:sz="6" w:space="2"/>
              </w:pBdr>
              <w:spacing w:after="0" w:before="385"/>
            </w:pPr>
            <w:r>
              <w:rPr>
                <w:sz w:val="18"/>
                <w:szCs w:val="18"/>
              </w:rPr>
              <w:t xml:space="preserve"> </w:t>
            </w:r>
          </w:p>
          <w:p>
            <w:pPr>
              <w:spacing w:after="0" w:before="42"/>
            </w:pPr>
            <w:r>
              <w:rPr>
                <w:rFonts w:ascii="Arial" w:eastAsia="Noto Sans CJK TC"/>
                <w:color w:val="1A1A1A"/>
                <w:sz w:val="17"/>
                <w:szCs w:val="17"/>
              </w:rPr>
              <w:t xml:space="preserve">Printed Name &amp; Title  姓名及職稱</w:t>
            </w:r>
          </w:p>
          <w:p>
            <w:pPr>
              <w:pBdr>
                <w:bottom w:val="single" w:color="1A1A1A" w:sz="6" w:space="2"/>
              </w:pBdr>
              <w:spacing w:after="0" w:before="385"/>
            </w:pPr>
            <w:r>
              <w:rPr>
                <w:sz w:val="18"/>
                <w:szCs w:val="18"/>
              </w:rPr>
              <w:t xml:space="preserve"> </w:t>
            </w:r>
          </w:p>
          <w:p>
            <w:pPr>
              <w:spacing w:after="0" w:before="42"/>
            </w:pPr>
            <w:r>
              <w:rPr>
                <w:rFonts w:ascii="Arial" w:eastAsia="Noto Sans CJK TC"/>
                <w:color w:val="1A1A1A"/>
                <w:sz w:val="17"/>
                <w:szCs w:val="17"/>
              </w:rPr>
              <w:t xml:space="preserve">Date  日期</w:t>
            </w: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300"/>
            </w:tcMar>
          </w:tcPr>
          <w:p>
            <w:pPr>
              <w:spacing w:after="0"/>
            </w:pPr>
            <w:r>
              <w:rPr>
                <w:rFonts w:ascii="Arial" w:eastAsia="Noto Sans CJK TC"/>
                <w:b/>
                <w:bCs/>
                <w:color w:val="27324F"/>
                <w:sz w:val="20"/>
                <w:szCs w:val="20"/>
              </w:rPr>
              <w:t xml:space="preserve">Signatory for Client  簽字人 – 客戶</w:t>
            </w:r>
          </w:p>
          <w:p>
            <w:pPr>
              <w:pBdr>
                <w:bottom w:val="single" w:color="1A1A1A" w:sz="6" w:space="2"/>
              </w:pBdr>
              <w:spacing w:after="0" w:before="385"/>
            </w:pPr>
            <w:r>
              <w:rPr>
                <w:sz w:val="18"/>
                <w:szCs w:val="18"/>
              </w:rPr>
              <w:t xml:space="preserve"> </w:t>
            </w:r>
          </w:p>
          <w:p>
            <w:pPr>
              <w:spacing w:after="0" w:before="42"/>
            </w:pPr>
            <w:r>
              <w:rPr>
                <w:rFonts w:ascii="Arial" w:eastAsia="Noto Sans CJK TC"/>
                <w:color w:val="1A1A1A"/>
                <w:sz w:val="17"/>
                <w:szCs w:val="17"/>
              </w:rPr>
              <w:t xml:space="preserve">Signature  簽字</w:t>
            </w:r>
          </w:p>
          <w:p>
            <w:pPr>
              <w:pBdr>
                <w:bottom w:val="single" w:color="1A1A1A" w:sz="6" w:space="2"/>
              </w:pBdr>
              <w:spacing w:after="0" w:before="385"/>
            </w:pPr>
            <w:r>
              <w:rPr>
                <w:sz w:val="18"/>
                <w:szCs w:val="18"/>
              </w:rPr>
              <w:t xml:space="preserve"> </w:t>
            </w:r>
          </w:p>
          <w:p>
            <w:pPr>
              <w:spacing w:after="0" w:before="42"/>
            </w:pPr>
            <w:r>
              <w:rPr>
                <w:rFonts w:ascii="Arial" w:eastAsia="Noto Sans CJK TC"/>
                <w:color w:val="1A1A1A"/>
                <w:sz w:val="17"/>
                <w:szCs w:val="17"/>
              </w:rPr>
              <w:t xml:space="preserve">Printed Name &amp; Title  姓名及職稱</w:t>
            </w:r>
          </w:p>
          <w:p>
            <w:pPr>
              <w:pBdr>
                <w:bottom w:val="single" w:color="1A1A1A" w:sz="6" w:space="2"/>
              </w:pBdr>
              <w:spacing w:after="0" w:before="385"/>
            </w:pPr>
            <w:r>
              <w:rPr>
                <w:sz w:val="18"/>
                <w:szCs w:val="18"/>
              </w:rPr>
              <w:t xml:space="preserve"> </w:t>
            </w:r>
          </w:p>
          <w:p>
            <w:pPr>
              <w:spacing w:after="0" w:before="42"/>
            </w:pPr>
            <w:r>
              <w:rPr>
                <w:rFonts w:ascii="Arial" w:eastAsia="Noto Sans CJK TC"/>
                <w:color w:val="1A1A1A"/>
                <w:sz w:val="17"/>
                <w:szCs w:val="17"/>
              </w:rPr>
              <w:t xml:space="preserve">Date  日期</w:t>
            </w:r>
          </w:p>
        </w:tc>
      </w:tr>
    </w:tbl>
    <w:p>
      <w:r>
        <w:br w:type="page"/>
      </w:r>
    </w:p>
    <w:p>
      <w:pPr>
        <w:pBdr>
          <w:bottom w:val="single" w:color="27324F" w:sz="8" w:space="6"/>
        </w:pBdr>
        <w:spacing w:after="50"/>
        <w:jc w:val="center"/>
      </w:pPr>
      <w:r>
        <w:rPr>
          <w:rFonts w:ascii="Arial" w:eastAsia="Noto Sans CJK TC"/>
          <w:b/>
          <w:bCs/>
          <w:color w:val="27324F"/>
          <w:sz w:val="28"/>
          <w:szCs w:val="28"/>
        </w:rPr>
        <w:t xml:space="preserve">SERVICE AGREEMENT　服務協議</w:t>
      </w:r>
    </w:p>
    <w:p>
      <w:pPr>
        <w:spacing w:after="40" w:before="90"/>
        <w:jc w:val="both"/>
      </w:pPr>
      <w:r>
        <w:rPr>
          <w:rFonts w:ascii="Arial" w:eastAsia="Noto Sans CJK TC"/>
          <w:sz w:val="18"/>
          <w:szCs w:val="18"/>
        </w:rPr>
        <w:t xml:space="preserve">This Service Agreement is entered into as of </w:t>
      </w:r>
      <w:r>
        <w:rPr>
          <w:rFonts w:ascii="Arial" w:eastAsia="Noto Sans CJK TC"/>
          <w:b/>
          <w:bCs/>
          <w:sz w:val="18"/>
          <w:szCs w:val="18"/>
        </w:rPr>
        <w:t xml:space="preserve">[EFFECTIVE DATE]</w:t>
      </w:r>
      <w:r>
        <w:rPr>
          <w:rFonts w:ascii="Arial" w:eastAsia="Noto Sans CJK TC"/>
          <w:sz w:val="18"/>
          <w:szCs w:val="18"/>
        </w:rPr>
        <w:t xml:space="preserve"> between </w:t>
      </w:r>
      <w:r>
        <w:rPr>
          <w:rFonts w:ascii="Arial" w:eastAsia="Noto Sans CJK TC"/>
          <w:b/>
          <w:bCs/>
          <w:sz w:val="18"/>
          <w:szCs w:val="18"/>
        </w:rPr>
        <w:t xml:space="preserve">Harmonia Strategy Inc</w:t>
      </w:r>
      <w:r>
        <w:rPr>
          <w:rFonts w:ascii="Arial" w:eastAsia="Noto Sans CJK TC"/>
          <w:sz w:val="18"/>
          <w:szCs w:val="18"/>
        </w:rPr>
        <w:t xml:space="preserve"> (“BAAM”) and the Client named on the Service Order Form (“Client”), and governs the BAAM Review services selected on that form.</w:t>
      </w:r>
    </w:p>
    <w:p>
      <w:pPr>
        <w:spacing w:after="70"/>
        <w:jc w:val="both"/>
      </w:pPr>
      <w:r>
        <w:rPr>
          <w:rFonts w:ascii="Arial" w:eastAsia="Noto Sans CJK TC"/>
          <w:sz w:val="18"/>
          <w:szCs w:val="18"/>
        </w:rPr>
        <w:t xml:space="preserve">本服務協議由 </w:t>
      </w:r>
      <w:r>
        <w:rPr>
          <w:rFonts w:ascii="Arial" w:eastAsia="Noto Sans CJK TC"/>
          <w:b/>
          <w:bCs/>
          <w:sz w:val="18"/>
          <w:szCs w:val="18"/>
        </w:rPr>
        <w:t xml:space="preserve">Harmonia Strategy Inc</w:t>
      </w:r>
      <w:r>
        <w:rPr>
          <w:rFonts w:ascii="Arial" w:eastAsia="Noto Sans CJK TC"/>
          <w:sz w:val="18"/>
          <w:szCs w:val="18"/>
        </w:rPr>
        <w:t xml:space="preserve">（「BAAM」）與《服務訂單表》所列之客戶（「客戶」）於 </w:t>
      </w:r>
      <w:r>
        <w:rPr>
          <w:rFonts w:ascii="Arial" w:eastAsia="Noto Sans CJK TC"/>
          <w:b/>
          <w:bCs/>
          <w:sz w:val="18"/>
          <w:szCs w:val="18"/>
        </w:rPr>
        <w:t xml:space="preserve">[生效日期]</w:t>
      </w:r>
      <w:r>
        <w:rPr>
          <w:rFonts w:ascii="Arial" w:eastAsia="Noto Sans CJK TC"/>
          <w:sz w:val="18"/>
          <w:szCs w:val="18"/>
        </w:rPr>
        <w:t xml:space="preserve"> 簽訂，並適用於該表所選之 BAAM Review 服務。</w:t>
      </w:r>
    </w:p>
    <w:p>
      <w:pPr>
        <w:spacing w:after="60" w:before="250"/>
      </w:pPr>
      <w:r>
        <w:rPr>
          <w:rFonts w:ascii="Arial" w:eastAsia="Noto Sans CJK TC"/>
          <w:b/>
          <w:bCs/>
          <w:color w:val="27324F"/>
          <w:sz w:val="19"/>
          <w:szCs w:val="19"/>
        </w:rPr>
        <w:t xml:space="preserve">1.  Services &amp; Platform Model　服務內容與平台模式</w:t>
      </w:r>
    </w:p>
    <w:p>
      <w:pPr>
        <w:spacing w:after="46"/>
        <w:jc w:val="both"/>
      </w:pPr>
      <w:r>
        <w:rPr>
          <w:rFonts w:ascii="Arial" w:eastAsia="Noto Sans CJK TC"/>
          <w:sz w:val="18"/>
          <w:szCs w:val="18"/>
        </w:rPr>
        <w:t xml:space="preserve">Harmonia Strategy Inc (“BAAM”) provides subscription-based BAAM Review services — the collection, monitoring, response to, and reporting of customer reviews — through its proprietary software, automation systems, artificial intelligence, and hosting infrastructure (collectively, the “Platform”). Services are delivered as an integrated system and are licensed, not sold. BAAM Review is offered as a Self-Service Plan, under which Client operates the Platform, or a Fully Managed Service, under which BAAM operates review collection and response on Client’s behalf, as selected on the Service Order Form.</w:t>
      </w:r>
    </w:p>
    <w:p>
      <w:pPr>
        <w:spacing w:after="0"/>
        <w:jc w:val="both"/>
      </w:pPr>
      <w:r>
        <w:rPr>
          <w:rFonts w:ascii="Arial" w:eastAsia="Noto Sans CJK TC"/>
          <w:sz w:val="18"/>
          <w:szCs w:val="18"/>
        </w:rPr>
        <w:t xml:space="preserve">Harmonia Strategy Inc（「BAAM」）透過其專有軟體、自動化系統、人工智慧及託管基礎設施（統稱「平台」），提供基於訂閱制的 BAAM Review 服務，即顧客評價的收集、監測、回覆與報告。所有服務均以整合系統形式交付，並為授權使用，而非出售。BAAM Review 提供「自助版方案」（由客戶自行操作平台）或「全託管服務」（由 BAAM 代客戶執行評價收集與回覆），以《服務訂單表》所選者為準。</w:t>
      </w:r>
    </w:p>
    <w:p>
      <w:pPr>
        <w:spacing w:after="60" w:before="250"/>
      </w:pPr>
      <w:r>
        <w:rPr>
          <w:rFonts w:ascii="Arial" w:eastAsia="Noto Sans CJK TC"/>
          <w:b/>
          <w:bCs/>
          <w:color w:val="27324F"/>
          <w:sz w:val="19"/>
          <w:szCs w:val="19"/>
        </w:rPr>
        <w:t xml:space="preserve">2.  Billing, Term &amp; Cancellation　計費、期限與取消</w:t>
      </w:r>
    </w:p>
    <w:p>
      <w:pPr>
        <w:spacing w:after="46"/>
        <w:jc w:val="both"/>
      </w:pPr>
      <w:r>
        <w:rPr>
          <w:rFonts w:ascii="Arial" w:eastAsia="Noto Sans CJK TC"/>
          <w:sz w:val="18"/>
          <w:szCs w:val="18"/>
        </w:rPr>
        <w:t xml:space="preserve">Services are billed monthly or annually as selected on the Service Order Form. Annual plans are prepaid and non-refundable. Subscriptions automatically renew unless cancelled in writing at least seven (7) days prior to renewal. Failure to pay may result in suspension or termination of the Services. Fees are exclusive of any applicable taxes.</w:t>
      </w:r>
    </w:p>
    <w:p>
      <w:pPr>
        <w:spacing w:after="0"/>
        <w:jc w:val="both"/>
      </w:pPr>
      <w:r>
        <w:rPr>
          <w:rFonts w:ascii="Arial" w:eastAsia="Noto Sans CJK TC"/>
          <w:sz w:val="18"/>
          <w:szCs w:val="18"/>
        </w:rPr>
        <w:t xml:space="preserve">服務按《服務訂單表》所選方式按月或按年計費。年度方案須預先支付且不可退款。除非於續約前至少七（7）天以書面形式取消，否則訂閱將自動續期。未按時付款可能導致服務暫停或終止。所列費用不含任何適用稅費。</w:t>
      </w:r>
    </w:p>
    <w:p>
      <w:pPr>
        <w:spacing w:after="60" w:before="250"/>
      </w:pPr>
      <w:r>
        <w:rPr>
          <w:rFonts w:ascii="Arial" w:eastAsia="Noto Sans CJK TC"/>
          <w:b/>
          <w:bCs/>
          <w:color w:val="27324F"/>
          <w:sz w:val="19"/>
          <w:szCs w:val="19"/>
        </w:rPr>
        <w:t xml:space="preserve">3.  Client Responsibilities　客戶之責任</w:t>
      </w:r>
    </w:p>
    <w:p>
      <w:pPr>
        <w:spacing w:after="46"/>
        <w:jc w:val="both"/>
      </w:pPr>
      <w:r>
        <w:rPr>
          <w:rFonts w:ascii="Arial" w:eastAsia="Noto Sans CJK TC"/>
          <w:sz w:val="18"/>
          <w:szCs w:val="18"/>
        </w:rPr>
        <w:t xml:space="preserve">Client shall add BAAM as a Manager on its Google Business Profile and maintain that access for the term; Client remains the Owner of its Google Business Profile at all times. For the Fully Managed Service, Client shall provide BAAM each week with a list of customers who have actually received Client’s goods or services, had a positive experience, and agreed to be contacted, with no repeat entries. Client is responsible for the accuracy and lawfulness of the customer information it provides, and for funding and honoring any reward it elects to offer.</w:t>
      </w:r>
    </w:p>
    <w:p>
      <w:pPr>
        <w:spacing w:after="0"/>
        <w:jc w:val="both"/>
      </w:pPr>
      <w:r>
        <w:rPr>
          <w:rFonts w:ascii="Arial" w:eastAsia="Noto Sans CJK TC"/>
          <w:sz w:val="18"/>
          <w:szCs w:val="18"/>
        </w:rPr>
        <w:t xml:space="preserve">客戶須將 BAAM 加入其 Google 商家檔案的「管理員」，並於合約期內維持該權限；客戶始終為其 Google 商家檔案的「擁有者」。就全託管服務而言，客戶須每週向 BAAM 提供一份顧客名單，名單中之顧客須為實際接受客戶商品或服務、體驗良好且同意接受聯繫者，並不得與往週重複。客戶須對其所提供顧客資訊的準確性與合法性負責，並自行負擔及兌現其選擇提供的任何獎勵。</w:t>
      </w:r>
    </w:p>
    <w:p>
      <w:pPr>
        <w:spacing w:after="60" w:before="250"/>
      </w:pPr>
      <w:r>
        <w:rPr>
          <w:rFonts w:ascii="Arial" w:eastAsia="Noto Sans CJK TC"/>
          <w:b/>
          <w:bCs/>
          <w:color w:val="27324F"/>
          <w:sz w:val="19"/>
          <w:szCs w:val="19"/>
        </w:rPr>
        <w:t xml:space="preserve">4.  Review Practices &amp; Compliance　評價規範與合規</w:t>
      </w:r>
    </w:p>
    <w:p>
      <w:pPr>
        <w:spacing w:after="46"/>
        <w:jc w:val="both"/>
      </w:pPr>
      <w:r>
        <w:rPr>
          <w:rFonts w:ascii="Arial" w:eastAsia="Noto Sans CJK TC"/>
          <w:sz w:val="18"/>
          <w:szCs w:val="18"/>
        </w:rPr>
        <w:t xml:space="preserve">The Services are designed to solicit honest customer reviews of any rating. Any reward, discount, gift, or other incentive offered in connection with the Services must be available for an honest review regardless of its rating and shall never be conditioned on a positive review or a five-star rating; this reflects Google’s prohibition on “review gating” and is a material term of this Agreement. Reviews are written by the customer, who is always the author of record, and neither party shall create, solicit, or publish false or misleading reviews. Client confirms it has obtained all consents necessary for BAAM to contact its customers by email or SMS, and BAAM will send messages in a manner designed to comply with applicable law, including the TCPA and the CAN-SPAM Act. BAAM may pause or modify any part of the Services it reasonably believes would violate Google’s policies or applicable law.</w:t>
      </w:r>
    </w:p>
    <w:p>
      <w:pPr>
        <w:spacing w:after="0"/>
        <w:jc w:val="both"/>
      </w:pPr>
      <w:r>
        <w:rPr>
          <w:rFonts w:ascii="Arial" w:eastAsia="Noto Sans CJK TC"/>
          <w:sz w:val="18"/>
          <w:szCs w:val="18"/>
        </w:rPr>
        <w:t xml:space="preserve">本服務旨在徵集顧客真實的評價，不論評分高低。任何與本服務相關而提供的獎勵、折扣、禮品或其他誘因，均須對任何評分的真實評價一律適用，絕不得以正面評價或五星評分為條件；此乃反映 Google 對「評價篩選」（review gating）的禁止規定，並為本協議的重要條款。評價由顧客本人撰寫，顧客始終為其評價之作者；任何一方均不得製造、徵集或發布虛假或具誤導性的評價。客戶確認已取得 BAAM 透過電郵或簡訊聯繫其顧客所需之一切同意；BAAM 將以符合適用法律（包括 TCPA 及 CAN-SPAM Act）的方式發送訊息。若 BAAM 合理認為服務之任何部分將違反 Google 政策或適用法律，得暫停或修改該部分服務。</w:t>
      </w:r>
    </w:p>
    <w:p>
      <w:pPr>
        <w:spacing w:after="60" w:before="250"/>
      </w:pPr>
      <w:r>
        <w:rPr>
          <w:rFonts w:ascii="Arial" w:eastAsia="Noto Sans CJK TC"/>
          <w:b/>
          <w:bCs/>
          <w:color w:val="27324F"/>
          <w:sz w:val="19"/>
          <w:szCs w:val="19"/>
        </w:rPr>
        <w:t xml:space="preserve">5.  Ownership &amp; License　所有權與許可</w:t>
      </w:r>
    </w:p>
    <w:p>
      <w:pPr>
        <w:spacing w:after="46"/>
        <w:jc w:val="both"/>
      </w:pPr>
      <w:r>
        <w:rPr>
          <w:rFonts w:ascii="Arial" w:eastAsia="Noto Sans CJK TC"/>
          <w:sz w:val="18"/>
          <w:szCs w:val="18"/>
        </w:rPr>
        <w:t xml:space="preserve">BAAM retains all ownership rights in its Platform, including software architecture, infrastructure, databases, automation systems, AI workflows, and related intellectual property. Client retains ownership of its domain, branding, business information, Google Business Profile, and final approved content created specifically for Client. During the active term, Client is granted a limited, non-exclusive, non-transferable license to use the Platform; no ownership or transfer of Platform infrastructure is granted. Client shall not reverse engineer, copy, extract, or attempt to recreate the Platform or its systems.</w:t>
      </w:r>
    </w:p>
    <w:p>
      <w:pPr>
        <w:spacing w:after="0"/>
        <w:jc w:val="both"/>
      </w:pPr>
      <w:r>
        <w:rPr>
          <w:rFonts w:ascii="Arial" w:eastAsia="Noto Sans CJK TC"/>
          <w:sz w:val="18"/>
          <w:szCs w:val="18"/>
        </w:rPr>
        <w:t xml:space="preserve">BAAM 保留其平台的一切所有權，包括軟體架構、基礎設施、資料庫、自動化系統、AI 工作流程及相關知識產權。客戶保留其域名、品牌資產、企業資訊、Google 商家檔案，以及專為客戶創建並經最終批准之內容的所有權。在協議有效期間，客戶獲授予有限的、非獨占的、不可轉讓的許可以在平台上運營；平台基礎設施的所有權或轉讓權不予授予。客戶不得對平台或其系統進行逆向工程、複製、提取或試圖重建。</w:t>
      </w:r>
    </w:p>
    <w:p>
      <w:pPr>
        <w:spacing w:after="60" w:before="250"/>
      </w:pPr>
      <w:r>
        <w:rPr>
          <w:rFonts w:ascii="Arial" w:eastAsia="Noto Sans CJK TC"/>
          <w:b/>
          <w:bCs/>
          <w:color w:val="27324F"/>
          <w:sz w:val="19"/>
          <w:szCs w:val="19"/>
        </w:rPr>
        <w:t xml:space="preserve">6.  Third-Party Platforms　第三方平台</w:t>
      </w:r>
    </w:p>
    <w:p>
      <w:pPr>
        <w:spacing w:after="46"/>
        <w:jc w:val="both"/>
      </w:pPr>
      <w:r>
        <w:rPr>
          <w:rFonts w:ascii="Arial" w:eastAsia="Noto Sans CJK TC"/>
          <w:sz w:val="18"/>
          <w:szCs w:val="18"/>
        </w:rPr>
        <w:t xml:space="preserve">BAAM acts as a configuration and publishing agent to third-party platforms, including Google. BAAM is not responsible for algorithm changes, policy updates, account suspensions, outages, removal of reviews, or performance fluctuations of such platforms.</w:t>
      </w:r>
    </w:p>
    <w:p>
      <w:pPr>
        <w:spacing w:after="0"/>
        <w:jc w:val="both"/>
      </w:pPr>
      <w:r>
        <w:rPr>
          <w:rFonts w:ascii="Arial" w:eastAsia="Noto Sans CJK TC"/>
          <w:sz w:val="18"/>
          <w:szCs w:val="18"/>
        </w:rPr>
        <w:t xml:space="preserve">BAAM 作為第三方平台（包括 Google）的配置與發佈代理。對於該等平台的演算法變更、政策更新、帳號暫停、系統故障、評價遭移除或效能波動，BAAM 不承擔責任。</w:t>
      </w:r>
    </w:p>
    <w:p>
      <w:pPr>
        <w:spacing w:after="60" w:before="250"/>
      </w:pPr>
      <w:r>
        <w:rPr>
          <w:rFonts w:ascii="Arial" w:eastAsia="Noto Sans CJK TC"/>
          <w:b/>
          <w:bCs/>
          <w:color w:val="27324F"/>
          <w:sz w:val="19"/>
          <w:szCs w:val="19"/>
        </w:rPr>
        <w:t xml:space="preserve">7.  Disclaimer of Results　成果免責聲明</w:t>
      </w:r>
    </w:p>
    <w:p>
      <w:pPr>
        <w:spacing w:after="46"/>
        <w:jc w:val="both"/>
      </w:pPr>
      <w:r>
        <w:rPr>
          <w:rFonts w:ascii="Arial" w:eastAsia="Noto Sans CJK TC"/>
          <w:sz w:val="18"/>
          <w:szCs w:val="18"/>
        </w:rPr>
        <w:t xml:space="preserve">BAAM does not guarantee any specific number of reviews, star rating, search ranking, traffic, leads, revenue, or other performance outcome. Results build over time and depend on market conditions, competition, customer behavior, and third-party platforms.</w:t>
      </w:r>
    </w:p>
    <w:p>
      <w:pPr>
        <w:spacing w:after="0"/>
        <w:jc w:val="both"/>
      </w:pPr>
      <w:r>
        <w:rPr>
          <w:rFonts w:ascii="Arial" w:eastAsia="Noto Sans CJK TC"/>
          <w:sz w:val="18"/>
          <w:szCs w:val="18"/>
        </w:rPr>
        <w:t xml:space="preserve">BAAM 不保證任何特定的評價數量、星級評分、搜尋排名、流量、潛在客戶、收入或其他績效成果。成效須隨時間累積，並取決於市場環境、競爭狀況、顧客行為及第三方平台等因素。</w:t>
      </w:r>
    </w:p>
    <w:p>
      <w:pPr>
        <w:spacing w:after="60" w:before="250"/>
      </w:pPr>
      <w:r>
        <w:rPr>
          <w:rFonts w:ascii="Arial" w:eastAsia="Noto Sans CJK TC"/>
          <w:b/>
          <w:bCs/>
          <w:color w:val="27324F"/>
          <w:sz w:val="19"/>
          <w:szCs w:val="19"/>
        </w:rPr>
        <w:t xml:space="preserve">8.  Limitation of Liability　責任限制</w:t>
      </w:r>
    </w:p>
    <w:p>
      <w:pPr>
        <w:spacing w:after="46"/>
        <w:jc w:val="both"/>
      </w:pPr>
      <w:r>
        <w:rPr>
          <w:rFonts w:ascii="Arial" w:eastAsia="Noto Sans CJK TC"/>
          <w:sz w:val="18"/>
          <w:szCs w:val="18"/>
        </w:rPr>
        <w:t xml:space="preserve">To the maximum extent permitted by law, BAAM’s total liability shall not exceed the fees paid by Client in the three (3) months preceding the claim. BAAM shall not be liable for any indirect, incidental, or consequential damages.</w:t>
      </w:r>
    </w:p>
    <w:p>
      <w:pPr>
        <w:spacing w:after="0"/>
        <w:jc w:val="both"/>
      </w:pPr>
      <w:r>
        <w:rPr>
          <w:rFonts w:ascii="Arial" w:eastAsia="Noto Sans CJK TC"/>
          <w:sz w:val="18"/>
          <w:szCs w:val="18"/>
        </w:rPr>
        <w:t xml:space="preserve">在法律允許的最大範圍內，BAAM 的總責任不超過客戶在提出索賠前三（3）個月所支付的費用。BAAM 不對任何間接、附帶或後果性損害承擔責任。</w:t>
      </w:r>
    </w:p>
    <w:p>
      <w:pPr>
        <w:spacing w:after="60" w:before="250"/>
      </w:pPr>
      <w:r>
        <w:rPr>
          <w:rFonts w:ascii="Arial" w:eastAsia="Noto Sans CJK TC"/>
          <w:b/>
          <w:bCs/>
          <w:color w:val="27324F"/>
          <w:sz w:val="19"/>
          <w:szCs w:val="19"/>
        </w:rPr>
        <w:t xml:space="preserve">9.  Governing Law &amp; Entire Agreement　適用法律與完整協議</w:t>
      </w:r>
    </w:p>
    <w:p>
      <w:pPr>
        <w:spacing w:after="46"/>
        <w:jc w:val="both"/>
      </w:pPr>
      <w:r>
        <w:rPr>
          <w:rFonts w:ascii="Arial" w:eastAsia="Noto Sans CJK TC"/>
          <w:sz w:val="18"/>
          <w:szCs w:val="18"/>
        </w:rPr>
        <w:t xml:space="preserve">This Agreement shall be governed by the laws of the State of New York, and any disputes shall be resolved in the courts of New York. This Agreement, together with the Service Order Form, constitutes the entire agreement between the parties and becomes binding upon execution or electronic acceptance.</w:t>
      </w:r>
    </w:p>
    <w:p>
      <w:pPr>
        <w:spacing w:after="0"/>
        <w:jc w:val="both"/>
      </w:pPr>
      <w:r>
        <w:rPr>
          <w:rFonts w:ascii="Arial" w:eastAsia="Noto Sans CJK TC"/>
          <w:sz w:val="18"/>
          <w:szCs w:val="18"/>
        </w:rPr>
        <w:t xml:space="preserve">本協議受紐約州法律管轄，任何爭議應提交紐約州法院解決。本協議連同《服務訂單表》構成雙方之間的完整協議，並於簽署或電子確認後生效。</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EC9" w:sz="2" w:space="6"/>
      </w:pBdr>
      <w:jc w:val="center"/>
    </w:pPr>
    <w:r>
      <w:rPr>
        <w:color w:val="595959"/>
        <w:sz w:val="14"/>
        <w:szCs w:val="14"/>
      </w:rPr>
      <w:t xml:space="preserve">Always On. Always Visible.    ·    Harmonia Strategy Inc  ·  baamreview.com  ·  90 North St, Suite 206, Middletown, NY 10940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41e9c210ad47d8c2d76ab6809a4ac1fc51f9e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2026-05-23T03:17:41.779Z</dcterms:created>
  <dcterms:modified xsi:type="dcterms:W3CDTF">2026-05-23T03:17:41.791Z</dcterms:modified>
</cp:coreProperties>
</file>

<file path=docProps/custom.xml><?xml version="1.0" encoding="utf-8"?>
<Properties xmlns="http://schemas.openxmlformats.org/officeDocument/2006/custom-properties" xmlns:vt="http://schemas.openxmlformats.org/officeDocument/2006/docPropsVTypes"/>
</file>